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9B3A5E">
      <w:pPr>
        <w:spacing w:line="360" w:lineRule="auto"/>
        <w:jc w:val="center"/>
        <w:rPr>
          <w:rFonts w:hint="eastAsia" w:ascii="宋体" w:hAnsi="宋体" w:cs="宋体"/>
          <w:b/>
          <w:color w:val="auto"/>
          <w:sz w:val="24"/>
          <w:highlight w:val="none"/>
        </w:rPr>
      </w:pPr>
    </w:p>
    <w:p w14:paraId="4698658E">
      <w:pPr>
        <w:spacing w:line="360" w:lineRule="auto"/>
        <w:jc w:val="center"/>
        <w:rPr>
          <w:rFonts w:hint="eastAsia" w:ascii="宋体" w:hAnsi="宋体" w:cs="宋体"/>
          <w:b/>
          <w:color w:val="auto"/>
          <w:sz w:val="24"/>
          <w:highlight w:val="none"/>
        </w:rPr>
      </w:pPr>
    </w:p>
    <w:p w14:paraId="037E6D5C">
      <w:pPr>
        <w:adjustRightInd/>
        <w:spacing w:line="360" w:lineRule="auto"/>
        <w:jc w:val="center"/>
        <w:rPr>
          <w:rFonts w:hint="eastAsia" w:ascii="宋体" w:hAnsi="宋体" w:cs="宋体"/>
          <w:b/>
          <w:color w:val="auto"/>
          <w:sz w:val="44"/>
          <w:szCs w:val="44"/>
          <w:highlight w:val="none"/>
        </w:rPr>
      </w:pPr>
    </w:p>
    <w:p w14:paraId="486F538A">
      <w:pPr>
        <w:spacing w:line="360" w:lineRule="auto"/>
        <w:jc w:val="center"/>
        <w:rPr>
          <w:rFonts w:hint="eastAsia" w:ascii="宋体" w:hAnsi="宋体" w:cs="宋体"/>
          <w:b/>
          <w:color w:val="auto"/>
          <w:sz w:val="44"/>
          <w:szCs w:val="44"/>
          <w:highlight w:val="none"/>
        </w:rPr>
      </w:pPr>
    </w:p>
    <w:p w14:paraId="7658E8B5">
      <w:pPr>
        <w:adjustRightInd/>
        <w:spacing w:line="360" w:lineRule="auto"/>
        <w:jc w:val="center"/>
        <w:rPr>
          <w:rFonts w:hint="eastAsia" w:ascii="宋体" w:hAnsi="宋体" w:cs="宋体"/>
          <w:b/>
          <w:color w:val="auto"/>
          <w:sz w:val="48"/>
          <w:szCs w:val="48"/>
          <w:highlight w:val="none"/>
        </w:rPr>
      </w:pPr>
    </w:p>
    <w:p w14:paraId="19FF7BF9">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西塘河（湖州街-京杭运河）生态清淤工程</w:t>
      </w:r>
    </w:p>
    <w:p w14:paraId="6FFBD353">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4DB86C1">
      <w:pPr>
        <w:adjustRightInd/>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63E0F70B">
      <w:pPr>
        <w:snapToGrid w:val="0"/>
        <w:spacing w:line="360" w:lineRule="auto"/>
        <w:jc w:val="center"/>
        <w:rPr>
          <w:rFonts w:hint="eastAsia" w:ascii="宋体" w:hAnsi="宋体" w:cs="宋体"/>
          <w:color w:val="auto"/>
          <w:sz w:val="30"/>
          <w:szCs w:val="30"/>
          <w:highlight w:val="none"/>
        </w:rPr>
      </w:pPr>
      <w:r>
        <w:rPr>
          <w:rFonts w:hint="eastAsia" w:ascii="宋体" w:hAnsi="宋体" w:cs="宋体"/>
          <w:color w:val="auto"/>
          <w:sz w:val="30"/>
          <w:szCs w:val="30"/>
          <w:highlight w:val="none"/>
        </w:rPr>
        <w:t>项目编号:HSZB-2024-1480</w:t>
      </w:r>
    </w:p>
    <w:p w14:paraId="3949771B">
      <w:pPr>
        <w:adjustRightInd/>
        <w:spacing w:line="360" w:lineRule="auto"/>
        <w:rPr>
          <w:rFonts w:hint="eastAsia" w:ascii="宋体" w:hAnsi="宋体" w:cs="宋体"/>
          <w:color w:val="auto"/>
          <w:sz w:val="28"/>
          <w:szCs w:val="20"/>
          <w:highlight w:val="none"/>
        </w:rPr>
      </w:pPr>
    </w:p>
    <w:p w14:paraId="5479C274">
      <w:pPr>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43FB9DFD">
      <w:pPr>
        <w:spacing w:line="360" w:lineRule="auto"/>
        <w:jc w:val="center"/>
        <w:rPr>
          <w:rFonts w:hint="eastAsia" w:ascii="宋体" w:hAnsi="宋体" w:cs="宋体"/>
          <w:b/>
          <w:color w:val="auto"/>
          <w:sz w:val="44"/>
          <w:szCs w:val="44"/>
          <w:highlight w:val="none"/>
        </w:rPr>
      </w:pPr>
    </w:p>
    <w:p w14:paraId="2F26FEA7">
      <w:pPr>
        <w:spacing w:line="360" w:lineRule="auto"/>
        <w:jc w:val="center"/>
        <w:rPr>
          <w:rFonts w:hint="eastAsia" w:ascii="宋体" w:hAnsi="宋体" w:cs="宋体"/>
          <w:color w:val="auto"/>
          <w:sz w:val="24"/>
          <w:highlight w:val="none"/>
        </w:rPr>
      </w:pPr>
    </w:p>
    <w:p w14:paraId="044A2E15">
      <w:pPr>
        <w:spacing w:line="360" w:lineRule="auto"/>
        <w:jc w:val="center"/>
        <w:rPr>
          <w:rFonts w:hint="eastAsia" w:ascii="宋体" w:hAnsi="宋体" w:cs="宋体"/>
          <w:color w:val="auto"/>
          <w:sz w:val="24"/>
          <w:highlight w:val="none"/>
        </w:rPr>
      </w:pPr>
    </w:p>
    <w:p w14:paraId="446DA69C">
      <w:pPr>
        <w:spacing w:line="360" w:lineRule="auto"/>
        <w:rPr>
          <w:rFonts w:hint="eastAsia" w:ascii="宋体" w:hAnsi="宋体" w:cs="宋体"/>
          <w:color w:val="auto"/>
          <w:sz w:val="32"/>
          <w:szCs w:val="32"/>
          <w:highlight w:val="none"/>
        </w:rPr>
      </w:pPr>
    </w:p>
    <w:p w14:paraId="16683766">
      <w:pPr>
        <w:snapToGrid w:val="0"/>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杭州市城市水设施和河道保护管理中心</w:t>
      </w:r>
    </w:p>
    <w:p w14:paraId="138D92F3">
      <w:pPr>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浙江豪圣建设项目管理有限公司</w:t>
      </w:r>
    </w:p>
    <w:p w14:paraId="3C6F3971">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二〇二五年三月</w:t>
      </w:r>
      <w:r>
        <w:rPr>
          <w:rFonts w:hint="eastAsia" w:ascii="宋体" w:hAnsi="宋体" w:cs="宋体"/>
          <w:bCs/>
          <w:color w:val="auto"/>
          <w:sz w:val="32"/>
          <w:szCs w:val="32"/>
          <w:highlight w:val="none"/>
          <w:lang w:val="en-US" w:eastAsia="zh-CN"/>
        </w:rPr>
        <w:t>二十五</w:t>
      </w:r>
      <w:r>
        <w:rPr>
          <w:rFonts w:hint="eastAsia" w:ascii="宋体" w:hAnsi="宋体" w:cs="宋体"/>
          <w:bCs/>
          <w:color w:val="auto"/>
          <w:sz w:val="32"/>
          <w:szCs w:val="32"/>
          <w:highlight w:val="none"/>
        </w:rPr>
        <w:t>日</w:t>
      </w:r>
    </w:p>
    <w:p w14:paraId="45F3959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60F8A2C">
      <w:pPr>
        <w:pStyle w:val="638"/>
        <w:rPr>
          <w:color w:val="auto"/>
          <w:highlight w:val="none"/>
        </w:rPr>
      </w:pPr>
    </w:p>
    <w:p w14:paraId="3F4146B8">
      <w:pPr>
        <w:spacing w:line="360" w:lineRule="auto"/>
        <w:jc w:val="center"/>
        <w:rPr>
          <w:rFonts w:hint="eastAsia" w:ascii="宋体" w:hAnsi="宋体" w:cs="宋体"/>
          <w:b/>
          <w:color w:val="auto"/>
          <w:sz w:val="48"/>
          <w:szCs w:val="48"/>
          <w:highlight w:val="none"/>
        </w:rPr>
      </w:pPr>
      <w:r>
        <w:rPr>
          <w:rFonts w:hint="eastAsia" w:ascii="宋体" w:hAnsi="宋体" w:cs="宋体"/>
          <w:b/>
          <w:color w:val="auto"/>
          <w:sz w:val="48"/>
          <w:szCs w:val="48"/>
          <w:highlight w:val="none"/>
        </w:rPr>
        <w:t>目  录</w:t>
      </w:r>
    </w:p>
    <w:p w14:paraId="2CFD54EE">
      <w:pPr>
        <w:spacing w:line="360" w:lineRule="auto"/>
        <w:rPr>
          <w:rFonts w:hint="eastAsia" w:ascii="宋体" w:hAnsi="宋体" w:cs="宋体"/>
          <w:color w:val="auto"/>
          <w:sz w:val="32"/>
          <w:szCs w:val="32"/>
          <w:highlight w:val="none"/>
        </w:rPr>
      </w:pPr>
    </w:p>
    <w:p w14:paraId="65A7A55F">
      <w:pPr>
        <w:spacing w:line="360" w:lineRule="auto"/>
        <w:rPr>
          <w:rFonts w:hint="eastAsia" w:ascii="宋体" w:hAnsi="宋体" w:cs="宋体"/>
          <w:color w:val="auto"/>
          <w:sz w:val="32"/>
          <w:szCs w:val="32"/>
          <w:highlight w:val="none"/>
        </w:rPr>
      </w:pPr>
    </w:p>
    <w:p w14:paraId="52747682">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3C989284">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5D6E1D2">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0BDE153">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18987911">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4ACF7FE7">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CE99AFA">
      <w:pPr>
        <w:spacing w:line="360" w:lineRule="auto"/>
        <w:ind w:firstLine="549" w:firstLineChars="229"/>
        <w:rPr>
          <w:rFonts w:hint="eastAsia" w:ascii="宋体" w:hAnsi="宋体" w:cs="宋体"/>
          <w:color w:val="auto"/>
          <w:sz w:val="24"/>
          <w:highlight w:val="none"/>
        </w:rPr>
      </w:pPr>
      <w:bookmarkStart w:id="1" w:name="_Hlt91233176"/>
      <w:bookmarkEnd w:id="1"/>
      <w:bookmarkStart w:id="2" w:name="_Toc91899869"/>
    </w:p>
    <w:p w14:paraId="37C34156">
      <w:pPr>
        <w:spacing w:line="360" w:lineRule="auto"/>
        <w:ind w:firstLine="549" w:firstLineChars="229"/>
        <w:rPr>
          <w:rFonts w:hint="eastAsia" w:ascii="宋体" w:hAnsi="宋体" w:cs="宋体"/>
          <w:color w:val="auto"/>
          <w:sz w:val="24"/>
          <w:highlight w:val="none"/>
        </w:rPr>
      </w:pPr>
    </w:p>
    <w:p w14:paraId="6A7B1780">
      <w:pPr>
        <w:spacing w:line="360" w:lineRule="auto"/>
        <w:ind w:firstLine="549" w:firstLineChars="229"/>
        <w:rPr>
          <w:rFonts w:hint="eastAsia" w:ascii="宋体" w:hAnsi="宋体" w:cs="宋体"/>
          <w:color w:val="auto"/>
          <w:sz w:val="24"/>
          <w:highlight w:val="none"/>
        </w:rPr>
      </w:pPr>
    </w:p>
    <w:p w14:paraId="4FD2DA25">
      <w:pPr>
        <w:spacing w:line="360" w:lineRule="auto"/>
        <w:ind w:firstLine="549" w:firstLineChars="229"/>
        <w:rPr>
          <w:rFonts w:hint="eastAsia" w:ascii="宋体" w:hAnsi="宋体" w:cs="宋体"/>
          <w:color w:val="auto"/>
          <w:sz w:val="24"/>
          <w:highlight w:val="none"/>
        </w:rPr>
      </w:pPr>
    </w:p>
    <w:p w14:paraId="7DB60223">
      <w:pPr>
        <w:spacing w:line="360" w:lineRule="auto"/>
        <w:ind w:firstLine="549" w:firstLineChars="229"/>
        <w:rPr>
          <w:rFonts w:hint="eastAsia" w:ascii="宋体" w:hAnsi="宋体" w:cs="宋体"/>
          <w:color w:val="auto"/>
          <w:sz w:val="24"/>
          <w:highlight w:val="none"/>
        </w:rPr>
      </w:pPr>
    </w:p>
    <w:p w14:paraId="12E86643">
      <w:pPr>
        <w:spacing w:line="360" w:lineRule="auto"/>
        <w:ind w:firstLine="549" w:firstLineChars="229"/>
        <w:rPr>
          <w:rFonts w:hint="eastAsia" w:ascii="宋体" w:hAnsi="宋体" w:cs="宋体"/>
          <w:color w:val="auto"/>
          <w:sz w:val="24"/>
          <w:highlight w:val="none"/>
        </w:rPr>
      </w:pPr>
    </w:p>
    <w:p w14:paraId="712F7EF3">
      <w:pPr>
        <w:spacing w:line="360" w:lineRule="auto"/>
        <w:ind w:firstLine="549" w:firstLineChars="229"/>
        <w:rPr>
          <w:rFonts w:hint="eastAsia" w:ascii="宋体" w:hAnsi="宋体" w:cs="宋体"/>
          <w:color w:val="auto"/>
          <w:sz w:val="24"/>
          <w:highlight w:val="none"/>
        </w:rPr>
      </w:pPr>
    </w:p>
    <w:p w14:paraId="1213641A">
      <w:pPr>
        <w:spacing w:line="360" w:lineRule="auto"/>
        <w:ind w:firstLine="549" w:firstLineChars="229"/>
        <w:rPr>
          <w:rFonts w:hint="eastAsia" w:ascii="宋体" w:hAnsi="宋体" w:cs="宋体"/>
          <w:color w:val="auto"/>
          <w:sz w:val="24"/>
          <w:highlight w:val="none"/>
        </w:rPr>
      </w:pPr>
    </w:p>
    <w:p w14:paraId="115CE0EE">
      <w:pPr>
        <w:spacing w:line="360" w:lineRule="auto"/>
        <w:ind w:firstLine="549" w:firstLineChars="229"/>
        <w:rPr>
          <w:rFonts w:hint="eastAsia" w:ascii="宋体" w:hAnsi="宋体" w:cs="宋体"/>
          <w:color w:val="auto"/>
          <w:sz w:val="24"/>
          <w:highlight w:val="none"/>
        </w:rPr>
      </w:pPr>
    </w:p>
    <w:p w14:paraId="424B934B">
      <w:pPr>
        <w:spacing w:line="360" w:lineRule="auto"/>
        <w:ind w:firstLine="549" w:firstLineChars="229"/>
        <w:rPr>
          <w:rFonts w:hint="eastAsia" w:ascii="宋体" w:hAnsi="宋体" w:cs="宋体"/>
          <w:color w:val="auto"/>
          <w:sz w:val="24"/>
          <w:highlight w:val="none"/>
        </w:rPr>
      </w:pPr>
    </w:p>
    <w:p w14:paraId="02C8FED3">
      <w:pPr>
        <w:spacing w:line="360" w:lineRule="auto"/>
        <w:ind w:firstLine="549" w:firstLineChars="229"/>
        <w:rPr>
          <w:rFonts w:hint="eastAsia" w:ascii="宋体" w:hAnsi="宋体" w:cs="宋体"/>
          <w:color w:val="auto"/>
          <w:sz w:val="24"/>
          <w:highlight w:val="none"/>
        </w:rPr>
      </w:pPr>
    </w:p>
    <w:p w14:paraId="42852E91">
      <w:pPr>
        <w:spacing w:line="360" w:lineRule="auto"/>
        <w:ind w:firstLine="549" w:firstLineChars="229"/>
        <w:rPr>
          <w:rFonts w:hint="eastAsia" w:ascii="宋体" w:hAnsi="宋体" w:cs="宋体"/>
          <w:color w:val="auto"/>
          <w:sz w:val="24"/>
          <w:highlight w:val="none"/>
        </w:rPr>
      </w:pPr>
    </w:p>
    <w:p w14:paraId="6ABA5018">
      <w:pPr>
        <w:adjustRightInd/>
        <w:spacing w:line="360" w:lineRule="auto"/>
        <w:jc w:val="center"/>
        <w:outlineLvl w:val="0"/>
        <w:rPr>
          <w:rFonts w:hint="eastAsia"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0DD073F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项目概况</w:t>
      </w:r>
    </w:p>
    <w:p w14:paraId="7409479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西塘河（湖州街-京杭运河）生态清淤工程</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14</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09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00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66D20116">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455628E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HSZB-2024-1480</w:t>
      </w:r>
    </w:p>
    <w:p w14:paraId="2B3A42E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rPr>
        <w:t>西塘河（湖州街-京杭运河）生态清淤工程</w:t>
      </w:r>
    </w:p>
    <w:p w14:paraId="2E3069C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预算金额（元）：9500000.00</w:t>
      </w:r>
      <w:r>
        <w:rPr>
          <w:rFonts w:ascii="宋体" w:hAnsi="宋体" w:cs="宋体"/>
          <w:color w:val="auto"/>
          <w:sz w:val="24"/>
          <w:highlight w:val="none"/>
        </w:rPr>
        <w:t xml:space="preserve"> </w:t>
      </w:r>
    </w:p>
    <w:p w14:paraId="7642BB29">
      <w:pPr>
        <w:spacing w:line="360" w:lineRule="auto"/>
        <w:ind w:firstLine="480"/>
        <w:rPr>
          <w:rFonts w:hint="eastAsia" w:ascii="宋体" w:hAnsi="宋体" w:cs="宋体"/>
          <w:color w:val="auto"/>
          <w:sz w:val="24"/>
          <w:highlight w:val="none"/>
        </w:rPr>
      </w:pPr>
      <w:r>
        <w:rPr>
          <w:rFonts w:hint="eastAsia" w:ascii="宋体" w:hAnsi="宋体" w:cs="宋体"/>
          <w:b/>
          <w:color w:val="auto"/>
          <w:sz w:val="24"/>
          <w:highlight w:val="none"/>
        </w:rPr>
        <w:t>最高限价（元）：9500000.00</w:t>
      </w:r>
      <w:r>
        <w:rPr>
          <w:rFonts w:ascii="宋体" w:hAnsi="宋体" w:cs="宋体"/>
          <w:color w:val="auto"/>
          <w:sz w:val="24"/>
          <w:highlight w:val="none"/>
        </w:rPr>
        <w:t xml:space="preserve"> </w:t>
      </w:r>
    </w:p>
    <w:p w14:paraId="186C9F5F">
      <w:pPr>
        <w:pStyle w:val="5"/>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西塘河（湖州街-京杭运河）生态清淤工程主要内容：西塘河（湖州街-京杭运河）生态清淤工作。</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468A6EFA">
      <w:pPr>
        <w:pStyle w:val="132"/>
        <w:ind w:firstLine="482"/>
        <w:outlineLvl w:val="2"/>
        <w:rPr>
          <w:rFonts w:hint="eastAsia"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Cs/>
          <w:color w:val="auto"/>
          <w:highlight w:val="none"/>
        </w:rPr>
        <w:t>合同签订生效之日起至履约验收通过之日。</w:t>
      </w:r>
      <w:r>
        <w:rPr>
          <w:rFonts w:ascii="宋体" w:hAnsi="宋体" w:cs="宋体"/>
          <w:color w:val="auto"/>
          <w:highlight w:val="none"/>
        </w:rPr>
        <w:t xml:space="preserve"> </w:t>
      </w:r>
    </w:p>
    <w:p w14:paraId="003267B5">
      <w:pPr>
        <w:pStyle w:val="5"/>
        <w:spacing w:line="360" w:lineRule="auto"/>
        <w:ind w:firstLine="480"/>
        <w:rPr>
          <w:rFonts w:hint="eastAsia"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2DED8D0D">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二、申请人的资格要求：</w:t>
      </w:r>
    </w:p>
    <w:p w14:paraId="25DA9E28">
      <w:pPr>
        <w:spacing w:line="360" w:lineRule="auto"/>
        <w:ind w:firstLine="48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31788D7">
      <w:pPr>
        <w:spacing w:line="360" w:lineRule="auto"/>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；联合体成员均应满足资格要求，联合体成员不多于2个，项目负责人由牵头人派遣。</w:t>
      </w:r>
    </w:p>
    <w:p w14:paraId="51A00C30">
      <w:pPr>
        <w:spacing w:line="360" w:lineRule="auto"/>
        <w:ind w:firstLine="480" w:firstLineChars="200"/>
        <w:rPr>
          <w:rFonts w:hint="eastAsia"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972539F">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57633060">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B535050">
      <w:pPr>
        <w:spacing w:line="360" w:lineRule="auto"/>
        <w:ind w:firstLine="897" w:firstLineChars="374"/>
        <w:rPr>
          <w:rFonts w:hint="eastAsia"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sz w:val="24"/>
          <w:highlight w:val="none"/>
        </w:rPr>
        <w:t>服务全部由符合政策要求的中小企业承接，提供中小企业声明函；</w:t>
      </w:r>
    </w:p>
    <w:p w14:paraId="5974A447">
      <w:pPr>
        <w:spacing w:line="360" w:lineRule="auto"/>
        <w:ind w:firstLine="897" w:firstLineChars="374"/>
        <w:rPr>
          <w:rFonts w:hint="eastAsia"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751209F">
      <w:pPr>
        <w:rPr>
          <w:rFonts w:hint="eastAsia" w:ascii="宋体" w:hAnsi="宋体" w:cs="宋体"/>
          <w:color w:val="auto"/>
          <w:highlight w:val="none"/>
        </w:rPr>
      </w:pPr>
    </w:p>
    <w:p w14:paraId="0DE8B3E5">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0AC0D3E1">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D430689">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5A3264A">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无。</w:t>
      </w:r>
    </w:p>
    <w:p w14:paraId="3545C8FF">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2A2FFE0">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9B1524">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510B597">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45DB0E">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86B46C2">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233412A">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59A6268B">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C5D9BF0">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70F27F5C">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0C900B5A">
      <w:pPr>
        <w:spacing w:line="360" w:lineRule="auto"/>
        <w:ind w:firstLine="482" w:firstLineChars="200"/>
        <w:rPr>
          <w:rFonts w:hint="eastAsia"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20DE4BBC">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282FF3E5">
      <w:pPr>
        <w:spacing w:line="360" w:lineRule="auto"/>
        <w:rPr>
          <w:rFonts w:hint="eastAsia" w:ascii="宋体" w:hAnsi="宋体" w:cs="宋体"/>
          <w:color w:val="auto"/>
          <w:sz w:val="24"/>
          <w:highlight w:val="none"/>
        </w:rPr>
      </w:pPr>
      <w:r>
        <w:rPr>
          <w:rFonts w:hint="eastAsia" w:ascii="宋体" w:hAnsi="宋体" w:cs="宋体"/>
          <w:b/>
          <w:color w:val="auto"/>
          <w:sz w:val="24"/>
          <w:highlight w:val="none"/>
        </w:rPr>
        <w:t xml:space="preserve">五、公告期限 </w:t>
      </w:r>
    </w:p>
    <w:p w14:paraId="6329BAE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自本公告发布之日起5个工作日。</w:t>
      </w:r>
    </w:p>
    <w:p w14:paraId="1ACB4652">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六、其他补充事宜</w:t>
      </w:r>
    </w:p>
    <w:p w14:paraId="103E75F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10F1619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595F59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89FBF7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2C67F38">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297DD1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1.采购人信息</w:t>
      </w:r>
    </w:p>
    <w:p w14:paraId="5536387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称：杭州市城市水设施和河道保护管理中心 </w:t>
      </w:r>
    </w:p>
    <w:p w14:paraId="43BABCC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址：杭州市体育场路231号       </w:t>
      </w:r>
    </w:p>
    <w:p w14:paraId="0324F7A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传    真： /</w:t>
      </w:r>
    </w:p>
    <w:p w14:paraId="4C64B36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项目联系人（询问）：米老师  </w:t>
      </w:r>
    </w:p>
    <w:p w14:paraId="486CAA4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项目联系方式（询问）：0571-85866236 </w:t>
      </w:r>
    </w:p>
    <w:p w14:paraId="6DADA43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质疑联系人：俞老师 </w:t>
      </w:r>
    </w:p>
    <w:p w14:paraId="7E2ADB2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质疑联系方式：0571-85866260 </w:t>
      </w:r>
    </w:p>
    <w:p w14:paraId="756D920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298A2C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名    称：浙江豪圣建设项目管理有限公司</w:t>
      </w:r>
    </w:p>
    <w:p w14:paraId="09C2EC1A">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地    址：杭州市拱墅区大关路179号远洋国际中心A座17楼1706室</w:t>
      </w:r>
    </w:p>
    <w:p w14:paraId="03EA753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w:t>
      </w:r>
    </w:p>
    <w:p w14:paraId="18BCED7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项目联系人（询问）：陶传林、曹剑斌、陈敏娇 </w:t>
      </w:r>
    </w:p>
    <w:p w14:paraId="4C99E87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项目联系方式（询问）：0571-87981527</w:t>
      </w:r>
    </w:p>
    <w:p w14:paraId="40EC70D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质疑联系人：桑国坚 </w:t>
      </w:r>
    </w:p>
    <w:p w14:paraId="32526DB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质疑联系方式：0571-56386096</w:t>
      </w:r>
    </w:p>
    <w:p w14:paraId="4DD4C6C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75561C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1A29898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址：杭州市上城区清泰街549号城建综合大楼11楼（快递仅限ems或顺丰）</w:t>
      </w:r>
    </w:p>
    <w:p w14:paraId="76EE1CA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44AD7E9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25F41FB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监督投诉电话：0571-87227671,0571-87800218政策咨询电话：X先生，0571-8958XXXX 政府采购监管部门工作人员</w:t>
      </w:r>
    </w:p>
    <w:p w14:paraId="70A41F5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3DC67E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21B6C9A">
      <w:pPr>
        <w:widowControl/>
        <w:adjustRightInd/>
        <w:jc w:val="left"/>
        <w:rPr>
          <w:rFonts w:hint="eastAsia" w:ascii="宋体" w:hAnsi="宋体" w:cs="宋体"/>
          <w:b/>
          <w:color w:val="auto"/>
          <w:sz w:val="36"/>
          <w:szCs w:val="20"/>
          <w:highlight w:val="none"/>
        </w:rPr>
      </w:pPr>
      <w:r>
        <w:rPr>
          <w:rFonts w:ascii="宋体" w:hAnsi="宋体" w:cs="宋体"/>
          <w:b/>
          <w:color w:val="auto"/>
          <w:sz w:val="36"/>
          <w:szCs w:val="20"/>
          <w:highlight w:val="none"/>
        </w:rPr>
        <w:br w:type="page"/>
      </w:r>
    </w:p>
    <w:p w14:paraId="27E9B9A8">
      <w:pPr>
        <w:adjustRightInd/>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38B7ABDD">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0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684"/>
        <w:gridCol w:w="6750"/>
      </w:tblGrid>
      <w:tr w14:paraId="2DC99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68" w:hRule="atLeast"/>
          <w:tblHeader/>
          <w:jc w:val="center"/>
        </w:trPr>
        <w:tc>
          <w:tcPr>
            <w:tcW w:w="629" w:type="dxa"/>
            <w:vAlign w:val="center"/>
          </w:tcPr>
          <w:p w14:paraId="3049DF59">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684" w:type="dxa"/>
            <w:vAlign w:val="center"/>
          </w:tcPr>
          <w:p w14:paraId="5415CBFD">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事项</w:t>
            </w:r>
          </w:p>
        </w:tc>
        <w:tc>
          <w:tcPr>
            <w:tcW w:w="6750" w:type="dxa"/>
            <w:vAlign w:val="center"/>
          </w:tcPr>
          <w:p w14:paraId="21E42942">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本项目的特别规定</w:t>
            </w:r>
          </w:p>
        </w:tc>
      </w:tr>
      <w:tr w14:paraId="1BD9E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65" w:hRule="atLeast"/>
          <w:tblHeader/>
          <w:jc w:val="center"/>
        </w:trPr>
        <w:tc>
          <w:tcPr>
            <w:tcW w:w="629" w:type="dxa"/>
            <w:vAlign w:val="center"/>
          </w:tcPr>
          <w:p w14:paraId="45178067">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684" w:type="dxa"/>
            <w:vAlign w:val="center"/>
          </w:tcPr>
          <w:p w14:paraId="777FBC2C">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项目属性</w:t>
            </w:r>
          </w:p>
        </w:tc>
        <w:tc>
          <w:tcPr>
            <w:tcW w:w="6750" w:type="dxa"/>
            <w:vAlign w:val="center"/>
          </w:tcPr>
          <w:p w14:paraId="25C734C2">
            <w:pPr>
              <w:snapToGrid w:val="0"/>
              <w:spacing w:line="360" w:lineRule="exact"/>
              <w:rPr>
                <w:rFonts w:hint="eastAsia" w:ascii="宋体" w:hAnsi="宋体" w:cs="宋体"/>
                <w:color w:val="auto"/>
                <w:sz w:val="24"/>
                <w:highlight w:val="none"/>
              </w:rPr>
            </w:pPr>
            <w:r>
              <w:rPr>
                <w:rFonts w:hint="eastAsia" w:ascii="宋体" w:hAnsi="宋体" w:cs="宋体"/>
                <w:color w:val="auto"/>
                <w:sz w:val="24"/>
                <w:highlight w:val="none"/>
              </w:rPr>
              <w:t>服务类。</w:t>
            </w:r>
          </w:p>
        </w:tc>
      </w:tr>
      <w:tr w14:paraId="53110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22" w:hRule="atLeast"/>
          <w:tblHeader/>
          <w:jc w:val="center"/>
        </w:trPr>
        <w:tc>
          <w:tcPr>
            <w:tcW w:w="629" w:type="dxa"/>
            <w:vAlign w:val="center"/>
          </w:tcPr>
          <w:p w14:paraId="7B3F10B3">
            <w:pPr>
              <w:snapToGrid w:val="0"/>
              <w:spacing w:line="360" w:lineRule="exact"/>
              <w:jc w:val="center"/>
              <w:rPr>
                <w:rFonts w:hint="eastAsia" w:ascii="宋体" w:hAnsi="宋体" w:cs="宋体"/>
                <w:color w:val="auto"/>
                <w:sz w:val="24"/>
                <w:highlight w:val="none"/>
              </w:rPr>
            </w:pPr>
          </w:p>
          <w:p w14:paraId="0BE2D716">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684" w:type="dxa"/>
            <w:vAlign w:val="center"/>
          </w:tcPr>
          <w:p w14:paraId="5C0041DA">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750" w:type="dxa"/>
            <w:vAlign w:val="center"/>
          </w:tcPr>
          <w:p w14:paraId="6AA934E9">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西塘河（湖州街-京杭运河）生态清淤工程</w:t>
            </w:r>
            <w:r>
              <w:rPr>
                <w:rFonts w:hint="eastAsia" w:ascii="宋体" w:hAnsi="宋体" w:cs="宋体"/>
                <w:color w:val="auto"/>
                <w:kern w:val="0"/>
                <w:sz w:val="24"/>
                <w:highlight w:val="none"/>
              </w:rPr>
              <w:t>，属于</w:t>
            </w:r>
            <w:r>
              <w:rPr>
                <w:rFonts w:hint="eastAsia" w:ascii="宋体" w:hAnsi="宋体" w:cs="宋体"/>
                <w:b/>
                <w:bCs/>
                <w:color w:val="auto"/>
                <w:kern w:val="0"/>
                <w:sz w:val="24"/>
                <w:highlight w:val="none"/>
                <w:u w:val="single"/>
              </w:rPr>
              <w:t>其他未列明</w:t>
            </w:r>
            <w:r>
              <w:rPr>
                <w:rFonts w:hint="eastAsia" w:ascii="宋体" w:hAnsi="宋体" w:cs="宋体"/>
                <w:b/>
                <w:bCs/>
                <w:color w:val="auto"/>
                <w:kern w:val="0"/>
                <w:sz w:val="24"/>
                <w:highlight w:val="none"/>
              </w:rPr>
              <w:t>行业</w:t>
            </w:r>
            <w:r>
              <w:rPr>
                <w:rFonts w:hint="eastAsia" w:ascii="宋体" w:hAnsi="宋体" w:cs="宋体"/>
                <w:color w:val="auto"/>
                <w:kern w:val="0"/>
                <w:sz w:val="24"/>
                <w:highlight w:val="none"/>
              </w:rPr>
              <w:t>；</w:t>
            </w:r>
          </w:p>
          <w:p w14:paraId="65CFA004">
            <w:pPr>
              <w:snapToGrid w:val="0"/>
              <w:spacing w:line="360" w:lineRule="exact"/>
              <w:rPr>
                <w:rFonts w:hint="eastAsia" w:ascii="宋体" w:hAnsi="宋体" w:cs="宋体"/>
                <w:color w:val="auto"/>
                <w:highlight w:val="none"/>
              </w:rPr>
            </w:pPr>
            <w:r>
              <w:rPr>
                <w:rFonts w:hint="eastAsia" w:ascii="宋体" w:hAnsi="宋体" w:cs="宋体"/>
                <w:color w:val="auto"/>
                <w:kern w:val="0"/>
                <w:sz w:val="24"/>
                <w:highlight w:val="none"/>
              </w:rPr>
              <w:t>根据</w:t>
            </w:r>
            <w:r>
              <w:rPr>
                <w:rFonts w:ascii="宋体" w:hAnsi="宋体" w:cs="宋体"/>
                <w:color w:val="auto"/>
                <w:kern w:val="0"/>
                <w:sz w:val="24"/>
                <w:highlight w:val="none"/>
              </w:rPr>
              <w:t>《关于印发中小企业划型标准规定的通知》（工信部联企业〔2011〕300）第</w:t>
            </w:r>
            <w:r>
              <w:rPr>
                <w:rFonts w:hint="eastAsia" w:ascii="宋体" w:hAnsi="宋体" w:cs="宋体"/>
                <w:color w:val="auto"/>
                <w:kern w:val="0"/>
                <w:sz w:val="24"/>
                <w:highlight w:val="none"/>
              </w:rPr>
              <w:t>四条规定</w:t>
            </w:r>
            <w:r>
              <w:rPr>
                <w:rFonts w:ascii="宋体" w:hAnsi="宋体" w:cs="宋体"/>
                <w:color w:val="auto"/>
                <w:kern w:val="0"/>
                <w:sz w:val="24"/>
                <w:highlight w:val="none"/>
              </w:rPr>
              <w:t>：</w:t>
            </w:r>
            <w:r>
              <w:rPr>
                <w:rFonts w:hint="eastAsia" w:ascii="宋体" w:hAnsi="宋体" w:cs="宋体"/>
                <w:color w:val="auto"/>
                <w:kern w:val="0"/>
                <w:sz w:val="24"/>
                <w:highlight w:val="none"/>
              </w:rPr>
              <w:t>其他未列明行业。从业人员</w:t>
            </w:r>
            <w:r>
              <w:rPr>
                <w:rFonts w:hint="eastAsia" w:ascii="仿宋" w:eastAsia="仿宋" w:cs="仿宋"/>
                <w:color w:val="auto"/>
                <w:kern w:val="0"/>
                <w:sz w:val="24"/>
                <w:highlight w:val="none"/>
              </w:rPr>
              <w:t>300</w:t>
            </w:r>
            <w:r>
              <w:rPr>
                <w:rFonts w:hint="eastAsia" w:ascii="宋体" w:hAnsi="宋体" w:cs="宋体"/>
                <w:color w:val="auto"/>
                <w:kern w:val="0"/>
                <w:sz w:val="24"/>
                <w:highlight w:val="none"/>
              </w:rPr>
              <w:t>人以下的为中小微型企业。其中，从业人员100人及以上的为中型企业；从业人员10人及以上的为小型企业；从业人员10人以下的为微型企业</w:t>
            </w:r>
          </w:p>
        </w:tc>
      </w:tr>
      <w:tr w14:paraId="6DB7B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77" w:hRule="atLeast"/>
          <w:tblHeader/>
          <w:jc w:val="center"/>
        </w:trPr>
        <w:tc>
          <w:tcPr>
            <w:tcW w:w="629" w:type="dxa"/>
            <w:vAlign w:val="center"/>
          </w:tcPr>
          <w:p w14:paraId="108F1120">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684" w:type="dxa"/>
            <w:vAlign w:val="center"/>
          </w:tcPr>
          <w:p w14:paraId="11F190B7">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750" w:type="dxa"/>
            <w:vAlign w:val="center"/>
          </w:tcPr>
          <w:p w14:paraId="2F832BF6">
            <w:pPr>
              <w:snapToGrid w:val="0"/>
              <w:spacing w:line="360" w:lineRule="exact"/>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71EC2343">
            <w:pPr>
              <w:snapToGrid w:val="0"/>
              <w:spacing w:line="360" w:lineRule="exact"/>
              <w:rPr>
                <w:rFonts w:hint="eastAsia"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20BB7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47" w:hRule="atLeast"/>
          <w:tblHeader/>
          <w:jc w:val="center"/>
        </w:trPr>
        <w:tc>
          <w:tcPr>
            <w:tcW w:w="629" w:type="dxa"/>
            <w:vAlign w:val="center"/>
          </w:tcPr>
          <w:p w14:paraId="403E67F7">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684" w:type="dxa"/>
            <w:vAlign w:val="center"/>
          </w:tcPr>
          <w:p w14:paraId="34C98B71">
            <w:pPr>
              <w:snapToGrid w:val="0"/>
              <w:spacing w:line="360" w:lineRule="exact"/>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分包</w:t>
            </w:r>
          </w:p>
        </w:tc>
        <w:tc>
          <w:tcPr>
            <w:tcW w:w="6750" w:type="dxa"/>
            <w:vAlign w:val="center"/>
          </w:tcPr>
          <w:p w14:paraId="22A3A489">
            <w:pPr>
              <w:snapToGrid w:val="0"/>
              <w:spacing w:line="360" w:lineRule="exact"/>
              <w:rPr>
                <w:rFonts w:hint="eastAsia"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同意将非主体、非关键性的“编制通航保障方案、水质检测、淤泥检测、淤泥运输、淤泥处置”工作分包。（若非主体、非关键性工作已由联合体成员承担的，则不允许分包。）</w:t>
            </w:r>
          </w:p>
          <w:p w14:paraId="66A67A78">
            <w:pPr>
              <w:snapToGrid w:val="0"/>
              <w:spacing w:line="360" w:lineRule="exact"/>
              <w:rPr>
                <w:rFonts w:hint="eastAsia"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3E11AAB4">
            <w:pPr>
              <w:pStyle w:val="3"/>
              <w:spacing w:line="240" w:lineRule="auto"/>
              <w:ind w:left="0" w:firstLine="0"/>
              <w:rPr>
                <w:rFonts w:hint="eastAsia" w:ascii="宋体" w:hAnsi="宋体" w:eastAsia="宋体" w:cs="宋体"/>
                <w:color w:val="auto"/>
                <w:sz w:val="24"/>
                <w:highlight w:val="none"/>
              </w:rPr>
            </w:pPr>
            <w:r>
              <w:rPr>
                <w:rFonts w:hint="eastAsia" w:ascii="宋体" w:hAnsi="宋体" w:eastAsia="宋体" w:cs="宋体"/>
                <w:color w:val="auto"/>
                <w:sz w:val="24"/>
                <w:highlight w:val="none"/>
              </w:rPr>
              <w:t>▲注：分包份额不得超过总包单位。投标人中标后以分包方式履行合同的，提供分包意向协议；不以分包方式履行合同的，则无需提供。不得限制大中型企业向小微企业合理分包。</w:t>
            </w:r>
          </w:p>
          <w:p w14:paraId="1431DBF7">
            <w:pPr>
              <w:pStyle w:val="3"/>
              <w:spacing w:line="240" w:lineRule="auto"/>
              <w:ind w:left="0" w:firstLine="0"/>
              <w:rPr>
                <w:rFonts w:hint="eastAsia" w:ascii="宋体" w:hAnsi="宋体" w:eastAsia="宋体" w:cs="宋体"/>
                <w:color w:val="auto"/>
                <w:highlight w:val="none"/>
              </w:rPr>
            </w:pPr>
            <w:r>
              <w:rPr>
                <w:rFonts w:hint="eastAsia" w:ascii="宋体" w:hAnsi="宋体" w:eastAsia="宋体" w:cs="宋体"/>
                <w:color w:val="auto"/>
                <w:sz w:val="24"/>
                <w:highlight w:val="none"/>
                <w:lang w:bidi="ar"/>
              </w:rPr>
              <w:sym w:font="Wingdings" w:char="00FE"/>
            </w:r>
            <w:r>
              <w:rPr>
                <w:rFonts w:hint="eastAsia" w:ascii="宋体" w:hAnsi="宋体" w:eastAsia="宋体" w:cs="宋体"/>
                <w:color w:val="auto"/>
                <w:sz w:val="24"/>
                <w:highlight w:val="none"/>
                <w:lang w:bidi="ar"/>
              </w:rPr>
              <w:t>本项目专门面向</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u w:val="single"/>
                <w:lang w:val="en-US" w:bidi="ar"/>
              </w:rPr>
              <w:t>中小</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企业采购，分包单位必须为</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u w:val="single"/>
                <w:lang w:val="en-US" w:bidi="ar"/>
              </w:rPr>
              <w:t>中小</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企业。</w:t>
            </w:r>
          </w:p>
          <w:p w14:paraId="5D1DAE98">
            <w:pPr>
              <w:snapToGrid w:val="0"/>
              <w:spacing w:line="360" w:lineRule="exact"/>
              <w:rPr>
                <w:rFonts w:hint="eastAsia"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D49B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jc w:val="center"/>
        </w:trPr>
        <w:tc>
          <w:tcPr>
            <w:tcW w:w="629" w:type="dxa"/>
            <w:vAlign w:val="center"/>
          </w:tcPr>
          <w:p w14:paraId="79762DFF">
            <w:pPr>
              <w:snapToGrid w:val="0"/>
              <w:spacing w:line="360" w:lineRule="exact"/>
              <w:jc w:val="center"/>
              <w:rPr>
                <w:rFonts w:hint="eastAsia" w:ascii="宋体" w:hAnsi="宋体" w:cs="宋体"/>
                <w:color w:val="auto"/>
                <w:sz w:val="24"/>
                <w:highlight w:val="none"/>
              </w:rPr>
            </w:pPr>
          </w:p>
          <w:p w14:paraId="54AD4064">
            <w:pPr>
              <w:snapToGrid w:val="0"/>
              <w:spacing w:line="360" w:lineRule="exact"/>
              <w:jc w:val="center"/>
              <w:rPr>
                <w:rFonts w:hint="eastAsia" w:ascii="宋体" w:hAnsi="宋体" w:cs="宋体"/>
                <w:color w:val="auto"/>
                <w:sz w:val="24"/>
                <w:highlight w:val="none"/>
              </w:rPr>
            </w:pPr>
          </w:p>
          <w:p w14:paraId="35A7ED2A">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684" w:type="dxa"/>
            <w:vAlign w:val="center"/>
          </w:tcPr>
          <w:p w14:paraId="388D6154">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750" w:type="dxa"/>
            <w:vAlign w:val="center"/>
          </w:tcPr>
          <w:p w14:paraId="455A53C9">
            <w:pPr>
              <w:snapToGrid w:val="0"/>
              <w:spacing w:line="360" w:lineRule="exact"/>
              <w:rPr>
                <w:rFonts w:hint="eastAsia"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20581BF">
            <w:pPr>
              <w:snapToGrid w:val="0"/>
              <w:spacing w:line="360" w:lineRule="exact"/>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1444DE62">
            <w:pPr>
              <w:pStyle w:val="80"/>
              <w:snapToGrid w:val="0"/>
              <w:spacing w:line="360" w:lineRule="exact"/>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☐C不统一组织，供应商在获取采购文件后，自行至项目现场考察。地点： ，联系人： ，联系方式： 。</w:t>
            </w:r>
          </w:p>
          <w:p w14:paraId="38EF313C">
            <w:pPr>
              <w:pStyle w:val="80"/>
              <w:snapToGrid w:val="0"/>
              <w:spacing w:line="360" w:lineRule="exact"/>
              <w:ind w:firstLine="0" w:firstLineChars="0"/>
              <w:rPr>
                <w:rFonts w:hint="eastAsia"/>
                <w:color w:val="auto"/>
                <w:highlight w:val="none"/>
              </w:rPr>
            </w:pPr>
          </w:p>
        </w:tc>
      </w:tr>
      <w:tr w14:paraId="28A44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jc w:val="center"/>
        </w:trPr>
        <w:tc>
          <w:tcPr>
            <w:tcW w:w="629" w:type="dxa"/>
            <w:vAlign w:val="center"/>
          </w:tcPr>
          <w:p w14:paraId="5EFFE7EE">
            <w:pPr>
              <w:snapToGrid w:val="0"/>
              <w:spacing w:line="360" w:lineRule="exact"/>
              <w:jc w:val="center"/>
              <w:rPr>
                <w:rFonts w:hint="eastAsia" w:ascii="宋体" w:hAnsi="宋体" w:cs="宋体"/>
                <w:color w:val="auto"/>
                <w:sz w:val="24"/>
                <w:highlight w:val="none"/>
              </w:rPr>
            </w:pPr>
          </w:p>
          <w:p w14:paraId="7AFE1B09">
            <w:pPr>
              <w:snapToGrid w:val="0"/>
              <w:spacing w:line="360" w:lineRule="exact"/>
              <w:jc w:val="center"/>
              <w:rPr>
                <w:rFonts w:hint="eastAsia" w:ascii="宋体" w:hAnsi="宋体" w:cs="宋体"/>
                <w:color w:val="auto"/>
                <w:sz w:val="24"/>
                <w:highlight w:val="none"/>
              </w:rPr>
            </w:pPr>
          </w:p>
          <w:p w14:paraId="25BB95AB">
            <w:pPr>
              <w:snapToGrid w:val="0"/>
              <w:spacing w:line="360" w:lineRule="exact"/>
              <w:jc w:val="center"/>
              <w:rPr>
                <w:rFonts w:hint="eastAsia" w:ascii="宋体" w:hAnsi="宋体" w:cs="宋体"/>
                <w:color w:val="auto"/>
                <w:sz w:val="24"/>
                <w:highlight w:val="none"/>
              </w:rPr>
            </w:pPr>
          </w:p>
          <w:p w14:paraId="7DACA0F7">
            <w:pPr>
              <w:snapToGrid w:val="0"/>
              <w:spacing w:line="360" w:lineRule="exact"/>
              <w:jc w:val="center"/>
              <w:rPr>
                <w:rFonts w:hint="eastAsia" w:ascii="宋体" w:hAnsi="宋体" w:cs="宋体"/>
                <w:color w:val="auto"/>
                <w:sz w:val="24"/>
                <w:highlight w:val="none"/>
              </w:rPr>
            </w:pPr>
          </w:p>
          <w:p w14:paraId="26FE8796">
            <w:pPr>
              <w:snapToGrid w:val="0"/>
              <w:spacing w:line="360" w:lineRule="exact"/>
              <w:jc w:val="center"/>
              <w:rPr>
                <w:rFonts w:hint="eastAsia" w:ascii="宋体" w:hAnsi="宋体" w:cs="宋体"/>
                <w:color w:val="auto"/>
                <w:sz w:val="24"/>
                <w:highlight w:val="none"/>
              </w:rPr>
            </w:pPr>
          </w:p>
          <w:p w14:paraId="1C51EB12">
            <w:pPr>
              <w:snapToGrid w:val="0"/>
              <w:spacing w:line="360" w:lineRule="exact"/>
              <w:jc w:val="center"/>
              <w:rPr>
                <w:rFonts w:hint="eastAsia" w:ascii="宋体" w:hAnsi="宋体" w:cs="宋体"/>
                <w:color w:val="auto"/>
                <w:sz w:val="24"/>
                <w:highlight w:val="none"/>
              </w:rPr>
            </w:pPr>
          </w:p>
          <w:p w14:paraId="5A46771C">
            <w:pPr>
              <w:snapToGrid w:val="0"/>
              <w:spacing w:line="360" w:lineRule="exact"/>
              <w:jc w:val="center"/>
              <w:rPr>
                <w:rFonts w:hint="eastAsia" w:ascii="宋体" w:hAnsi="宋体" w:cs="宋体"/>
                <w:color w:val="auto"/>
                <w:sz w:val="24"/>
                <w:highlight w:val="none"/>
              </w:rPr>
            </w:pPr>
          </w:p>
          <w:p w14:paraId="3EAE8833">
            <w:pPr>
              <w:snapToGrid w:val="0"/>
              <w:spacing w:line="360" w:lineRule="exact"/>
              <w:jc w:val="center"/>
              <w:rPr>
                <w:rFonts w:hint="eastAsia" w:ascii="宋体" w:hAnsi="宋体" w:cs="宋体"/>
                <w:color w:val="auto"/>
                <w:sz w:val="24"/>
                <w:highlight w:val="none"/>
              </w:rPr>
            </w:pPr>
          </w:p>
          <w:p w14:paraId="7613B99C">
            <w:pPr>
              <w:snapToGrid w:val="0"/>
              <w:spacing w:line="360" w:lineRule="exact"/>
              <w:jc w:val="center"/>
              <w:rPr>
                <w:rFonts w:hint="eastAsia" w:ascii="宋体" w:hAnsi="宋体" w:cs="宋体"/>
                <w:color w:val="auto"/>
                <w:sz w:val="24"/>
                <w:highlight w:val="none"/>
              </w:rPr>
            </w:pPr>
          </w:p>
          <w:p w14:paraId="4F9F8713">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684" w:type="dxa"/>
            <w:vAlign w:val="center"/>
          </w:tcPr>
          <w:p w14:paraId="37B528C5">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样品提供</w:t>
            </w:r>
          </w:p>
        </w:tc>
        <w:tc>
          <w:tcPr>
            <w:tcW w:w="6750" w:type="dxa"/>
            <w:vAlign w:val="center"/>
          </w:tcPr>
          <w:p w14:paraId="7B0C2859">
            <w:pPr>
              <w:snapToGrid w:val="0"/>
              <w:spacing w:line="360" w:lineRule="exact"/>
              <w:rPr>
                <w:rFonts w:hint="eastAsia"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2F64E21F">
            <w:pPr>
              <w:snapToGrid w:val="0"/>
              <w:spacing w:line="360" w:lineRule="exact"/>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589303F9">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088DA48">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2CE7B97">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0FEB6E13">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83B30F6">
            <w:pPr>
              <w:snapToGrid w:val="0"/>
              <w:spacing w:line="360" w:lineRule="exact"/>
              <w:rPr>
                <w:rFonts w:hint="eastAsia"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6DB8FDDC">
            <w:pPr>
              <w:snapToGrid w:val="0"/>
              <w:spacing w:line="360" w:lineRule="exact"/>
              <w:rPr>
                <w:rFonts w:hint="eastAsia"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1D5D6BE">
            <w:pPr>
              <w:snapToGrid w:val="0"/>
              <w:spacing w:line="360" w:lineRule="exact"/>
              <w:rPr>
                <w:rFonts w:hint="eastAsia"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74FDC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jc w:val="center"/>
        </w:trPr>
        <w:tc>
          <w:tcPr>
            <w:tcW w:w="629" w:type="dxa"/>
            <w:vAlign w:val="center"/>
          </w:tcPr>
          <w:p w14:paraId="01C905FF">
            <w:pPr>
              <w:snapToGrid w:val="0"/>
              <w:spacing w:line="360" w:lineRule="exact"/>
              <w:jc w:val="center"/>
              <w:rPr>
                <w:rFonts w:hint="eastAsia" w:ascii="宋体" w:hAnsi="宋体" w:cs="宋体"/>
                <w:color w:val="auto"/>
                <w:sz w:val="24"/>
                <w:highlight w:val="none"/>
              </w:rPr>
            </w:pPr>
          </w:p>
          <w:p w14:paraId="580CCC82">
            <w:pPr>
              <w:snapToGrid w:val="0"/>
              <w:spacing w:line="360" w:lineRule="exact"/>
              <w:jc w:val="center"/>
              <w:rPr>
                <w:rFonts w:hint="eastAsia" w:ascii="宋体" w:hAnsi="宋体" w:cs="宋体"/>
                <w:color w:val="auto"/>
                <w:sz w:val="24"/>
                <w:highlight w:val="none"/>
              </w:rPr>
            </w:pPr>
          </w:p>
          <w:p w14:paraId="5D2F7DFD">
            <w:pPr>
              <w:snapToGrid w:val="0"/>
              <w:spacing w:line="360" w:lineRule="exact"/>
              <w:jc w:val="center"/>
              <w:rPr>
                <w:rFonts w:hint="eastAsia" w:ascii="宋体" w:hAnsi="宋体" w:cs="宋体"/>
                <w:color w:val="auto"/>
                <w:sz w:val="24"/>
                <w:highlight w:val="none"/>
              </w:rPr>
            </w:pPr>
          </w:p>
          <w:p w14:paraId="3C6AB464">
            <w:pPr>
              <w:snapToGrid w:val="0"/>
              <w:spacing w:line="360" w:lineRule="exact"/>
              <w:jc w:val="center"/>
              <w:rPr>
                <w:rFonts w:hint="eastAsia" w:ascii="宋体" w:hAnsi="宋体" w:cs="宋体"/>
                <w:color w:val="auto"/>
                <w:sz w:val="24"/>
                <w:highlight w:val="none"/>
              </w:rPr>
            </w:pPr>
          </w:p>
          <w:p w14:paraId="27C7EDD8">
            <w:pPr>
              <w:snapToGrid w:val="0"/>
              <w:spacing w:line="360" w:lineRule="exact"/>
              <w:jc w:val="center"/>
              <w:rPr>
                <w:rFonts w:hint="eastAsia" w:ascii="宋体" w:hAnsi="宋体" w:cs="宋体"/>
                <w:color w:val="auto"/>
                <w:sz w:val="24"/>
                <w:highlight w:val="none"/>
              </w:rPr>
            </w:pPr>
          </w:p>
          <w:p w14:paraId="2CFDAB87">
            <w:pPr>
              <w:snapToGrid w:val="0"/>
              <w:spacing w:line="360" w:lineRule="exact"/>
              <w:jc w:val="center"/>
              <w:rPr>
                <w:rFonts w:hint="eastAsia" w:ascii="宋体" w:hAnsi="宋体" w:cs="宋体"/>
                <w:color w:val="auto"/>
                <w:sz w:val="24"/>
                <w:highlight w:val="none"/>
              </w:rPr>
            </w:pPr>
          </w:p>
          <w:p w14:paraId="4FB14213">
            <w:pPr>
              <w:snapToGrid w:val="0"/>
              <w:spacing w:line="360" w:lineRule="exact"/>
              <w:jc w:val="center"/>
              <w:rPr>
                <w:rFonts w:hint="eastAsia" w:ascii="宋体" w:hAnsi="宋体" w:cs="宋体"/>
                <w:color w:val="auto"/>
                <w:sz w:val="24"/>
                <w:highlight w:val="none"/>
              </w:rPr>
            </w:pPr>
          </w:p>
          <w:p w14:paraId="418A8075">
            <w:pPr>
              <w:snapToGrid w:val="0"/>
              <w:spacing w:line="360" w:lineRule="exact"/>
              <w:jc w:val="center"/>
              <w:rPr>
                <w:rFonts w:hint="eastAsia" w:ascii="宋体" w:hAnsi="宋体" w:cs="宋体"/>
                <w:color w:val="auto"/>
                <w:sz w:val="24"/>
                <w:highlight w:val="none"/>
              </w:rPr>
            </w:pPr>
          </w:p>
          <w:p w14:paraId="3EE4CFB2">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684" w:type="dxa"/>
            <w:vAlign w:val="center"/>
          </w:tcPr>
          <w:p w14:paraId="1BA414A5">
            <w:pPr>
              <w:snapToGrid w:val="0"/>
              <w:spacing w:line="360" w:lineRule="exact"/>
              <w:jc w:val="center"/>
              <w:rPr>
                <w:rFonts w:hint="eastAsia" w:ascii="宋体" w:hAnsi="宋体" w:cs="宋体"/>
                <w:bCs/>
                <w:color w:val="auto"/>
                <w:sz w:val="24"/>
                <w:highlight w:val="none"/>
              </w:rPr>
            </w:pPr>
            <w:r>
              <w:rPr>
                <w:rFonts w:hint="eastAsia" w:ascii="宋体" w:hAnsi="宋体" w:cs="宋体"/>
                <w:b/>
                <w:color w:val="auto"/>
                <w:sz w:val="24"/>
                <w:highlight w:val="none"/>
              </w:rPr>
              <w:t>方案讲解演示</w:t>
            </w:r>
          </w:p>
        </w:tc>
        <w:tc>
          <w:tcPr>
            <w:tcW w:w="6750" w:type="dxa"/>
            <w:vAlign w:val="center"/>
          </w:tcPr>
          <w:p w14:paraId="63BB3443">
            <w:pPr>
              <w:snapToGrid w:val="0"/>
              <w:spacing w:line="360" w:lineRule="exact"/>
              <w:rPr>
                <w:rFonts w:hint="eastAsia"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CD8CDFB">
            <w:pPr>
              <w:snapToGrid w:val="0"/>
              <w:spacing w:line="360" w:lineRule="exact"/>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1A73097F">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14:paraId="4F7DD42C">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353FADEE">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5A01BD5C">
            <w:pPr>
              <w:snapToGrid w:val="0"/>
              <w:spacing w:line="36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方式二：现场讲解演示。现场讲解地点为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F24FAB7">
            <w:pPr>
              <w:snapToGrid w:val="0"/>
              <w:spacing w:line="360" w:lineRule="exact"/>
              <w:rPr>
                <w:rFonts w:hint="eastAsia"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65D66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jc w:val="center"/>
        </w:trPr>
        <w:tc>
          <w:tcPr>
            <w:tcW w:w="629" w:type="dxa"/>
            <w:vMerge w:val="restart"/>
            <w:vAlign w:val="center"/>
          </w:tcPr>
          <w:p w14:paraId="2650FD39">
            <w:pPr>
              <w:snapToGrid w:val="0"/>
              <w:spacing w:line="360" w:lineRule="exact"/>
              <w:jc w:val="center"/>
              <w:rPr>
                <w:rFonts w:hint="eastAsia" w:ascii="宋体" w:hAnsi="宋体" w:cs="宋体"/>
                <w:color w:val="auto"/>
                <w:sz w:val="24"/>
                <w:highlight w:val="none"/>
              </w:rPr>
            </w:pPr>
          </w:p>
          <w:p w14:paraId="53A14569">
            <w:pPr>
              <w:snapToGrid w:val="0"/>
              <w:spacing w:line="360" w:lineRule="exact"/>
              <w:jc w:val="center"/>
              <w:rPr>
                <w:rFonts w:hint="eastAsia" w:ascii="宋体" w:hAnsi="宋体" w:cs="宋体"/>
                <w:color w:val="auto"/>
                <w:sz w:val="24"/>
                <w:highlight w:val="none"/>
              </w:rPr>
            </w:pPr>
          </w:p>
          <w:p w14:paraId="289EC5AF">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684" w:type="dxa"/>
            <w:vMerge w:val="restart"/>
            <w:vAlign w:val="center"/>
          </w:tcPr>
          <w:p w14:paraId="03FB805B">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750" w:type="dxa"/>
            <w:vAlign w:val="center"/>
          </w:tcPr>
          <w:p w14:paraId="6C26053A">
            <w:pPr>
              <w:snapToGrid w:val="0"/>
              <w:spacing w:line="360" w:lineRule="exact"/>
              <w:rPr>
                <w:rFonts w:hint="eastAsia"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5A78F682">
            <w:pPr>
              <w:snapToGrid w:val="0"/>
              <w:spacing w:line="360" w:lineRule="exact"/>
              <w:rPr>
                <w:rFonts w:hint="eastAsia"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3B0B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0" w:hRule="atLeast"/>
          <w:tblHeader/>
          <w:jc w:val="center"/>
        </w:trPr>
        <w:tc>
          <w:tcPr>
            <w:tcW w:w="629" w:type="dxa"/>
            <w:vMerge w:val="continue"/>
            <w:vAlign w:val="center"/>
          </w:tcPr>
          <w:p w14:paraId="4DE456EA">
            <w:pPr>
              <w:snapToGrid w:val="0"/>
              <w:spacing w:line="360" w:lineRule="exact"/>
              <w:jc w:val="center"/>
              <w:rPr>
                <w:rFonts w:hint="eastAsia" w:ascii="宋体" w:hAnsi="宋体" w:cs="宋体"/>
                <w:color w:val="auto"/>
                <w:sz w:val="24"/>
                <w:highlight w:val="none"/>
              </w:rPr>
            </w:pPr>
          </w:p>
        </w:tc>
        <w:tc>
          <w:tcPr>
            <w:tcW w:w="1684" w:type="dxa"/>
            <w:vMerge w:val="continue"/>
            <w:vAlign w:val="center"/>
          </w:tcPr>
          <w:p w14:paraId="1946E5E9">
            <w:pPr>
              <w:snapToGrid w:val="0"/>
              <w:spacing w:line="360" w:lineRule="exact"/>
              <w:jc w:val="center"/>
              <w:rPr>
                <w:rFonts w:hint="eastAsia" w:ascii="宋体" w:hAnsi="宋体" w:cs="宋体"/>
                <w:b/>
                <w:color w:val="auto"/>
                <w:sz w:val="24"/>
                <w:highlight w:val="none"/>
              </w:rPr>
            </w:pPr>
          </w:p>
        </w:tc>
        <w:tc>
          <w:tcPr>
            <w:tcW w:w="6750" w:type="dxa"/>
            <w:vAlign w:val="center"/>
          </w:tcPr>
          <w:p w14:paraId="1D8DA98F">
            <w:pPr>
              <w:snapToGrid w:val="0"/>
              <w:spacing w:line="360" w:lineRule="exact"/>
              <w:rPr>
                <w:rFonts w:hint="eastAsia"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32C42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00" w:hRule="atLeast"/>
          <w:tblHeader/>
          <w:jc w:val="center"/>
        </w:trPr>
        <w:tc>
          <w:tcPr>
            <w:tcW w:w="629" w:type="dxa"/>
            <w:vAlign w:val="center"/>
          </w:tcPr>
          <w:p w14:paraId="7A76B68E">
            <w:pPr>
              <w:snapToGrid w:val="0"/>
              <w:spacing w:line="360" w:lineRule="exact"/>
              <w:jc w:val="center"/>
              <w:rPr>
                <w:rFonts w:hint="eastAsia" w:ascii="宋体" w:hAnsi="宋体" w:cs="宋体"/>
                <w:color w:val="auto"/>
                <w:sz w:val="24"/>
                <w:highlight w:val="none"/>
              </w:rPr>
            </w:pPr>
          </w:p>
          <w:p w14:paraId="0D93D390">
            <w:pPr>
              <w:snapToGrid w:val="0"/>
              <w:spacing w:line="360" w:lineRule="exact"/>
              <w:jc w:val="center"/>
              <w:rPr>
                <w:rFonts w:hint="eastAsia" w:ascii="宋体" w:hAnsi="宋体" w:cs="宋体"/>
                <w:color w:val="auto"/>
                <w:sz w:val="24"/>
                <w:highlight w:val="none"/>
              </w:rPr>
            </w:pPr>
          </w:p>
          <w:p w14:paraId="4539F357">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1684" w:type="dxa"/>
            <w:vAlign w:val="center"/>
          </w:tcPr>
          <w:p w14:paraId="476F7D54">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750" w:type="dxa"/>
            <w:vAlign w:val="center"/>
          </w:tcPr>
          <w:p w14:paraId="356F890C">
            <w:pPr>
              <w:pStyle w:val="80"/>
              <w:snapToGrid w:val="0"/>
              <w:spacing w:line="360" w:lineRule="exact"/>
              <w:ind w:firstLine="0" w:firstLineChars="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1E55CA87">
            <w:pPr>
              <w:pStyle w:val="80"/>
              <w:snapToGrid w:val="0"/>
              <w:spacing w:line="360" w:lineRule="exact"/>
              <w:ind w:firstLine="480"/>
              <w:jc w:val="both"/>
              <w:rPr>
                <w:rFonts w:hint="eastAsia" w:ascii="宋体" w:hAnsi="宋体" w:eastAsia="宋体" w:cs="宋体"/>
                <w:color w:val="auto"/>
                <w:kern w:val="2"/>
                <w:sz w:val="24"/>
                <w:szCs w:val="24"/>
                <w:highlight w:val="none"/>
              </w:rPr>
            </w:pPr>
            <w:sdt>
              <w:sdtPr>
                <w:rPr>
                  <w:rFonts w:hint="eastAsia" w:ascii="宋体" w:hAnsi="宋体" w:eastAsia="宋体" w:cs="宋体"/>
                  <w:color w:val="auto"/>
                  <w:kern w:val="2"/>
                  <w:sz w:val="24"/>
                  <w:szCs w:val="24"/>
                  <w:highlight w:val="none"/>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rPr>
              </w:sdtEndPr>
              <w:sdtContent>
                <w:r>
                  <w:rPr>
                    <w:rFonts w:hint="eastAsia" w:ascii="宋体" w:hAnsi="宋体" w:eastAsia="宋体" w:cs="宋体"/>
                    <w:color w:val="auto"/>
                    <w:kern w:val="2"/>
                    <w:sz w:val="24"/>
                    <w:szCs w:val="24"/>
                    <w:highlight w:val="none"/>
                  </w:rPr>
                  <w:t>☐</w:t>
                </w:r>
              </w:sdtContent>
            </w:sdt>
            <w:r>
              <w:rPr>
                <w:rFonts w:hint="eastAsia" w:ascii="宋体" w:hAnsi="宋体" w:eastAsia="宋体" w:cs="宋体"/>
                <w:color w:val="auto"/>
                <w:kern w:val="2"/>
                <w:sz w:val="24"/>
                <w:szCs w:val="24"/>
                <w:highlight w:val="none"/>
              </w:rPr>
              <w:t xml:space="preserve">强制采购。产品：    </w:t>
            </w:r>
          </w:p>
          <w:p w14:paraId="1D674978">
            <w:pPr>
              <w:pStyle w:val="80"/>
              <w:snapToGrid w:val="0"/>
              <w:spacing w:line="360" w:lineRule="exact"/>
              <w:ind w:firstLine="48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□优先采购节能产品。产品：   </w:t>
            </w:r>
          </w:p>
          <w:p w14:paraId="495E5CD7">
            <w:pPr>
              <w:pStyle w:val="80"/>
              <w:snapToGrid w:val="0"/>
              <w:spacing w:line="360" w:lineRule="exact"/>
              <w:ind w:firstLine="48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□优先采购环保产品。产品：    </w:t>
            </w:r>
          </w:p>
          <w:p w14:paraId="5E2A30A9">
            <w:pPr>
              <w:pStyle w:val="80"/>
              <w:snapToGrid w:val="0"/>
              <w:spacing w:line="360" w:lineRule="exact"/>
              <w:ind w:firstLine="480"/>
              <w:jc w:val="both"/>
              <w:rPr>
                <w:rFonts w:hint="eastAsia"/>
                <w:color w:val="auto"/>
                <w:highlight w:val="none"/>
              </w:rPr>
            </w:pPr>
            <w:r>
              <w:rPr>
                <w:rFonts w:hint="eastAsia" w:ascii="宋体" w:hAnsi="宋体" w:eastAsia="宋体" w:cs="宋体"/>
                <w:color w:val="auto"/>
                <w:kern w:val="2"/>
                <w:sz w:val="24"/>
                <w:szCs w:val="24"/>
                <w:highlight w:val="none"/>
              </w:rPr>
              <w:t>☑无</w:t>
            </w:r>
          </w:p>
        </w:tc>
      </w:tr>
      <w:tr w14:paraId="13813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jc w:val="center"/>
        </w:trPr>
        <w:tc>
          <w:tcPr>
            <w:tcW w:w="629" w:type="dxa"/>
            <w:vAlign w:val="center"/>
          </w:tcPr>
          <w:p w14:paraId="5037EB30">
            <w:pPr>
              <w:snapToGrid w:val="0"/>
              <w:spacing w:line="360" w:lineRule="exact"/>
              <w:jc w:val="center"/>
              <w:rPr>
                <w:rFonts w:hint="eastAsia" w:ascii="宋体" w:hAnsi="宋体" w:cs="宋体"/>
                <w:color w:val="auto"/>
                <w:sz w:val="24"/>
                <w:highlight w:val="none"/>
              </w:rPr>
            </w:pPr>
          </w:p>
          <w:p w14:paraId="103E8DA5">
            <w:pPr>
              <w:snapToGrid w:val="0"/>
              <w:spacing w:line="360" w:lineRule="exact"/>
              <w:jc w:val="center"/>
              <w:rPr>
                <w:rFonts w:hint="eastAsia" w:ascii="宋体" w:hAnsi="宋体" w:cs="宋体"/>
                <w:color w:val="auto"/>
                <w:sz w:val="24"/>
                <w:highlight w:val="none"/>
              </w:rPr>
            </w:pPr>
          </w:p>
          <w:p w14:paraId="3246BBDE">
            <w:pPr>
              <w:snapToGrid w:val="0"/>
              <w:spacing w:line="360" w:lineRule="exact"/>
              <w:jc w:val="center"/>
              <w:rPr>
                <w:rFonts w:hint="eastAsia" w:ascii="宋体" w:hAnsi="宋体" w:cs="宋体"/>
                <w:color w:val="auto"/>
                <w:sz w:val="24"/>
                <w:highlight w:val="none"/>
              </w:rPr>
            </w:pPr>
          </w:p>
          <w:p w14:paraId="3BC620D1">
            <w:pPr>
              <w:snapToGrid w:val="0"/>
              <w:spacing w:line="360" w:lineRule="exact"/>
              <w:jc w:val="center"/>
              <w:rPr>
                <w:rFonts w:hint="eastAsia" w:ascii="宋体" w:hAnsi="宋体" w:cs="宋体"/>
                <w:color w:val="auto"/>
                <w:sz w:val="24"/>
                <w:highlight w:val="none"/>
              </w:rPr>
            </w:pPr>
          </w:p>
          <w:p w14:paraId="4CBE38F8">
            <w:pPr>
              <w:snapToGrid w:val="0"/>
              <w:spacing w:line="360" w:lineRule="exact"/>
              <w:jc w:val="center"/>
              <w:rPr>
                <w:rFonts w:hint="eastAsia" w:ascii="宋体" w:hAnsi="宋体" w:cs="宋体"/>
                <w:color w:val="auto"/>
                <w:sz w:val="24"/>
                <w:highlight w:val="none"/>
              </w:rPr>
            </w:pPr>
          </w:p>
          <w:p w14:paraId="2722C234">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684" w:type="dxa"/>
            <w:vAlign w:val="center"/>
          </w:tcPr>
          <w:p w14:paraId="136816EF">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报价要求</w:t>
            </w:r>
          </w:p>
        </w:tc>
        <w:tc>
          <w:tcPr>
            <w:tcW w:w="6750" w:type="dxa"/>
            <w:vAlign w:val="center"/>
          </w:tcPr>
          <w:p w14:paraId="61686079">
            <w:pPr>
              <w:snapToGrid w:val="0"/>
              <w:spacing w:line="360" w:lineRule="exact"/>
              <w:jc w:val="left"/>
              <w:rPr>
                <w:rFonts w:hint="eastAsia" w:ascii="宋体" w:hAnsi="宋体" w:cs="宋体"/>
                <w:color w:val="auto"/>
                <w:sz w:val="24"/>
                <w:highlight w:val="none"/>
              </w:rPr>
            </w:pPr>
            <w:r>
              <w:rPr>
                <w:rFonts w:hint="eastAsia" w:ascii="宋体" w:hAnsi="宋体" w:cs="宋体"/>
                <w:color w:val="auto"/>
                <w:kern w:val="0"/>
                <w:sz w:val="24"/>
                <w:highlight w:val="none"/>
                <w:lang w:val="zh-CN"/>
              </w:rPr>
              <w:t>有关本项目实施所需的所有费用（含税费）均计入报价。包括但不限于</w:t>
            </w:r>
            <w:r>
              <w:rPr>
                <w:rFonts w:hint="eastAsia" w:ascii="宋体" w:hAnsi="宋体" w:cs="宋体"/>
                <w:color w:val="auto"/>
                <w:kern w:val="0"/>
                <w:sz w:val="24"/>
                <w:highlight w:val="none"/>
                <w:lang w:bidi="ar"/>
              </w:rPr>
              <w:t>人工费、设施设备（使用）费、耗材费、场地租赁费、水上施工作业审批费、编制通航保障方案费用、技术措施费、安全文明作业费、原有各类设施保护费、现场清理费、临时堆场费、场地修复费、测量费（若有）、检测费、运输费、交通费、通讯费、保险费、质保服务费、企业管理费、网络费、利润、税金等。</w:t>
            </w:r>
            <w:r>
              <w:rPr>
                <w:rFonts w:hint="eastAsia" w:ascii="宋体" w:hAnsi="宋体" w:cs="宋体"/>
                <w:color w:val="auto"/>
                <w:sz w:val="24"/>
                <w:highlight w:val="none"/>
              </w:rPr>
              <w:t>人员工资不得低于杭州市人民政府规定的最低工资标准</w:t>
            </w:r>
            <w:r>
              <w:rPr>
                <w:rFonts w:hint="eastAsia" w:ascii="宋体" w:hAnsi="宋体" w:cs="宋体"/>
                <w:color w:val="auto"/>
                <w:kern w:val="0"/>
                <w:sz w:val="24"/>
                <w:highlight w:val="none"/>
                <w:lang w:val="zh-CN"/>
              </w:rPr>
              <w:t>，</w:t>
            </w:r>
            <w:r>
              <w:rPr>
                <w:rFonts w:hint="eastAsia" w:ascii="宋体" w:hAnsi="宋体" w:cs="宋体"/>
                <w:color w:val="auto"/>
                <w:sz w:val="24"/>
                <w:highlight w:val="none"/>
              </w:rPr>
              <w:t>并充分考虑最低工资调整因素；落实职工劳保福利待遇，并按时缴纳社会保险费（养老保险、医疗保险、失业保险、工伤保险和生育保险）；为签订一年（含）以上劳动合同制职工缴纳住房公积金。</w:t>
            </w:r>
          </w:p>
          <w:p w14:paraId="5FB857FE">
            <w:pPr>
              <w:snapToGrid w:val="0"/>
              <w:spacing w:line="360" w:lineRule="exact"/>
              <w:jc w:val="left"/>
              <w:rPr>
                <w:rFonts w:hint="eastAsia" w:ascii="宋体" w:hAnsi="宋体" w:cs="宋体"/>
                <w:color w:val="auto"/>
                <w:kern w:val="0"/>
                <w:sz w:val="24"/>
                <w:highlight w:val="none"/>
                <w:lang w:val="zh-CN"/>
              </w:rPr>
            </w:pP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73D970E8">
            <w:pPr>
              <w:widowControl/>
              <w:wordWrap w:val="0"/>
              <w:snapToGrid w:val="0"/>
              <w:spacing w:line="360" w:lineRule="exact"/>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提醒：</w:t>
            </w:r>
            <w:r>
              <w:rPr>
                <w:rFonts w:hint="eastAsia" w:ascii="宋体" w:hAnsi="宋体" w:cs="宋体"/>
                <w:b/>
                <w:color w:val="auto"/>
                <w:kern w:val="0"/>
                <w:sz w:val="24"/>
                <w:highlight w:val="none"/>
                <w:lang w:val="zh-CN"/>
              </w:rPr>
              <w:sym w:font="Wingdings" w:char="00FE"/>
            </w:r>
            <w:r>
              <w:rPr>
                <w:rFonts w:hint="eastAsia" w:ascii="宋体" w:hAnsi="宋体" w:cs="宋体"/>
                <w:b/>
                <w:color w:val="auto"/>
                <w:kern w:val="0"/>
                <w:sz w:val="24"/>
                <w:highlight w:val="none"/>
                <w:lang w:val="zh-CN"/>
              </w:rPr>
              <w:t>本项目履约验收时委托第三方</w:t>
            </w:r>
            <w:r>
              <w:rPr>
                <w:rFonts w:hint="eastAsia" w:ascii="宋体" w:hAnsi="宋体" w:cs="宋体"/>
                <w:b/>
                <w:color w:val="auto"/>
                <w:kern w:val="0"/>
                <w:sz w:val="24"/>
                <w:highlight w:val="none"/>
              </w:rPr>
              <w:t>检测/测量</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首次</w:t>
            </w:r>
            <w:r>
              <w:rPr>
                <w:rFonts w:hint="eastAsia" w:ascii="宋体" w:hAnsi="宋体" w:cs="宋体"/>
                <w:b/>
                <w:color w:val="auto"/>
                <w:kern w:val="0"/>
                <w:sz w:val="24"/>
                <w:highlight w:val="none"/>
                <w:lang w:val="zh-CN"/>
              </w:rPr>
              <w:t>验收时</w:t>
            </w:r>
            <w:r>
              <w:rPr>
                <w:rFonts w:hint="eastAsia" w:ascii="宋体" w:hAnsi="宋体" w:cs="宋体"/>
                <w:b/>
                <w:color w:val="auto"/>
                <w:kern w:val="0"/>
                <w:sz w:val="24"/>
                <w:highlight w:val="none"/>
              </w:rPr>
              <w:t>检测/测量</w:t>
            </w:r>
            <w:r>
              <w:rPr>
                <w:rFonts w:hint="eastAsia" w:ascii="宋体" w:hAnsi="宋体" w:cs="宋体"/>
                <w:b/>
                <w:color w:val="auto"/>
                <w:kern w:val="0"/>
                <w:sz w:val="24"/>
                <w:highlight w:val="none"/>
                <w:lang w:val="zh-CN"/>
              </w:rPr>
              <w:t>费用由采购人承担，不包含在投标总价中。首次验收不合格，重新验收过程中产生的检测</w:t>
            </w:r>
            <w:r>
              <w:rPr>
                <w:rFonts w:hint="eastAsia" w:ascii="宋体" w:hAnsi="宋体" w:cs="宋体"/>
                <w:b/>
                <w:color w:val="auto"/>
                <w:kern w:val="0"/>
                <w:sz w:val="24"/>
                <w:highlight w:val="none"/>
              </w:rPr>
              <w:t>/测量</w:t>
            </w:r>
            <w:r>
              <w:rPr>
                <w:rFonts w:hint="eastAsia" w:ascii="宋体" w:hAnsi="宋体" w:cs="宋体"/>
                <w:b/>
                <w:color w:val="auto"/>
                <w:kern w:val="0"/>
                <w:sz w:val="24"/>
                <w:highlight w:val="none"/>
                <w:lang w:val="zh-CN"/>
              </w:rPr>
              <w:t>费用，由</w:t>
            </w:r>
            <w:r>
              <w:rPr>
                <w:rFonts w:hint="eastAsia" w:ascii="宋体" w:hAnsi="宋体" w:cs="宋体"/>
                <w:b/>
                <w:color w:val="auto"/>
                <w:kern w:val="0"/>
                <w:sz w:val="24"/>
                <w:highlight w:val="none"/>
              </w:rPr>
              <w:t>供应商</w:t>
            </w:r>
            <w:r>
              <w:rPr>
                <w:rFonts w:hint="eastAsia" w:ascii="宋体" w:hAnsi="宋体" w:cs="宋体"/>
                <w:b/>
                <w:color w:val="auto"/>
                <w:kern w:val="0"/>
                <w:sz w:val="24"/>
                <w:highlight w:val="none"/>
                <w:lang w:val="zh-CN"/>
              </w:rPr>
              <w:t>承担。</w:t>
            </w:r>
            <w:r>
              <w:rPr>
                <w:rFonts w:hint="eastAsia" w:ascii="宋体" w:hAnsi="宋体" w:cs="宋体"/>
                <w:b/>
                <w:color w:val="auto"/>
                <w:kern w:val="0"/>
                <w:sz w:val="24"/>
                <w:highlight w:val="none"/>
                <w:lang w:val="zh-CN"/>
              </w:rPr>
              <w:sym w:font="Wingdings" w:char="00A8"/>
            </w:r>
            <w:r>
              <w:rPr>
                <w:rFonts w:hint="eastAsia" w:ascii="宋体" w:hAnsi="宋体" w:cs="宋体"/>
                <w:b/>
                <w:color w:val="auto"/>
                <w:kern w:val="0"/>
                <w:sz w:val="24"/>
                <w:highlight w:val="none"/>
                <w:lang w:val="zh-CN"/>
              </w:rPr>
              <w:t>本项目履约验收时不委托第三方检测</w:t>
            </w:r>
            <w:r>
              <w:rPr>
                <w:rFonts w:hint="eastAsia" w:ascii="宋体" w:hAnsi="宋体" w:cs="宋体"/>
                <w:b/>
                <w:color w:val="auto"/>
                <w:kern w:val="0"/>
                <w:sz w:val="24"/>
                <w:highlight w:val="none"/>
              </w:rPr>
              <w:t>/测量</w:t>
            </w:r>
            <w:r>
              <w:rPr>
                <w:rFonts w:hint="eastAsia" w:ascii="宋体" w:hAnsi="宋体" w:cs="宋体"/>
                <w:b/>
                <w:color w:val="auto"/>
                <w:kern w:val="0"/>
                <w:sz w:val="24"/>
                <w:highlight w:val="none"/>
                <w:lang w:val="zh-CN"/>
              </w:rPr>
              <w:t>。</w:t>
            </w:r>
          </w:p>
          <w:p w14:paraId="5F072DBC">
            <w:pPr>
              <w:snapToGrid w:val="0"/>
              <w:spacing w:line="360" w:lineRule="exact"/>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44D320">
            <w:pPr>
              <w:snapToGrid w:val="0"/>
              <w:spacing w:line="360" w:lineRule="exact"/>
              <w:ind w:firstLine="241" w:firstLineChars="100"/>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837EF83">
            <w:pPr>
              <w:snapToGrid w:val="0"/>
              <w:spacing w:line="360" w:lineRule="exact"/>
              <w:ind w:firstLine="241" w:firstLineChars="100"/>
              <w:jc w:val="left"/>
              <w:rPr>
                <w:rFonts w:hint="eastAsia"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29ECED97">
            <w:pPr>
              <w:snapToGrid w:val="0"/>
              <w:spacing w:line="360" w:lineRule="exact"/>
              <w:ind w:firstLine="241" w:firstLineChars="100"/>
              <w:rPr>
                <w:rFonts w:hint="eastAsia"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7BDDF2E1">
            <w:pPr>
              <w:snapToGrid w:val="0"/>
              <w:spacing w:line="360" w:lineRule="exact"/>
              <w:ind w:firstLine="241" w:firstLineChars="100"/>
              <w:rPr>
                <w:rFonts w:hint="eastAsia"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9F5D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22" w:hRule="atLeast"/>
          <w:tblHeader/>
          <w:jc w:val="center"/>
        </w:trPr>
        <w:tc>
          <w:tcPr>
            <w:tcW w:w="629" w:type="dxa"/>
            <w:vAlign w:val="center"/>
          </w:tcPr>
          <w:p w14:paraId="68896F13">
            <w:pPr>
              <w:snapToGrid w:val="0"/>
              <w:spacing w:line="360" w:lineRule="exact"/>
              <w:jc w:val="center"/>
              <w:rPr>
                <w:rFonts w:hint="eastAsia" w:ascii="宋体" w:hAnsi="宋体" w:cs="宋体"/>
                <w:color w:val="auto"/>
                <w:sz w:val="24"/>
                <w:highlight w:val="none"/>
              </w:rPr>
            </w:pPr>
          </w:p>
          <w:p w14:paraId="04E2BE88">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684" w:type="dxa"/>
            <w:vAlign w:val="center"/>
          </w:tcPr>
          <w:p w14:paraId="0E6BC848">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中小企业信用融资</w:t>
            </w:r>
          </w:p>
        </w:tc>
        <w:tc>
          <w:tcPr>
            <w:tcW w:w="6750" w:type="dxa"/>
            <w:vAlign w:val="center"/>
          </w:tcPr>
          <w:p w14:paraId="30C17D47">
            <w:pPr>
              <w:snapToGrid w:val="0"/>
              <w:spacing w:line="360" w:lineRule="exact"/>
              <w:ind w:firstLine="480" w:firstLineChars="200"/>
              <w:rPr>
                <w:rFonts w:hint="eastAsia"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7B3A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74" w:hRule="atLeast"/>
          <w:tblHeader/>
          <w:jc w:val="center"/>
        </w:trPr>
        <w:tc>
          <w:tcPr>
            <w:tcW w:w="629" w:type="dxa"/>
            <w:vAlign w:val="center"/>
          </w:tcPr>
          <w:p w14:paraId="4844FB24">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1684" w:type="dxa"/>
            <w:vAlign w:val="center"/>
          </w:tcPr>
          <w:p w14:paraId="2E0194E8">
            <w:pPr>
              <w:snapToGrid w:val="0"/>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750" w:type="dxa"/>
            <w:vAlign w:val="center"/>
          </w:tcPr>
          <w:p w14:paraId="0E871E91">
            <w:pPr>
              <w:pStyle w:val="32"/>
              <w:snapToGrid w:val="0"/>
              <w:spacing w:line="360" w:lineRule="exact"/>
              <w:rPr>
                <w:rFonts w:hint="eastAsia"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杭州市拱墅区大关路179号远洋国际中心A座17楼1705室</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陶传林，0571-87981527</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53EE2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jc w:val="center"/>
        </w:trPr>
        <w:tc>
          <w:tcPr>
            <w:tcW w:w="629" w:type="dxa"/>
            <w:vAlign w:val="center"/>
          </w:tcPr>
          <w:p w14:paraId="5963EA99">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1684" w:type="dxa"/>
            <w:vAlign w:val="center"/>
          </w:tcPr>
          <w:p w14:paraId="68C4B39B">
            <w:pPr>
              <w:snapToGrid w:val="0"/>
              <w:spacing w:line="360" w:lineRule="exact"/>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750" w:type="dxa"/>
            <w:vAlign w:val="center"/>
          </w:tcPr>
          <w:p w14:paraId="3302C287">
            <w:pPr>
              <w:snapToGrid w:val="0"/>
              <w:spacing w:line="360" w:lineRule="exact"/>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50F2195B">
            <w:pPr>
              <w:snapToGrid w:val="0"/>
              <w:spacing w:line="360" w:lineRule="exact"/>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A01C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jc w:val="center"/>
        </w:trPr>
        <w:tc>
          <w:tcPr>
            <w:tcW w:w="629" w:type="dxa"/>
            <w:vAlign w:val="center"/>
          </w:tcPr>
          <w:p w14:paraId="6746DE60">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1684" w:type="dxa"/>
            <w:vAlign w:val="center"/>
          </w:tcPr>
          <w:p w14:paraId="67FE55DB">
            <w:pPr>
              <w:snapToGrid w:val="0"/>
              <w:spacing w:line="360" w:lineRule="exact"/>
              <w:jc w:val="center"/>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lang w:val="en"/>
              </w:rPr>
              <w:t>中标候选人数量</w:t>
            </w:r>
          </w:p>
        </w:tc>
        <w:tc>
          <w:tcPr>
            <w:tcW w:w="6750" w:type="dxa"/>
            <w:vAlign w:val="center"/>
          </w:tcPr>
          <w:p w14:paraId="7A524387">
            <w:pPr>
              <w:snapToGrid w:val="0"/>
              <w:spacing w:line="360" w:lineRule="exact"/>
              <w:rPr>
                <w:rFonts w:hint="eastAsia" w:ascii="宋体" w:hAnsi="宋体" w:cs="宋体"/>
                <w:color w:val="auto"/>
                <w:kern w:val="0"/>
                <w:sz w:val="24"/>
                <w:highlight w:val="none"/>
                <w:lang w:val="en"/>
              </w:rPr>
            </w:pPr>
            <w:r>
              <w:rPr>
                <w:rFonts w:hint="eastAsia" w:ascii="宋体" w:hAnsi="宋体" w:cs="宋体"/>
                <w:color w:val="auto"/>
                <w:kern w:val="0"/>
                <w:sz w:val="24"/>
                <w:highlight w:val="none"/>
                <w:lang w:val="en"/>
              </w:rPr>
              <w:t>本项目推荐的中标候选人数量：</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lang w:val="en"/>
              </w:rPr>
              <w:t>。</w:t>
            </w:r>
          </w:p>
        </w:tc>
      </w:tr>
      <w:tr w14:paraId="48023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jc w:val="center"/>
        </w:trPr>
        <w:tc>
          <w:tcPr>
            <w:tcW w:w="629" w:type="dxa"/>
            <w:vAlign w:val="center"/>
          </w:tcPr>
          <w:p w14:paraId="130147CC">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1684" w:type="dxa"/>
            <w:vAlign w:val="center"/>
          </w:tcPr>
          <w:p w14:paraId="0534C09B">
            <w:pPr>
              <w:snapToGrid w:val="0"/>
              <w:spacing w:line="360" w:lineRule="exact"/>
              <w:jc w:val="center"/>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lang w:val="en"/>
              </w:rPr>
              <w:t>代理费用收取方式及标准</w:t>
            </w:r>
          </w:p>
        </w:tc>
        <w:tc>
          <w:tcPr>
            <w:tcW w:w="6750" w:type="dxa"/>
            <w:vAlign w:val="center"/>
          </w:tcPr>
          <w:p w14:paraId="6AF3C7E0">
            <w:pPr>
              <w:snapToGrid w:val="0"/>
              <w:spacing w:line="360" w:lineRule="exact"/>
              <w:rPr>
                <w:rFonts w:hint="eastAsia" w:ascii="宋体" w:hAnsi="宋体" w:cs="宋体"/>
                <w:color w:val="auto"/>
                <w:kern w:val="0"/>
                <w:sz w:val="24"/>
                <w:highlight w:val="none"/>
                <w:lang w:val="en"/>
              </w:rPr>
            </w:pPr>
            <w:r>
              <w:rPr>
                <w:rFonts w:hint="eastAsia" w:ascii="宋体" w:hAnsi="宋体" w:cs="宋体"/>
                <w:color w:val="auto"/>
                <w:sz w:val="24"/>
                <w:highlight w:val="none"/>
              </w:rPr>
              <w:t>按《关于杭州市招标代理服务收费管理有关问题的通知》（杭价费[2003]148号）文件服务类型收费标准的70%收取，收费基数为中标价。采购代理服务费由中标供应商在领取中标通知书时支付。</w:t>
            </w:r>
            <w:r>
              <w:rPr>
                <w:rFonts w:hint="eastAsia" w:ascii="宋体" w:hAnsi="宋体" w:cs="宋体"/>
                <w:b/>
                <w:bCs/>
                <w:color w:val="auto"/>
                <w:sz w:val="24"/>
                <w:highlight w:val="none"/>
              </w:rPr>
              <w:t>由于中标供应商原因导致重新采购的，应当承担支付代理费和专家评审费等费用在内的赔偿责任。</w:t>
            </w:r>
          </w:p>
        </w:tc>
      </w:tr>
      <w:tr w14:paraId="4C50B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jc w:val="center"/>
        </w:trPr>
        <w:tc>
          <w:tcPr>
            <w:tcW w:w="629" w:type="dxa"/>
            <w:vAlign w:val="center"/>
          </w:tcPr>
          <w:p w14:paraId="6D44EE55">
            <w:pPr>
              <w:snapToGrid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1684" w:type="dxa"/>
            <w:vAlign w:val="center"/>
          </w:tcPr>
          <w:p w14:paraId="74D0F1E1">
            <w:pPr>
              <w:snapToGrid w:val="0"/>
              <w:spacing w:line="360" w:lineRule="exact"/>
              <w:jc w:val="center"/>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其他</w:t>
            </w:r>
          </w:p>
        </w:tc>
        <w:tc>
          <w:tcPr>
            <w:tcW w:w="6750" w:type="dxa"/>
            <w:vAlign w:val="center"/>
          </w:tcPr>
          <w:p w14:paraId="1FB3BBC8">
            <w:pPr>
              <w:snapToGrid w:val="0"/>
              <w:spacing w:line="360" w:lineRule="exact"/>
              <w:rPr>
                <w:rFonts w:hint="eastAsia" w:ascii="宋体" w:hAnsi="宋体" w:cs="宋体"/>
                <w:color w:val="auto"/>
                <w:sz w:val="24"/>
                <w:highlight w:val="none"/>
              </w:rPr>
            </w:pPr>
            <w:r>
              <w:rPr>
                <w:rFonts w:hint="eastAsia" w:ascii="宋体" w:hAnsi="宋体" w:cs="宋体"/>
                <w:color w:val="auto"/>
                <w:sz w:val="24"/>
                <w:highlight w:val="none"/>
                <w:lang w:bidi="ar"/>
              </w:rPr>
              <w:t>中标供应商在领取中标通知书时提供纸质投标文件三份（电子投标文件打印，装订成册，采用胶订或线订；封面再加盖单位公章（物理章）</w:t>
            </w:r>
            <w:r>
              <w:rPr>
                <w:rFonts w:hint="eastAsia" w:ascii="宋体" w:hAnsi="宋体" w:cs="宋体"/>
                <w:color w:val="auto"/>
                <w:sz w:val="24"/>
                <w:highlight w:val="none"/>
              </w:rPr>
              <w:t>。</w:t>
            </w:r>
          </w:p>
        </w:tc>
      </w:tr>
    </w:tbl>
    <w:p w14:paraId="20E9B3D9">
      <w:pPr>
        <w:snapToGrid w:val="0"/>
        <w:spacing w:line="360" w:lineRule="auto"/>
        <w:jc w:val="center"/>
        <w:rPr>
          <w:rFonts w:hint="eastAsia" w:ascii="宋体" w:hAnsi="宋体" w:cs="宋体"/>
          <w:b/>
          <w:color w:val="auto"/>
          <w:sz w:val="32"/>
          <w:szCs w:val="20"/>
          <w:highlight w:val="none"/>
        </w:rPr>
      </w:pPr>
    </w:p>
    <w:bookmarkEnd w:id="10"/>
    <w:p w14:paraId="42FFDFD2">
      <w:pPr>
        <w:adjustRightInd/>
        <w:rPr>
          <w:rFonts w:hint="eastAsia"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br w:type="page"/>
      </w:r>
    </w:p>
    <w:p w14:paraId="7F0CC532">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一、总则</w:t>
      </w:r>
    </w:p>
    <w:p w14:paraId="53F5A3E4">
      <w:pPr>
        <w:snapToGrid w:val="0"/>
        <w:spacing w:line="360" w:lineRule="auto"/>
        <w:ind w:firstLine="361" w:firstLineChars="150"/>
        <w:jc w:val="left"/>
        <w:outlineLvl w:val="1"/>
        <w:rPr>
          <w:rFonts w:hint="eastAsia" w:ascii="宋体" w:hAnsi="宋体" w:cs="宋体"/>
          <w:b/>
          <w:color w:val="auto"/>
          <w:sz w:val="24"/>
          <w:highlight w:val="none"/>
        </w:rPr>
      </w:pPr>
      <w:r>
        <w:rPr>
          <w:rFonts w:hint="eastAsia" w:ascii="宋体" w:hAnsi="宋体" w:cs="宋体"/>
          <w:b/>
          <w:color w:val="auto"/>
          <w:sz w:val="24"/>
          <w:highlight w:val="none"/>
        </w:rPr>
        <w:t>1. 适用范围</w:t>
      </w:r>
    </w:p>
    <w:p w14:paraId="067BDA7B">
      <w:pPr>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6CD466E">
      <w:pPr>
        <w:adjustRightInd/>
        <w:spacing w:line="360" w:lineRule="auto"/>
        <w:outlineLvl w:val="0"/>
        <w:rPr>
          <w:rFonts w:hint="eastAsia" w:ascii="宋体" w:hAnsi="宋体" w:cs="宋体"/>
          <w:b/>
          <w:color w:val="auto"/>
          <w:sz w:val="24"/>
          <w:highlight w:val="none"/>
        </w:rPr>
      </w:pPr>
      <w:r>
        <w:rPr>
          <w:rFonts w:hint="eastAsia" w:ascii="宋体" w:hAnsi="宋体" w:cs="宋体"/>
          <w:b/>
          <w:color w:val="auto"/>
          <w:sz w:val="24"/>
          <w:highlight w:val="none"/>
        </w:rPr>
        <w:t xml:space="preserve">   2.定义</w:t>
      </w:r>
    </w:p>
    <w:p w14:paraId="02EB951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47D14E2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7419C84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5C8770E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1C8712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A40DDE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19F102C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3128238E">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40881423">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6A15EC88">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3.2 支持绿色发展</w:t>
      </w:r>
    </w:p>
    <w:p w14:paraId="2A05929C">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3005E28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56D14C7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556C98D">
      <w:pPr>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C54CA02">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3.3支持中小企业发展</w:t>
      </w:r>
    </w:p>
    <w:p w14:paraId="3AD9E01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CB28E2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66F32469">
      <w:pPr>
        <w:widowControl/>
        <w:spacing w:line="360" w:lineRule="auto"/>
        <w:ind w:firstLine="480" w:firstLineChars="200"/>
        <w:jc w:val="left"/>
        <w:rPr>
          <w:rFonts w:hint="eastAsia"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11C14E">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DD4204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招标文件第四部分评标办法明确具体的扣除比例，未明确的，给予10%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招标文件第四部分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25C7F10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0335FE4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C1A0C4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3EBF7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6C16319A">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0C7A722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3.4.1 首台套、“制造精品”、“专精特新”等创新产品按规定享受政府采购支持政策。</w:t>
      </w:r>
    </w:p>
    <w:p w14:paraId="7E3ECA44">
      <w:pPr>
        <w:pStyle w:val="3"/>
        <w:adjustRightInd w:val="0"/>
        <w:ind w:left="0" w:firstLine="480" w:firstLineChars="200"/>
        <w:rPr>
          <w:rFonts w:hint="eastAsia"/>
          <w:color w:val="auto"/>
          <w:highlight w:val="none"/>
        </w:rPr>
      </w:pPr>
      <w:r>
        <w:rPr>
          <w:rFonts w:hint="eastAsia" w:ascii="宋体" w:hAnsi="宋体" w:eastAsia="宋体" w:cs="仿宋"/>
          <w:b w:val="0"/>
          <w:bCs w:val="0"/>
          <w:color w:val="auto"/>
          <w:sz w:val="24"/>
          <w:szCs w:val="24"/>
          <w:highlight w:val="none"/>
          <w:lang w:val="en-US"/>
        </w:rPr>
        <w:t>3.4.2 采购人应当贯彻落实知识产权保护相关法律法规，应当采购使用正版软件。</w:t>
      </w:r>
    </w:p>
    <w:p w14:paraId="57096FA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1748E0C6">
      <w:pPr>
        <w:spacing w:line="360" w:lineRule="auto"/>
        <w:ind w:firstLine="240" w:firstLineChars="100"/>
        <w:rPr>
          <w:rFonts w:hint="eastAsia"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询问、质疑、投诉、补偿救济</w:t>
      </w:r>
    </w:p>
    <w:p w14:paraId="5858AFEA">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EC119B">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709A30A6">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EE56DDB">
      <w:pPr>
        <w:autoSpaceDE w:val="0"/>
        <w:autoSpaceDN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E81B549">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192F5C38">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C47CC6B">
      <w:pPr>
        <w:pStyle w:val="5"/>
        <w:spacing w:line="360" w:lineRule="auto"/>
        <w:ind w:firstLine="480" w:firstLineChars="200"/>
        <w:rPr>
          <w:rFonts w:hint="eastAsia"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4DB5E69E">
      <w:pPr>
        <w:pStyle w:val="32"/>
        <w:spacing w:line="360" w:lineRule="auto"/>
        <w:ind w:left="479" w:leftChars="228"/>
        <w:rPr>
          <w:rFonts w:hint="eastAsia"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69CA0A4">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45D95D4">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045EB549">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4965C75E">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11279DF">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563F085B">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BCA2EE8">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F351F40">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F42578D">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质疑函范本及制作说明详见附件2。</w:t>
      </w:r>
    </w:p>
    <w:p w14:paraId="362E2BF2">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4.3.4对同一采购程序环节的质疑，供应商须在法定质疑期内一次性提出。</w:t>
      </w:r>
    </w:p>
    <w:p w14:paraId="0A0F8C15">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A826E4E">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72B913C">
      <w:pPr>
        <w:pStyle w:val="890"/>
        <w:shd w:val="clear" w:color="auto" w:fill="FFFFFF"/>
        <w:snapToGrid w:val="0"/>
        <w:spacing w:after="240" w:afterAutospacing="0" w:line="360" w:lineRule="auto"/>
        <w:ind w:firstLine="480" w:firstLineChars="200"/>
        <w:contextualSpacing/>
        <w:rPr>
          <w:rFonts w:hint="eastAsia"/>
          <w:color w:val="auto"/>
          <w:highlight w:val="none"/>
          <w:lang w:val="zh-CN"/>
        </w:rPr>
      </w:pPr>
      <w:r>
        <w:rPr>
          <w:rFonts w:hint="eastAsia"/>
          <w:color w:val="auto"/>
          <w:highlight w:val="none"/>
          <w:lang w:val="zh-CN"/>
        </w:rPr>
        <w:t>4.4供应商投诉</w:t>
      </w:r>
    </w:p>
    <w:p w14:paraId="24C655F5">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40BDEC9A">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9258F2A">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4.4.3供应商投诉应当有明确的请求和必要的证明材料。</w:t>
      </w:r>
    </w:p>
    <w:p w14:paraId="34BA8787">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4.4.4以联合体形式参加政府采购活动的，其投诉应当由组成联合体的所有供应商共同提出。</w:t>
      </w:r>
    </w:p>
    <w:p w14:paraId="45D715C3">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4EC098B4">
      <w:pPr>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281939BE">
      <w:pPr>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5EBAD867">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2ACEBE88">
      <w:pPr>
        <w:pStyle w:val="132"/>
        <w:snapToGrid w:val="0"/>
        <w:spacing w:before="0"/>
        <w:ind w:firstLine="360"/>
        <w:rPr>
          <w:rFonts w:hint="eastAsia" w:ascii="宋体" w:hAnsi="宋体" w:cs="宋体"/>
          <w:color w:val="auto"/>
          <w:sz w:val="18"/>
          <w:szCs w:val="18"/>
          <w:highlight w:val="none"/>
        </w:rPr>
      </w:pPr>
    </w:p>
    <w:p w14:paraId="4A66B94F">
      <w:pPr>
        <w:adjustRightInd/>
        <w:spacing w:line="360" w:lineRule="auto"/>
        <w:jc w:val="center"/>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2CA1FC39">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5．招标文件的构成</w:t>
      </w:r>
    </w:p>
    <w:p w14:paraId="1C01D4EB">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5.1 招标文件包括下列文件及附件：</w:t>
      </w:r>
    </w:p>
    <w:p w14:paraId="49816699">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5.1.1招标公告；</w:t>
      </w:r>
    </w:p>
    <w:p w14:paraId="50FF3624">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5.1.2投标人须知；</w:t>
      </w:r>
    </w:p>
    <w:p w14:paraId="35D453DD">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5.1.3采购需求；</w:t>
      </w:r>
    </w:p>
    <w:p w14:paraId="05C7D580">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5.1.4评标办法；</w:t>
      </w:r>
    </w:p>
    <w:p w14:paraId="677C45A7">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5.1.5拟签订的合同文本；</w:t>
      </w:r>
    </w:p>
    <w:p w14:paraId="2D490C26">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EFE97A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81FEE67">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6. 招标文件的澄清、修改</w:t>
      </w:r>
    </w:p>
    <w:p w14:paraId="511CE3B1">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578DAAB7">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E58618C">
      <w:pPr>
        <w:pStyle w:val="23"/>
        <w:rPr>
          <w:rFonts w:hint="eastAsia" w:hAnsi="宋体" w:cs="宋体"/>
          <w:color w:val="auto"/>
          <w:sz w:val="18"/>
          <w:szCs w:val="18"/>
          <w:highlight w:val="none"/>
          <w:lang w:val="en-US"/>
        </w:rPr>
      </w:pPr>
      <w:r>
        <w:rPr>
          <w:rFonts w:hint="eastAsia" w:hAnsi="宋体" w:cs="宋体"/>
          <w:color w:val="auto"/>
          <w:szCs w:val="24"/>
          <w:highlight w:val="none"/>
          <w:lang w:val="en-US"/>
        </w:rPr>
        <w:t xml:space="preserve">    </w:t>
      </w:r>
    </w:p>
    <w:p w14:paraId="047958DC">
      <w:pPr>
        <w:adjustRightInd/>
        <w:spacing w:line="360" w:lineRule="auto"/>
        <w:jc w:val="center"/>
        <w:outlineLvl w:val="0"/>
        <w:rPr>
          <w:rFonts w:hint="eastAsia" w:ascii="宋体" w:hAnsi="宋体" w:cs="宋体"/>
          <w:b/>
          <w:color w:val="auto"/>
          <w:sz w:val="30"/>
          <w:szCs w:val="20"/>
          <w:highlight w:val="none"/>
        </w:rPr>
      </w:pPr>
      <w:r>
        <w:rPr>
          <w:rFonts w:hint="eastAsia" w:ascii="宋体" w:hAnsi="宋体" w:cs="宋体"/>
          <w:b/>
          <w:color w:val="auto"/>
          <w:sz w:val="30"/>
          <w:szCs w:val="20"/>
          <w:highlight w:val="none"/>
        </w:rPr>
        <w:t>三、投标</w:t>
      </w:r>
    </w:p>
    <w:p w14:paraId="3F700FB8">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7. 招标文件的获取</w:t>
      </w:r>
    </w:p>
    <w:p w14:paraId="34BBE668">
      <w:pPr>
        <w:spacing w:line="360" w:lineRule="auto"/>
        <w:ind w:firstLine="480" w:firstLineChars="20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F950D70">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8.开标前答疑会或现场考察</w:t>
      </w:r>
    </w:p>
    <w:p w14:paraId="77AEE59D">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697131E4">
      <w:pPr>
        <w:pStyle w:val="32"/>
        <w:spacing w:line="360" w:lineRule="auto"/>
        <w:rPr>
          <w:rFonts w:hint="eastAsia" w:hAnsi="宋体" w:cs="宋体"/>
          <w:b/>
          <w:color w:val="auto"/>
          <w:szCs w:val="24"/>
          <w:highlight w:val="none"/>
        </w:rPr>
      </w:pPr>
      <w:r>
        <w:rPr>
          <w:rFonts w:hint="eastAsia" w:hAnsi="宋体" w:cs="宋体"/>
          <w:b/>
          <w:color w:val="auto"/>
          <w:kern w:val="28"/>
          <w:sz w:val="24"/>
          <w:szCs w:val="24"/>
          <w:highlight w:val="none"/>
        </w:rPr>
        <w:t>9.投标保证金</w:t>
      </w:r>
    </w:p>
    <w:p w14:paraId="66E769B6">
      <w:pPr>
        <w:pStyle w:val="5"/>
        <w:spacing w:line="360" w:lineRule="auto"/>
        <w:ind w:firstLine="470" w:firstLineChars="196"/>
        <w:rPr>
          <w:rFonts w:hint="eastAsia" w:hAnsi="宋体" w:cs="宋体"/>
          <w:color w:val="auto"/>
          <w:sz w:val="24"/>
          <w:highlight w:val="none"/>
        </w:rPr>
      </w:pPr>
      <w:r>
        <w:rPr>
          <w:rFonts w:hint="eastAsia" w:hAnsi="宋体" w:cs="宋体"/>
          <w:color w:val="auto"/>
          <w:sz w:val="24"/>
          <w:highlight w:val="none"/>
        </w:rPr>
        <w:t>本项目不需缴纳投标保证金。</w:t>
      </w:r>
    </w:p>
    <w:p w14:paraId="1A80CFA1">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10. 投标文件的语言</w:t>
      </w:r>
    </w:p>
    <w:p w14:paraId="00AEB62A">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B47518A">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11. 投标文件的组成</w:t>
      </w:r>
    </w:p>
    <w:p w14:paraId="43A3E64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14A5E410">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54B666EF">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345FF394">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5FE200B">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DA41799">
      <w:pPr>
        <w:snapToGrid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C6D11B7">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C886BF6">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0D895DD7">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271827A">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EDB831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承诺书</w:t>
      </w:r>
    </w:p>
    <w:p w14:paraId="061D9CF9">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评标标准相应的商务技术资料；</w:t>
      </w:r>
    </w:p>
    <w:p w14:paraId="09B4772E">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投标标的清单；</w:t>
      </w:r>
    </w:p>
    <w:p w14:paraId="67D166FA">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rPr>
        <w:t>商务技术偏离表；</w:t>
      </w:r>
    </w:p>
    <w:p w14:paraId="3EDF6296">
      <w:pPr>
        <w:snapToGrid w:val="0"/>
        <w:spacing w:line="360" w:lineRule="auto"/>
        <w:ind w:firstLine="960" w:firstLineChars="4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9</w:t>
      </w:r>
      <w:r>
        <w:rPr>
          <w:rFonts w:hint="eastAsia" w:ascii="宋体" w:hAnsi="宋体" w:cs="宋体"/>
          <w:color w:val="auto"/>
          <w:sz w:val="24"/>
          <w:highlight w:val="none"/>
          <w:lang w:val="zh-CN"/>
        </w:rPr>
        <w:t>政府采购供应商廉洁自律承诺书；</w:t>
      </w:r>
    </w:p>
    <w:p w14:paraId="47A4B2F2">
      <w:pPr>
        <w:snapToGrid w:val="0"/>
        <w:spacing w:line="360" w:lineRule="auto"/>
        <w:ind w:firstLine="480" w:firstLineChars="200"/>
        <w:rPr>
          <w:rFonts w:hint="eastAsia"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F46E54D">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64E98D4">
      <w:pPr>
        <w:pStyle w:val="3"/>
        <w:snapToGrid w:val="0"/>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 xml:space="preserve">11.3.2 </w:t>
      </w:r>
      <w:r>
        <w:rPr>
          <w:rFonts w:hint="eastAsia" w:ascii="宋体" w:hAnsi="宋体" w:eastAsia="宋体" w:cs="宋体"/>
          <w:b w:val="0"/>
          <w:bCs w:val="0"/>
          <w:color w:val="auto"/>
          <w:sz w:val="24"/>
          <w:highlight w:val="none"/>
        </w:rPr>
        <w:t>中小企业声明函。</w:t>
      </w:r>
    </w:p>
    <w:p w14:paraId="4A0CFA9F">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C5875FF">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488781E">
      <w:pPr>
        <w:spacing w:line="360" w:lineRule="auto"/>
        <w:ind w:firstLine="720" w:firstLineChars="300"/>
        <w:rPr>
          <w:color w:val="auto"/>
          <w:highlight w:val="none"/>
        </w:rPr>
      </w:pPr>
      <w:r>
        <w:rPr>
          <w:rFonts w:hint="eastAsia"/>
          <w:color w:val="auto"/>
          <w:sz w:val="24"/>
          <w:highlight w:val="none"/>
          <w:shd w:val="clear" w:color="auto" w:fill="FFFFFF"/>
        </w:rPr>
        <w:t>投标人应对投标文件中材料的真实性、合法性负责。投标人可事先在公开官网查询、核对相关证书和报告内容，确保投标（响应）文件资料准确无误。</w:t>
      </w:r>
    </w:p>
    <w:p w14:paraId="1A72C1DC">
      <w:pPr>
        <w:pStyle w:val="132"/>
        <w:snapToGrid w:val="0"/>
        <w:spacing w:before="0"/>
        <w:ind w:firstLine="0" w:firstLineChars="0"/>
        <w:outlineLvl w:val="0"/>
        <w:rPr>
          <w:rFonts w:hint="eastAsia"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4474269B">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C23A0C0">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04C65C3">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4A5F5ADA">
      <w:pPr>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13.投标文件的签署、盖章</w:t>
      </w:r>
    </w:p>
    <w:p w14:paraId="5044EB43">
      <w:pPr>
        <w:pStyle w:val="132"/>
        <w:snapToGrid w:val="0"/>
        <w:spacing w:before="0"/>
        <w:ind w:firstLine="480"/>
        <w:rPr>
          <w:rFonts w:hint="eastAsia"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0CF88FD5">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0FF04D96">
      <w:pPr>
        <w:pStyle w:val="132"/>
        <w:snapToGrid w:val="0"/>
        <w:spacing w:before="0"/>
        <w:ind w:firstLine="480"/>
        <w:rPr>
          <w:rFonts w:hint="eastAsia"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3CFC5E4">
      <w:pPr>
        <w:pStyle w:val="132"/>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074F4149">
      <w:pPr>
        <w:pStyle w:val="132"/>
        <w:ind w:firstLine="480"/>
        <w:rPr>
          <w:rFonts w:hint="eastAsia"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5E07FE1">
      <w:pPr>
        <w:pStyle w:val="132"/>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7B5E437">
      <w:pPr>
        <w:pStyle w:val="132"/>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40588265">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15.备份投标文件</w:t>
      </w:r>
    </w:p>
    <w:p w14:paraId="143C3F59">
      <w:pPr>
        <w:pStyle w:val="32"/>
        <w:spacing w:line="360" w:lineRule="auto"/>
        <w:ind w:firstLine="360" w:firstLineChars="150"/>
        <w:rPr>
          <w:rFonts w:hint="eastAsia"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1E808A54">
      <w:pPr>
        <w:pStyle w:val="32"/>
        <w:spacing w:line="360" w:lineRule="auto"/>
        <w:ind w:firstLine="480" w:firstLineChars="200"/>
        <w:rPr>
          <w:rFonts w:hint="eastAsia"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824AF03">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71708A49">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161C1FCB">
      <w:pPr>
        <w:pStyle w:val="32"/>
        <w:spacing w:line="360" w:lineRule="auto"/>
        <w:ind w:firstLine="479" w:firstLineChars="199"/>
        <w:rPr>
          <w:rFonts w:hint="eastAsia"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225E5D07">
      <w:pPr>
        <w:pStyle w:val="132"/>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16.投标文件的无效处理</w:t>
      </w:r>
    </w:p>
    <w:p w14:paraId="74AFCAEC">
      <w:pPr>
        <w:pStyle w:val="24"/>
        <w:spacing w:line="360" w:lineRule="auto"/>
        <w:ind w:firstLine="360" w:firstLineChars="150"/>
        <w:rPr>
          <w:rFonts w:hint="eastAsia"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6D772953">
      <w:pPr>
        <w:pStyle w:val="132"/>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17.投标有效期</w:t>
      </w:r>
    </w:p>
    <w:p w14:paraId="651789F4">
      <w:pPr>
        <w:spacing w:line="360" w:lineRule="auto"/>
        <w:ind w:firstLine="480" w:firstLineChars="200"/>
        <w:rPr>
          <w:rFonts w:hint="eastAsia"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04128894">
      <w:pPr>
        <w:pStyle w:val="132"/>
        <w:spacing w:before="0"/>
        <w:ind w:firstLine="480"/>
        <w:rPr>
          <w:rFonts w:hint="eastAsia"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47D3AFF">
      <w:pPr>
        <w:pStyle w:val="132"/>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3E98091E">
      <w:pPr>
        <w:pStyle w:val="132"/>
        <w:spacing w:before="0"/>
        <w:ind w:firstLine="643"/>
        <w:rPr>
          <w:rFonts w:hint="eastAsia" w:ascii="宋体" w:hAnsi="宋体" w:cs="宋体"/>
          <w:b/>
          <w:color w:val="auto"/>
          <w:sz w:val="32"/>
          <w:highlight w:val="none"/>
        </w:rPr>
      </w:pPr>
    </w:p>
    <w:p w14:paraId="487C3ACD">
      <w:pPr>
        <w:pStyle w:val="132"/>
        <w:spacing w:before="0"/>
        <w:ind w:firstLine="1928" w:firstLineChars="600"/>
        <w:rPr>
          <w:rFonts w:hint="eastAsia"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00DD77DE">
      <w:pPr>
        <w:pStyle w:val="558"/>
        <w:spacing w:before="0" w:line="360" w:lineRule="auto"/>
        <w:ind w:left="0" w:firstLine="241" w:firstLineChars="100"/>
        <w:contextualSpacing/>
        <w:rPr>
          <w:rFonts w:hint="eastAsia"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779F239E">
      <w:pPr>
        <w:pStyle w:val="558"/>
        <w:spacing w:before="0" w:line="360" w:lineRule="auto"/>
        <w:ind w:left="0" w:firstLine="480" w:firstLineChars="200"/>
        <w:contextualSpacing/>
        <w:rPr>
          <w:rFonts w:hint="eastAsia"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26D12CC1">
      <w:pPr>
        <w:pStyle w:val="558"/>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1D08B853">
      <w:pPr>
        <w:pStyle w:val="558"/>
        <w:spacing w:before="0" w:line="360" w:lineRule="auto"/>
        <w:ind w:left="0" w:firstLine="240" w:firstLineChars="100"/>
        <w:contextualSpacing/>
        <w:rPr>
          <w:rFonts w:hint="eastAsia"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17B70ADE">
      <w:pPr>
        <w:widowControl/>
        <w:spacing w:before="100" w:beforeAutospacing="1" w:after="240" w:line="360" w:lineRule="auto"/>
        <w:jc w:val="left"/>
        <w:rPr>
          <w:rFonts w:hint="eastAsia"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40CFABA6">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35E79157">
      <w:pPr>
        <w:pStyle w:val="132"/>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183BE9D1">
      <w:pPr>
        <w:pStyle w:val="132"/>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096DB9D0">
      <w:pPr>
        <w:pStyle w:val="132"/>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0951F0CD">
      <w:pPr>
        <w:pStyle w:val="132"/>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20、信用信息查询</w:t>
      </w:r>
    </w:p>
    <w:p w14:paraId="0F5E0FB2">
      <w:pPr>
        <w:pStyle w:val="132"/>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44DD834D">
      <w:pPr>
        <w:pStyle w:val="132"/>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43E57D1">
      <w:pPr>
        <w:pStyle w:val="132"/>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340DB07">
      <w:pPr>
        <w:pStyle w:val="132"/>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57B3DF05">
      <w:pPr>
        <w:pStyle w:val="132"/>
        <w:spacing w:before="0"/>
        <w:ind w:firstLine="0" w:firstLineChars="0"/>
        <w:rPr>
          <w:rFonts w:hint="eastAsia" w:ascii="宋体" w:hAnsi="宋体" w:cs="宋体"/>
          <w:color w:val="auto"/>
          <w:kern w:val="0"/>
          <w:szCs w:val="24"/>
          <w:highlight w:val="none"/>
        </w:rPr>
      </w:pPr>
    </w:p>
    <w:p w14:paraId="575484E7">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五、评标</w:t>
      </w:r>
    </w:p>
    <w:p w14:paraId="7FDED4A6">
      <w:pPr>
        <w:spacing w:line="360" w:lineRule="auto"/>
        <w:rPr>
          <w:rFonts w:hint="eastAsia"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FBAF244">
      <w:pPr>
        <w:spacing w:line="360" w:lineRule="auto"/>
        <w:rPr>
          <w:rFonts w:hint="eastAsia" w:ascii="宋体" w:hAnsi="宋体" w:cs="宋体"/>
          <w:b/>
          <w:color w:val="auto"/>
          <w:sz w:val="24"/>
          <w:highlight w:val="none"/>
        </w:rPr>
      </w:pPr>
    </w:p>
    <w:p w14:paraId="64AB2E7E">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六、定 标</w:t>
      </w:r>
    </w:p>
    <w:p w14:paraId="627F3BEC">
      <w:pPr>
        <w:pStyle w:val="24"/>
        <w:spacing w:line="360" w:lineRule="auto"/>
        <w:ind w:left="479" w:hanging="479" w:hangingChars="199"/>
        <w:rPr>
          <w:rFonts w:hint="eastAsia" w:cs="宋体"/>
          <w:b/>
          <w:color w:val="auto"/>
          <w:highlight w:val="none"/>
        </w:rPr>
      </w:pPr>
      <w:r>
        <w:rPr>
          <w:rFonts w:hint="eastAsia" w:cs="宋体"/>
          <w:b/>
          <w:color w:val="auto"/>
          <w:highlight w:val="none"/>
        </w:rPr>
        <w:t>22. 确定中标供应商</w:t>
      </w:r>
    </w:p>
    <w:p w14:paraId="36D3B15D">
      <w:pPr>
        <w:pStyle w:val="132"/>
        <w:snapToGrid w:val="0"/>
        <w:spacing w:before="0"/>
        <w:ind w:firstLine="480"/>
        <w:rPr>
          <w:rFonts w:hint="eastAsia"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14DE17B7">
      <w:pPr>
        <w:pStyle w:val="132"/>
        <w:snapToGrid w:val="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062977B9">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6B52F761">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77756AB9">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051828A5">
      <w:pPr>
        <w:pStyle w:val="132"/>
        <w:snapToGrid w:val="0"/>
        <w:spacing w:before="0"/>
        <w:ind w:firstLine="482"/>
        <w:rPr>
          <w:rStyle w:val="79"/>
          <w:color w:val="auto"/>
          <w:highlight w:val="none"/>
        </w:rPr>
      </w:pPr>
      <w:r>
        <w:rPr>
          <w:rFonts w:hint="eastAsia" w:ascii="宋体" w:hAnsi="宋体" w:cs="宋体"/>
          <w:b/>
          <w:color w:val="auto"/>
          <w:szCs w:val="24"/>
          <w:highlight w:val="none"/>
        </w:rPr>
        <w:t xml:space="preserve">23.4 </w:t>
      </w:r>
      <w:r>
        <w:rPr>
          <w:rFonts w:hint="eastAsia" w:ascii="宋体" w:hAnsi="宋体" w:cs="宋体"/>
          <w:bCs/>
          <w:color w:val="auto"/>
          <w:szCs w:val="24"/>
          <w:highlight w:val="none"/>
        </w:rPr>
        <w:t>由于中标、成交供应商原因导致重新采购的，应当承担支付代理费和专家评审费等费用在内的赔偿责任。</w:t>
      </w:r>
    </w:p>
    <w:p w14:paraId="37EAF1F1">
      <w:pPr>
        <w:pStyle w:val="81"/>
        <w:rPr>
          <w:rFonts w:hint="eastAsia"/>
          <w:color w:val="auto"/>
          <w:highlight w:val="none"/>
        </w:rPr>
      </w:pPr>
    </w:p>
    <w:p w14:paraId="41F82B03">
      <w:pPr>
        <w:snapToGrid w:val="0"/>
        <w:spacing w:line="360" w:lineRule="auto"/>
        <w:ind w:left="120" w:leftChars="57" w:firstLine="482" w:firstLineChars="150"/>
        <w:jc w:val="center"/>
        <w:rPr>
          <w:rFonts w:hint="eastAsia" w:ascii="宋体" w:hAnsi="宋体" w:cs="宋体"/>
          <w:b/>
          <w:color w:val="auto"/>
          <w:sz w:val="32"/>
          <w:highlight w:val="none"/>
        </w:rPr>
      </w:pPr>
    </w:p>
    <w:p w14:paraId="39437D73">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七、合同授予</w:t>
      </w:r>
    </w:p>
    <w:p w14:paraId="612E163B">
      <w:pPr>
        <w:pStyle w:val="24"/>
        <w:spacing w:line="360" w:lineRule="auto"/>
        <w:ind w:left="479" w:hanging="479" w:hangingChars="199"/>
        <w:rPr>
          <w:rFonts w:hint="eastAsia"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183B8CC7">
      <w:pPr>
        <w:pStyle w:val="24"/>
        <w:spacing w:line="360" w:lineRule="auto"/>
        <w:ind w:left="479" w:hanging="479" w:hangingChars="199"/>
        <w:rPr>
          <w:rFonts w:hint="eastAsia" w:cs="宋体"/>
          <w:b/>
          <w:color w:val="auto"/>
          <w:highlight w:val="none"/>
        </w:rPr>
      </w:pPr>
      <w:r>
        <w:rPr>
          <w:rFonts w:hint="eastAsia" w:cs="宋体"/>
          <w:b/>
          <w:color w:val="auto"/>
          <w:highlight w:val="none"/>
        </w:rPr>
        <w:t>25. 合同的签订</w:t>
      </w:r>
    </w:p>
    <w:p w14:paraId="2FAA91CD">
      <w:pPr>
        <w:widowControl/>
        <w:shd w:val="clear" w:color="auto" w:fill="FFFFFF"/>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4DB6EC4">
      <w:pPr>
        <w:pStyle w:val="132"/>
        <w:snapToGrid w:val="0"/>
        <w:spacing w:before="0"/>
        <w:ind w:firstLine="480"/>
        <w:rPr>
          <w:rFonts w:hint="eastAsia"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29CEDE7">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33C67AA3">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B9EE47F">
      <w:pPr>
        <w:pStyle w:val="132"/>
        <w:snapToGrid w:val="0"/>
        <w:spacing w:before="0" w:after="120"/>
        <w:ind w:firstLine="480"/>
        <w:rPr>
          <w:rFonts w:hint="eastAsia"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5968CFA4">
      <w:pPr>
        <w:pStyle w:val="24"/>
        <w:spacing w:line="360" w:lineRule="auto"/>
        <w:ind w:left="479" w:hanging="479" w:hangingChars="199"/>
        <w:rPr>
          <w:rFonts w:hint="eastAsia" w:cs="宋体"/>
          <w:b/>
          <w:color w:val="auto"/>
          <w:highlight w:val="none"/>
        </w:rPr>
      </w:pPr>
      <w:r>
        <w:rPr>
          <w:rFonts w:hint="eastAsia" w:cs="宋体"/>
          <w:b/>
          <w:color w:val="auto"/>
          <w:highlight w:val="none"/>
        </w:rPr>
        <w:t>26. 履约保证金</w:t>
      </w:r>
    </w:p>
    <w:p w14:paraId="72E7B8E6">
      <w:pPr>
        <w:tabs>
          <w:tab w:val="left" w:pos="0"/>
        </w:tabs>
        <w:spacing w:line="360" w:lineRule="auto"/>
        <w:ind w:firstLine="482"/>
        <w:rPr>
          <w:rFonts w:hint="eastAsia"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7CF17D30">
      <w:pPr>
        <w:pStyle w:val="3"/>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rPr>
        <w:t>95763</w:t>
      </w:r>
      <w:r>
        <w:rPr>
          <w:rFonts w:hint="eastAsia" w:ascii="宋体" w:hAnsi="宋体" w:eastAsia="宋体" w:cs="宋体"/>
          <w:b w:val="0"/>
          <w:bCs w:val="0"/>
          <w:snapToGrid w:val="0"/>
          <w:color w:val="auto"/>
          <w:kern w:val="28"/>
          <w:sz w:val="24"/>
          <w:highlight w:val="none"/>
        </w:rPr>
        <w:t>。</w:t>
      </w:r>
    </w:p>
    <w:p w14:paraId="78B5259F">
      <w:pPr>
        <w:pStyle w:val="3"/>
        <w:rPr>
          <w:rFonts w:hint="eastAsia"/>
          <w:color w:val="auto"/>
          <w:highlight w:val="none"/>
        </w:rPr>
      </w:pPr>
      <w:r>
        <w:rPr>
          <w:rFonts w:ascii="宋体" w:hAnsi="宋体" w:eastAsia="宋体"/>
          <w:color w:val="auto"/>
          <w:sz w:val="24"/>
          <w:highlight w:val="none"/>
          <w:lang w:val="en-US"/>
        </w:rPr>
        <w:t>27.预付款</w:t>
      </w:r>
    </w:p>
    <w:p w14:paraId="62196736">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采云金融专线95763</w:t>
      </w:r>
      <w:r>
        <w:rPr>
          <w:rFonts w:ascii="宋体" w:hAnsi="宋体"/>
          <w:color w:val="auto"/>
          <w:sz w:val="24"/>
          <w:highlight w:val="none"/>
        </w:rPr>
        <w:t>。</w:t>
      </w:r>
    </w:p>
    <w:p w14:paraId="5C079841">
      <w:pPr>
        <w:rPr>
          <w:color w:val="auto"/>
          <w:highlight w:val="none"/>
        </w:rPr>
      </w:pPr>
    </w:p>
    <w:p w14:paraId="1DDFA891">
      <w:pPr>
        <w:snapToGrid w:val="0"/>
        <w:spacing w:line="360" w:lineRule="auto"/>
        <w:ind w:firstLine="3357" w:firstLineChars="1045"/>
        <w:rPr>
          <w:rFonts w:hint="eastAsia" w:ascii="宋体" w:hAnsi="宋体" w:cs="宋体"/>
          <w:b/>
          <w:color w:val="auto"/>
          <w:sz w:val="32"/>
          <w:highlight w:val="none"/>
        </w:rPr>
      </w:pPr>
    </w:p>
    <w:p w14:paraId="2351CB08">
      <w:pPr>
        <w:snapToGrid w:val="0"/>
        <w:spacing w:line="360" w:lineRule="auto"/>
        <w:ind w:firstLine="3357" w:firstLineChars="1045"/>
        <w:rPr>
          <w:rFonts w:hint="eastAsia" w:ascii="宋体" w:hAnsi="宋体" w:cs="宋体"/>
          <w:b/>
          <w:color w:val="auto"/>
          <w:sz w:val="24"/>
          <w:highlight w:val="none"/>
        </w:rPr>
      </w:pPr>
      <w:r>
        <w:rPr>
          <w:rFonts w:hint="eastAsia" w:ascii="宋体" w:hAnsi="宋体" w:cs="宋体"/>
          <w:b/>
          <w:color w:val="auto"/>
          <w:sz w:val="32"/>
          <w:highlight w:val="none"/>
        </w:rPr>
        <w:t>八、电子交易活动的中止</w:t>
      </w:r>
    </w:p>
    <w:p w14:paraId="542AECD4">
      <w:pPr>
        <w:pStyle w:val="132"/>
        <w:snapToGrid w:val="0"/>
        <w:spacing w:before="0"/>
        <w:ind w:firstLine="0" w:firstLineChars="0"/>
        <w:rPr>
          <w:rFonts w:hint="eastAsia"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18C1CE7E">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28F8B993">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75FEF616">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0338BC23">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4A1CC42">
      <w:pPr>
        <w:pStyle w:val="132"/>
        <w:snapToGrid w:val="0"/>
        <w:spacing w:before="0"/>
        <w:ind w:firstLine="480"/>
        <w:rPr>
          <w:rFonts w:hint="eastAsia"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F0CD511">
      <w:pPr>
        <w:pStyle w:val="132"/>
        <w:snapToGrid w:val="0"/>
        <w:spacing w:before="0"/>
        <w:ind w:firstLine="0" w:firstLineChars="0"/>
        <w:rPr>
          <w:rFonts w:hint="eastAsia"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73D8D6E">
      <w:pPr>
        <w:tabs>
          <w:tab w:val="left" w:pos="0"/>
        </w:tabs>
        <w:spacing w:line="360" w:lineRule="auto"/>
        <w:ind w:firstLine="480"/>
        <w:rPr>
          <w:rFonts w:hint="eastAsia" w:ascii="宋体" w:hAnsi="宋体" w:cs="宋体"/>
          <w:color w:val="auto"/>
          <w:sz w:val="24"/>
          <w:highlight w:val="none"/>
        </w:rPr>
      </w:pPr>
    </w:p>
    <w:p w14:paraId="597061F4">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九、验收</w:t>
      </w:r>
    </w:p>
    <w:p w14:paraId="5CBAC975">
      <w:pPr>
        <w:pStyle w:val="24"/>
        <w:spacing w:line="360" w:lineRule="auto"/>
        <w:ind w:firstLine="0" w:firstLineChars="0"/>
        <w:rPr>
          <w:rFonts w:hint="eastAsia" w:cs="宋体"/>
          <w:b/>
          <w:color w:val="auto"/>
          <w:highlight w:val="none"/>
        </w:rPr>
      </w:pPr>
      <w:r>
        <w:rPr>
          <w:rFonts w:hint="eastAsia" w:cs="宋体"/>
          <w:b/>
          <w:color w:val="auto"/>
          <w:highlight w:val="none"/>
        </w:rPr>
        <w:t>30.验收</w:t>
      </w:r>
    </w:p>
    <w:p w14:paraId="4B9321D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18BBC9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2E4A20F6">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EFD836B">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EFD0532">
      <w:pPr>
        <w:pStyle w:val="3"/>
        <w:adjustRightInd w:val="0"/>
        <w:snapToGrid w:val="0"/>
        <w:ind w:left="0" w:firstLine="480" w:firstLineChars="2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7689EA2D">
      <w:pPr>
        <w:pStyle w:val="81"/>
        <w:rPr>
          <w:rFonts w:hint="eastAsia"/>
          <w:color w:val="auto"/>
          <w:highlight w:val="none"/>
        </w:rPr>
      </w:pPr>
    </w:p>
    <w:bookmarkEnd w:id="13"/>
    <w:p w14:paraId="2CBF0EB1">
      <w:pPr>
        <w:tabs>
          <w:tab w:val="left" w:pos="0"/>
        </w:tabs>
        <w:spacing w:line="360" w:lineRule="auto"/>
        <w:ind w:firstLine="480"/>
        <w:rPr>
          <w:rFonts w:hint="eastAsia"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5" w:h="16838"/>
          <w:pgMar w:top="1247" w:right="1417" w:bottom="1247" w:left="1417" w:header="851" w:footer="850" w:gutter="0"/>
          <w:cols w:space="0" w:num="1"/>
          <w:docGrid w:linePitch="312" w:charSpace="0"/>
        </w:sectPr>
      </w:pPr>
      <w:bookmarkStart w:id="15" w:name="_Hlt75236011"/>
      <w:bookmarkEnd w:id="15"/>
      <w:bookmarkStart w:id="16" w:name="_Hlt74730295"/>
      <w:bookmarkEnd w:id="16"/>
      <w:bookmarkStart w:id="17" w:name="_Hlt68057669"/>
      <w:bookmarkEnd w:id="17"/>
      <w:bookmarkStart w:id="18" w:name="_Hlt74729768"/>
      <w:bookmarkEnd w:id="18"/>
      <w:bookmarkStart w:id="19" w:name="_Hlt74707468"/>
      <w:bookmarkEnd w:id="19"/>
      <w:bookmarkStart w:id="20" w:name="_Hlt68072998"/>
      <w:bookmarkEnd w:id="20"/>
      <w:bookmarkStart w:id="21" w:name="_Hlt68073093"/>
      <w:bookmarkEnd w:id="21"/>
      <w:bookmarkStart w:id="22" w:name="_Hlt75236290"/>
      <w:bookmarkEnd w:id="22"/>
      <w:bookmarkStart w:id="23" w:name="_Hlt74714665"/>
      <w:bookmarkEnd w:id="23"/>
      <w:bookmarkStart w:id="24" w:name="_Hlt68072990"/>
      <w:bookmarkEnd w:id="24"/>
      <w:bookmarkStart w:id="25" w:name="_Hlt68403820"/>
      <w:bookmarkEnd w:id="25"/>
      <w:bookmarkStart w:id="26" w:name="_Hlt75236101"/>
      <w:bookmarkEnd w:id="26"/>
    </w:p>
    <w:bookmarkEnd w:id="11"/>
    <w:bookmarkEnd w:id="12"/>
    <w:p w14:paraId="1E6233C2">
      <w:pPr>
        <w:spacing w:line="360" w:lineRule="auto"/>
        <w:jc w:val="center"/>
        <w:outlineLvl w:val="0"/>
        <w:rPr>
          <w:rFonts w:hint="eastAsia"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3D7E2CBA">
      <w:pPr>
        <w:spacing w:line="360" w:lineRule="auto"/>
        <w:ind w:firstLine="181" w:firstLineChars="50"/>
        <w:rPr>
          <w:rFonts w:hint="eastAsia" w:ascii="宋体" w:hAnsi="宋体" w:cs="宋体"/>
          <w:b/>
          <w:color w:val="auto"/>
          <w:sz w:val="36"/>
          <w:szCs w:val="36"/>
          <w:highlight w:val="none"/>
        </w:rPr>
      </w:pPr>
    </w:p>
    <w:p w14:paraId="3F1E0C78">
      <w:pPr>
        <w:pStyle w:val="966"/>
        <w:widowControl w:val="0"/>
        <w:kinsoku w:val="0"/>
        <w:overflowPunct w:val="0"/>
        <w:autoSpaceDE w:val="0"/>
        <w:autoSpaceDN w:val="0"/>
        <w:adjustRightInd w:val="0"/>
        <w:snapToGrid w:val="0"/>
        <w:spacing w:after="0" w:line="360" w:lineRule="auto"/>
        <w:ind w:firstLine="482" w:firstLineChars="200"/>
        <w:rPr>
          <w:rFonts w:hint="eastAsia" w:cs="宋体"/>
          <w:b/>
          <w:bCs/>
          <w:color w:val="auto"/>
          <w:szCs w:val="24"/>
          <w:highlight w:val="none"/>
        </w:rPr>
      </w:pPr>
      <w:r>
        <w:rPr>
          <w:rFonts w:hint="eastAsia" w:cs="宋体"/>
          <w:b/>
          <w:bCs/>
          <w:color w:val="auto"/>
          <w:szCs w:val="24"/>
          <w:highlight w:val="none"/>
        </w:rPr>
        <w:t>一、项目概况</w:t>
      </w:r>
    </w:p>
    <w:p w14:paraId="09D768CA">
      <w:pPr>
        <w:pStyle w:val="57"/>
        <w:shd w:val="clear" w:color="auto" w:fill="FFFFFF"/>
        <w:rPr>
          <w:rFonts w:cs="宋体"/>
          <w:color w:val="auto"/>
          <w:szCs w:val="24"/>
          <w:highlight w:val="none"/>
        </w:rPr>
      </w:pPr>
      <w:r>
        <w:rPr>
          <w:rFonts w:hint="eastAsia" w:ascii="宋体" w:hAnsi="宋体" w:eastAsia="宋体" w:cs="宋体"/>
          <w:color w:val="auto"/>
          <w:sz w:val="24"/>
          <w:szCs w:val="24"/>
          <w:highlight w:val="none"/>
        </w:rPr>
        <w:t>西塘河位于杭州城西，是运西片水系行洪排涝的骨干河道。西塘河（湖州街—运河）生态清淤项目：河道长约2千米，</w:t>
      </w:r>
      <w:r>
        <w:rPr>
          <w:rFonts w:hint="eastAsia" w:ascii="宋体" w:hAnsi="宋体" w:eastAsia="宋体" w:cs="宋体"/>
          <w:color w:val="auto"/>
          <w:sz w:val="24"/>
          <w:szCs w:val="24"/>
          <w:highlight w:val="none"/>
          <w:shd w:val="clear" w:color="auto" w:fill="FFFFFF"/>
        </w:rPr>
        <w:t>起点经纬度坐标为：东经120°7′57.429″，北纬30°18′30.204″，终点经纬度坐标为：东经120°6′58.151″，北纬30°19′13.124″。</w:t>
      </w:r>
      <w:r>
        <w:rPr>
          <w:rFonts w:hint="eastAsia" w:ascii="宋体" w:hAnsi="宋体" w:eastAsia="宋体" w:cs="宋体"/>
          <w:color w:val="auto"/>
          <w:sz w:val="24"/>
          <w:szCs w:val="24"/>
          <w:highlight w:val="none"/>
        </w:rPr>
        <w:t>河道水面宽度15—35米，河道常水位约1.4米（黄海复测标高、下同），水下清淤量约</w:t>
      </w:r>
      <w:r>
        <w:rPr>
          <w:rFonts w:hint="eastAsia" w:ascii="宋体" w:hAnsi="宋体" w:eastAsia="宋体" w:cs="宋体"/>
          <w:color w:val="auto"/>
          <w:sz w:val="24"/>
          <w:szCs w:val="24"/>
          <w:highlight w:val="none"/>
          <w:lang w:val="en"/>
        </w:rPr>
        <w:t>4.1</w:t>
      </w:r>
      <w:r>
        <w:rPr>
          <w:rFonts w:hint="eastAsia" w:ascii="宋体" w:hAnsi="宋体" w:eastAsia="宋体" w:cs="宋体"/>
          <w:color w:val="auto"/>
          <w:sz w:val="24"/>
          <w:szCs w:val="24"/>
          <w:highlight w:val="none"/>
        </w:rPr>
        <w:t>万立方米，施工工期180天（以甲方开工令为准）。采购人为杭州市城市水设施和河道保护管理中心。</w:t>
      </w:r>
    </w:p>
    <w:p w14:paraId="77005B40">
      <w:pPr>
        <w:pStyle w:val="966"/>
        <w:widowControl w:val="0"/>
        <w:kinsoku w:val="0"/>
        <w:overflowPunct w:val="0"/>
        <w:autoSpaceDE w:val="0"/>
        <w:autoSpaceDN w:val="0"/>
        <w:adjustRightInd w:val="0"/>
        <w:snapToGrid w:val="0"/>
        <w:spacing w:after="0" w:line="360" w:lineRule="auto"/>
        <w:ind w:firstLine="482" w:firstLineChars="200"/>
        <w:rPr>
          <w:rFonts w:hint="eastAsia" w:cs="宋体"/>
          <w:color w:val="auto"/>
          <w:szCs w:val="24"/>
          <w:highlight w:val="none"/>
          <w:lang w:val="en-US"/>
        </w:rPr>
      </w:pPr>
      <w:r>
        <w:rPr>
          <w:rFonts w:hint="eastAsia" w:cs="宋体"/>
          <w:b/>
          <w:bCs/>
          <w:color w:val="auto"/>
          <w:szCs w:val="24"/>
          <w:highlight w:val="none"/>
        </w:rPr>
        <w:t>二、采购需求</w:t>
      </w:r>
    </w:p>
    <w:p w14:paraId="79531799">
      <w:pPr>
        <w:spacing w:line="360" w:lineRule="auto"/>
        <w:ind w:left="239" w:leftChars="114"/>
        <w:rPr>
          <w:b/>
          <w:color w:val="auto"/>
          <w:sz w:val="24"/>
          <w:highlight w:val="none"/>
        </w:rPr>
      </w:pPr>
      <w:bookmarkStart w:id="28" w:name="OLE_LINK1"/>
      <w:r>
        <w:rPr>
          <w:rFonts w:hint="eastAsia" w:cs="宋体"/>
          <w:color w:val="auto"/>
          <w:szCs w:val="20"/>
          <w:highlight w:val="none"/>
        </w:rPr>
        <w:t>▲</w:t>
      </w:r>
      <w:bookmarkEnd w:id="28"/>
      <w:r>
        <w:rPr>
          <w:rFonts w:hint="eastAsia"/>
          <w:b/>
          <w:color w:val="auto"/>
          <w:sz w:val="24"/>
          <w:highlight w:val="none"/>
        </w:rPr>
        <w:t>1、设备要求</w:t>
      </w:r>
      <w:r>
        <w:rPr>
          <w:rFonts w:hint="eastAsia"/>
          <w:b/>
          <w:color w:val="auto"/>
          <w:sz w:val="24"/>
          <w:highlight w:val="none"/>
        </w:rPr>
        <w:br w:type="textWrapping"/>
      </w:r>
      <w:r>
        <w:rPr>
          <w:rFonts w:hint="eastAsia"/>
          <w:b/>
          <w:color w:val="auto"/>
          <w:sz w:val="24"/>
          <w:highlight w:val="none"/>
        </w:rPr>
        <w:t>配置方案</w:t>
      </w:r>
      <w:r>
        <w:rPr>
          <w:color w:val="auto"/>
          <w:sz w:val="24"/>
          <w:highlight w:val="none"/>
        </w:rPr>
        <w:br w:type="textWrapping"/>
      </w:r>
      <w:r>
        <w:rPr>
          <w:rFonts w:hint="eastAsia"/>
          <w:color w:val="auto"/>
          <w:sz w:val="24"/>
          <w:highlight w:val="none"/>
        </w:rPr>
        <w:t xml:space="preserve">  （1）绞吸式或推吸式清淤船2艘，每艘吸泥泵的流量不低于600立方米/小时（泥浆含水率约98%）</w:t>
      </w:r>
      <w:r>
        <w:rPr>
          <w:color w:val="auto"/>
          <w:sz w:val="24"/>
          <w:highlight w:val="none"/>
        </w:rPr>
        <w:br w:type="textWrapping"/>
      </w:r>
      <w:r>
        <w:rPr>
          <w:rFonts w:hint="eastAsia"/>
          <w:color w:val="auto"/>
          <w:sz w:val="24"/>
          <w:highlight w:val="none"/>
        </w:rPr>
        <w:t xml:space="preserve">  （2）高压隔膜板框压滤机2套或带式辊压泥水分离机2-3台，总处理量每小时出干土（含水率不超过60%）不少于10方，每天出干土不少于</w:t>
      </w:r>
      <w:r>
        <w:rPr>
          <w:color w:val="auto"/>
          <w:sz w:val="24"/>
          <w:highlight w:val="none"/>
          <w:lang w:val="en"/>
        </w:rPr>
        <w:t>9</w:t>
      </w:r>
      <w:r>
        <w:rPr>
          <w:rFonts w:hint="eastAsia"/>
          <w:color w:val="auto"/>
          <w:sz w:val="24"/>
          <w:highlight w:val="none"/>
        </w:rPr>
        <w:t>0方（日处理水下方不少于300方）。</w:t>
      </w:r>
      <w:r>
        <w:rPr>
          <w:rFonts w:hint="eastAsia"/>
          <w:color w:val="auto"/>
          <w:sz w:val="24"/>
          <w:highlight w:val="none"/>
        </w:rPr>
        <w:br w:type="textWrapping"/>
      </w:r>
      <w:r>
        <w:rPr>
          <w:rFonts w:hint="eastAsia"/>
          <w:color w:val="auto"/>
          <w:sz w:val="24"/>
          <w:highlight w:val="none"/>
        </w:rPr>
        <w:t xml:space="preserve">  （3）浓缩絮凝设备2套 </w:t>
      </w:r>
    </w:p>
    <w:p w14:paraId="504668FE">
      <w:pPr>
        <w:spacing w:line="360" w:lineRule="auto"/>
        <w:ind w:left="479" w:leftChars="228"/>
        <w:rPr>
          <w:color w:val="auto"/>
          <w:sz w:val="24"/>
          <w:highlight w:val="none"/>
        </w:rPr>
      </w:pPr>
      <w:r>
        <w:rPr>
          <w:rFonts w:hint="eastAsia"/>
          <w:color w:val="auto"/>
          <w:sz w:val="24"/>
          <w:highlight w:val="none"/>
        </w:rPr>
        <w:t>（4）皮带输送机2台（5）铲车或挖机1台</w:t>
      </w:r>
    </w:p>
    <w:p w14:paraId="630FBF84">
      <w:pPr>
        <w:pStyle w:val="966"/>
        <w:widowControl w:val="0"/>
        <w:kinsoku w:val="0"/>
        <w:overflowPunct w:val="0"/>
        <w:autoSpaceDE w:val="0"/>
        <w:autoSpaceDN w:val="0"/>
        <w:adjustRightInd w:val="0"/>
        <w:snapToGrid w:val="0"/>
        <w:spacing w:after="0" w:line="360" w:lineRule="auto"/>
        <w:ind w:firstLine="480" w:firstLineChars="200"/>
        <w:rPr>
          <w:rFonts w:hint="eastAsia" w:cs="宋体"/>
          <w:b/>
          <w:bCs/>
          <w:color w:val="auto"/>
          <w:szCs w:val="24"/>
          <w:highlight w:val="none"/>
          <w:lang w:val="en-US"/>
        </w:rPr>
      </w:pPr>
      <w:r>
        <w:rPr>
          <w:rFonts w:hint="eastAsia" w:cs="宋体"/>
          <w:color w:val="auto"/>
          <w:szCs w:val="24"/>
          <w:highlight w:val="none"/>
          <w:lang w:val="en-US"/>
        </w:rPr>
        <w:t>投标人自行选择设备配置方案，</w:t>
      </w:r>
      <w:r>
        <w:rPr>
          <w:rFonts w:hint="eastAsia" w:cs="宋体"/>
          <w:b/>
          <w:bCs/>
          <w:color w:val="auto"/>
          <w:szCs w:val="24"/>
          <w:highlight w:val="none"/>
          <w:lang w:val="en-US"/>
        </w:rPr>
        <w:t>投标时需提供以上设备的证明材料</w:t>
      </w:r>
      <w:r>
        <w:rPr>
          <w:rFonts w:hint="eastAsia" w:cs="宋体"/>
          <w:b/>
          <w:bCs/>
          <w:color w:val="auto"/>
          <w:szCs w:val="24"/>
          <w:highlight w:val="none"/>
          <w:lang w:val="en-US" w:eastAsia="zh-CN"/>
        </w:rPr>
        <w:t>（从下列三种方式中选择其中一种方式，</w:t>
      </w:r>
      <w:r>
        <w:rPr>
          <w:rFonts w:hint="eastAsia" w:cs="宋体"/>
          <w:b/>
          <w:bCs/>
          <w:color w:val="auto"/>
          <w:szCs w:val="24"/>
          <w:highlight w:val="none"/>
          <w:lang w:val="en-US"/>
        </w:rPr>
        <w:t>承诺书等格式详见招标文件）：</w:t>
      </w:r>
    </w:p>
    <w:p w14:paraId="23FF0A18">
      <w:pPr>
        <w:pStyle w:val="966"/>
        <w:widowControl w:val="0"/>
        <w:kinsoku w:val="0"/>
        <w:overflowPunct w:val="0"/>
        <w:autoSpaceDE w:val="0"/>
        <w:autoSpaceDN w:val="0"/>
        <w:adjustRightInd w:val="0"/>
        <w:snapToGrid w:val="0"/>
        <w:spacing w:after="0" w:line="360" w:lineRule="auto"/>
        <w:ind w:firstLine="482" w:firstLineChars="200"/>
        <w:rPr>
          <w:rFonts w:hint="eastAsia" w:cs="宋体"/>
          <w:b/>
          <w:bCs/>
          <w:color w:val="auto"/>
          <w:highlight w:val="none"/>
        </w:rPr>
      </w:pPr>
      <w:r>
        <w:rPr>
          <w:rFonts w:hint="eastAsia" w:cs="宋体"/>
          <w:b/>
          <w:bCs/>
          <w:color w:val="auto"/>
          <w:highlight w:val="none"/>
          <w:lang w:val="en-US" w:eastAsia="zh-CN"/>
        </w:rPr>
        <w:t>方式一：</w:t>
      </w:r>
      <w:r>
        <w:rPr>
          <w:rFonts w:hint="eastAsia" w:cs="宋体"/>
          <w:b/>
          <w:bCs/>
          <w:color w:val="auto"/>
          <w:highlight w:val="none"/>
        </w:rPr>
        <w:t>自有</w:t>
      </w:r>
      <w:r>
        <w:rPr>
          <w:rFonts w:hint="eastAsia" w:cs="宋体"/>
          <w:b/>
          <w:bCs/>
          <w:color w:val="auto"/>
          <w:highlight w:val="none"/>
          <w:lang w:val="en-US" w:eastAsia="zh-CN"/>
        </w:rPr>
        <w:t>的</w:t>
      </w:r>
      <w:r>
        <w:rPr>
          <w:rFonts w:hint="eastAsia" w:cs="宋体"/>
          <w:b/>
          <w:bCs/>
          <w:color w:val="auto"/>
          <w:highlight w:val="none"/>
        </w:rPr>
        <w:t>提供①购置发票，②设备照片，③承诺书一；</w:t>
      </w:r>
    </w:p>
    <w:p w14:paraId="3D747A7F">
      <w:pPr>
        <w:pStyle w:val="966"/>
        <w:widowControl w:val="0"/>
        <w:kinsoku w:val="0"/>
        <w:overflowPunct w:val="0"/>
        <w:autoSpaceDE w:val="0"/>
        <w:autoSpaceDN w:val="0"/>
        <w:adjustRightInd w:val="0"/>
        <w:snapToGrid w:val="0"/>
        <w:spacing w:after="0" w:line="360" w:lineRule="auto"/>
        <w:ind w:firstLine="482" w:firstLineChars="200"/>
        <w:rPr>
          <w:rFonts w:hint="eastAsia" w:cs="宋体"/>
          <w:b/>
          <w:bCs/>
          <w:color w:val="auto"/>
          <w:highlight w:val="none"/>
          <w:lang w:val="en-US"/>
        </w:rPr>
      </w:pPr>
      <w:r>
        <w:rPr>
          <w:rFonts w:hint="eastAsia" w:cs="宋体"/>
          <w:b/>
          <w:bCs/>
          <w:color w:val="auto"/>
          <w:highlight w:val="none"/>
          <w:lang w:val="en-US" w:eastAsia="zh-CN"/>
        </w:rPr>
        <w:t>方式二：</w:t>
      </w:r>
      <w:r>
        <w:rPr>
          <w:rFonts w:hint="eastAsia" w:cs="宋体"/>
          <w:b/>
          <w:bCs/>
          <w:color w:val="auto"/>
          <w:highlight w:val="none"/>
        </w:rPr>
        <w:t>租赁的提供：①租赁合同，②租赁发票，③出租方购置发票，④设备照片，⑤承诺书一；</w:t>
      </w:r>
    </w:p>
    <w:p w14:paraId="109FC962">
      <w:pPr>
        <w:pStyle w:val="966"/>
        <w:widowControl w:val="0"/>
        <w:kinsoku w:val="0"/>
        <w:overflowPunct w:val="0"/>
        <w:autoSpaceDE w:val="0"/>
        <w:autoSpaceDN w:val="0"/>
        <w:adjustRightInd w:val="0"/>
        <w:snapToGrid w:val="0"/>
        <w:spacing w:after="0" w:line="360" w:lineRule="auto"/>
        <w:ind w:firstLine="482" w:firstLineChars="200"/>
        <w:rPr>
          <w:rFonts w:hint="eastAsia" w:cs="宋体"/>
          <w:b/>
          <w:bCs/>
          <w:color w:val="auto"/>
          <w:szCs w:val="24"/>
          <w:highlight w:val="none"/>
          <w:lang w:val="en-US"/>
        </w:rPr>
      </w:pPr>
      <w:r>
        <w:rPr>
          <w:rFonts w:hint="eastAsia" w:cs="宋体"/>
          <w:b/>
          <w:bCs/>
          <w:color w:val="auto"/>
          <w:highlight w:val="none"/>
          <w:lang w:val="en-US" w:eastAsia="zh-CN"/>
        </w:rPr>
        <w:t>方式三：</w:t>
      </w:r>
      <w:r>
        <w:rPr>
          <w:rFonts w:hint="eastAsia" w:cs="宋体"/>
          <w:b/>
          <w:bCs/>
          <w:color w:val="auto"/>
          <w:highlight w:val="none"/>
          <w:lang w:val="en-US"/>
        </w:rPr>
        <w:t>承诺中标后10个工作日内提供</w:t>
      </w:r>
      <w:r>
        <w:rPr>
          <w:rFonts w:hint="eastAsia" w:cs="宋体"/>
          <w:b/>
          <w:bCs/>
          <w:color w:val="auto"/>
          <w:szCs w:val="24"/>
          <w:highlight w:val="none"/>
          <w:lang w:val="en-US"/>
        </w:rPr>
        <w:t>以上</w:t>
      </w:r>
      <w:r>
        <w:rPr>
          <w:rFonts w:hint="eastAsia" w:cs="宋体"/>
          <w:b/>
          <w:bCs/>
          <w:color w:val="auto"/>
          <w:highlight w:val="none"/>
          <w:lang w:val="en-US"/>
        </w:rPr>
        <w:t>设备的</w:t>
      </w:r>
      <w:r>
        <w:rPr>
          <w:rFonts w:hint="eastAsia" w:cs="宋体"/>
          <w:b/>
          <w:bCs/>
          <w:color w:val="auto"/>
          <w:szCs w:val="24"/>
          <w:highlight w:val="none"/>
          <w:lang w:val="en-US"/>
        </w:rPr>
        <w:t>提供：</w:t>
      </w:r>
      <w:r>
        <w:rPr>
          <w:rFonts w:hint="eastAsia" w:cs="宋体"/>
          <w:b/>
          <w:bCs/>
          <w:color w:val="auto"/>
          <w:highlight w:val="none"/>
        </w:rPr>
        <w:t>①</w:t>
      </w:r>
      <w:r>
        <w:rPr>
          <w:rFonts w:hint="eastAsia" w:cs="宋体"/>
          <w:b/>
          <w:bCs/>
          <w:color w:val="auto"/>
          <w:szCs w:val="24"/>
          <w:highlight w:val="none"/>
          <w:lang w:val="en-US"/>
        </w:rPr>
        <w:t>承诺书二。</w:t>
      </w:r>
    </w:p>
    <w:p w14:paraId="3C3084D8">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lang w:val="en-US"/>
        </w:rPr>
        <w:t>2.中标人在中标公告发布后10个工作日内（10个工作日包括场地租赁、场地平整、设备安装、运输吊装、接水接电等各项协调措施、审查申请）将所有清淤设施设备送达现场后调试运行正常出泥，现场主要设备与投标文件一致，并在上述规定的时间内将书面申请采购人审查（书面申请审查格式详见附件），采购人将组织监理单位、招标代理等单位进行现场审查。审查通过的进行下一步工作，若审查不通过或10个工作日内未递交书面申请审查的视为放弃中标，采购人可根据中标候选人排序选择第二、第三中标候选人依次递补或按规定重新组织招标。因中标人放弃中标从而对采购人造成的损失均由放弃中标人承担。</w:t>
      </w:r>
    </w:p>
    <w:p w14:paraId="0E03A097">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3、投标前投标人应自行踏勘本次清淤现场，了解现场周边状况，</w:t>
      </w:r>
      <w:r>
        <w:rPr>
          <w:rFonts w:hint="eastAsia" w:cs="宋体"/>
          <w:color w:val="auto"/>
          <w:szCs w:val="24"/>
          <w:highlight w:val="none"/>
        </w:rPr>
        <w:t>本次西塘河清淤采用全程河面作业（如绞吸式、推吸式等）方式清除河底淤泥，上下游同时清淤作业，河道清淤作业时不断流，不影响河道行洪排涝及通航，服从水上交通部门管理规定及审批要求，清淤作业时最大限度保护河道生态。淤泥必须经脱水固化处理后再车载外运处置，淤泥固化清理出的废弃物符合环保等政府有关部门废弃物处置的安全要求。</w:t>
      </w:r>
    </w:p>
    <w:p w14:paraId="5F6416EB">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4</w:t>
      </w:r>
      <w:r>
        <w:rPr>
          <w:rFonts w:hint="eastAsia" w:cs="宋体"/>
          <w:color w:val="auto"/>
          <w:szCs w:val="24"/>
          <w:highlight w:val="none"/>
        </w:rPr>
        <w:t>、根据市交通部门相关要求，西塘河属于通航河道，施工合同签订后一周内应委托有资质的单位编制通航保障方案，全面落实水上交通审批工作，审批费用考虑在投标报价之内，投标人可于投标前咨询市交通局相关信息。</w:t>
      </w:r>
    </w:p>
    <w:p w14:paraId="4B06CF5F">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b w:val="0"/>
          <w:bCs w:val="0"/>
          <w:color w:val="auto"/>
          <w:szCs w:val="24"/>
          <w:highlight w:val="none"/>
          <w:lang w:val="en-US"/>
        </w:rPr>
        <w:t>5、</w:t>
      </w:r>
      <w:r>
        <w:rPr>
          <w:rFonts w:hint="eastAsia"/>
          <w:b w:val="0"/>
          <w:bCs w:val="0"/>
          <w:color w:val="auto"/>
          <w:highlight w:val="none"/>
        </w:rPr>
        <w:t>本项目为生态清淤工程，不得采用挖泥船、泥浆泵、运输船等传统清淤设备实施清淤作业。</w:t>
      </w:r>
      <w:r>
        <w:rPr>
          <w:rFonts w:hint="eastAsia" w:cs="宋体"/>
          <w:b w:val="0"/>
          <w:bCs w:val="0"/>
          <w:color w:val="auto"/>
          <w:szCs w:val="24"/>
          <w:highlight w:val="none"/>
          <w:lang w:val="en-US"/>
        </w:rPr>
        <w:t>根据运河码头杭州段内无法停靠及</w:t>
      </w:r>
      <w:r>
        <w:rPr>
          <w:rFonts w:hint="eastAsia" w:cs="宋体"/>
          <w:b w:val="0"/>
          <w:bCs w:val="0"/>
          <w:color w:val="auto"/>
          <w:szCs w:val="24"/>
          <w:highlight w:val="none"/>
        </w:rPr>
        <w:t>相关禁航要求，本清淤工程淤泥外运处置工作不得采用船运</w:t>
      </w:r>
      <w:r>
        <w:rPr>
          <w:rFonts w:hint="eastAsia" w:cs="宋体"/>
          <w:color w:val="auto"/>
          <w:szCs w:val="24"/>
          <w:highlight w:val="none"/>
        </w:rPr>
        <w:t>方式。</w:t>
      </w:r>
    </w:p>
    <w:p w14:paraId="215650DD">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lang w:val="en-US"/>
        </w:rPr>
        <w:t>6</w:t>
      </w:r>
      <w:r>
        <w:rPr>
          <w:rFonts w:hint="eastAsia" w:cs="宋体"/>
          <w:color w:val="auto"/>
          <w:szCs w:val="24"/>
          <w:highlight w:val="none"/>
        </w:rPr>
        <w:t>、西塘河驳坎基础较弱，清淤期间全面落实河道驳坎保护措施</w:t>
      </w:r>
      <w:r>
        <w:rPr>
          <w:rFonts w:hint="eastAsia" w:cs="宋体"/>
          <w:color w:val="auto"/>
          <w:szCs w:val="24"/>
          <w:highlight w:val="none"/>
          <w:lang w:val="en-US"/>
        </w:rPr>
        <w:t>,因施工问题致驳坎破损坍塌应立即采取临时应急措施，防止隐患扩大，同时编制修复方案并报采购人同意后无条件修复到位。</w:t>
      </w:r>
    </w:p>
    <w:p w14:paraId="531999C1">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7、</w:t>
      </w:r>
      <w:r>
        <w:rPr>
          <w:rFonts w:hint="eastAsia" w:cs="宋体"/>
          <w:color w:val="auto"/>
          <w:szCs w:val="24"/>
          <w:highlight w:val="none"/>
        </w:rPr>
        <w:t>环境影响处置要求</w:t>
      </w:r>
    </w:p>
    <w:p w14:paraId="375B9ED2">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rPr>
        <w:t>（</w:t>
      </w:r>
      <w:r>
        <w:rPr>
          <w:rFonts w:hint="eastAsia" w:cs="宋体"/>
          <w:color w:val="auto"/>
          <w:szCs w:val="24"/>
          <w:highlight w:val="none"/>
          <w:lang w:val="en-US"/>
        </w:rPr>
        <w:t>1</w:t>
      </w:r>
      <w:r>
        <w:rPr>
          <w:rFonts w:hint="eastAsia" w:cs="宋体"/>
          <w:color w:val="auto"/>
          <w:szCs w:val="24"/>
          <w:highlight w:val="none"/>
        </w:rPr>
        <w:t>）水体扰动影响：施工作业过程中基本无扰动，水体扰动范围不超过上下游10米距离，确保水体不浑浊，不影响水质。</w:t>
      </w:r>
    </w:p>
    <w:p w14:paraId="0C8B73E5">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rPr>
        <w:t>（</w:t>
      </w:r>
      <w:r>
        <w:rPr>
          <w:rFonts w:hint="eastAsia" w:cs="宋体"/>
          <w:color w:val="auto"/>
          <w:szCs w:val="24"/>
          <w:highlight w:val="none"/>
          <w:lang w:val="en-US"/>
        </w:rPr>
        <w:t>2</w:t>
      </w:r>
      <w:r>
        <w:rPr>
          <w:rFonts w:hint="eastAsia" w:cs="宋体"/>
          <w:color w:val="auto"/>
          <w:szCs w:val="24"/>
          <w:highlight w:val="none"/>
        </w:rPr>
        <w:t>）噪音影响：运行时施工区内产生的噪声排放满足《杭州市环境噪声管理条例》及《工业企业厂界环境噪声排放标准》（GB12348-2008）。</w:t>
      </w:r>
    </w:p>
    <w:p w14:paraId="7FC339A8">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8</w:t>
      </w:r>
      <w:r>
        <w:rPr>
          <w:rFonts w:hint="eastAsia" w:cs="宋体"/>
          <w:color w:val="auto"/>
          <w:szCs w:val="24"/>
          <w:highlight w:val="none"/>
        </w:rPr>
        <w:t>、水处理要求</w:t>
      </w:r>
    </w:p>
    <w:p w14:paraId="17912224">
      <w:pPr>
        <w:pStyle w:val="966"/>
        <w:widowControl w:val="0"/>
        <w:kinsoku w:val="0"/>
        <w:overflowPunct w:val="0"/>
        <w:autoSpaceDE w:val="0"/>
        <w:autoSpaceDN w:val="0"/>
        <w:adjustRightInd w:val="0"/>
        <w:snapToGrid w:val="0"/>
        <w:spacing w:after="0" w:line="360" w:lineRule="auto"/>
        <w:ind w:firstLine="480" w:firstLineChars="200"/>
        <w:jc w:val="both"/>
        <w:rPr>
          <w:rFonts w:hint="eastAsia" w:cs="宋体"/>
          <w:color w:val="auto"/>
          <w:szCs w:val="24"/>
          <w:highlight w:val="none"/>
          <w:lang w:val="en-US"/>
        </w:rPr>
      </w:pPr>
      <w:r>
        <w:rPr>
          <w:rFonts w:hint="eastAsia" w:cs="宋体"/>
          <w:color w:val="auto"/>
          <w:szCs w:val="24"/>
          <w:highlight w:val="none"/>
        </w:rPr>
        <w:t>（</w:t>
      </w:r>
      <w:r>
        <w:rPr>
          <w:rFonts w:hint="eastAsia" w:cs="宋体"/>
          <w:color w:val="auto"/>
          <w:szCs w:val="24"/>
          <w:highlight w:val="none"/>
          <w:lang w:val="en-US"/>
        </w:rPr>
        <w:t>1</w:t>
      </w:r>
      <w:r>
        <w:rPr>
          <w:rFonts w:hint="eastAsia" w:cs="宋体"/>
          <w:color w:val="auto"/>
          <w:szCs w:val="24"/>
          <w:highlight w:val="none"/>
        </w:rPr>
        <w:t>）水质采样应考虑水文、气象等条件，点位尽量避开排水口、河道交汇处、卡口等区块，尽可能选</w:t>
      </w:r>
      <w:r>
        <w:rPr>
          <w:rFonts w:hint="eastAsia" w:cs="宋体"/>
          <w:color w:val="auto"/>
          <w:szCs w:val="24"/>
          <w:highlight w:val="none"/>
          <w:lang w:val="en-US"/>
        </w:rPr>
        <w:t>择天气晴好、水流平缓、稳定区块。</w:t>
      </w:r>
    </w:p>
    <w:p w14:paraId="00093B64">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rPr>
        <w:t>（</w:t>
      </w:r>
      <w:r>
        <w:rPr>
          <w:rFonts w:hint="eastAsia" w:cs="宋体"/>
          <w:color w:val="auto"/>
          <w:szCs w:val="24"/>
          <w:highlight w:val="none"/>
          <w:lang w:val="en-US"/>
        </w:rPr>
        <w:t>2</w:t>
      </w:r>
      <w:r>
        <w:rPr>
          <w:rFonts w:hint="eastAsia" w:cs="宋体"/>
          <w:color w:val="auto"/>
          <w:szCs w:val="24"/>
          <w:highlight w:val="none"/>
        </w:rPr>
        <w:t>）</w:t>
      </w:r>
      <w:r>
        <w:rPr>
          <w:rFonts w:hint="eastAsia" w:cs="宋体"/>
          <w:color w:val="auto"/>
          <w:szCs w:val="24"/>
          <w:highlight w:val="none"/>
          <w:lang w:val="en-US"/>
        </w:rPr>
        <w:t>原则上选取不少于两个检测点位，每月至少检测一次尾水水质，经絮凝处理后，尾水达标排放</w:t>
      </w:r>
      <w:r>
        <w:rPr>
          <w:rFonts w:hint="eastAsia" w:cs="宋体"/>
          <w:color w:val="auto"/>
          <w:szCs w:val="24"/>
          <w:highlight w:val="none"/>
        </w:rPr>
        <w:t>。</w:t>
      </w:r>
    </w:p>
    <w:p w14:paraId="2A0E61C2">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lang w:val="en-US"/>
        </w:rPr>
        <w:t>9、淤泥处置要求</w:t>
      </w:r>
    </w:p>
    <w:p w14:paraId="4266D31B">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rPr>
        <w:t>（</w:t>
      </w:r>
      <w:r>
        <w:rPr>
          <w:rFonts w:hint="eastAsia" w:cs="宋体"/>
          <w:color w:val="auto"/>
          <w:szCs w:val="24"/>
          <w:highlight w:val="none"/>
          <w:lang w:val="en-US"/>
        </w:rPr>
        <w:t>1</w:t>
      </w:r>
      <w:r>
        <w:rPr>
          <w:rFonts w:hint="eastAsia" w:cs="宋体"/>
          <w:color w:val="auto"/>
          <w:szCs w:val="24"/>
          <w:highlight w:val="none"/>
        </w:rPr>
        <w:t>）</w:t>
      </w:r>
      <w:r>
        <w:rPr>
          <w:rFonts w:hint="eastAsia" w:cs="宋体"/>
          <w:color w:val="auto"/>
          <w:szCs w:val="24"/>
          <w:highlight w:val="none"/>
          <w:lang w:val="en-US"/>
        </w:rPr>
        <w:t>淤泥须落实机械脱水干化，不可采用自然干化方式，全面实现减量化处置，须固化后泥饼含水率不超过60%（检测频次：每月至少检测一次含水率），当日处理后的泥饼及时外运处置，作业场地内的泥饼堆应设置苫盖以防臭气污染及雨水冲刷，堆积高度不应超过3米，鼓励干化淤泥不落地转输。</w:t>
      </w:r>
    </w:p>
    <w:p w14:paraId="39370A12">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lang w:val="en-US"/>
        </w:rPr>
        <w:t>（2）淤泥运输装置须密闭，施工期间不得发生运输车船、输送管道抛洒滴漏，不得产生二次污染，发现异常立即停工排查，妥善解决后方可施工。</w:t>
      </w:r>
    </w:p>
    <w:p w14:paraId="5728326D">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rPr>
        <w:t>（</w:t>
      </w:r>
      <w:r>
        <w:rPr>
          <w:rFonts w:hint="eastAsia" w:cs="宋体"/>
          <w:color w:val="auto"/>
          <w:szCs w:val="24"/>
          <w:highlight w:val="none"/>
          <w:lang w:val="en-US"/>
        </w:rPr>
        <w:t>3</w:t>
      </w:r>
      <w:r>
        <w:rPr>
          <w:rFonts w:hint="eastAsia" w:cs="宋体"/>
          <w:color w:val="auto"/>
          <w:szCs w:val="24"/>
          <w:highlight w:val="none"/>
        </w:rPr>
        <w:t>）</w:t>
      </w:r>
      <w:r>
        <w:rPr>
          <w:rFonts w:hint="eastAsia" w:cs="宋体"/>
          <w:color w:val="auto"/>
          <w:szCs w:val="24"/>
          <w:highlight w:val="none"/>
          <w:lang w:val="en-US"/>
        </w:rPr>
        <w:t>本工程作业产生的淤泥均采用脱水干化方式处理后再进行车载外运，中标单位须落实合法合规区域场地对脱水淤泥进行消纳处置或资源化利用。</w:t>
      </w:r>
    </w:p>
    <w:p w14:paraId="22161F46">
      <w:pPr>
        <w:pStyle w:val="966"/>
        <w:widowControl w:val="0"/>
        <w:kinsoku w:val="0"/>
        <w:overflowPunct w:val="0"/>
        <w:autoSpaceDE w:val="0"/>
        <w:autoSpaceDN w:val="0"/>
        <w:adjustRightInd w:val="0"/>
        <w:snapToGrid w:val="0"/>
        <w:spacing w:after="0" w:line="360" w:lineRule="auto"/>
        <w:ind w:firstLine="482" w:firstLineChars="200"/>
        <w:rPr>
          <w:rFonts w:hint="eastAsia" w:cs="宋体"/>
          <w:b/>
          <w:bCs/>
          <w:color w:val="auto"/>
          <w:szCs w:val="20"/>
          <w:highlight w:val="none"/>
          <w:lang w:val="en-US"/>
        </w:rPr>
      </w:pPr>
      <w:r>
        <w:rPr>
          <w:rFonts w:hint="eastAsia" w:cs="宋体"/>
          <w:b/>
          <w:bCs/>
          <w:color w:val="auto"/>
          <w:szCs w:val="24"/>
          <w:highlight w:val="none"/>
          <w:lang w:val="en-US"/>
        </w:rPr>
        <w:t>▲（4）</w:t>
      </w:r>
      <w:r>
        <w:rPr>
          <w:rFonts w:hint="eastAsia" w:cs="宋体"/>
          <w:b/>
          <w:bCs/>
          <w:color w:val="auto"/>
          <w:szCs w:val="20"/>
          <w:highlight w:val="none"/>
        </w:rPr>
        <w:t>投标文件提供除资源化利用外的淤泥处置消纳方案，并提供消纳、处置场地接受单位的意向书。</w:t>
      </w:r>
    </w:p>
    <w:p w14:paraId="18733FEF">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lang w:val="en-US"/>
        </w:rPr>
        <w:t>（5）每月至少检测一次脱水淤泥属性，检测指标至少应包含</w:t>
      </w:r>
      <w:r>
        <w:rPr>
          <w:rFonts w:hint="eastAsia" w:cs="宋体"/>
          <w:color w:val="auto"/>
          <w:szCs w:val="24"/>
          <w:highlight w:val="none"/>
        </w:rPr>
        <w:t>PH值、镉、汞、砷、铅、铬、铜、镍、总锌、</w:t>
      </w:r>
      <w:r>
        <w:rPr>
          <w:rFonts w:hint="eastAsia" w:cs="宋体"/>
          <w:color w:val="auto"/>
          <w:szCs w:val="24"/>
          <w:highlight w:val="none"/>
          <w:lang w:val="en-US"/>
        </w:rPr>
        <w:t>六六六总量、滴滴涕总量、苯【</w:t>
      </w:r>
      <w:r>
        <w:rPr>
          <w:rFonts w:hint="eastAsia" w:cs="宋体"/>
          <w:color w:val="auto"/>
          <w:szCs w:val="24"/>
          <w:highlight w:val="none"/>
          <w:lang w:val="en"/>
        </w:rPr>
        <w:t>a</w:t>
      </w:r>
      <w:r>
        <w:rPr>
          <w:rFonts w:hint="eastAsia" w:cs="宋体"/>
          <w:color w:val="auto"/>
          <w:szCs w:val="24"/>
          <w:highlight w:val="none"/>
          <w:lang w:val="en-US"/>
        </w:rPr>
        <w:t>】并芘等项目，并根据《土壤环境质量 农用地土壤污染风险管控标准（试行）》（</w:t>
      </w:r>
      <w:r>
        <w:rPr>
          <w:rFonts w:hint="eastAsia" w:cs="宋体"/>
          <w:color w:val="auto"/>
          <w:szCs w:val="24"/>
          <w:highlight w:val="none"/>
          <w:lang w:val="en"/>
        </w:rPr>
        <w:t>GB15618-2018</w:t>
      </w:r>
      <w:r>
        <w:rPr>
          <w:rFonts w:hint="eastAsia" w:cs="宋体"/>
          <w:color w:val="auto"/>
          <w:szCs w:val="24"/>
          <w:highlight w:val="none"/>
          <w:lang w:val="en-US"/>
        </w:rPr>
        <w:t>）</w:t>
      </w:r>
      <w:r>
        <w:rPr>
          <w:rFonts w:hint="eastAsia" w:cs="宋体"/>
          <w:color w:val="auto"/>
          <w:szCs w:val="24"/>
          <w:highlight w:val="none"/>
          <w:lang w:val="en"/>
        </w:rPr>
        <w:t>、《绿化种植土壤》（</w:t>
      </w:r>
      <w:r>
        <w:rPr>
          <w:rFonts w:hint="eastAsia" w:cs="宋体"/>
          <w:color w:val="auto"/>
          <w:szCs w:val="24"/>
          <w:highlight w:val="none"/>
          <w:lang w:val="en-US"/>
        </w:rPr>
        <w:t>CJ/T340-2016</w:t>
      </w:r>
      <w:r>
        <w:rPr>
          <w:rFonts w:hint="eastAsia" w:cs="宋体"/>
          <w:color w:val="auto"/>
          <w:szCs w:val="24"/>
          <w:highlight w:val="none"/>
          <w:lang w:val="en"/>
        </w:rPr>
        <w:t>）等标准</w:t>
      </w:r>
      <w:r>
        <w:rPr>
          <w:rFonts w:hint="eastAsia" w:cs="宋体"/>
          <w:color w:val="auto"/>
          <w:szCs w:val="24"/>
          <w:highlight w:val="none"/>
          <w:lang w:val="en-US"/>
        </w:rPr>
        <w:t>评估干泥是否适合资源化利用。</w:t>
      </w:r>
    </w:p>
    <w:p w14:paraId="3448F10C">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lang w:val="en-US"/>
        </w:rPr>
        <w:t>（6）本项目鼓励资源化利用，如采用资源化利用，施工单位应于开工前办理好资源化利用相关手续，提供合作协议及相关印证材料证明。根据淤泥检测指标，考虑还林还田、种植土等利用方式，若满足相关建材行业标准，可用于道路填料、建筑用材等进行资源化利用。采用资源化利用的脱水淤泥，应增加检测频次，每半月至少检测一次脱水淤泥属性，检测指标至少应包含</w:t>
      </w:r>
      <w:r>
        <w:rPr>
          <w:rFonts w:hint="eastAsia" w:cs="宋体"/>
          <w:color w:val="auto"/>
          <w:szCs w:val="24"/>
          <w:highlight w:val="none"/>
        </w:rPr>
        <w:t>PH值、镉、汞、砷、铅、铬、铜、镍、总锌、</w:t>
      </w:r>
      <w:r>
        <w:rPr>
          <w:rFonts w:hint="eastAsia" w:cs="宋体"/>
          <w:color w:val="auto"/>
          <w:szCs w:val="24"/>
          <w:highlight w:val="none"/>
          <w:lang w:val="en-US"/>
        </w:rPr>
        <w:t>六六六总量、滴滴涕总量、苯【</w:t>
      </w:r>
      <w:r>
        <w:rPr>
          <w:rFonts w:hint="eastAsia" w:cs="宋体"/>
          <w:color w:val="auto"/>
          <w:szCs w:val="24"/>
          <w:highlight w:val="none"/>
          <w:lang w:val="en"/>
        </w:rPr>
        <w:t>a</w:t>
      </w:r>
      <w:r>
        <w:rPr>
          <w:rFonts w:hint="eastAsia" w:cs="宋体"/>
          <w:color w:val="auto"/>
          <w:szCs w:val="24"/>
          <w:highlight w:val="none"/>
          <w:lang w:val="en-US"/>
        </w:rPr>
        <w:t>】并芘等项目，并根据《土壤环境质量 农用地土壤污染风险管控标准（试行）》（</w:t>
      </w:r>
      <w:r>
        <w:rPr>
          <w:rFonts w:hint="eastAsia" w:cs="宋体"/>
          <w:color w:val="auto"/>
          <w:szCs w:val="24"/>
          <w:highlight w:val="none"/>
          <w:lang w:val="en"/>
        </w:rPr>
        <w:t>GB15618-2018</w:t>
      </w:r>
      <w:r>
        <w:rPr>
          <w:rFonts w:hint="eastAsia" w:cs="宋体"/>
          <w:color w:val="auto"/>
          <w:szCs w:val="24"/>
          <w:highlight w:val="none"/>
          <w:lang w:val="en-US"/>
        </w:rPr>
        <w:t>）</w:t>
      </w:r>
      <w:r>
        <w:rPr>
          <w:rFonts w:hint="eastAsia" w:cs="宋体"/>
          <w:color w:val="auto"/>
          <w:szCs w:val="24"/>
          <w:highlight w:val="none"/>
          <w:lang w:val="en"/>
        </w:rPr>
        <w:t>、《绿化种植土壤》（</w:t>
      </w:r>
      <w:r>
        <w:rPr>
          <w:rFonts w:hint="eastAsia" w:cs="宋体"/>
          <w:color w:val="auto"/>
          <w:szCs w:val="24"/>
          <w:highlight w:val="none"/>
          <w:lang w:val="en-US"/>
        </w:rPr>
        <w:t>CJ/T340-2016</w:t>
      </w:r>
      <w:r>
        <w:rPr>
          <w:rFonts w:hint="eastAsia" w:cs="宋体"/>
          <w:color w:val="auto"/>
          <w:szCs w:val="24"/>
          <w:highlight w:val="none"/>
          <w:lang w:val="en"/>
        </w:rPr>
        <w:t>）等标准</w:t>
      </w:r>
      <w:r>
        <w:rPr>
          <w:rFonts w:hint="eastAsia" w:cs="宋体"/>
          <w:color w:val="auto"/>
          <w:szCs w:val="24"/>
          <w:highlight w:val="none"/>
          <w:lang w:val="en-US"/>
        </w:rPr>
        <w:t>评估干泥是否适合资源化利用。</w:t>
      </w:r>
    </w:p>
    <w:p w14:paraId="73E28F32">
      <w:pPr>
        <w:spacing w:line="360" w:lineRule="auto"/>
        <w:ind w:firstLine="480" w:firstLineChars="200"/>
        <w:rPr>
          <w:rFonts w:hint="eastAsia" w:ascii="宋体" w:hAnsi="宋体" w:cs="宋体"/>
          <w:bCs/>
          <w:color w:val="auto"/>
          <w:sz w:val="24"/>
          <w:highlight w:val="none"/>
        </w:rPr>
      </w:pPr>
      <w:r>
        <w:rPr>
          <w:rFonts w:hint="eastAsia" w:ascii="宋体" w:hAnsi="宋体" w:cs="宋体"/>
          <w:color w:val="auto"/>
          <w:sz w:val="24"/>
          <w:highlight w:val="none"/>
        </w:rPr>
        <w:t>（7）</w:t>
      </w:r>
      <w:r>
        <w:rPr>
          <w:rFonts w:hint="eastAsia" w:ascii="宋体" w:hAnsi="宋体" w:cs="宋体"/>
          <w:bCs/>
          <w:color w:val="auto"/>
          <w:sz w:val="24"/>
          <w:highlight w:val="none"/>
        </w:rPr>
        <w:t>本次清淤要求上、下游同时施工，配备两套及以上的设施设备（具体见配置方案）实施清淤作业，不得挪用在建其他工程设施设备，水下方清淤能力不得低于300立方米/日。</w:t>
      </w:r>
    </w:p>
    <w:p w14:paraId="16BB3A50">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10</w:t>
      </w:r>
      <w:r>
        <w:rPr>
          <w:rFonts w:hint="eastAsia" w:cs="宋体"/>
          <w:color w:val="auto"/>
          <w:szCs w:val="24"/>
          <w:highlight w:val="none"/>
        </w:rPr>
        <w:t>、智慧应用要求</w:t>
      </w:r>
    </w:p>
    <w:p w14:paraId="20EDC212">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rPr>
        <w:t>（</w:t>
      </w:r>
      <w:r>
        <w:rPr>
          <w:rFonts w:hint="eastAsia" w:cs="宋体"/>
          <w:color w:val="auto"/>
          <w:szCs w:val="24"/>
          <w:highlight w:val="none"/>
          <w:lang w:val="en-US"/>
        </w:rPr>
        <w:t>1</w:t>
      </w:r>
      <w:r>
        <w:rPr>
          <w:rFonts w:hint="eastAsia" w:cs="宋体"/>
          <w:color w:val="auto"/>
          <w:szCs w:val="24"/>
          <w:highlight w:val="none"/>
        </w:rPr>
        <w:t>）</w:t>
      </w:r>
      <w:r>
        <w:rPr>
          <w:rFonts w:hint="eastAsia" w:cs="宋体"/>
          <w:color w:val="auto"/>
          <w:szCs w:val="24"/>
          <w:highlight w:val="none"/>
          <w:lang w:val="en-US"/>
        </w:rPr>
        <w:t>清淤施工中的作业船、运输车应安装GPS或北斗定位系统，清淤船、上岸点应按项目管理要求安装监控（视频监控总数量不少于3处）。</w:t>
      </w:r>
    </w:p>
    <w:p w14:paraId="30C6634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（2）信号接入相关平台供建设、监理、施工单位在手机/电脑端查看，清淤船具备水下摄像/声纳和定位功能，能实时掌握清淤位置河床及清淤情况。</w:t>
      </w:r>
    </w:p>
    <w:p w14:paraId="41B76F2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根据交通部门相关规定，项目施工作业清淤船须提供船证，船上驾驶员须配备船舶驾驶证，船员须配备船员服务簿；采用无人驾驶新型清淤作业设备的须符合要求（如配备AIS、VHF、生活污水柜等）的作业辅助船只，直至达到交通部门水上作业审批要求；若需租用以上设备，租赁费用由中标单位承担。</w:t>
      </w:r>
    </w:p>
    <w:p w14:paraId="09BF2A09">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11</w:t>
      </w:r>
      <w:r>
        <w:rPr>
          <w:rFonts w:hint="eastAsia" w:cs="宋体"/>
          <w:color w:val="auto"/>
          <w:szCs w:val="24"/>
          <w:highlight w:val="none"/>
        </w:rPr>
        <w:t>、施工要求</w:t>
      </w:r>
    </w:p>
    <w:p w14:paraId="4D5696CF">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rPr>
        <w:t>（</w:t>
      </w:r>
      <w:r>
        <w:rPr>
          <w:rFonts w:hint="eastAsia" w:cs="宋体"/>
          <w:color w:val="auto"/>
          <w:szCs w:val="24"/>
          <w:highlight w:val="none"/>
          <w:lang w:val="en-US"/>
        </w:rPr>
        <w:t>1</w:t>
      </w:r>
      <w:r>
        <w:rPr>
          <w:rFonts w:hint="eastAsia" w:cs="宋体"/>
          <w:color w:val="auto"/>
          <w:szCs w:val="24"/>
          <w:highlight w:val="none"/>
        </w:rPr>
        <w:t>）项目开工前须踏勘现场，编制可操作性强的施工组织设计（内容至少包含人员安排、进度安排、各项检测安排、设备选取、淤泥运输及处置等方面）。</w:t>
      </w:r>
    </w:p>
    <w:p w14:paraId="1E5C2F1C">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rPr>
        <w:t>（</w:t>
      </w:r>
      <w:r>
        <w:rPr>
          <w:rFonts w:hint="eastAsia" w:cs="宋体"/>
          <w:color w:val="auto"/>
          <w:szCs w:val="24"/>
          <w:highlight w:val="none"/>
          <w:lang w:val="en-US"/>
        </w:rPr>
        <w:t>2</w:t>
      </w:r>
      <w:r>
        <w:rPr>
          <w:rFonts w:hint="eastAsia" w:cs="宋体"/>
          <w:color w:val="auto"/>
          <w:szCs w:val="24"/>
          <w:highlight w:val="none"/>
        </w:rPr>
        <w:t>）在岸上施工作业区，施工单位应设置相关围挡、警示牌、公示牌、宣传牌，接受社会公众监督，作业期间根据杭州市施工管理规范做好安全文明施工工作。</w:t>
      </w:r>
    </w:p>
    <w:p w14:paraId="0EB5022F">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rPr>
        <w:t>（</w:t>
      </w:r>
      <w:r>
        <w:rPr>
          <w:rFonts w:hint="eastAsia" w:cs="宋体"/>
          <w:color w:val="auto"/>
          <w:szCs w:val="24"/>
          <w:highlight w:val="none"/>
          <w:lang w:val="en-US"/>
        </w:rPr>
        <w:t>3</w:t>
      </w:r>
      <w:r>
        <w:rPr>
          <w:rFonts w:hint="eastAsia" w:cs="宋体"/>
          <w:color w:val="auto"/>
          <w:szCs w:val="24"/>
          <w:highlight w:val="none"/>
        </w:rPr>
        <w:t>）运输装置须密闭，施工期间不得发生运输车、输送管道抛洒滴漏，不得产生二次污染，发现异常立即停工排查，妥善解决后方可施工。</w:t>
      </w:r>
    </w:p>
    <w:p w14:paraId="395C757C">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（4）</w:t>
      </w:r>
      <w:r>
        <w:rPr>
          <w:rFonts w:hint="eastAsia" w:cs="宋体"/>
          <w:color w:val="auto"/>
          <w:szCs w:val="24"/>
          <w:highlight w:val="none"/>
        </w:rPr>
        <w:t>施工期间做好河道沿线桥梁、驳坎、生态设施设备、管线、园路、绿化等设施的保护，若因施工不当造成上述设施破损，</w:t>
      </w:r>
      <w:r>
        <w:rPr>
          <w:rFonts w:hint="eastAsia" w:cs="宋体"/>
          <w:color w:val="auto"/>
          <w:szCs w:val="24"/>
          <w:highlight w:val="none"/>
          <w:lang w:val="en-US"/>
        </w:rPr>
        <w:t>应立即采取临时应急措施，防止隐患扩大，同时编制修复方案并报采购人同意后无条件修复到位，</w:t>
      </w:r>
      <w:r>
        <w:rPr>
          <w:rFonts w:hint="eastAsia" w:cs="宋体"/>
          <w:color w:val="auto"/>
          <w:szCs w:val="24"/>
          <w:highlight w:val="none"/>
        </w:rPr>
        <w:t>所产生的维修费用由施工单位承担。</w:t>
      </w:r>
    </w:p>
    <w:p w14:paraId="13BB9732">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rPr>
      </w:pPr>
      <w:r>
        <w:rPr>
          <w:rFonts w:hint="eastAsia" w:cs="宋体"/>
          <w:color w:val="auto"/>
          <w:szCs w:val="24"/>
          <w:highlight w:val="none"/>
          <w:lang w:val="en-US"/>
        </w:rPr>
        <w:t>（5）</w:t>
      </w:r>
      <w:r>
        <w:rPr>
          <w:rFonts w:hint="eastAsia" w:cs="宋体"/>
          <w:color w:val="auto"/>
          <w:szCs w:val="24"/>
          <w:highlight w:val="none"/>
        </w:rPr>
        <w:t>原则上夜间不得进行施工作业。</w:t>
      </w:r>
    </w:p>
    <w:p w14:paraId="66E57D5A">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
        </w:rPr>
      </w:pPr>
      <w:r>
        <w:rPr>
          <w:rFonts w:hint="eastAsia" w:cs="宋体"/>
          <w:color w:val="auto"/>
          <w:szCs w:val="24"/>
          <w:highlight w:val="none"/>
          <w:lang w:val="en"/>
        </w:rPr>
        <w:t>(6)遇以生态方式无法清除的大石块、大件垃圾等较大阻水物时，可根据现场实际情况，局部采用其他机械或人力方式予以清除阻水物。</w:t>
      </w:r>
    </w:p>
    <w:p w14:paraId="47329048">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
        </w:rPr>
      </w:pPr>
      <w:r>
        <w:rPr>
          <w:rFonts w:hint="eastAsia" w:cs="宋体"/>
          <w:color w:val="auto"/>
          <w:szCs w:val="24"/>
          <w:highlight w:val="none"/>
          <w:lang w:val="en-US"/>
        </w:rPr>
        <w:t>（7）</w:t>
      </w:r>
      <w:r>
        <w:rPr>
          <w:rFonts w:hint="eastAsia" w:cs="宋体"/>
          <w:color w:val="auto"/>
          <w:szCs w:val="24"/>
          <w:highlight w:val="none"/>
        </w:rPr>
        <w:t>安全</w:t>
      </w:r>
      <w:r>
        <w:rPr>
          <w:rFonts w:hint="eastAsia" w:cs="宋体"/>
          <w:color w:val="auto"/>
          <w:szCs w:val="24"/>
          <w:highlight w:val="none"/>
          <w:lang w:val="en"/>
        </w:rPr>
        <w:t>要求：所有施工作业人员做好安全生产培训，施工现场落实好专职安全员，现场清淤船船员作业期间穿戴好救生设备，以防意外发生。</w:t>
      </w:r>
    </w:p>
    <w:p w14:paraId="30A1C364">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lang w:val="en-US"/>
        </w:rPr>
        <w:t>12、工程量勘测及竣工要求</w:t>
      </w:r>
    </w:p>
    <w:p w14:paraId="3FAE140F">
      <w:pPr>
        <w:pStyle w:val="966"/>
        <w:widowControl w:val="0"/>
        <w:kinsoku w:val="0"/>
        <w:overflowPunct w:val="0"/>
        <w:autoSpaceDE w:val="0"/>
        <w:autoSpaceDN w:val="0"/>
        <w:adjustRightInd w:val="0"/>
        <w:snapToGrid w:val="0"/>
        <w:spacing w:after="0" w:line="360" w:lineRule="auto"/>
        <w:ind w:firstLine="480" w:firstLineChars="200"/>
        <w:rPr>
          <w:rFonts w:hint="eastAsia" w:cs="宋体"/>
          <w:color w:val="auto"/>
          <w:szCs w:val="24"/>
          <w:highlight w:val="none"/>
          <w:lang w:val="en-US"/>
        </w:rPr>
      </w:pPr>
      <w:r>
        <w:rPr>
          <w:rFonts w:hint="eastAsia" w:cs="宋体"/>
          <w:color w:val="auto"/>
          <w:szCs w:val="24"/>
          <w:highlight w:val="none"/>
        </w:rPr>
        <w:t>（</w:t>
      </w:r>
      <w:r>
        <w:rPr>
          <w:rFonts w:hint="eastAsia" w:cs="宋体"/>
          <w:color w:val="auto"/>
          <w:szCs w:val="24"/>
          <w:highlight w:val="none"/>
          <w:lang w:val="en-US"/>
        </w:rPr>
        <w:t>1</w:t>
      </w:r>
      <w:r>
        <w:rPr>
          <w:rFonts w:hint="eastAsia" w:cs="宋体"/>
          <w:color w:val="auto"/>
          <w:szCs w:val="24"/>
          <w:highlight w:val="none"/>
        </w:rPr>
        <w:t>）</w:t>
      </w:r>
      <w:r>
        <w:rPr>
          <w:rFonts w:hint="eastAsia" w:cs="宋体"/>
          <w:color w:val="auto"/>
          <w:szCs w:val="24"/>
          <w:highlight w:val="none"/>
          <w:lang w:val="en-US"/>
        </w:rPr>
        <w:t>严格按照勘测图纸施工，防止漏清和超清，不伤及原生土，超出第三方勘测报告出具的设计淤泥的最低底标高为超清部分，超清部分不计入工程量。超清的含义：每个断面清淤过程超挖深度（施工图淤泥设计最低底标高-实际清淤后最低底标高）大于等于10cm部分为超清部分，超清工程量不予结算（当每个断面清淤过程超挖深度小于10</w:t>
      </w:r>
      <w:r>
        <w:rPr>
          <w:rFonts w:cs="宋体"/>
          <w:color w:val="auto"/>
          <w:szCs w:val="24"/>
          <w:highlight w:val="none"/>
          <w:lang w:val="en"/>
        </w:rPr>
        <w:t>cm</w:t>
      </w:r>
      <w:r>
        <w:rPr>
          <w:rFonts w:hint="eastAsia" w:cs="宋体"/>
          <w:color w:val="auto"/>
          <w:szCs w:val="24"/>
          <w:highlight w:val="none"/>
          <w:lang w:val="en"/>
        </w:rPr>
        <w:t>时，超挖部分计入工程量</w:t>
      </w:r>
      <w:r>
        <w:rPr>
          <w:rFonts w:hint="eastAsia" w:cs="宋体"/>
          <w:color w:val="auto"/>
          <w:szCs w:val="24"/>
          <w:highlight w:val="none"/>
          <w:lang w:val="en-US"/>
        </w:rPr>
        <w:t>）。</w:t>
      </w:r>
    </w:p>
    <w:p w14:paraId="0CD8760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淤泥清除率：单条河道清淤有效总方量须达到设计勘测量的85%及以上，未达标时按要求整改到位，超出两次及以上的勘测费用由施工单位承担。若发生总清淤方量超出设计量时，超出设计总方量的5%之内计入工程量，5%之外不计入工程量。</w:t>
      </w:r>
    </w:p>
    <w:p w14:paraId="4869B69C">
      <w:pPr>
        <w:pStyle w:val="967"/>
        <w:spacing w:line="360" w:lineRule="auto"/>
        <w:ind w:firstLine="280" w:firstLineChars="100"/>
        <w:rPr>
          <w:rFonts w:hint="eastAsia" w:hAnsi="宋体" w:cs="宋体"/>
          <w:color w:val="auto"/>
          <w:sz w:val="22"/>
          <w:szCs w:val="22"/>
          <w:highlight w:val="none"/>
        </w:rPr>
      </w:pPr>
      <w:r>
        <w:rPr>
          <w:rFonts w:hint="eastAsia" w:hAnsi="宋体" w:cs="宋体"/>
          <w:color w:val="auto"/>
          <w:sz w:val="28"/>
          <w:szCs w:val="28"/>
          <w:highlight w:val="none"/>
        </w:rPr>
        <w:t xml:space="preserve"> </w:t>
      </w:r>
      <w:r>
        <w:rPr>
          <w:rFonts w:hint="eastAsia" w:hAnsi="宋体" w:cs="宋体"/>
          <w:color w:val="auto"/>
          <w:sz w:val="24"/>
          <w:highlight w:val="none"/>
        </w:rPr>
        <w:t>13、项目管理班子人员要求:</w:t>
      </w:r>
    </w:p>
    <w:p w14:paraId="07B45BC3">
      <w:pPr>
        <w:pStyle w:val="967"/>
        <w:spacing w:line="360" w:lineRule="auto"/>
        <w:ind w:firstLine="480"/>
        <w:rPr>
          <w:rFonts w:hint="eastAsia" w:hAnsi="宋体" w:cs="宋体"/>
          <w:color w:val="auto"/>
          <w:sz w:val="24"/>
          <w:highlight w:val="none"/>
        </w:rPr>
      </w:pPr>
      <w:r>
        <w:rPr>
          <w:rFonts w:hint="eastAsia" w:hAnsi="宋体" w:cs="宋体"/>
          <w:color w:val="auto"/>
          <w:sz w:val="24"/>
          <w:highlight w:val="none"/>
        </w:rPr>
        <w:t>（1）项目负责人：本项目拟派项目负责人具有本科以上学历（环境工程或机械设备或水利水电工程或市政公用工程或港口与航道工程类专业）及中级及以上工程师职称；</w:t>
      </w:r>
    </w:p>
    <w:p w14:paraId="3F5EBAB0">
      <w:pPr>
        <w:pStyle w:val="967"/>
        <w:spacing w:line="360" w:lineRule="auto"/>
        <w:ind w:firstLine="480"/>
        <w:rPr>
          <w:rFonts w:hint="eastAsia" w:hAnsi="宋体" w:cs="宋体"/>
          <w:color w:val="auto"/>
          <w:sz w:val="24"/>
          <w:highlight w:val="none"/>
        </w:rPr>
      </w:pPr>
      <w:r>
        <w:rPr>
          <w:rFonts w:hint="eastAsia" w:hAnsi="宋体" w:cs="宋体"/>
          <w:color w:val="auto"/>
          <w:sz w:val="24"/>
          <w:highlight w:val="none"/>
        </w:rPr>
        <w:t>（2）拟派项目班子成员中应配备质检员、项目管理员、安全员等重要岗位人员，班子成员要求有具有中级及以上工程师职称；安全员具有三类人员“C类”证书或“安全工程专业大专及以上学历”或“安全工程专业助理工程师”或“注册安全工程师”；作业人员中需配备持有电工特种作业操作证。</w:t>
      </w:r>
    </w:p>
    <w:p w14:paraId="3F70DE7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14、服务报告要求：清淤作业全部完成后，中标人编制项目清淤工程竣工报告（包括底泥分析、水质分析、清淤方量、泥饼含水率、资源化利用、智慧应用等方面）。报告成果纸质五份，电子版一份。</w:t>
      </w:r>
    </w:p>
    <w:p w14:paraId="62CD99A7">
      <w:pPr>
        <w:wordWrap w:val="0"/>
        <w:autoSpaceDE w:val="0"/>
        <w:autoSpaceDN w:val="0"/>
        <w:spacing w:line="360" w:lineRule="auto"/>
        <w:ind w:firstLine="482" w:firstLineChars="200"/>
        <w:rPr>
          <w:rFonts w:hint="eastAsia" w:ascii="宋体" w:hAnsi="宋体" w:cs="宋体"/>
          <w:b/>
          <w:bCs/>
          <w:color w:val="auto"/>
          <w:sz w:val="24"/>
          <w:highlight w:val="none"/>
          <w:lang w:val="zh-CN"/>
        </w:rPr>
      </w:pPr>
      <w:r>
        <w:rPr>
          <w:rFonts w:hint="eastAsia" w:ascii="宋体" w:hAnsi="宋体" w:cs="宋体"/>
          <w:b/>
          <w:bCs/>
          <w:color w:val="auto"/>
          <w:sz w:val="24"/>
          <w:highlight w:val="none"/>
        </w:rPr>
        <w:t>三</w:t>
      </w:r>
      <w:r>
        <w:rPr>
          <w:rFonts w:hint="eastAsia" w:ascii="宋体" w:hAnsi="宋体" w:cs="宋体"/>
          <w:b/>
          <w:bCs/>
          <w:color w:val="auto"/>
          <w:sz w:val="24"/>
          <w:highlight w:val="none"/>
          <w:lang w:val="zh-CN"/>
        </w:rPr>
        <w:t>、商务要求</w:t>
      </w:r>
    </w:p>
    <w:p w14:paraId="2B98138A">
      <w:pPr>
        <w:wordWrap w:val="0"/>
        <w:spacing w:line="360" w:lineRule="auto"/>
        <w:ind w:firstLine="482" w:firstLineChars="200"/>
        <w:rPr>
          <w:rFonts w:hint="eastAsia" w:ascii="宋体" w:hAnsi="宋体" w:cs="宋体"/>
          <w:color w:val="auto"/>
          <w:sz w:val="24"/>
          <w:highlight w:val="none"/>
        </w:rPr>
      </w:pPr>
      <w:r>
        <w:rPr>
          <w:rFonts w:hint="eastAsia" w:ascii="宋体" w:hAnsi="宋体" w:cs="宋体"/>
          <w:b/>
          <w:bCs/>
          <w:color w:val="auto"/>
          <w:sz w:val="24"/>
          <w:highlight w:val="none"/>
        </w:rPr>
        <w:t>（一）报价要求</w:t>
      </w:r>
    </w:p>
    <w:p w14:paraId="03FCE3BD">
      <w:pPr>
        <w:widowControl/>
        <w:wordWrap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1.投标报价应包括</w:t>
      </w:r>
      <w:r>
        <w:rPr>
          <w:rFonts w:hint="eastAsia" w:ascii="宋体" w:hAnsi="宋体" w:cs="宋体"/>
          <w:color w:val="auto"/>
          <w:kern w:val="0"/>
          <w:sz w:val="24"/>
          <w:highlight w:val="none"/>
          <w:lang w:val="zh-CN"/>
        </w:rPr>
        <w:t>本项目实施所需的所有费用（含税费），包括但不限于人工费、设施设备（使用）费、耗材费、场地租赁费、水上施工作业审批费、编制通航保障方案费用、技术措施费、安全文明作业费、原有各类设施保护费、现场清理费、临时堆场费、场地修复费、测量费（若有）、检测费、运输费、交通费、通讯费、保险费、质保服务费、企业管理费、网络费、利润、税金等。人员工资不得低于杭州市人民政府规定的最低工资标准，并充分考虑最低工资调整因素；落实职工劳保福利待遇，并按时缴纳社会保险费（养老保险、医疗保险、失业保险、工伤保险和生育保险）</w:t>
      </w:r>
      <w:r>
        <w:rPr>
          <w:rFonts w:hint="eastAsia" w:ascii="宋体" w:hAnsi="宋体" w:cs="宋体"/>
          <w:color w:val="auto"/>
          <w:kern w:val="0"/>
          <w:sz w:val="24"/>
          <w:highlight w:val="none"/>
        </w:rPr>
        <w:t>等</w:t>
      </w:r>
      <w:r>
        <w:rPr>
          <w:rFonts w:hint="eastAsia" w:ascii="宋体" w:hAnsi="宋体" w:cs="宋体"/>
          <w:color w:val="auto"/>
          <w:kern w:val="0"/>
          <w:sz w:val="24"/>
          <w:highlight w:val="none"/>
          <w:lang w:val="zh-CN"/>
        </w:rPr>
        <w:t>。</w:t>
      </w:r>
    </w:p>
    <w:p w14:paraId="1777480F">
      <w:pPr>
        <w:wordWrap w:val="0"/>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2.人员工资不得低于杭州市人民政府规定的最低工资标准</w:t>
      </w:r>
      <w:r>
        <w:rPr>
          <w:rFonts w:hint="eastAsia" w:ascii="宋体" w:hAnsi="宋体" w:cs="宋体"/>
          <w:color w:val="auto"/>
          <w:kern w:val="0"/>
          <w:sz w:val="24"/>
          <w:highlight w:val="none"/>
          <w:lang w:val="zh-CN"/>
        </w:rPr>
        <w:t>，</w:t>
      </w:r>
      <w:r>
        <w:rPr>
          <w:rFonts w:hint="eastAsia" w:ascii="宋体" w:hAnsi="宋体" w:cs="宋体"/>
          <w:color w:val="auto"/>
          <w:sz w:val="24"/>
          <w:highlight w:val="none"/>
        </w:rPr>
        <w:t>并充分考虑最低工资调整因素；落实职工劳保福利待遇，并按时缴纳社会保险费（养老保险、医疗保险、失业保险、工伤保险和生育保险）；保障职工休息休假权利，为签订一年（含）以上劳动合同制职工缴纳住房公积金。</w:t>
      </w:r>
    </w:p>
    <w:p w14:paraId="6D8E4687">
      <w:pPr>
        <w:wordWrap w:val="0"/>
        <w:autoSpaceDE w:val="0"/>
        <w:autoSpaceDN w:val="0"/>
        <w:spacing w:line="360" w:lineRule="auto"/>
        <w:ind w:firstLine="482" w:firstLineChars="20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（二）签订合同</w:t>
      </w:r>
    </w:p>
    <w:p w14:paraId="4DCDC3E8">
      <w:pPr>
        <w:widowControl/>
        <w:wordWrap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本项目合同甲方为杭州市城市水设施和河道保护管理中心，乙方为中标人，</w:t>
      </w:r>
      <w:r>
        <w:rPr>
          <w:rFonts w:hint="eastAsia" w:ascii="宋体" w:hAnsi="宋体" w:cs="宋体"/>
          <w:color w:val="auto"/>
          <w:kern w:val="0"/>
          <w:sz w:val="24"/>
          <w:highlight w:val="none"/>
        </w:rPr>
        <w:t>合同款由甲方支付给乙方。除不可抗力等特殊情况外，原则上应当在中标通知书发出之日起10个工作日内签订政府采购合同。</w:t>
      </w:r>
      <w:r>
        <w:rPr>
          <w:rFonts w:hint="eastAsia" w:ascii="宋体" w:hAnsi="宋体" w:cs="宋体"/>
          <w:color w:val="auto"/>
          <w:kern w:val="0"/>
          <w:sz w:val="24"/>
          <w:highlight w:val="none"/>
        </w:rPr>
        <w:tab/>
      </w:r>
    </w:p>
    <w:p w14:paraId="43824148">
      <w:pPr>
        <w:wordWrap w:val="0"/>
        <w:autoSpaceDE w:val="0"/>
        <w:autoSpaceDN w:val="0"/>
        <w:spacing w:line="360" w:lineRule="auto"/>
        <w:ind w:firstLine="482" w:firstLineChars="20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（三）履约保证金交纳</w:t>
      </w:r>
    </w:p>
    <w:p w14:paraId="28B7C504">
      <w:pPr>
        <w:widowControl/>
        <w:wordWrap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按《第五部分 拟签订的合同文本》规定。</w:t>
      </w:r>
    </w:p>
    <w:p w14:paraId="287D3BDC">
      <w:pPr>
        <w:wordWrap w:val="0"/>
        <w:autoSpaceDE w:val="0"/>
        <w:autoSpaceDN w:val="0"/>
        <w:spacing w:line="360" w:lineRule="auto"/>
        <w:ind w:firstLine="482" w:firstLineChars="20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（四）付款条件</w:t>
      </w:r>
    </w:p>
    <w:p w14:paraId="2E4FEE5D">
      <w:pPr>
        <w:widowControl/>
        <w:wordWrap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按《第五部分 拟签订的合同文本》规定。</w:t>
      </w:r>
    </w:p>
    <w:p w14:paraId="2B3CD0E6">
      <w:pPr>
        <w:widowControl/>
        <w:spacing w:line="360" w:lineRule="auto"/>
        <w:ind w:firstLine="482"/>
        <w:jc w:val="left"/>
        <w:outlineLvl w:val="0"/>
        <w:rPr>
          <w:rFonts w:hint="eastAsia" w:ascii="宋体" w:hAnsi="宋体" w:cs="宋体"/>
          <w:b/>
          <w:bCs/>
          <w:color w:val="auto"/>
          <w:kern w:val="0"/>
          <w:sz w:val="24"/>
          <w:highlight w:val="none"/>
          <w:lang w:bidi="ar"/>
        </w:rPr>
      </w:pPr>
      <w:r>
        <w:rPr>
          <w:rFonts w:hint="eastAsia" w:ascii="宋体" w:hAnsi="宋体" w:cs="宋体"/>
          <w:b/>
          <w:bCs/>
          <w:color w:val="auto"/>
          <w:kern w:val="0"/>
          <w:sz w:val="24"/>
          <w:highlight w:val="none"/>
          <w:lang w:bidi="ar"/>
        </w:rPr>
        <w:t>四</w:t>
      </w:r>
      <w:r>
        <w:rPr>
          <w:rFonts w:hint="eastAsia" w:ascii="宋体" w:hAnsi="宋体" w:cs="宋体"/>
          <w:b/>
          <w:bCs/>
          <w:color w:val="auto"/>
          <w:kern w:val="0"/>
          <w:sz w:val="24"/>
          <w:highlight w:val="none"/>
          <w:lang w:val="zh-CN" w:bidi="ar"/>
        </w:rPr>
        <w:t>、联合体投标要求</w:t>
      </w:r>
    </w:p>
    <w:p w14:paraId="33259E8C">
      <w:pPr>
        <w:pStyle w:val="62"/>
        <w:wordWrap w:val="0"/>
        <w:spacing w:after="0" w:line="336" w:lineRule="auto"/>
        <w:ind w:left="0" w:leftChars="0" w:firstLine="480"/>
        <w:rPr>
          <w:rFonts w:hint="eastAsia" w:cs="宋体"/>
          <w:color w:val="auto"/>
          <w:sz w:val="24"/>
          <w:highlight w:val="none"/>
        </w:rPr>
      </w:pPr>
      <w:r>
        <w:rPr>
          <w:rFonts w:hint="eastAsia" w:cs="宋体"/>
          <w:color w:val="auto"/>
          <w:sz w:val="24"/>
          <w:highlight w:val="none"/>
        </w:rPr>
        <w:t>若联合体投标的，联合体成员应根据联合协议中相应承担的工作内容、合同份额进行各自配备相应的作业人员、工具及设施设备。牵头人合同份额不得少于50%，项目负责人由牵头人派遣。</w:t>
      </w:r>
    </w:p>
    <w:p w14:paraId="7ADEBD7A">
      <w:pPr>
        <w:pStyle w:val="62"/>
        <w:wordWrap w:val="0"/>
        <w:spacing w:after="0" w:line="336" w:lineRule="auto"/>
        <w:ind w:left="0" w:leftChars="0" w:firstLine="480"/>
        <w:rPr>
          <w:rFonts w:hint="eastAsia" w:cs="宋体"/>
          <w:color w:val="auto"/>
          <w:sz w:val="24"/>
          <w:highlight w:val="none"/>
        </w:rPr>
      </w:pPr>
      <w:r>
        <w:rPr>
          <w:rFonts w:hint="eastAsia" w:cs="宋体"/>
          <w:color w:val="auto"/>
          <w:sz w:val="24"/>
          <w:highlight w:val="none"/>
        </w:rPr>
        <w:t>联合体各成员的分工、费用收取、发票开具等事项：联合体各成员分工承担的工作内容以联合协议书为准，若联合协议书分工存在不明确事项的，签订本项目合同前予以明确。合同款项采购人直接支付给联合体牵头人，即发票由牵头人开具。</w:t>
      </w:r>
    </w:p>
    <w:p w14:paraId="197CD9A5">
      <w:pPr>
        <w:widowControl/>
        <w:spacing w:line="360" w:lineRule="auto"/>
        <w:ind w:firstLine="482"/>
        <w:jc w:val="left"/>
        <w:outlineLvl w:val="0"/>
        <w:rPr>
          <w:rFonts w:hint="eastAsia" w:ascii="宋体" w:hAnsi="宋体" w:cs="宋体"/>
          <w:b/>
          <w:bCs/>
          <w:color w:val="auto"/>
          <w:kern w:val="0"/>
          <w:sz w:val="24"/>
          <w:highlight w:val="none"/>
          <w:lang w:bidi="ar"/>
        </w:rPr>
      </w:pPr>
      <w:r>
        <w:rPr>
          <w:rFonts w:hint="eastAsia" w:ascii="宋体" w:hAnsi="宋体" w:cs="宋体"/>
          <w:b/>
          <w:bCs/>
          <w:color w:val="auto"/>
          <w:kern w:val="0"/>
          <w:sz w:val="24"/>
          <w:highlight w:val="none"/>
          <w:lang w:bidi="ar"/>
        </w:rPr>
        <w:t>五、分包要求</w:t>
      </w:r>
    </w:p>
    <w:p w14:paraId="2354E76A">
      <w:pPr>
        <w:pStyle w:val="62"/>
        <w:numPr>
          <w:ilvl w:val="255"/>
          <w:numId w:val="0"/>
        </w:numPr>
        <w:spacing w:after="0" w:line="336" w:lineRule="auto"/>
        <w:ind w:firstLine="480" w:firstLineChars="200"/>
        <w:rPr>
          <w:rFonts w:hint="eastAsia" w:cs="宋体"/>
          <w:color w:val="auto"/>
          <w:sz w:val="24"/>
          <w:highlight w:val="none"/>
        </w:rPr>
      </w:pPr>
      <w:r>
        <w:rPr>
          <w:rFonts w:hint="eastAsia" w:cs="宋体"/>
          <w:bCs/>
          <w:color w:val="auto"/>
          <w:sz w:val="24"/>
          <w:highlight w:val="none"/>
        </w:rPr>
        <w:t>1.</w:t>
      </w:r>
      <w:r>
        <w:rPr>
          <w:rFonts w:hint="eastAsia" w:cs="宋体"/>
          <w:color w:val="auto"/>
          <w:sz w:val="24"/>
          <w:highlight w:val="none"/>
        </w:rPr>
        <w:t>投标人根据招标文件的规定和采购项目的实际情况，拟将项目的非主体、非关键性的编制通航保障方案、</w:t>
      </w:r>
      <w:r>
        <w:rPr>
          <w:rFonts w:hint="eastAsia" w:cs="宋体"/>
          <w:color w:val="auto"/>
          <w:kern w:val="0"/>
          <w:sz w:val="24"/>
          <w:highlight w:val="none"/>
        </w:rPr>
        <w:t>水质检测、淤泥检测、淤泥运输、淤泥处置等</w:t>
      </w:r>
      <w:r>
        <w:rPr>
          <w:rFonts w:hint="eastAsia" w:cs="宋体"/>
          <w:color w:val="auto"/>
          <w:sz w:val="24"/>
          <w:highlight w:val="none"/>
        </w:rPr>
        <w:t>工作分包的，应当在投标文件中载明分包承担主体，分包承担主体应当具备相应能力且不得再次分包（若非主体、非关键性工作已由联合体成员承担的，则不允许分包）。</w:t>
      </w:r>
    </w:p>
    <w:p w14:paraId="1ED846C2">
      <w:pPr>
        <w:pStyle w:val="62"/>
        <w:numPr>
          <w:ilvl w:val="255"/>
          <w:numId w:val="0"/>
        </w:numPr>
        <w:spacing w:after="0" w:line="336" w:lineRule="auto"/>
        <w:ind w:firstLine="480" w:firstLineChars="200"/>
        <w:rPr>
          <w:rFonts w:hint="eastAsia" w:cs="宋体"/>
          <w:color w:val="auto"/>
          <w:sz w:val="24"/>
          <w:highlight w:val="none"/>
        </w:rPr>
      </w:pPr>
      <w:r>
        <w:rPr>
          <w:rFonts w:hint="eastAsia" w:cs="宋体"/>
          <w:bCs/>
          <w:color w:val="auto"/>
          <w:sz w:val="24"/>
          <w:highlight w:val="none"/>
        </w:rPr>
        <w:t>分包单位根据分包工作协议内容</w:t>
      </w:r>
      <w:r>
        <w:rPr>
          <w:rFonts w:hint="eastAsia" w:cs="宋体"/>
          <w:color w:val="auto"/>
          <w:sz w:val="24"/>
          <w:highlight w:val="none"/>
        </w:rPr>
        <w:t>相应承担的工作内容、合同份额进行各自配备相应人员和设施设备</w:t>
      </w:r>
      <w:r>
        <w:rPr>
          <w:rFonts w:hint="eastAsia" w:cs="宋体"/>
          <w:bCs/>
          <w:color w:val="auto"/>
          <w:sz w:val="24"/>
          <w:highlight w:val="none"/>
        </w:rPr>
        <w:t>，</w:t>
      </w:r>
      <w:r>
        <w:rPr>
          <w:rFonts w:hint="eastAsia" w:cs="宋体"/>
          <w:color w:val="auto"/>
          <w:sz w:val="24"/>
          <w:highlight w:val="none"/>
        </w:rPr>
        <w:t>分包份额累计额不得超过总包单位。投标人须在投标文件中提供分包意向协议，分包单位为中小企业的应在中小企业声明函中声明。▲本项目专门面向中小企业采购，分包单位必须为中小企业。</w:t>
      </w:r>
    </w:p>
    <w:p w14:paraId="5A91C64D">
      <w:pPr>
        <w:pStyle w:val="62"/>
        <w:numPr>
          <w:ilvl w:val="255"/>
          <w:numId w:val="0"/>
        </w:numPr>
        <w:spacing w:after="0" w:line="336" w:lineRule="auto"/>
        <w:ind w:firstLine="480" w:firstLineChars="200"/>
        <w:rPr>
          <w:rFonts w:hint="eastAsia" w:cs="宋体"/>
          <w:color w:val="auto"/>
          <w:sz w:val="24"/>
          <w:highlight w:val="none"/>
        </w:rPr>
      </w:pPr>
      <w:r>
        <w:rPr>
          <w:rFonts w:hint="eastAsia" w:cs="宋体"/>
          <w:color w:val="auto"/>
          <w:sz w:val="24"/>
          <w:highlight w:val="none"/>
        </w:rPr>
        <w:t>2.编制通航保障方案、</w:t>
      </w:r>
      <w:r>
        <w:rPr>
          <w:rFonts w:hint="eastAsia" w:cs="宋体"/>
          <w:color w:val="auto"/>
          <w:kern w:val="0"/>
          <w:sz w:val="24"/>
          <w:highlight w:val="none"/>
        </w:rPr>
        <w:t>水质检测、淤泥检测、淤泥运输、淤泥处置等</w:t>
      </w:r>
      <w:r>
        <w:rPr>
          <w:rFonts w:hint="eastAsia" w:cs="宋体"/>
          <w:color w:val="auto"/>
          <w:sz w:val="24"/>
          <w:highlight w:val="none"/>
        </w:rPr>
        <w:t>工作应由具有相应资质单位承担，投标人无相应资质的，则必须分包与具有相应资质单位，并在投标文件中提供分包意向协议。合同签订后，中标人需将分包单位相应信息报招标人确认。若分包单位有增加、变更的，需报甲方同意，且分包单位必须为中小企业且具备相应服务能力。</w:t>
      </w:r>
    </w:p>
    <w:p w14:paraId="20F20BF4">
      <w:pPr>
        <w:spacing w:line="360" w:lineRule="auto"/>
        <w:rPr>
          <w:rFonts w:hint="eastAsia" w:ascii="宋体" w:hAnsi="宋体" w:cs="宋体"/>
          <w:color w:val="auto"/>
          <w:sz w:val="24"/>
          <w:highlight w:val="none"/>
        </w:rPr>
      </w:pPr>
      <w:r>
        <w:rPr>
          <w:rFonts w:hint="eastAsia" w:cs="宋体"/>
          <w:color w:val="auto"/>
          <w:kern w:val="0"/>
          <w:sz w:val="24"/>
          <w:highlight w:val="none"/>
        </w:rPr>
        <w:t>3.淤泥运输工作应由具备运输许可证的单位承担，</w:t>
      </w:r>
      <w:r>
        <w:rPr>
          <w:rFonts w:hint="eastAsia" w:cs="宋体"/>
          <w:color w:val="auto"/>
          <w:sz w:val="24"/>
          <w:highlight w:val="none"/>
        </w:rPr>
        <w:t>投标人无相应许可证的，则必须分包与具有相应许可证单位，并在投标文件中提供分包意向协议。合同签订后，中标人需将分包单位相应信息报招标人确认。若分包单位有增加、变更的，需报甲方同意，且分包单位必须为中小企业且具备相应服务能力。</w:t>
      </w:r>
    </w:p>
    <w:p w14:paraId="7B4464B8">
      <w:pPr>
        <w:widowControl/>
        <w:ind w:firstLine="720" w:firstLineChars="300"/>
        <w:jc w:val="left"/>
        <w:rPr>
          <w:rFonts w:hint="eastAsia" w:ascii="宋体" w:hAnsi="宋体" w:cs="宋体"/>
          <w:bCs/>
          <w:color w:val="auto"/>
          <w:sz w:val="24"/>
          <w:highlight w:val="none"/>
        </w:rPr>
      </w:pPr>
    </w:p>
    <w:p w14:paraId="37446299">
      <w:pPr>
        <w:rPr>
          <w:rFonts w:hint="eastAsia" w:ascii="宋体" w:hAnsi="宋体" w:cs="宋体"/>
          <w:snapToGrid w:val="0"/>
          <w:color w:val="auto"/>
          <w:kern w:val="0"/>
          <w:sz w:val="24"/>
          <w:highlight w:val="none"/>
        </w:rPr>
      </w:pPr>
    </w:p>
    <w:p w14:paraId="365B13AC">
      <w:p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9" w:name="_Toc184310303"/>
      <w:bookmarkEnd w:id="29"/>
      <w:bookmarkStart w:id="30" w:name="_Toc184314472"/>
      <w:bookmarkEnd w:id="30"/>
      <w:bookmarkStart w:id="31" w:name="_Toc184313243"/>
      <w:bookmarkEnd w:id="31"/>
      <w:bookmarkStart w:id="32" w:name="_Toc184310314"/>
      <w:bookmarkEnd w:id="32"/>
      <w:bookmarkStart w:id="33" w:name="_Toc184308072"/>
      <w:bookmarkEnd w:id="33"/>
      <w:bookmarkStart w:id="34" w:name="_Toc184314434"/>
      <w:bookmarkEnd w:id="34"/>
      <w:bookmarkStart w:id="35" w:name="_Toc184313255"/>
      <w:bookmarkEnd w:id="35"/>
      <w:bookmarkStart w:id="36" w:name="_Toc184308062"/>
      <w:bookmarkEnd w:id="36"/>
      <w:bookmarkStart w:id="37" w:name="_Toc184314443"/>
      <w:bookmarkEnd w:id="37"/>
      <w:bookmarkStart w:id="38" w:name="_Toc184314477"/>
      <w:bookmarkEnd w:id="38"/>
      <w:bookmarkStart w:id="39" w:name="_Toc184308107"/>
      <w:bookmarkEnd w:id="39"/>
      <w:bookmarkStart w:id="40" w:name="_Toc184312073"/>
      <w:bookmarkEnd w:id="40"/>
      <w:bookmarkStart w:id="41" w:name="_Toc184310328"/>
      <w:bookmarkEnd w:id="41"/>
      <w:bookmarkStart w:id="42" w:name="_Toc184308065"/>
      <w:bookmarkEnd w:id="42"/>
      <w:bookmarkStart w:id="43" w:name="_Toc184312133"/>
      <w:bookmarkEnd w:id="43"/>
      <w:bookmarkStart w:id="44" w:name="_Toc184310339"/>
      <w:bookmarkEnd w:id="44"/>
      <w:bookmarkStart w:id="45" w:name="_Toc184308050"/>
      <w:bookmarkEnd w:id="45"/>
      <w:bookmarkStart w:id="46" w:name="_Toc184314432"/>
      <w:bookmarkEnd w:id="46"/>
      <w:bookmarkStart w:id="47" w:name="_Toc184312099"/>
      <w:bookmarkEnd w:id="47"/>
      <w:bookmarkStart w:id="48" w:name="_Toc184313308"/>
      <w:bookmarkEnd w:id="48"/>
      <w:bookmarkStart w:id="49" w:name="_Toc184310283"/>
      <w:bookmarkEnd w:id="49"/>
      <w:bookmarkStart w:id="50" w:name="_Toc184313275"/>
      <w:bookmarkEnd w:id="50"/>
      <w:bookmarkStart w:id="51" w:name="_Toc184312132"/>
      <w:bookmarkEnd w:id="51"/>
      <w:bookmarkStart w:id="52" w:name="_Toc184310282"/>
      <w:bookmarkEnd w:id="52"/>
      <w:bookmarkStart w:id="53" w:name="_Toc184312075"/>
      <w:bookmarkEnd w:id="53"/>
      <w:bookmarkStart w:id="54" w:name="_Toc184310292"/>
      <w:bookmarkEnd w:id="54"/>
      <w:bookmarkStart w:id="55" w:name="_Toc184314435"/>
      <w:bookmarkEnd w:id="55"/>
      <w:bookmarkStart w:id="56" w:name="_Toc184310316"/>
      <w:bookmarkEnd w:id="56"/>
      <w:bookmarkStart w:id="57" w:name="_Toc184308061"/>
      <w:bookmarkEnd w:id="57"/>
      <w:bookmarkStart w:id="58" w:name="_Toc184312122"/>
      <w:bookmarkEnd w:id="58"/>
      <w:bookmarkStart w:id="59" w:name="_Toc184308079"/>
      <w:bookmarkEnd w:id="59"/>
      <w:bookmarkStart w:id="60" w:name="_Toc184314471"/>
      <w:bookmarkEnd w:id="60"/>
      <w:bookmarkStart w:id="61" w:name="_Toc184312123"/>
      <w:bookmarkEnd w:id="61"/>
      <w:bookmarkStart w:id="62" w:name="_Toc184312094"/>
      <w:bookmarkEnd w:id="62"/>
      <w:bookmarkStart w:id="63" w:name="_Toc184314481"/>
      <w:bookmarkEnd w:id="63"/>
      <w:bookmarkStart w:id="64" w:name="_Toc184310280"/>
      <w:bookmarkEnd w:id="64"/>
      <w:bookmarkStart w:id="65" w:name="_Toc184314426"/>
      <w:bookmarkEnd w:id="65"/>
      <w:bookmarkStart w:id="66" w:name="_Toc184314451"/>
      <w:bookmarkEnd w:id="66"/>
      <w:bookmarkStart w:id="67" w:name="_Toc184312069"/>
      <w:bookmarkEnd w:id="67"/>
      <w:bookmarkStart w:id="68" w:name="_Toc184310275"/>
      <w:bookmarkEnd w:id="68"/>
      <w:bookmarkStart w:id="69" w:name="_Toc184308066"/>
      <w:bookmarkEnd w:id="69"/>
      <w:bookmarkStart w:id="70" w:name="_Toc184312110"/>
      <w:bookmarkEnd w:id="70"/>
      <w:bookmarkStart w:id="71" w:name="_Toc184310338"/>
      <w:bookmarkEnd w:id="71"/>
      <w:bookmarkStart w:id="72" w:name="_Toc184308076"/>
      <w:bookmarkEnd w:id="72"/>
      <w:bookmarkStart w:id="73" w:name="_Toc184312071"/>
      <w:bookmarkEnd w:id="73"/>
      <w:bookmarkStart w:id="74" w:name="_Toc184313265"/>
      <w:bookmarkEnd w:id="74"/>
      <w:bookmarkStart w:id="75" w:name="_Toc184313256"/>
      <w:bookmarkEnd w:id="75"/>
      <w:bookmarkStart w:id="76" w:name="_Toc184308047"/>
      <w:bookmarkEnd w:id="76"/>
      <w:bookmarkStart w:id="77" w:name="_Toc184314482"/>
      <w:bookmarkEnd w:id="77"/>
      <w:bookmarkStart w:id="78" w:name="_Toc184310291"/>
      <w:bookmarkEnd w:id="78"/>
      <w:bookmarkStart w:id="79" w:name="_Toc184308080"/>
      <w:bookmarkEnd w:id="79"/>
      <w:bookmarkStart w:id="80" w:name="_Toc184314416"/>
      <w:bookmarkEnd w:id="80"/>
      <w:bookmarkStart w:id="81" w:name="_Toc184314429"/>
      <w:bookmarkEnd w:id="81"/>
      <w:bookmarkStart w:id="82" w:name="_Toc184313295"/>
      <w:bookmarkEnd w:id="82"/>
      <w:bookmarkStart w:id="83" w:name="_Toc184310288"/>
      <w:bookmarkEnd w:id="83"/>
      <w:bookmarkStart w:id="84" w:name="_Toc184310343"/>
      <w:bookmarkEnd w:id="84"/>
      <w:bookmarkStart w:id="85" w:name="_Toc184310320"/>
      <w:bookmarkEnd w:id="85"/>
      <w:bookmarkStart w:id="86" w:name="_Toc184314439"/>
      <w:bookmarkEnd w:id="86"/>
      <w:bookmarkStart w:id="87" w:name="_Toc184310295"/>
      <w:bookmarkEnd w:id="87"/>
      <w:bookmarkStart w:id="88" w:name="_Toc184308053"/>
      <w:bookmarkEnd w:id="88"/>
      <w:bookmarkStart w:id="89" w:name="_Toc184314458"/>
      <w:bookmarkEnd w:id="89"/>
      <w:bookmarkStart w:id="90" w:name="_Toc184314480"/>
      <w:bookmarkEnd w:id="90"/>
      <w:bookmarkStart w:id="91" w:name="_Toc184312072"/>
      <w:bookmarkEnd w:id="91"/>
      <w:bookmarkStart w:id="92" w:name="_Toc184313309"/>
      <w:bookmarkEnd w:id="92"/>
      <w:bookmarkStart w:id="93" w:name="_Toc184308041"/>
      <w:bookmarkEnd w:id="93"/>
      <w:bookmarkStart w:id="94" w:name="_Toc184313260"/>
      <w:bookmarkEnd w:id="94"/>
      <w:bookmarkStart w:id="95" w:name="_Toc184312107"/>
      <w:bookmarkEnd w:id="95"/>
      <w:bookmarkStart w:id="96" w:name="_Toc184312108"/>
      <w:bookmarkEnd w:id="96"/>
      <w:bookmarkStart w:id="97" w:name="_Toc184314479"/>
      <w:bookmarkEnd w:id="97"/>
      <w:bookmarkStart w:id="98" w:name="_Toc184314470"/>
      <w:bookmarkEnd w:id="98"/>
      <w:bookmarkStart w:id="99" w:name="_Toc184310307"/>
      <w:bookmarkEnd w:id="99"/>
      <w:bookmarkStart w:id="100" w:name="_Toc184310325"/>
      <w:bookmarkEnd w:id="100"/>
      <w:bookmarkStart w:id="101" w:name="_Toc184310313"/>
      <w:bookmarkEnd w:id="101"/>
      <w:bookmarkStart w:id="102" w:name="_Toc184314468"/>
      <w:bookmarkEnd w:id="102"/>
      <w:bookmarkStart w:id="103" w:name="_Toc184310273"/>
      <w:bookmarkEnd w:id="103"/>
      <w:bookmarkStart w:id="104" w:name="_Toc184308054"/>
      <w:bookmarkEnd w:id="104"/>
      <w:bookmarkStart w:id="105" w:name="_Toc184308044"/>
      <w:bookmarkEnd w:id="105"/>
      <w:bookmarkStart w:id="106" w:name="_Toc184314463"/>
      <w:bookmarkEnd w:id="106"/>
      <w:bookmarkStart w:id="107" w:name="_Toc184312104"/>
      <w:bookmarkEnd w:id="107"/>
      <w:bookmarkStart w:id="108" w:name="_Toc184313289"/>
      <w:bookmarkEnd w:id="108"/>
      <w:bookmarkStart w:id="109" w:name="_Toc184314411"/>
      <w:bookmarkEnd w:id="109"/>
      <w:bookmarkStart w:id="110" w:name="_Toc184314456"/>
      <w:bookmarkEnd w:id="110"/>
      <w:bookmarkStart w:id="111" w:name="_Toc184310309"/>
      <w:bookmarkEnd w:id="111"/>
      <w:bookmarkStart w:id="112" w:name="_Toc184313249"/>
      <w:bookmarkEnd w:id="112"/>
      <w:bookmarkStart w:id="113" w:name="_Toc184310285"/>
      <w:bookmarkEnd w:id="113"/>
      <w:bookmarkStart w:id="114" w:name="_Toc184310342"/>
      <w:bookmarkEnd w:id="114"/>
      <w:bookmarkStart w:id="115" w:name="_Toc184312093"/>
      <w:bookmarkEnd w:id="115"/>
      <w:bookmarkStart w:id="116" w:name="_Toc184310321"/>
      <w:bookmarkEnd w:id="116"/>
      <w:bookmarkStart w:id="117" w:name="_Toc184312119"/>
      <w:bookmarkEnd w:id="117"/>
      <w:bookmarkStart w:id="118" w:name="_Toc184314447"/>
      <w:bookmarkEnd w:id="118"/>
      <w:bookmarkStart w:id="119" w:name="_Toc184312095"/>
      <w:bookmarkEnd w:id="119"/>
      <w:bookmarkStart w:id="120" w:name="_Toc184310311"/>
      <w:bookmarkEnd w:id="120"/>
      <w:bookmarkStart w:id="121" w:name="_Toc184314420"/>
      <w:bookmarkEnd w:id="121"/>
      <w:bookmarkStart w:id="122" w:name="_Toc184313291"/>
      <w:bookmarkEnd w:id="122"/>
      <w:bookmarkStart w:id="123" w:name="_Toc184312131"/>
      <w:bookmarkEnd w:id="123"/>
      <w:bookmarkStart w:id="124" w:name="_Toc184310322"/>
      <w:bookmarkEnd w:id="124"/>
      <w:bookmarkStart w:id="125" w:name="_Toc184308078"/>
      <w:bookmarkEnd w:id="125"/>
      <w:bookmarkStart w:id="126" w:name="_Toc184312127"/>
      <w:bookmarkEnd w:id="126"/>
      <w:bookmarkStart w:id="127" w:name="_Toc184308087"/>
      <w:bookmarkEnd w:id="127"/>
      <w:bookmarkStart w:id="128" w:name="_Toc184313252"/>
      <w:bookmarkEnd w:id="128"/>
      <w:bookmarkStart w:id="129" w:name="_Toc184308074"/>
      <w:bookmarkEnd w:id="129"/>
      <w:bookmarkStart w:id="130" w:name="_Toc184312083"/>
      <w:bookmarkEnd w:id="130"/>
      <w:bookmarkStart w:id="131" w:name="_Toc184308108"/>
      <w:bookmarkEnd w:id="131"/>
      <w:bookmarkStart w:id="132" w:name="_Toc184308042"/>
      <w:bookmarkEnd w:id="132"/>
      <w:bookmarkStart w:id="133" w:name="_Toc184314442"/>
      <w:bookmarkEnd w:id="133"/>
      <w:bookmarkStart w:id="134" w:name="_Toc184313278"/>
      <w:bookmarkEnd w:id="134"/>
      <w:bookmarkStart w:id="135" w:name="_Toc184312101"/>
      <w:bookmarkEnd w:id="135"/>
      <w:bookmarkStart w:id="136" w:name="_Toc184313279"/>
      <w:bookmarkEnd w:id="136"/>
      <w:bookmarkStart w:id="137" w:name="_Toc184312109"/>
      <w:bookmarkEnd w:id="137"/>
      <w:bookmarkStart w:id="138" w:name="_Toc184310297"/>
      <w:bookmarkEnd w:id="138"/>
      <w:bookmarkStart w:id="139" w:name="_Toc184310315"/>
      <w:bookmarkEnd w:id="139"/>
      <w:bookmarkStart w:id="140" w:name="_Toc184313271"/>
      <w:bookmarkEnd w:id="140"/>
      <w:bookmarkStart w:id="141" w:name="_Toc184312124"/>
      <w:bookmarkEnd w:id="141"/>
      <w:bookmarkStart w:id="142" w:name="_Toc184310319"/>
      <w:bookmarkEnd w:id="142"/>
      <w:bookmarkStart w:id="143" w:name="_Toc184312134"/>
      <w:bookmarkEnd w:id="143"/>
      <w:bookmarkStart w:id="144" w:name="_Toc184310293"/>
      <w:bookmarkEnd w:id="144"/>
      <w:bookmarkStart w:id="145" w:name="_Toc184312076"/>
      <w:bookmarkEnd w:id="145"/>
      <w:bookmarkStart w:id="146" w:name="_Toc184313269"/>
      <w:bookmarkEnd w:id="146"/>
      <w:bookmarkStart w:id="147" w:name="_Toc184314460"/>
      <w:bookmarkEnd w:id="147"/>
      <w:bookmarkStart w:id="148" w:name="_Toc184313282"/>
      <w:bookmarkEnd w:id="148"/>
      <w:bookmarkStart w:id="149" w:name="_Toc184313297"/>
      <w:bookmarkEnd w:id="149"/>
      <w:bookmarkStart w:id="150" w:name="_Toc184314478"/>
      <w:bookmarkEnd w:id="150"/>
      <w:bookmarkStart w:id="151" w:name="_Toc184314417"/>
      <w:bookmarkEnd w:id="151"/>
      <w:bookmarkStart w:id="152" w:name="_Toc184310344"/>
      <w:bookmarkEnd w:id="152"/>
      <w:bookmarkStart w:id="153" w:name="_Toc184308090"/>
      <w:bookmarkEnd w:id="153"/>
      <w:bookmarkStart w:id="154" w:name="_Toc184308046"/>
      <w:bookmarkEnd w:id="154"/>
      <w:bookmarkStart w:id="155" w:name="_Toc184314473"/>
      <w:bookmarkEnd w:id="155"/>
      <w:bookmarkStart w:id="156" w:name="_Toc184314428"/>
      <w:bookmarkEnd w:id="156"/>
      <w:bookmarkStart w:id="157" w:name="_Toc184312137"/>
      <w:bookmarkEnd w:id="157"/>
      <w:bookmarkStart w:id="158" w:name="_Toc184313284"/>
      <w:bookmarkEnd w:id="158"/>
      <w:bookmarkStart w:id="159" w:name="_Toc184308063"/>
      <w:bookmarkEnd w:id="159"/>
      <w:bookmarkStart w:id="160" w:name="_Toc184310286"/>
      <w:bookmarkEnd w:id="160"/>
      <w:bookmarkStart w:id="161" w:name="_Toc184308093"/>
      <w:bookmarkEnd w:id="161"/>
      <w:bookmarkStart w:id="162" w:name="_Toc184308069"/>
      <w:bookmarkEnd w:id="162"/>
      <w:bookmarkStart w:id="163" w:name="_Toc184314410"/>
      <w:bookmarkEnd w:id="163"/>
      <w:bookmarkStart w:id="164" w:name="_Toc184313286"/>
      <w:bookmarkEnd w:id="164"/>
      <w:bookmarkStart w:id="165" w:name="_Toc184312089"/>
      <w:bookmarkEnd w:id="165"/>
      <w:bookmarkStart w:id="166" w:name="_Toc184313304"/>
      <w:bookmarkEnd w:id="166"/>
      <w:bookmarkStart w:id="167" w:name="_Toc184314427"/>
      <w:bookmarkEnd w:id="167"/>
      <w:bookmarkStart w:id="168" w:name="_Toc184312086"/>
      <w:bookmarkEnd w:id="168"/>
      <w:bookmarkStart w:id="169" w:name="_Toc184312118"/>
      <w:bookmarkEnd w:id="169"/>
      <w:bookmarkStart w:id="170" w:name="_Toc184312106"/>
      <w:bookmarkEnd w:id="170"/>
      <w:bookmarkStart w:id="171" w:name="_Toc184313299"/>
      <w:bookmarkEnd w:id="171"/>
      <w:bookmarkStart w:id="172" w:name="_Toc184310290"/>
      <w:bookmarkEnd w:id="172"/>
      <w:bookmarkStart w:id="173" w:name="_Toc184310304"/>
      <w:bookmarkEnd w:id="173"/>
      <w:bookmarkStart w:id="174" w:name="_Toc184310327"/>
      <w:bookmarkEnd w:id="174"/>
      <w:bookmarkStart w:id="175" w:name="_Toc184310279"/>
      <w:bookmarkEnd w:id="175"/>
      <w:bookmarkStart w:id="176" w:name="_Toc184308048"/>
      <w:bookmarkEnd w:id="176"/>
      <w:bookmarkStart w:id="177" w:name="_Toc184312087"/>
      <w:bookmarkEnd w:id="177"/>
      <w:bookmarkStart w:id="178" w:name="_Toc184308092"/>
      <w:bookmarkEnd w:id="178"/>
      <w:bookmarkStart w:id="179" w:name="_Toc184312092"/>
      <w:bookmarkEnd w:id="179"/>
      <w:bookmarkStart w:id="180" w:name="_Toc184308099"/>
      <w:bookmarkEnd w:id="180"/>
      <w:bookmarkStart w:id="181" w:name="_Toc184312116"/>
      <w:bookmarkEnd w:id="181"/>
      <w:bookmarkStart w:id="182" w:name="_Toc184313246"/>
      <w:bookmarkEnd w:id="182"/>
      <w:bookmarkStart w:id="183" w:name="_Toc184312130"/>
      <w:bookmarkEnd w:id="183"/>
      <w:bookmarkStart w:id="184" w:name="_Toc184310332"/>
      <w:bookmarkEnd w:id="184"/>
      <w:bookmarkStart w:id="185" w:name="_Toc184312100"/>
      <w:bookmarkEnd w:id="185"/>
      <w:bookmarkStart w:id="186" w:name="_Toc184310302"/>
      <w:bookmarkEnd w:id="186"/>
      <w:bookmarkStart w:id="187" w:name="_Toc184308052"/>
      <w:bookmarkEnd w:id="187"/>
      <w:bookmarkStart w:id="188" w:name="_Toc184310308"/>
      <w:bookmarkEnd w:id="188"/>
      <w:bookmarkStart w:id="189" w:name="_Toc184314461"/>
      <w:bookmarkEnd w:id="189"/>
      <w:bookmarkStart w:id="190" w:name="_Toc184314469"/>
      <w:bookmarkEnd w:id="190"/>
      <w:bookmarkStart w:id="191" w:name="_Toc184308105"/>
      <w:bookmarkEnd w:id="191"/>
      <w:bookmarkStart w:id="192" w:name="_Toc184314450"/>
      <w:bookmarkEnd w:id="192"/>
      <w:bookmarkStart w:id="193" w:name="_Toc184314436"/>
      <w:bookmarkEnd w:id="193"/>
      <w:bookmarkStart w:id="194" w:name="_Toc184312085"/>
      <w:bookmarkEnd w:id="194"/>
      <w:bookmarkStart w:id="195" w:name="_Toc184314444"/>
      <w:bookmarkEnd w:id="195"/>
      <w:bookmarkStart w:id="196" w:name="_Toc184313251"/>
      <w:bookmarkEnd w:id="196"/>
      <w:bookmarkStart w:id="197" w:name="_Toc184312135"/>
      <w:bookmarkEnd w:id="197"/>
      <w:bookmarkStart w:id="198" w:name="_Toc184314465"/>
      <w:bookmarkEnd w:id="198"/>
      <w:bookmarkStart w:id="199" w:name="_Toc184310330"/>
      <w:bookmarkEnd w:id="199"/>
      <w:bookmarkStart w:id="200" w:name="_Toc184310331"/>
      <w:bookmarkEnd w:id="200"/>
      <w:bookmarkStart w:id="201" w:name="_Toc184308100"/>
      <w:bookmarkEnd w:id="201"/>
      <w:bookmarkStart w:id="202" w:name="_Toc184310289"/>
      <w:bookmarkEnd w:id="202"/>
      <w:bookmarkStart w:id="203" w:name="_Toc184312111"/>
      <w:bookmarkEnd w:id="203"/>
      <w:bookmarkStart w:id="204" w:name="_Toc184308056"/>
      <w:bookmarkEnd w:id="204"/>
      <w:bookmarkStart w:id="205" w:name="_Toc184314431"/>
      <w:bookmarkEnd w:id="205"/>
      <w:bookmarkStart w:id="206" w:name="_Toc184308037"/>
      <w:bookmarkEnd w:id="206"/>
      <w:bookmarkStart w:id="207" w:name="_Toc184312128"/>
      <w:bookmarkEnd w:id="207"/>
      <w:bookmarkStart w:id="208" w:name="_Toc184310340"/>
      <w:bookmarkEnd w:id="208"/>
      <w:bookmarkStart w:id="209" w:name="_Toc184314414"/>
      <w:bookmarkEnd w:id="209"/>
      <w:bookmarkStart w:id="210" w:name="_Toc184314430"/>
      <w:bookmarkEnd w:id="210"/>
      <w:bookmarkStart w:id="211" w:name="_Toc184308068"/>
      <w:bookmarkEnd w:id="211"/>
      <w:bookmarkStart w:id="212" w:name="_Toc184312126"/>
      <w:bookmarkEnd w:id="212"/>
      <w:bookmarkStart w:id="213" w:name="_Toc184314438"/>
      <w:bookmarkEnd w:id="213"/>
      <w:bookmarkStart w:id="214" w:name="_Toc184314449"/>
      <w:bookmarkEnd w:id="214"/>
      <w:bookmarkStart w:id="215" w:name="_Toc184314464"/>
      <w:bookmarkEnd w:id="215"/>
      <w:bookmarkStart w:id="216" w:name="_Toc184313253"/>
      <w:bookmarkEnd w:id="216"/>
      <w:bookmarkStart w:id="217" w:name="_Toc184310333"/>
      <w:bookmarkEnd w:id="217"/>
      <w:bookmarkStart w:id="218" w:name="_Toc184314441"/>
      <w:bookmarkEnd w:id="218"/>
      <w:bookmarkStart w:id="219" w:name="_Toc184308058"/>
      <w:bookmarkEnd w:id="219"/>
      <w:bookmarkStart w:id="220" w:name="_Toc184313277"/>
      <w:bookmarkEnd w:id="220"/>
      <w:bookmarkStart w:id="221" w:name="_Toc184308051"/>
      <w:bookmarkEnd w:id="221"/>
      <w:bookmarkStart w:id="222" w:name="_Toc184313247"/>
      <w:bookmarkEnd w:id="222"/>
      <w:bookmarkStart w:id="223" w:name="_Toc184308038"/>
      <w:bookmarkEnd w:id="223"/>
      <w:bookmarkStart w:id="224" w:name="_Toc184314412"/>
      <w:bookmarkEnd w:id="224"/>
      <w:bookmarkStart w:id="225" w:name="_Toc184314455"/>
      <w:bookmarkEnd w:id="225"/>
      <w:bookmarkStart w:id="226" w:name="_Toc184313262"/>
      <w:bookmarkEnd w:id="226"/>
      <w:bookmarkStart w:id="227" w:name="_Toc184314475"/>
      <w:bookmarkEnd w:id="227"/>
      <w:bookmarkStart w:id="228" w:name="_Toc184308083"/>
      <w:bookmarkEnd w:id="228"/>
      <w:bookmarkStart w:id="229" w:name="_Toc184308070"/>
      <w:bookmarkEnd w:id="229"/>
      <w:bookmarkStart w:id="230" w:name="_Toc184314413"/>
      <w:bookmarkEnd w:id="230"/>
      <w:bookmarkStart w:id="231" w:name="_Toc184308049"/>
      <w:bookmarkEnd w:id="231"/>
      <w:bookmarkStart w:id="232" w:name="_Toc184310310"/>
      <w:bookmarkEnd w:id="232"/>
      <w:bookmarkStart w:id="233" w:name="_Toc184313285"/>
      <w:bookmarkEnd w:id="233"/>
      <w:bookmarkStart w:id="234" w:name="_Toc184308064"/>
      <w:bookmarkEnd w:id="234"/>
      <w:bookmarkStart w:id="235" w:name="_Toc184313283"/>
      <w:bookmarkEnd w:id="235"/>
      <w:bookmarkStart w:id="236" w:name="_Toc184310318"/>
      <w:bookmarkEnd w:id="236"/>
      <w:bookmarkStart w:id="237" w:name="_Toc184312080"/>
      <w:bookmarkEnd w:id="237"/>
      <w:bookmarkStart w:id="238" w:name="_Toc184313310"/>
      <w:bookmarkEnd w:id="238"/>
      <w:bookmarkStart w:id="239" w:name="_Toc184313258"/>
      <w:bookmarkEnd w:id="239"/>
      <w:bookmarkStart w:id="240" w:name="_Toc184308055"/>
      <w:bookmarkEnd w:id="240"/>
      <w:bookmarkStart w:id="241" w:name="_Toc184314415"/>
      <w:bookmarkEnd w:id="241"/>
      <w:bookmarkStart w:id="242" w:name="_Toc184312115"/>
      <w:bookmarkEnd w:id="242"/>
      <w:bookmarkStart w:id="243" w:name="_Toc184308095"/>
      <w:bookmarkEnd w:id="243"/>
      <w:bookmarkStart w:id="244" w:name="_Toc184314440"/>
      <w:bookmarkEnd w:id="244"/>
      <w:bookmarkStart w:id="245" w:name="_Toc184310296"/>
      <w:bookmarkEnd w:id="245"/>
      <w:bookmarkStart w:id="246" w:name="_Toc184308091"/>
      <w:bookmarkEnd w:id="246"/>
      <w:bookmarkStart w:id="247" w:name="_Toc184313242"/>
      <w:bookmarkEnd w:id="247"/>
      <w:bookmarkStart w:id="248" w:name="_Toc184312117"/>
      <w:bookmarkEnd w:id="248"/>
      <w:bookmarkStart w:id="249" w:name="_Toc184312121"/>
      <w:bookmarkEnd w:id="249"/>
      <w:bookmarkStart w:id="250" w:name="_Toc184310336"/>
      <w:bookmarkEnd w:id="250"/>
      <w:bookmarkStart w:id="251" w:name="_Toc184308082"/>
      <w:bookmarkEnd w:id="251"/>
      <w:bookmarkStart w:id="252" w:name="_Toc184313248"/>
      <w:bookmarkEnd w:id="252"/>
      <w:bookmarkStart w:id="253" w:name="_Toc184313280"/>
      <w:bookmarkEnd w:id="253"/>
      <w:bookmarkStart w:id="254" w:name="_Toc184314474"/>
      <w:bookmarkEnd w:id="254"/>
      <w:bookmarkStart w:id="255" w:name="_Toc184314425"/>
      <w:bookmarkEnd w:id="255"/>
      <w:bookmarkStart w:id="256" w:name="_Toc184308101"/>
      <w:bookmarkEnd w:id="256"/>
      <w:bookmarkStart w:id="257" w:name="_Toc184314466"/>
      <w:bookmarkEnd w:id="257"/>
      <w:bookmarkStart w:id="258" w:name="_Toc184308089"/>
      <w:bookmarkEnd w:id="258"/>
      <w:bookmarkStart w:id="259" w:name="_Toc184314448"/>
      <w:bookmarkEnd w:id="259"/>
      <w:bookmarkStart w:id="260" w:name="_Toc184308060"/>
      <w:bookmarkEnd w:id="260"/>
      <w:bookmarkStart w:id="261" w:name="_Toc184314422"/>
      <w:bookmarkEnd w:id="261"/>
      <w:bookmarkStart w:id="262" w:name="_Toc184310341"/>
      <w:bookmarkEnd w:id="262"/>
      <w:bookmarkStart w:id="263" w:name="_Toc184312090"/>
      <w:bookmarkEnd w:id="263"/>
      <w:bookmarkStart w:id="264" w:name="_Toc184314459"/>
      <w:bookmarkEnd w:id="264"/>
      <w:bookmarkStart w:id="265" w:name="_Toc184314433"/>
      <w:bookmarkEnd w:id="265"/>
      <w:bookmarkStart w:id="266" w:name="_Toc184312070"/>
      <w:bookmarkEnd w:id="266"/>
      <w:bookmarkStart w:id="267" w:name="_Toc184312079"/>
      <w:bookmarkEnd w:id="267"/>
      <w:bookmarkStart w:id="268" w:name="_Toc184313305"/>
      <w:bookmarkEnd w:id="268"/>
      <w:bookmarkStart w:id="269" w:name="_Toc184308098"/>
      <w:bookmarkEnd w:id="269"/>
      <w:bookmarkStart w:id="270" w:name="_Toc184308043"/>
      <w:bookmarkEnd w:id="270"/>
      <w:bookmarkStart w:id="271" w:name="_Toc184308036"/>
      <w:bookmarkEnd w:id="271"/>
      <w:bookmarkStart w:id="272" w:name="_Toc184314421"/>
      <w:bookmarkEnd w:id="272"/>
      <w:bookmarkStart w:id="273" w:name="_Toc184312113"/>
      <w:bookmarkEnd w:id="273"/>
      <w:bookmarkStart w:id="274" w:name="_Toc184312129"/>
      <w:bookmarkEnd w:id="274"/>
      <w:bookmarkStart w:id="275" w:name="_Toc184312081"/>
      <w:bookmarkEnd w:id="275"/>
      <w:bookmarkStart w:id="276" w:name="_Toc184313240"/>
      <w:bookmarkEnd w:id="276"/>
      <w:bookmarkStart w:id="277" w:name="_Toc184313264"/>
      <w:bookmarkEnd w:id="277"/>
      <w:bookmarkStart w:id="278" w:name="_Toc184308067"/>
      <w:bookmarkEnd w:id="278"/>
      <w:bookmarkStart w:id="279" w:name="_Toc184314453"/>
      <w:bookmarkEnd w:id="279"/>
      <w:bookmarkStart w:id="280" w:name="_Toc184313254"/>
      <w:bookmarkEnd w:id="280"/>
      <w:bookmarkStart w:id="281" w:name="_Toc184308071"/>
      <w:bookmarkEnd w:id="281"/>
      <w:bookmarkStart w:id="282" w:name="_Toc184308088"/>
      <w:bookmarkEnd w:id="282"/>
      <w:bookmarkStart w:id="283" w:name="_Toc184314452"/>
      <w:bookmarkEnd w:id="283"/>
      <w:bookmarkStart w:id="284" w:name="_Toc184313239"/>
      <w:bookmarkEnd w:id="284"/>
      <w:bookmarkStart w:id="285" w:name="_Toc184312139"/>
      <w:bookmarkEnd w:id="285"/>
      <w:bookmarkStart w:id="286" w:name="_Toc184314445"/>
      <w:bookmarkEnd w:id="286"/>
      <w:bookmarkStart w:id="287" w:name="_Toc184310324"/>
      <w:bookmarkEnd w:id="287"/>
      <w:bookmarkStart w:id="288" w:name="_Toc184310274"/>
      <w:bookmarkEnd w:id="288"/>
      <w:bookmarkStart w:id="289" w:name="_Toc184310334"/>
      <w:bookmarkEnd w:id="289"/>
      <w:bookmarkStart w:id="290" w:name="_Toc184313300"/>
      <w:bookmarkEnd w:id="290"/>
      <w:bookmarkStart w:id="291" w:name="_Toc184312078"/>
      <w:bookmarkEnd w:id="291"/>
      <w:bookmarkStart w:id="292" w:name="_Toc184313307"/>
      <w:bookmarkEnd w:id="292"/>
      <w:bookmarkStart w:id="293" w:name="_Toc184310312"/>
      <w:bookmarkEnd w:id="293"/>
      <w:bookmarkStart w:id="294" w:name="_Toc184313268"/>
      <w:bookmarkEnd w:id="294"/>
      <w:bookmarkStart w:id="295" w:name="_Toc184313245"/>
      <w:bookmarkEnd w:id="295"/>
      <w:bookmarkStart w:id="296" w:name="_Toc184314457"/>
      <w:bookmarkEnd w:id="296"/>
      <w:bookmarkStart w:id="297" w:name="_Toc184308039"/>
      <w:bookmarkEnd w:id="297"/>
      <w:bookmarkStart w:id="298" w:name="_Toc184308045"/>
      <w:bookmarkEnd w:id="298"/>
      <w:bookmarkStart w:id="299" w:name="_Toc184312068"/>
      <w:bookmarkEnd w:id="299"/>
      <w:bookmarkStart w:id="300" w:name="_Toc184312077"/>
      <w:bookmarkEnd w:id="300"/>
      <w:bookmarkStart w:id="301" w:name="_Toc184308059"/>
      <w:bookmarkEnd w:id="301"/>
      <w:bookmarkStart w:id="302" w:name="_Toc184312082"/>
      <w:bookmarkEnd w:id="302"/>
      <w:bookmarkStart w:id="303" w:name="_Toc184312098"/>
      <w:bookmarkEnd w:id="303"/>
      <w:bookmarkStart w:id="304" w:name="_Toc184313293"/>
      <w:bookmarkEnd w:id="304"/>
      <w:bookmarkStart w:id="305" w:name="_Toc184310326"/>
      <w:bookmarkEnd w:id="305"/>
      <w:bookmarkStart w:id="306" w:name="_Toc184314419"/>
      <w:bookmarkEnd w:id="306"/>
      <w:bookmarkStart w:id="307" w:name="_Toc184310276"/>
      <w:bookmarkEnd w:id="307"/>
      <w:bookmarkStart w:id="308" w:name="_Toc184308057"/>
      <w:bookmarkEnd w:id="308"/>
      <w:bookmarkStart w:id="309" w:name="_Toc184312138"/>
      <w:bookmarkEnd w:id="309"/>
      <w:bookmarkStart w:id="310" w:name="_Toc184308075"/>
      <w:bookmarkEnd w:id="310"/>
      <w:bookmarkStart w:id="311" w:name="_Toc184308085"/>
      <w:bookmarkEnd w:id="311"/>
      <w:bookmarkStart w:id="312" w:name="_Toc184310281"/>
      <w:bookmarkEnd w:id="312"/>
      <w:bookmarkStart w:id="313" w:name="_Toc184310284"/>
      <w:bookmarkEnd w:id="313"/>
      <w:bookmarkStart w:id="314" w:name="_Toc184313238"/>
      <w:bookmarkEnd w:id="314"/>
      <w:bookmarkStart w:id="315" w:name="_Toc184310317"/>
      <w:bookmarkEnd w:id="315"/>
      <w:bookmarkStart w:id="316" w:name="_Toc184310287"/>
      <w:bookmarkEnd w:id="316"/>
      <w:bookmarkStart w:id="317" w:name="_Toc184312136"/>
      <w:bookmarkEnd w:id="317"/>
      <w:bookmarkStart w:id="318" w:name="_Toc184314424"/>
      <w:bookmarkEnd w:id="318"/>
      <w:bookmarkStart w:id="319" w:name="_Toc184310294"/>
      <w:bookmarkEnd w:id="319"/>
      <w:bookmarkStart w:id="320" w:name="_Toc184313276"/>
      <w:bookmarkEnd w:id="320"/>
      <w:bookmarkStart w:id="321" w:name="_Toc184308097"/>
      <w:bookmarkEnd w:id="321"/>
      <w:bookmarkStart w:id="322" w:name="_Toc184308040"/>
      <w:bookmarkEnd w:id="322"/>
      <w:bookmarkStart w:id="323" w:name="_Toc184308081"/>
      <w:bookmarkEnd w:id="323"/>
      <w:bookmarkStart w:id="324" w:name="_Toc184310301"/>
      <w:bookmarkEnd w:id="324"/>
      <w:bookmarkStart w:id="325" w:name="_Toc184312088"/>
      <w:bookmarkEnd w:id="325"/>
      <w:bookmarkStart w:id="326" w:name="_Toc184308084"/>
      <w:bookmarkEnd w:id="326"/>
      <w:bookmarkStart w:id="327" w:name="_Toc184310278"/>
      <w:bookmarkEnd w:id="327"/>
      <w:bookmarkStart w:id="328" w:name="_Toc184310305"/>
      <w:bookmarkEnd w:id="328"/>
      <w:bookmarkStart w:id="329" w:name="_Toc184310277"/>
      <w:bookmarkEnd w:id="329"/>
      <w:bookmarkStart w:id="330" w:name="_Toc184312084"/>
      <w:bookmarkEnd w:id="330"/>
      <w:bookmarkStart w:id="331" w:name="_Toc184310299"/>
      <w:bookmarkEnd w:id="331"/>
      <w:bookmarkStart w:id="332" w:name="_Toc184313281"/>
      <w:bookmarkEnd w:id="332"/>
      <w:bookmarkStart w:id="333" w:name="_Toc184313306"/>
      <w:bookmarkEnd w:id="333"/>
      <w:bookmarkStart w:id="334" w:name="_Toc184308104"/>
      <w:bookmarkEnd w:id="334"/>
      <w:bookmarkStart w:id="335" w:name="_Toc184312067"/>
      <w:bookmarkEnd w:id="335"/>
      <w:bookmarkStart w:id="336" w:name="_Toc184312074"/>
      <w:bookmarkEnd w:id="336"/>
      <w:bookmarkStart w:id="337" w:name="_Toc184313272"/>
      <w:bookmarkEnd w:id="337"/>
      <w:bookmarkStart w:id="338" w:name="_Toc184308086"/>
      <w:bookmarkEnd w:id="338"/>
      <w:bookmarkStart w:id="339" w:name="_Toc184312112"/>
      <w:bookmarkEnd w:id="339"/>
      <w:bookmarkStart w:id="340" w:name="_Toc184312105"/>
      <w:bookmarkEnd w:id="340"/>
      <w:bookmarkStart w:id="341" w:name="_Toc184314462"/>
      <w:bookmarkEnd w:id="341"/>
      <w:bookmarkStart w:id="342" w:name="_Toc184313288"/>
      <w:bookmarkEnd w:id="342"/>
      <w:bookmarkStart w:id="343" w:name="_Toc184312097"/>
      <w:bookmarkEnd w:id="343"/>
      <w:bookmarkStart w:id="344" w:name="_Toc184314437"/>
      <w:bookmarkEnd w:id="344"/>
      <w:bookmarkStart w:id="345" w:name="_Toc184313273"/>
      <w:bookmarkEnd w:id="345"/>
      <w:bookmarkStart w:id="346" w:name="_Toc184312091"/>
      <w:bookmarkEnd w:id="346"/>
      <w:bookmarkStart w:id="347" w:name="_Toc184308077"/>
      <w:bookmarkEnd w:id="347"/>
      <w:bookmarkStart w:id="348" w:name="_Toc184308103"/>
      <w:bookmarkEnd w:id="348"/>
      <w:bookmarkStart w:id="349" w:name="_Toc184313259"/>
      <w:bookmarkEnd w:id="349"/>
      <w:bookmarkStart w:id="350" w:name="_Toc184313296"/>
      <w:bookmarkEnd w:id="350"/>
      <w:bookmarkStart w:id="351" w:name="_Toc184313267"/>
      <w:bookmarkEnd w:id="351"/>
      <w:bookmarkStart w:id="352" w:name="_Toc184314467"/>
      <w:bookmarkEnd w:id="352"/>
      <w:bookmarkStart w:id="353" w:name="_Toc184313270"/>
      <w:bookmarkEnd w:id="353"/>
      <w:bookmarkStart w:id="354" w:name="_Toc184312103"/>
      <w:bookmarkEnd w:id="354"/>
      <w:bookmarkStart w:id="355" w:name="_Toc184308094"/>
      <w:bookmarkEnd w:id="355"/>
      <w:bookmarkStart w:id="356" w:name="_Toc184313303"/>
      <w:bookmarkEnd w:id="356"/>
      <w:bookmarkStart w:id="357" w:name="_Toc184313266"/>
      <w:bookmarkEnd w:id="357"/>
      <w:bookmarkStart w:id="358" w:name="_Toc184313292"/>
      <w:bookmarkEnd w:id="358"/>
      <w:bookmarkStart w:id="359" w:name="_Toc184310298"/>
      <w:bookmarkEnd w:id="359"/>
      <w:bookmarkStart w:id="360" w:name="_Toc184308106"/>
      <w:bookmarkEnd w:id="360"/>
      <w:bookmarkStart w:id="361" w:name="_Toc184308096"/>
      <w:bookmarkEnd w:id="361"/>
      <w:bookmarkStart w:id="362" w:name="_Toc184310337"/>
      <w:bookmarkEnd w:id="362"/>
      <w:bookmarkStart w:id="363" w:name="_Toc184313290"/>
      <w:bookmarkEnd w:id="363"/>
      <w:bookmarkStart w:id="364" w:name="_Toc184308073"/>
      <w:bookmarkEnd w:id="364"/>
      <w:bookmarkStart w:id="365" w:name="_Toc184312102"/>
      <w:bookmarkEnd w:id="365"/>
      <w:bookmarkStart w:id="366" w:name="_Toc184313241"/>
      <w:bookmarkEnd w:id="366"/>
      <w:bookmarkStart w:id="367" w:name="_Toc184312125"/>
      <w:bookmarkEnd w:id="367"/>
      <w:bookmarkStart w:id="368" w:name="_Toc184310306"/>
      <w:bookmarkEnd w:id="368"/>
      <w:bookmarkStart w:id="369" w:name="_Toc184313298"/>
      <w:bookmarkEnd w:id="369"/>
      <w:bookmarkStart w:id="370" w:name="_Toc184308102"/>
      <w:bookmarkEnd w:id="370"/>
      <w:bookmarkStart w:id="371" w:name="_Toc184313294"/>
      <w:bookmarkEnd w:id="371"/>
      <w:bookmarkStart w:id="372" w:name="_Toc184310323"/>
      <w:bookmarkEnd w:id="372"/>
      <w:bookmarkStart w:id="373" w:name="_Toc184310300"/>
      <w:bookmarkEnd w:id="373"/>
      <w:bookmarkStart w:id="374" w:name="_Toc184313302"/>
      <w:bookmarkEnd w:id="374"/>
      <w:bookmarkStart w:id="375" w:name="_Toc184314446"/>
      <w:bookmarkEnd w:id="375"/>
      <w:bookmarkStart w:id="376" w:name="_Toc184312096"/>
      <w:bookmarkEnd w:id="376"/>
      <w:bookmarkStart w:id="377" w:name="_Toc184310272"/>
      <w:bookmarkEnd w:id="377"/>
      <w:bookmarkStart w:id="378" w:name="_Toc184313250"/>
      <w:bookmarkEnd w:id="378"/>
      <w:bookmarkStart w:id="379" w:name="_Toc184314418"/>
      <w:bookmarkEnd w:id="379"/>
      <w:bookmarkStart w:id="380" w:name="_Toc184313263"/>
      <w:bookmarkEnd w:id="380"/>
      <w:bookmarkStart w:id="381" w:name="_Toc184313274"/>
      <w:bookmarkEnd w:id="381"/>
      <w:bookmarkStart w:id="382" w:name="_Toc184314423"/>
      <w:bookmarkEnd w:id="382"/>
      <w:bookmarkStart w:id="383" w:name="_Toc184314476"/>
      <w:bookmarkEnd w:id="383"/>
      <w:bookmarkStart w:id="384" w:name="_Toc184313301"/>
      <w:bookmarkEnd w:id="384"/>
      <w:bookmarkStart w:id="385" w:name="_Toc184313257"/>
      <w:bookmarkEnd w:id="385"/>
      <w:bookmarkStart w:id="386" w:name="_Toc184310335"/>
      <w:bookmarkEnd w:id="386"/>
      <w:bookmarkStart w:id="387" w:name="_Toc184312120"/>
      <w:bookmarkEnd w:id="387"/>
      <w:bookmarkStart w:id="388" w:name="_Toc184310329"/>
      <w:bookmarkEnd w:id="388"/>
      <w:bookmarkStart w:id="389" w:name="_Toc184312114"/>
      <w:bookmarkEnd w:id="389"/>
      <w:bookmarkStart w:id="390" w:name="_Toc184313261"/>
      <w:bookmarkEnd w:id="390"/>
      <w:bookmarkStart w:id="391" w:name="_Toc184314454"/>
      <w:bookmarkEnd w:id="391"/>
      <w:bookmarkStart w:id="392" w:name="_Toc184313244"/>
      <w:bookmarkEnd w:id="392"/>
      <w:bookmarkStart w:id="393" w:name="_Toc184313287"/>
      <w:bookmarkEnd w:id="393"/>
      <w:r>
        <w:rPr>
          <w:rFonts w:hint="eastAsia" w:ascii="宋体" w:hAnsi="宋体" w:cs="宋体"/>
          <w:b/>
          <w:color w:val="auto"/>
          <w:sz w:val="36"/>
          <w:szCs w:val="36"/>
          <w:highlight w:val="none"/>
        </w:rPr>
        <w:t>评标办法</w:t>
      </w:r>
    </w:p>
    <w:p w14:paraId="58769840">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0" w:type="auto"/>
        <w:tblInd w:w="-2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5891"/>
        <w:gridCol w:w="730"/>
        <w:gridCol w:w="940"/>
        <w:gridCol w:w="1310"/>
      </w:tblGrid>
      <w:tr w14:paraId="670ED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1C3E724B">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序号</w:t>
            </w:r>
          </w:p>
        </w:tc>
        <w:tc>
          <w:tcPr>
            <w:tcW w:w="5891" w:type="dxa"/>
            <w:vAlign w:val="center"/>
          </w:tcPr>
          <w:p w14:paraId="1BBB4403">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评标标准</w:t>
            </w:r>
          </w:p>
        </w:tc>
        <w:tc>
          <w:tcPr>
            <w:tcW w:w="730" w:type="dxa"/>
            <w:vAlign w:val="center"/>
          </w:tcPr>
          <w:p w14:paraId="1AECEC9A">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权重</w:t>
            </w:r>
          </w:p>
        </w:tc>
        <w:tc>
          <w:tcPr>
            <w:tcW w:w="940" w:type="dxa"/>
            <w:vAlign w:val="center"/>
          </w:tcPr>
          <w:p w14:paraId="15807133">
            <w:pPr>
              <w:wordWrap w:val="0"/>
              <w:snapToGrid w:val="0"/>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主观分/客观分属性</w:t>
            </w:r>
          </w:p>
        </w:tc>
        <w:tc>
          <w:tcPr>
            <w:tcW w:w="1310" w:type="dxa"/>
          </w:tcPr>
          <w:p w14:paraId="657EAFF2">
            <w:pPr>
              <w:wordWrap w:val="0"/>
              <w:snapToGrid w:val="0"/>
              <w:jc w:val="center"/>
              <w:rPr>
                <w:rFonts w:hint="eastAsia" w:ascii="宋体" w:hAnsi="宋体" w:cs="宋体"/>
                <w:color w:val="auto"/>
                <w:sz w:val="22"/>
                <w:szCs w:val="22"/>
                <w:highlight w:val="none"/>
              </w:rPr>
            </w:pPr>
            <w:r>
              <w:rPr>
                <w:rFonts w:hint="eastAsia" w:ascii="宋体" w:hAnsi="宋体" w:cs="宋体"/>
                <w:bCs/>
                <w:color w:val="auto"/>
                <w:sz w:val="22"/>
                <w:szCs w:val="22"/>
                <w:highlight w:val="none"/>
              </w:rPr>
              <w:t>投标文件中评标标准相应的商务技术资料目录</w:t>
            </w:r>
          </w:p>
        </w:tc>
      </w:tr>
      <w:tr w14:paraId="62E39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315B6687">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1</w:t>
            </w:r>
          </w:p>
        </w:tc>
        <w:tc>
          <w:tcPr>
            <w:tcW w:w="5891" w:type="dxa"/>
            <w:vAlign w:val="center"/>
          </w:tcPr>
          <w:p w14:paraId="2215B1D7">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管理体系认证：供应商（联合体投标的指任一成员）具有有效期内的质量管理体系认证、环境管理体系认证和职业健康管理体系认证证书的每个得1分，最高得3分。</w:t>
            </w:r>
          </w:p>
          <w:p w14:paraId="413C464C">
            <w:pPr>
              <w:wordWrap w:val="0"/>
              <w:snapToGrid w:val="0"/>
              <w:spacing w:line="360" w:lineRule="auto"/>
              <w:rPr>
                <w:rFonts w:hint="eastAsia" w:ascii="宋体" w:hAnsi="宋体" w:cs="宋体"/>
                <w:color w:val="auto"/>
                <w:sz w:val="22"/>
                <w:szCs w:val="22"/>
                <w:highlight w:val="none"/>
              </w:rPr>
            </w:pPr>
            <w:r>
              <w:rPr>
                <w:rFonts w:hint="eastAsia" w:asciiTheme="minorEastAsia" w:hAnsiTheme="minorEastAsia" w:eastAsiaTheme="minorEastAsia" w:cstheme="minorEastAsia"/>
                <w:color w:val="auto"/>
                <w:sz w:val="22"/>
                <w:szCs w:val="22"/>
                <w:highlight w:val="none"/>
              </w:rPr>
              <w:t>证明材料：</w:t>
            </w:r>
            <w:r>
              <w:rPr>
                <w:rFonts w:hint="eastAsia" w:ascii="宋体" w:hAnsi="宋体" w:cs="宋体"/>
                <w:color w:val="auto"/>
                <w:sz w:val="22"/>
                <w:szCs w:val="22"/>
                <w:highlight w:val="none"/>
              </w:rPr>
              <w:t>提供有效期内的管理体系认证证书扫描件及全国认证认可信息公共服务平（http://cx.cnca.cn/）查询截图，不符合以上条件不得分。</w:t>
            </w:r>
          </w:p>
        </w:tc>
        <w:tc>
          <w:tcPr>
            <w:tcW w:w="730" w:type="dxa"/>
            <w:vAlign w:val="center"/>
          </w:tcPr>
          <w:p w14:paraId="2F7E1B2C">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w:t>
            </w:r>
          </w:p>
        </w:tc>
        <w:tc>
          <w:tcPr>
            <w:tcW w:w="940" w:type="dxa"/>
            <w:vAlign w:val="center"/>
          </w:tcPr>
          <w:p w14:paraId="2AA86695">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客观分</w:t>
            </w:r>
          </w:p>
        </w:tc>
        <w:tc>
          <w:tcPr>
            <w:tcW w:w="1310" w:type="dxa"/>
          </w:tcPr>
          <w:p w14:paraId="49C30A1F">
            <w:pPr>
              <w:wordWrap w:val="0"/>
              <w:snapToGrid w:val="0"/>
              <w:spacing w:line="360" w:lineRule="auto"/>
              <w:jc w:val="center"/>
              <w:rPr>
                <w:rFonts w:hint="eastAsia" w:ascii="宋体" w:hAnsi="宋体" w:cs="宋体"/>
                <w:color w:val="auto"/>
                <w:sz w:val="22"/>
                <w:szCs w:val="22"/>
                <w:highlight w:val="none"/>
              </w:rPr>
            </w:pPr>
          </w:p>
        </w:tc>
      </w:tr>
      <w:tr w14:paraId="5876A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246B47EF">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2</w:t>
            </w:r>
          </w:p>
        </w:tc>
        <w:tc>
          <w:tcPr>
            <w:tcW w:w="5891" w:type="dxa"/>
            <w:vAlign w:val="center"/>
          </w:tcPr>
          <w:p w14:paraId="3139D091">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企业业绩：</w:t>
            </w:r>
          </w:p>
          <w:p w14:paraId="3E5D75F4">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联合体投标的：供应商（任一成员）自2022年1月1日（以验收时间为准）以来完成过类似生态清淤业绩，每具有一个业绩得0.25分，每个成员最高得0.5分，本项最高得1分。</w:t>
            </w:r>
          </w:p>
          <w:p w14:paraId="530C7B20">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非联合体投标的：供应商自2022年1月1日（以验收时间为准）以来具有完成过类似生态清淤业绩，每具有一个业绩得0.5分，最高得1分。</w:t>
            </w:r>
          </w:p>
          <w:p w14:paraId="14BD38FE">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证明材料提供合同和竣工验收证书证明。提供的业绩是联合体业绩的，则另提供联合体协议书，投标人须在业绩中担任牵头人。</w:t>
            </w:r>
          </w:p>
        </w:tc>
        <w:tc>
          <w:tcPr>
            <w:tcW w:w="730" w:type="dxa"/>
            <w:vAlign w:val="center"/>
          </w:tcPr>
          <w:p w14:paraId="33A41D6F">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w:t>
            </w:r>
          </w:p>
        </w:tc>
        <w:tc>
          <w:tcPr>
            <w:tcW w:w="940" w:type="dxa"/>
            <w:vAlign w:val="center"/>
          </w:tcPr>
          <w:p w14:paraId="7B9DF0FC">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客观分</w:t>
            </w:r>
          </w:p>
        </w:tc>
        <w:tc>
          <w:tcPr>
            <w:tcW w:w="1310" w:type="dxa"/>
          </w:tcPr>
          <w:p w14:paraId="7D31254F">
            <w:pPr>
              <w:wordWrap w:val="0"/>
              <w:snapToGrid w:val="0"/>
              <w:spacing w:line="360" w:lineRule="auto"/>
              <w:jc w:val="center"/>
              <w:rPr>
                <w:rFonts w:hint="eastAsia" w:ascii="宋体" w:hAnsi="宋体" w:cs="宋体"/>
                <w:color w:val="auto"/>
                <w:sz w:val="22"/>
                <w:szCs w:val="22"/>
                <w:highlight w:val="none"/>
              </w:rPr>
            </w:pPr>
          </w:p>
        </w:tc>
      </w:tr>
      <w:tr w14:paraId="0D61C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8" w:hRule="atLeast"/>
        </w:trPr>
        <w:tc>
          <w:tcPr>
            <w:tcW w:w="700" w:type="dxa"/>
            <w:vAlign w:val="center"/>
          </w:tcPr>
          <w:p w14:paraId="111782F7">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3</w:t>
            </w:r>
          </w:p>
        </w:tc>
        <w:tc>
          <w:tcPr>
            <w:tcW w:w="5891" w:type="dxa"/>
            <w:vAlign w:val="center"/>
          </w:tcPr>
          <w:p w14:paraId="5B40F37C">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企业管理制度：供应商（联合体投标的指所有成员）管理制度（包括质量管理制度、安全管理制度、岗位责任考核制度、考勤制度等相关规章制度）的完善性进行综合评分，管理制度制定明确，完善性、可行性强得5分；管理制度制定一般，完善性、可行性一般，得3分；有管理制度制定，无明确的可行性的得1分，最高得5分。</w:t>
            </w:r>
          </w:p>
        </w:tc>
        <w:tc>
          <w:tcPr>
            <w:tcW w:w="730" w:type="dxa"/>
            <w:vAlign w:val="center"/>
          </w:tcPr>
          <w:p w14:paraId="67EB5DF9">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940" w:type="dxa"/>
            <w:vAlign w:val="center"/>
          </w:tcPr>
          <w:p w14:paraId="54FDA594">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主观分</w:t>
            </w:r>
          </w:p>
        </w:tc>
        <w:tc>
          <w:tcPr>
            <w:tcW w:w="1310" w:type="dxa"/>
          </w:tcPr>
          <w:p w14:paraId="64BB7DD9">
            <w:pPr>
              <w:wordWrap w:val="0"/>
              <w:snapToGrid w:val="0"/>
              <w:spacing w:line="360" w:lineRule="auto"/>
              <w:jc w:val="center"/>
              <w:rPr>
                <w:rFonts w:hint="eastAsia" w:ascii="宋体" w:hAnsi="宋体" w:cs="宋体"/>
                <w:color w:val="auto"/>
                <w:sz w:val="22"/>
                <w:szCs w:val="22"/>
                <w:highlight w:val="none"/>
              </w:rPr>
            </w:pPr>
          </w:p>
        </w:tc>
      </w:tr>
      <w:tr w14:paraId="36F07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04E472CA">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4</w:t>
            </w:r>
          </w:p>
        </w:tc>
        <w:tc>
          <w:tcPr>
            <w:tcW w:w="5891" w:type="dxa"/>
            <w:vAlign w:val="center"/>
          </w:tcPr>
          <w:p w14:paraId="2CB98F3D">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清淤作业服务方案：针对本项目的服务目标和实际特点，制定科学合理的清淤作业服务方案（现状调查、实施组织及技术措施、水体扰动控制、噪声控制、水质检测、淤泥检测、进度计划、安全文明措施、应急预案等方面）。</w:t>
            </w:r>
          </w:p>
          <w:p w14:paraId="78608237">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（1）现状调查方案切合实际、具有较强的可行性得5分；基本合理可行得3分；方案有明显不足的得1分，未提及的不得分；</w:t>
            </w:r>
          </w:p>
          <w:p w14:paraId="2FC4E536">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（2）实施组织及技术措施满足采购需求、合理可行得5分；基本合理可行得3分；方案有明显不足的得1分，未提及的不得分；</w:t>
            </w:r>
          </w:p>
          <w:p w14:paraId="3E07A661">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（3）环境影响（水体扰动、噪声）控制方案满足采购需求、合理可行得4分；基本合理可行得2分；方案有明显不足的得1分，未提及的不得分；</w:t>
            </w:r>
          </w:p>
          <w:p w14:paraId="44E9C176">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（4）水质检测、淤泥检测方案满足采购需求、合理可行得3分；基本合理可行得2分；方案有明显不足的得1分，未提及的不得分；</w:t>
            </w:r>
          </w:p>
          <w:p w14:paraId="47303D58">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（5）进度计划方案满足采购需求、合理可行得3分；基本合理可行得2分；方案有明显不足的得1分，未提及的不得分；</w:t>
            </w:r>
          </w:p>
          <w:p w14:paraId="1E9CCE24">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（6）安全文明措施满足采购需求、合理可行得3分；基本合理可行得2分；方案有明显不足的得1分，未提及的不得分；</w:t>
            </w:r>
          </w:p>
          <w:p w14:paraId="16E69769">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（7）应急预案方案全面、合理可行得3分；基本全面、合理可行得2分；方案有明显不足的得1分，未提及的不得分；</w:t>
            </w:r>
          </w:p>
          <w:p w14:paraId="06217F76">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（8）本项目河道清淤承诺采用水上一体化作业（挖泥、筛分、干化）的，得2分。（需提供承诺书，格式自拟）</w:t>
            </w:r>
          </w:p>
        </w:tc>
        <w:tc>
          <w:tcPr>
            <w:tcW w:w="730" w:type="dxa"/>
            <w:vAlign w:val="center"/>
          </w:tcPr>
          <w:p w14:paraId="15AA9C65">
            <w:pPr>
              <w:wordWrap w:val="0"/>
              <w:snapToGrid w:val="0"/>
              <w:spacing w:line="360" w:lineRule="auto"/>
              <w:jc w:val="center"/>
              <w:rPr>
                <w:rFonts w:hint="eastAsia" w:ascii="宋体" w:hAnsi="宋体" w:cs="宋体"/>
                <w:color w:val="auto"/>
                <w:sz w:val="22"/>
                <w:szCs w:val="22"/>
                <w:highlight w:val="none"/>
              </w:rPr>
            </w:pPr>
          </w:p>
          <w:p w14:paraId="2F70F2BD">
            <w:pPr>
              <w:wordWrap w:val="0"/>
              <w:snapToGrid w:val="0"/>
              <w:spacing w:line="360" w:lineRule="auto"/>
              <w:jc w:val="center"/>
              <w:rPr>
                <w:rFonts w:hint="eastAsia" w:ascii="宋体" w:hAnsi="宋体" w:cs="宋体"/>
                <w:color w:val="auto"/>
                <w:sz w:val="22"/>
                <w:szCs w:val="22"/>
                <w:highlight w:val="none"/>
              </w:rPr>
            </w:pPr>
          </w:p>
          <w:p w14:paraId="494A7A9B">
            <w:pPr>
              <w:wordWrap w:val="0"/>
              <w:snapToGrid w:val="0"/>
              <w:spacing w:line="360" w:lineRule="auto"/>
              <w:jc w:val="center"/>
              <w:rPr>
                <w:rFonts w:hint="eastAsia" w:ascii="宋体" w:hAnsi="宋体" w:cs="宋体"/>
                <w:color w:val="auto"/>
                <w:sz w:val="22"/>
                <w:szCs w:val="22"/>
                <w:highlight w:val="none"/>
              </w:rPr>
            </w:pPr>
          </w:p>
          <w:p w14:paraId="68390CC9">
            <w:pPr>
              <w:wordWrap w:val="0"/>
              <w:snapToGrid w:val="0"/>
              <w:spacing w:line="360" w:lineRule="auto"/>
              <w:jc w:val="center"/>
              <w:rPr>
                <w:rFonts w:hint="eastAsia" w:ascii="宋体" w:hAnsi="宋体" w:cs="宋体"/>
                <w:color w:val="auto"/>
                <w:sz w:val="22"/>
                <w:szCs w:val="22"/>
                <w:highlight w:val="none"/>
              </w:rPr>
            </w:pPr>
          </w:p>
          <w:p w14:paraId="0F182357">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28</w:t>
            </w:r>
          </w:p>
        </w:tc>
        <w:tc>
          <w:tcPr>
            <w:tcW w:w="940" w:type="dxa"/>
            <w:vAlign w:val="center"/>
          </w:tcPr>
          <w:p w14:paraId="22A7A78C">
            <w:pPr>
              <w:wordWrap w:val="0"/>
              <w:snapToGrid w:val="0"/>
              <w:spacing w:line="360" w:lineRule="auto"/>
              <w:jc w:val="center"/>
              <w:rPr>
                <w:rFonts w:hint="eastAsia" w:ascii="宋体" w:hAnsi="宋体" w:cs="宋体"/>
                <w:color w:val="auto"/>
                <w:sz w:val="22"/>
                <w:szCs w:val="22"/>
                <w:highlight w:val="none"/>
              </w:rPr>
            </w:pPr>
          </w:p>
          <w:p w14:paraId="793841BB">
            <w:pPr>
              <w:wordWrap w:val="0"/>
              <w:snapToGrid w:val="0"/>
              <w:spacing w:line="360" w:lineRule="auto"/>
              <w:jc w:val="center"/>
              <w:rPr>
                <w:rFonts w:hint="eastAsia" w:ascii="宋体" w:hAnsi="宋体" w:cs="宋体"/>
                <w:color w:val="auto"/>
                <w:sz w:val="22"/>
                <w:szCs w:val="22"/>
                <w:highlight w:val="none"/>
              </w:rPr>
            </w:pPr>
          </w:p>
          <w:p w14:paraId="4D51A66C">
            <w:pPr>
              <w:wordWrap w:val="0"/>
              <w:snapToGrid w:val="0"/>
              <w:spacing w:line="360" w:lineRule="auto"/>
              <w:jc w:val="center"/>
              <w:rPr>
                <w:rFonts w:hint="eastAsia" w:ascii="宋体" w:hAnsi="宋体" w:cs="宋体"/>
                <w:color w:val="auto"/>
                <w:sz w:val="22"/>
                <w:szCs w:val="22"/>
                <w:highlight w:val="none"/>
              </w:rPr>
            </w:pPr>
          </w:p>
          <w:p w14:paraId="7C31905D">
            <w:pPr>
              <w:wordWrap w:val="0"/>
              <w:snapToGrid w:val="0"/>
              <w:spacing w:line="360" w:lineRule="auto"/>
              <w:jc w:val="center"/>
              <w:rPr>
                <w:rFonts w:hint="eastAsia" w:ascii="宋体" w:hAnsi="宋体" w:cs="宋体"/>
                <w:color w:val="auto"/>
                <w:sz w:val="22"/>
                <w:szCs w:val="22"/>
                <w:highlight w:val="none"/>
              </w:rPr>
            </w:pPr>
          </w:p>
          <w:p w14:paraId="3E2C41B2">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主观分</w:t>
            </w:r>
          </w:p>
        </w:tc>
        <w:tc>
          <w:tcPr>
            <w:tcW w:w="1310" w:type="dxa"/>
          </w:tcPr>
          <w:p w14:paraId="72749A16">
            <w:pPr>
              <w:wordWrap w:val="0"/>
              <w:snapToGrid w:val="0"/>
              <w:spacing w:line="360" w:lineRule="auto"/>
              <w:jc w:val="center"/>
              <w:rPr>
                <w:rFonts w:hint="eastAsia" w:ascii="宋体" w:hAnsi="宋体" w:cs="宋体"/>
                <w:color w:val="auto"/>
                <w:sz w:val="22"/>
                <w:szCs w:val="22"/>
                <w:highlight w:val="none"/>
              </w:rPr>
            </w:pPr>
          </w:p>
        </w:tc>
      </w:tr>
      <w:tr w14:paraId="1076E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2285AB17">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5</w:t>
            </w:r>
          </w:p>
        </w:tc>
        <w:tc>
          <w:tcPr>
            <w:tcW w:w="5891" w:type="dxa"/>
            <w:vAlign w:val="center"/>
          </w:tcPr>
          <w:p w14:paraId="2CF855EA">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淤泥干化及外运处置方案：针对本项目提供淤泥干化及外运处置方案（干化技术方案、运输过程、消纳处置方案等方面）。</w:t>
            </w:r>
          </w:p>
          <w:p w14:paraId="12DF2D92">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（1）干化技术方案满足采购需求、科学合理得5分；基本满足采购需求、具有可行性得3分；技术方案与采购需求有较大偏差得1分；方案不切实际、不具备可行性或无方案得0分；</w:t>
            </w:r>
          </w:p>
          <w:p w14:paraId="20FAB57D">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（2）运输过程管理方案满足采购需求、科学合理得5分；基本满足采购需求、具有可行性得3分；技术方案与采购需求有较大偏差得1分；方案不切实际、不具备可行性或无方案得0分；</w:t>
            </w:r>
          </w:p>
          <w:p w14:paraId="60299CF7">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（3）消纳处置方案满足采购需求、科学合理得5分；基本满足采购需求、具有可行性得3分；技术方案与采购需求有较大偏差得1分；方案不切实际、不具备可行性或无方案得0分。</w:t>
            </w:r>
          </w:p>
        </w:tc>
        <w:tc>
          <w:tcPr>
            <w:tcW w:w="730" w:type="dxa"/>
            <w:vAlign w:val="center"/>
          </w:tcPr>
          <w:p w14:paraId="69CE64C6">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15</w:t>
            </w:r>
          </w:p>
        </w:tc>
        <w:tc>
          <w:tcPr>
            <w:tcW w:w="940" w:type="dxa"/>
            <w:vAlign w:val="center"/>
          </w:tcPr>
          <w:p w14:paraId="2B4503BB">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主观分</w:t>
            </w:r>
          </w:p>
        </w:tc>
        <w:tc>
          <w:tcPr>
            <w:tcW w:w="1310" w:type="dxa"/>
          </w:tcPr>
          <w:p w14:paraId="25CF6A4F">
            <w:pPr>
              <w:wordWrap w:val="0"/>
              <w:snapToGrid w:val="0"/>
              <w:spacing w:line="360" w:lineRule="auto"/>
              <w:jc w:val="center"/>
              <w:rPr>
                <w:rFonts w:hint="eastAsia" w:ascii="宋体" w:hAnsi="宋体" w:cs="宋体"/>
                <w:color w:val="auto"/>
                <w:sz w:val="22"/>
                <w:szCs w:val="22"/>
                <w:highlight w:val="none"/>
              </w:rPr>
            </w:pPr>
          </w:p>
        </w:tc>
      </w:tr>
      <w:tr w14:paraId="5275A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5106EA5F">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6</w:t>
            </w:r>
          </w:p>
        </w:tc>
        <w:tc>
          <w:tcPr>
            <w:tcW w:w="5891" w:type="dxa"/>
            <w:vAlign w:val="center"/>
          </w:tcPr>
          <w:p w14:paraId="0A29302F">
            <w:pPr>
              <w:pStyle w:val="19"/>
              <w:spacing w:line="360" w:lineRule="auto"/>
              <w:rPr>
                <w:color w:val="auto"/>
                <w:sz w:val="22"/>
                <w:szCs w:val="22"/>
                <w:highlight w:val="none"/>
              </w:rPr>
            </w:pPr>
            <w:r>
              <w:rPr>
                <w:rFonts w:hint="eastAsia" w:ascii="宋体" w:hAnsi="宋体" w:cs="宋体"/>
                <w:color w:val="auto"/>
                <w:sz w:val="22"/>
                <w:szCs w:val="22"/>
                <w:highlight w:val="none"/>
              </w:rPr>
              <w:t>淤泥资源化利用渠道保障性：本项目鼓励淤泥资源化利用，供应商应针对本项目淤泥检测指标拟定各种资源化利用方式并提供渠道保障，供应商承诺</w:t>
            </w:r>
            <w:r>
              <w:rPr>
                <w:rFonts w:hint="eastAsia"/>
                <w:color w:val="auto"/>
                <w:sz w:val="22"/>
                <w:szCs w:val="22"/>
                <w:highlight w:val="none"/>
              </w:rPr>
              <w:t>按</w:t>
            </w:r>
            <w:r>
              <w:rPr>
                <w:rFonts w:hint="eastAsia" w:ascii="宋体" w:hAnsi="宋体" w:cs="宋体"/>
                <w:color w:val="auto"/>
                <w:sz w:val="22"/>
                <w:szCs w:val="22"/>
                <w:highlight w:val="none"/>
              </w:rPr>
              <w:t>资源化利用方式</w:t>
            </w:r>
            <w:r>
              <w:rPr>
                <w:rFonts w:hint="eastAsia"/>
                <w:color w:val="auto"/>
                <w:sz w:val="22"/>
                <w:szCs w:val="22"/>
                <w:highlight w:val="none"/>
              </w:rPr>
              <w:t>处理淤泥量（干泥量）3000方及以上</w:t>
            </w:r>
            <w:r>
              <w:rPr>
                <w:rFonts w:hint="eastAsia" w:ascii="宋体" w:hAnsi="宋体" w:cs="宋体"/>
                <w:color w:val="auto"/>
                <w:sz w:val="22"/>
                <w:szCs w:val="22"/>
                <w:highlight w:val="none"/>
              </w:rPr>
              <w:t>得6分；承诺</w:t>
            </w:r>
            <w:r>
              <w:rPr>
                <w:rFonts w:hint="eastAsia"/>
                <w:color w:val="auto"/>
                <w:sz w:val="22"/>
                <w:szCs w:val="22"/>
                <w:highlight w:val="none"/>
              </w:rPr>
              <w:t>按</w:t>
            </w:r>
            <w:r>
              <w:rPr>
                <w:rFonts w:hint="eastAsia" w:ascii="宋体" w:hAnsi="宋体" w:cs="宋体"/>
                <w:color w:val="auto"/>
                <w:sz w:val="22"/>
                <w:szCs w:val="22"/>
                <w:highlight w:val="none"/>
              </w:rPr>
              <w:t>资源化利用方式</w:t>
            </w:r>
            <w:r>
              <w:rPr>
                <w:rFonts w:hint="eastAsia"/>
                <w:color w:val="auto"/>
                <w:sz w:val="22"/>
                <w:szCs w:val="22"/>
                <w:highlight w:val="none"/>
              </w:rPr>
              <w:t>处理淤泥量（干泥量）2000方及以上</w:t>
            </w:r>
            <w:r>
              <w:rPr>
                <w:rFonts w:hint="eastAsia" w:ascii="宋体" w:hAnsi="宋体" w:cs="宋体"/>
                <w:color w:val="auto"/>
                <w:sz w:val="22"/>
                <w:szCs w:val="22"/>
                <w:highlight w:val="none"/>
              </w:rPr>
              <w:t>得4分；承诺</w:t>
            </w:r>
            <w:r>
              <w:rPr>
                <w:rFonts w:hint="eastAsia"/>
                <w:color w:val="auto"/>
                <w:sz w:val="22"/>
                <w:szCs w:val="22"/>
                <w:highlight w:val="none"/>
              </w:rPr>
              <w:t>按</w:t>
            </w:r>
            <w:r>
              <w:rPr>
                <w:rFonts w:hint="eastAsia" w:ascii="宋体" w:hAnsi="宋体" w:cs="宋体"/>
                <w:color w:val="auto"/>
                <w:sz w:val="22"/>
                <w:szCs w:val="22"/>
                <w:highlight w:val="none"/>
              </w:rPr>
              <w:t>资源化利用方式</w:t>
            </w:r>
            <w:r>
              <w:rPr>
                <w:rFonts w:hint="eastAsia"/>
                <w:color w:val="auto"/>
                <w:sz w:val="22"/>
                <w:szCs w:val="22"/>
                <w:highlight w:val="none"/>
              </w:rPr>
              <w:t>处理淤泥量（干泥量）1000方及以上</w:t>
            </w:r>
            <w:r>
              <w:rPr>
                <w:rFonts w:hint="eastAsia" w:ascii="宋体" w:hAnsi="宋体" w:cs="宋体"/>
                <w:color w:val="auto"/>
                <w:sz w:val="22"/>
                <w:szCs w:val="22"/>
                <w:highlight w:val="none"/>
              </w:rPr>
              <w:t>得2分，其他不得分；</w:t>
            </w:r>
          </w:p>
          <w:p w14:paraId="233BF16E">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注：提供承诺书（格式详见招标文件</w:t>
            </w:r>
            <w:r>
              <w:rPr>
                <w:rFonts w:hint="eastAsia" w:ascii="宋体" w:hAnsi="宋体" w:cs="宋体"/>
                <w:color w:val="auto"/>
                <w:sz w:val="22"/>
                <w:szCs w:val="22"/>
                <w:highlight w:val="none"/>
                <w:lang w:val="en-US" w:eastAsia="zh-CN"/>
              </w:rPr>
              <w:t>承诺书</w:t>
            </w:r>
            <w:r>
              <w:rPr>
                <w:rFonts w:hint="eastAsia" w:ascii="宋体" w:hAnsi="宋体" w:cs="宋体"/>
                <w:color w:val="auto"/>
                <w:sz w:val="22"/>
                <w:szCs w:val="22"/>
                <w:highlight w:val="none"/>
              </w:rPr>
              <w:t>三）、资源化利用企业的合作协议或合作意向书（协议或合作意向书需体现承诺的干泥方量及资源利用化方式）、资源化利用企业营业执照。</w:t>
            </w:r>
          </w:p>
          <w:p w14:paraId="34EBC760">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联合体投标的，合作协议可由联合体投标任一成员提供。</w:t>
            </w:r>
          </w:p>
        </w:tc>
        <w:tc>
          <w:tcPr>
            <w:tcW w:w="730" w:type="dxa"/>
            <w:vAlign w:val="center"/>
          </w:tcPr>
          <w:p w14:paraId="3271A989">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6</w:t>
            </w:r>
          </w:p>
        </w:tc>
        <w:tc>
          <w:tcPr>
            <w:tcW w:w="940" w:type="dxa"/>
            <w:vAlign w:val="center"/>
          </w:tcPr>
          <w:p w14:paraId="48811F94">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客观分</w:t>
            </w:r>
          </w:p>
        </w:tc>
        <w:tc>
          <w:tcPr>
            <w:tcW w:w="1310" w:type="dxa"/>
          </w:tcPr>
          <w:p w14:paraId="261EDF9D">
            <w:pPr>
              <w:wordWrap w:val="0"/>
              <w:snapToGrid w:val="0"/>
              <w:spacing w:line="360" w:lineRule="auto"/>
              <w:jc w:val="center"/>
              <w:rPr>
                <w:rFonts w:hint="eastAsia" w:ascii="宋体" w:hAnsi="宋体" w:cs="宋体"/>
                <w:color w:val="auto"/>
                <w:sz w:val="22"/>
                <w:szCs w:val="22"/>
                <w:highlight w:val="none"/>
              </w:rPr>
            </w:pPr>
          </w:p>
        </w:tc>
      </w:tr>
      <w:tr w14:paraId="5FD16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6A72ABC5">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7</w:t>
            </w:r>
          </w:p>
        </w:tc>
        <w:tc>
          <w:tcPr>
            <w:tcW w:w="5891" w:type="dxa"/>
          </w:tcPr>
          <w:p w14:paraId="52EA493F">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智慧作业方案：</w:t>
            </w:r>
          </w:p>
          <w:p w14:paraId="622E1AA3">
            <w:pPr>
              <w:wordWrap w:val="0"/>
              <w:snapToGrid w:val="0"/>
              <w:spacing w:line="360" w:lineRule="auto"/>
              <w:ind w:left="220" w:hanging="220" w:hangingChars="100"/>
              <w:rPr>
                <w:rFonts w:hint="eastAsia" w:ascii="宋体" w:hAnsi="宋体" w:cs="宋体"/>
                <w:color w:val="auto"/>
                <w:sz w:val="22"/>
                <w:szCs w:val="22"/>
                <w:highlight w:val="none"/>
              </w:rPr>
            </w:pPr>
            <w:r>
              <w:rPr>
                <w:rFonts w:hint="eastAsia" w:ascii="宋体" w:hAnsi="宋体" w:cs="宋体"/>
                <w:color w:val="auto"/>
                <w:sz w:val="22"/>
                <w:szCs w:val="22"/>
                <w:highlight w:val="none"/>
              </w:rPr>
              <w:t>清淤船具备水下摄像/声纳和定位功能，水下摄像头分辨率不低于500万像素，声纳探测深度达10米以上得4分。</w:t>
            </w:r>
          </w:p>
          <w:p w14:paraId="07CB944B">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证明材料提供清淤船水下摄像/声纳设备照片和设备参数说明。</w:t>
            </w:r>
          </w:p>
        </w:tc>
        <w:tc>
          <w:tcPr>
            <w:tcW w:w="730" w:type="dxa"/>
            <w:vAlign w:val="center"/>
          </w:tcPr>
          <w:p w14:paraId="3ACF5C3C">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4</w:t>
            </w:r>
          </w:p>
        </w:tc>
        <w:tc>
          <w:tcPr>
            <w:tcW w:w="940" w:type="dxa"/>
            <w:vAlign w:val="center"/>
          </w:tcPr>
          <w:p w14:paraId="0666F01E">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客观分</w:t>
            </w:r>
          </w:p>
        </w:tc>
        <w:tc>
          <w:tcPr>
            <w:tcW w:w="1310" w:type="dxa"/>
          </w:tcPr>
          <w:p w14:paraId="65AFEA10">
            <w:pPr>
              <w:wordWrap w:val="0"/>
              <w:snapToGrid w:val="0"/>
              <w:spacing w:line="360" w:lineRule="auto"/>
              <w:jc w:val="center"/>
              <w:rPr>
                <w:rFonts w:hint="eastAsia" w:ascii="宋体" w:hAnsi="宋体" w:cs="宋体"/>
                <w:color w:val="auto"/>
                <w:sz w:val="22"/>
                <w:szCs w:val="22"/>
                <w:highlight w:val="none"/>
              </w:rPr>
            </w:pPr>
          </w:p>
        </w:tc>
      </w:tr>
      <w:tr w14:paraId="27622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6185E992">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8</w:t>
            </w:r>
          </w:p>
        </w:tc>
        <w:tc>
          <w:tcPr>
            <w:tcW w:w="5891" w:type="dxa"/>
          </w:tcPr>
          <w:p w14:paraId="437D42BA">
            <w:pPr>
              <w:wordWrap w:val="0"/>
              <w:snapToGrid w:val="0"/>
              <w:spacing w:line="360" w:lineRule="auto"/>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尾水处理：</w:t>
            </w:r>
          </w:p>
          <w:p w14:paraId="18A628C6">
            <w:pPr>
              <w:wordWrap w:val="0"/>
              <w:snapToGrid w:val="0"/>
              <w:spacing w:line="360" w:lineRule="auto"/>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根据供应商提供的尾水处理方案进行打分。处理方案论述清晰合理、考虑周到、与项目匹配度好的得5分，基本满足的得3分，有明显不足的得1分，未提及的不得分。</w:t>
            </w:r>
          </w:p>
        </w:tc>
        <w:tc>
          <w:tcPr>
            <w:tcW w:w="730" w:type="dxa"/>
            <w:vAlign w:val="center"/>
          </w:tcPr>
          <w:p w14:paraId="2D5E328F">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940" w:type="dxa"/>
            <w:vAlign w:val="center"/>
          </w:tcPr>
          <w:p w14:paraId="15972F06">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rPr>
              <w:t>主观分</w:t>
            </w:r>
          </w:p>
        </w:tc>
        <w:tc>
          <w:tcPr>
            <w:tcW w:w="1310" w:type="dxa"/>
          </w:tcPr>
          <w:p w14:paraId="43F0E64D">
            <w:pPr>
              <w:wordWrap w:val="0"/>
              <w:snapToGrid w:val="0"/>
              <w:spacing w:line="360" w:lineRule="auto"/>
              <w:jc w:val="center"/>
              <w:rPr>
                <w:rFonts w:hint="eastAsia" w:ascii="宋体" w:hAnsi="宋体" w:cs="宋体"/>
                <w:color w:val="auto"/>
                <w:sz w:val="22"/>
                <w:szCs w:val="22"/>
                <w:highlight w:val="none"/>
              </w:rPr>
            </w:pPr>
          </w:p>
        </w:tc>
      </w:tr>
      <w:tr w14:paraId="0CF8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5B233E0F">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9</w:t>
            </w:r>
          </w:p>
        </w:tc>
        <w:tc>
          <w:tcPr>
            <w:tcW w:w="5891" w:type="dxa"/>
            <w:shd w:val="clear" w:color="auto" w:fill="auto"/>
            <w:vAlign w:val="center"/>
          </w:tcPr>
          <w:p w14:paraId="5FE05BEB">
            <w:pPr>
              <w:wordWrap w:val="0"/>
              <w:snapToGrid w:val="0"/>
              <w:spacing w:line="360" w:lineRule="auto"/>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施工作业过程中河道设施保护措施：</w:t>
            </w:r>
          </w:p>
          <w:p w14:paraId="5C540DF2">
            <w:pPr>
              <w:wordWrap w:val="0"/>
              <w:snapToGrid w:val="0"/>
              <w:spacing w:line="360" w:lineRule="auto"/>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根据供应商提供的河道设施保护实施细则进行打分。保障方案论述清晰合理、考虑周到、与项目匹配度好的得5分，基本满足的得3分，有明显不足的得1分，未提及的不得分。</w:t>
            </w:r>
          </w:p>
        </w:tc>
        <w:tc>
          <w:tcPr>
            <w:tcW w:w="730" w:type="dxa"/>
            <w:shd w:val="clear" w:color="auto" w:fill="auto"/>
            <w:vAlign w:val="center"/>
          </w:tcPr>
          <w:p w14:paraId="45088B75">
            <w:pPr>
              <w:snapToGrid w:val="0"/>
              <w:spacing w:line="240" w:lineRule="atLeas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5</w:t>
            </w:r>
          </w:p>
        </w:tc>
        <w:tc>
          <w:tcPr>
            <w:tcW w:w="940" w:type="dxa"/>
            <w:shd w:val="clear" w:color="auto" w:fill="auto"/>
            <w:vAlign w:val="center"/>
          </w:tcPr>
          <w:p w14:paraId="2F6DF157">
            <w:pPr>
              <w:snapToGrid w:val="0"/>
              <w:spacing w:line="240" w:lineRule="atLeas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主观分</w:t>
            </w:r>
          </w:p>
        </w:tc>
        <w:tc>
          <w:tcPr>
            <w:tcW w:w="1310" w:type="dxa"/>
          </w:tcPr>
          <w:p w14:paraId="060857C2">
            <w:pPr>
              <w:wordWrap w:val="0"/>
              <w:snapToGrid w:val="0"/>
              <w:spacing w:line="360" w:lineRule="auto"/>
              <w:jc w:val="center"/>
              <w:rPr>
                <w:rFonts w:hint="eastAsia" w:ascii="宋体" w:hAnsi="宋体" w:cs="宋体"/>
                <w:color w:val="auto"/>
                <w:sz w:val="22"/>
                <w:szCs w:val="22"/>
                <w:highlight w:val="none"/>
              </w:rPr>
            </w:pPr>
          </w:p>
        </w:tc>
      </w:tr>
      <w:tr w14:paraId="2D3FF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0D4B96D3">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10</w:t>
            </w:r>
          </w:p>
        </w:tc>
        <w:tc>
          <w:tcPr>
            <w:tcW w:w="5891" w:type="dxa"/>
          </w:tcPr>
          <w:p w14:paraId="749AE78F">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工艺先进性：</w:t>
            </w:r>
          </w:p>
          <w:p w14:paraId="0F8E3CC8">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（1）供应商（联合体投标的指任一成员）能够合理运用信息化、智能化技术，</w:t>
            </w:r>
            <w:r>
              <w:rPr>
                <w:rFonts w:hint="eastAsia" w:ascii="宋体" w:hAnsi="宋体" w:cs="宋体"/>
                <w:color w:val="auto"/>
                <w:sz w:val="22"/>
                <w:szCs w:val="22"/>
                <w:highlight w:val="none"/>
                <w:lang w:val="zh-CN"/>
              </w:rPr>
              <w:t>优化</w:t>
            </w:r>
            <w:r>
              <w:rPr>
                <w:rFonts w:hint="eastAsia" w:ascii="宋体" w:hAnsi="宋体" w:cs="宋体"/>
                <w:color w:val="auto"/>
                <w:sz w:val="22"/>
                <w:szCs w:val="22"/>
                <w:highlight w:val="none"/>
              </w:rPr>
              <w:t>作业工艺以降低</w:t>
            </w:r>
            <w:r>
              <w:rPr>
                <w:rFonts w:hint="eastAsia" w:ascii="宋体" w:hAnsi="宋体" w:cs="宋体"/>
                <w:color w:val="auto"/>
                <w:sz w:val="22"/>
                <w:szCs w:val="22"/>
                <w:highlight w:val="none"/>
                <w:lang w:val="zh-CN"/>
              </w:rPr>
              <w:t>能耗、</w:t>
            </w:r>
            <w:r>
              <w:rPr>
                <w:rFonts w:hint="eastAsia" w:ascii="宋体" w:hAnsi="宋体" w:cs="宋体"/>
                <w:color w:val="auto"/>
                <w:sz w:val="22"/>
                <w:szCs w:val="22"/>
                <w:highlight w:val="none"/>
              </w:rPr>
              <w:t>提高</w:t>
            </w:r>
            <w:r>
              <w:rPr>
                <w:rFonts w:hint="eastAsia" w:ascii="宋体" w:hAnsi="宋体" w:cs="宋体"/>
                <w:color w:val="auto"/>
                <w:sz w:val="22"/>
                <w:szCs w:val="22"/>
                <w:highlight w:val="none"/>
                <w:lang w:val="zh-CN"/>
              </w:rPr>
              <w:t>系统</w:t>
            </w:r>
            <w:r>
              <w:rPr>
                <w:rFonts w:hint="eastAsia" w:ascii="宋体" w:hAnsi="宋体" w:cs="宋体"/>
                <w:color w:val="auto"/>
                <w:sz w:val="22"/>
                <w:szCs w:val="22"/>
                <w:highlight w:val="none"/>
              </w:rPr>
              <w:t>作业</w:t>
            </w:r>
            <w:r>
              <w:rPr>
                <w:rFonts w:hint="eastAsia" w:ascii="宋体" w:hAnsi="宋体" w:cs="宋体"/>
                <w:color w:val="auto"/>
                <w:sz w:val="22"/>
                <w:szCs w:val="22"/>
                <w:highlight w:val="none"/>
                <w:lang w:val="zh-CN"/>
              </w:rPr>
              <w:t>效率，</w:t>
            </w:r>
            <w:r>
              <w:rPr>
                <w:rFonts w:hint="eastAsia" w:ascii="宋体" w:hAnsi="宋体" w:cs="宋体"/>
                <w:color w:val="auto"/>
                <w:sz w:val="22"/>
                <w:szCs w:val="22"/>
                <w:highlight w:val="none"/>
              </w:rPr>
              <w:t>具有与本次投标所配备清淤作业设备、作业工艺有关的专利证书或计算机软件著作权登记证书的：实用新型专利证书的得0.5分，发明专利证书的得0.5分，原始取得计算机软件著作权登记证书的得0.5分，本项最高得</w:t>
            </w:r>
            <w:r>
              <w:rPr>
                <w:rFonts w:ascii="宋体" w:hAnsi="宋体" w:cs="宋体"/>
                <w:color w:val="auto"/>
                <w:sz w:val="22"/>
                <w:szCs w:val="22"/>
                <w:highlight w:val="none"/>
              </w:rPr>
              <w:t>1.5</w:t>
            </w:r>
            <w:r>
              <w:rPr>
                <w:rFonts w:hint="eastAsia" w:ascii="宋体" w:hAnsi="宋体" w:cs="宋体"/>
                <w:color w:val="auto"/>
                <w:sz w:val="22"/>
                <w:szCs w:val="22"/>
                <w:highlight w:val="none"/>
              </w:rPr>
              <w:t>分。</w:t>
            </w:r>
          </w:p>
          <w:p w14:paraId="62FD4CD1">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注：投标文件应提供专利/著作权证书和本次投入作业设备、优化作业工艺相关的说明。</w:t>
            </w:r>
          </w:p>
          <w:p w14:paraId="16B30DCA">
            <w:pPr>
              <w:numPr>
                <w:ilvl w:val="0"/>
                <w:numId w:val="1"/>
              </w:numPr>
              <w:wordWrap w:val="0"/>
              <w:snapToGrid w:val="0"/>
              <w:spacing w:line="360" w:lineRule="auto"/>
              <w:rPr>
                <w:rFonts w:hint="eastAsia" w:ascii="宋体" w:hAnsi="宋体" w:cs="宋体"/>
                <w:color w:val="auto"/>
                <w:sz w:val="22"/>
                <w:szCs w:val="22"/>
                <w:highlight w:val="none"/>
                <w:lang w:val="zh-CN"/>
              </w:rPr>
            </w:pPr>
            <w:r>
              <w:rPr>
                <w:rFonts w:hint="eastAsia" w:ascii="宋体" w:hAnsi="宋体" w:cs="宋体"/>
                <w:color w:val="auto"/>
                <w:sz w:val="22"/>
                <w:szCs w:val="22"/>
                <w:highlight w:val="none"/>
              </w:rPr>
              <w:t>供应商（联合体投标的指牵头人）</w:t>
            </w:r>
            <w:r>
              <w:rPr>
                <w:rFonts w:hint="eastAsia" w:ascii="宋体" w:hAnsi="宋体" w:cs="宋体"/>
                <w:color w:val="auto"/>
                <w:sz w:val="22"/>
                <w:szCs w:val="22"/>
                <w:highlight w:val="none"/>
                <w:lang w:val="zh-CN"/>
              </w:rPr>
              <w:t>具备一定的淤泥减量水平，</w:t>
            </w:r>
            <w:r>
              <w:rPr>
                <w:rFonts w:hint="eastAsia" w:ascii="宋体" w:hAnsi="宋体" w:cs="宋体"/>
                <w:color w:val="auto"/>
                <w:sz w:val="22"/>
                <w:szCs w:val="22"/>
                <w:highlight w:val="none"/>
              </w:rPr>
              <w:t>有</w:t>
            </w:r>
            <w:r>
              <w:rPr>
                <w:rFonts w:hint="eastAsia" w:ascii="宋体" w:hAnsi="宋体" w:cs="宋体"/>
                <w:color w:val="auto"/>
                <w:sz w:val="22"/>
                <w:szCs w:val="22"/>
                <w:highlight w:val="none"/>
                <w:lang w:val="zh-CN"/>
              </w:rPr>
              <w:t>明确</w:t>
            </w:r>
            <w:r>
              <w:rPr>
                <w:rFonts w:hint="eastAsia" w:ascii="宋体" w:hAnsi="宋体" w:cs="宋体"/>
                <w:color w:val="auto"/>
                <w:sz w:val="22"/>
                <w:szCs w:val="22"/>
                <w:highlight w:val="none"/>
              </w:rPr>
              <w:t>的</w:t>
            </w:r>
            <w:r>
              <w:rPr>
                <w:rFonts w:hint="eastAsia" w:ascii="宋体" w:hAnsi="宋体" w:cs="宋体"/>
                <w:color w:val="auto"/>
                <w:sz w:val="22"/>
                <w:szCs w:val="22"/>
                <w:highlight w:val="none"/>
                <w:lang w:val="zh-CN"/>
              </w:rPr>
              <w:t>减量化工艺路线，干化后淤泥含水率在40%（不含40%）以下的得5</w:t>
            </w:r>
            <w:r>
              <w:rPr>
                <w:rFonts w:hint="eastAsia" w:ascii="宋体" w:hAnsi="宋体" w:cs="宋体"/>
                <w:color w:val="auto"/>
                <w:sz w:val="22"/>
                <w:szCs w:val="22"/>
                <w:highlight w:val="none"/>
              </w:rPr>
              <w:t>.5</w:t>
            </w:r>
            <w:r>
              <w:rPr>
                <w:rFonts w:hint="eastAsia" w:ascii="宋体" w:hAnsi="宋体" w:cs="宋体"/>
                <w:color w:val="auto"/>
                <w:sz w:val="22"/>
                <w:szCs w:val="22"/>
                <w:highlight w:val="none"/>
                <w:lang w:val="zh-CN"/>
              </w:rPr>
              <w:t>分，干化后淤泥含水率在40%（含40%）至60%（含60%）的得</w:t>
            </w:r>
            <w:r>
              <w:rPr>
                <w:rFonts w:hint="eastAsia" w:ascii="宋体" w:hAnsi="宋体" w:cs="宋体"/>
                <w:color w:val="auto"/>
                <w:sz w:val="22"/>
                <w:szCs w:val="22"/>
                <w:highlight w:val="none"/>
              </w:rPr>
              <w:t>3</w:t>
            </w:r>
            <w:r>
              <w:rPr>
                <w:rFonts w:hint="eastAsia" w:ascii="宋体" w:hAnsi="宋体" w:cs="宋体"/>
                <w:color w:val="auto"/>
                <w:sz w:val="22"/>
                <w:szCs w:val="22"/>
                <w:highlight w:val="none"/>
                <w:lang w:val="zh-CN"/>
              </w:rPr>
              <w:t>分，干化后淤泥含水率60%（不含60%）以上的得</w:t>
            </w:r>
            <w:r>
              <w:rPr>
                <w:rFonts w:hint="eastAsia" w:ascii="宋体" w:hAnsi="宋体" w:cs="宋体"/>
                <w:color w:val="auto"/>
                <w:sz w:val="22"/>
                <w:szCs w:val="22"/>
                <w:highlight w:val="none"/>
              </w:rPr>
              <w:t>0</w:t>
            </w:r>
            <w:r>
              <w:rPr>
                <w:rFonts w:hint="eastAsia" w:ascii="宋体" w:hAnsi="宋体" w:cs="宋体"/>
                <w:color w:val="auto"/>
                <w:sz w:val="22"/>
                <w:szCs w:val="22"/>
                <w:highlight w:val="none"/>
                <w:lang w:val="zh-CN"/>
              </w:rPr>
              <w:t>分。</w:t>
            </w:r>
          </w:p>
          <w:p w14:paraId="4FD653EA">
            <w:pPr>
              <w:numPr>
                <w:ilvl w:val="255"/>
                <w:numId w:val="0"/>
              </w:num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lang w:val="zh-CN"/>
              </w:rPr>
              <w:t>证明材料</w:t>
            </w:r>
            <w:r>
              <w:rPr>
                <w:rFonts w:hint="eastAsia" w:ascii="宋体" w:hAnsi="宋体" w:cs="宋体"/>
                <w:color w:val="auto"/>
                <w:sz w:val="22"/>
                <w:szCs w:val="22"/>
                <w:highlight w:val="none"/>
              </w:rPr>
              <w:t>同时</w:t>
            </w:r>
            <w:r>
              <w:rPr>
                <w:rFonts w:hint="eastAsia" w:ascii="宋体" w:hAnsi="宋体" w:cs="宋体"/>
                <w:color w:val="auto"/>
                <w:sz w:val="22"/>
                <w:szCs w:val="22"/>
                <w:highlight w:val="none"/>
                <w:lang w:val="zh-CN"/>
              </w:rPr>
              <w:t>提供</w:t>
            </w:r>
            <w:r>
              <w:rPr>
                <w:rFonts w:hint="eastAsia" w:ascii="宋体" w:hAnsi="宋体" w:cs="宋体"/>
                <w:color w:val="auto"/>
                <w:sz w:val="22"/>
                <w:szCs w:val="22"/>
                <w:highlight w:val="none"/>
              </w:rPr>
              <w:t>具备CMA认证资格的检测机构出具的</w:t>
            </w:r>
            <w:r>
              <w:rPr>
                <w:rFonts w:hint="eastAsia" w:ascii="宋体" w:hAnsi="宋体" w:cs="宋体"/>
                <w:color w:val="auto"/>
                <w:sz w:val="22"/>
                <w:szCs w:val="22"/>
                <w:highlight w:val="none"/>
                <w:lang w:val="zh-CN"/>
              </w:rPr>
              <w:t>淤泥干化前后含水率的检测报告、</w:t>
            </w:r>
            <w:r>
              <w:rPr>
                <w:rFonts w:hint="eastAsia" w:ascii="宋体" w:hAnsi="宋体" w:cs="宋体"/>
                <w:color w:val="auto"/>
                <w:sz w:val="22"/>
                <w:szCs w:val="22"/>
                <w:highlight w:val="none"/>
              </w:rPr>
              <w:t>检测资质证书和检测委托合同（若供应商具备检测资质且自行检测的，可不提供合同）</w:t>
            </w:r>
            <w:r>
              <w:rPr>
                <w:rFonts w:hint="eastAsia" w:ascii="宋体" w:hAnsi="宋体" w:cs="宋体"/>
                <w:color w:val="auto"/>
                <w:sz w:val="22"/>
                <w:szCs w:val="22"/>
                <w:highlight w:val="none"/>
                <w:lang w:val="zh-CN"/>
              </w:rPr>
              <w:t>。</w:t>
            </w:r>
          </w:p>
        </w:tc>
        <w:tc>
          <w:tcPr>
            <w:tcW w:w="730" w:type="dxa"/>
            <w:vAlign w:val="center"/>
          </w:tcPr>
          <w:p w14:paraId="5BD01F3A">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7</w:t>
            </w:r>
          </w:p>
        </w:tc>
        <w:tc>
          <w:tcPr>
            <w:tcW w:w="940" w:type="dxa"/>
            <w:vAlign w:val="center"/>
          </w:tcPr>
          <w:p w14:paraId="0CC045B7">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客观分</w:t>
            </w:r>
          </w:p>
        </w:tc>
        <w:tc>
          <w:tcPr>
            <w:tcW w:w="1310" w:type="dxa"/>
          </w:tcPr>
          <w:p w14:paraId="187862BB">
            <w:pPr>
              <w:wordWrap w:val="0"/>
              <w:snapToGrid w:val="0"/>
              <w:spacing w:line="360" w:lineRule="auto"/>
              <w:jc w:val="center"/>
              <w:rPr>
                <w:rFonts w:hint="eastAsia" w:ascii="宋体" w:hAnsi="宋体" w:cs="宋体"/>
                <w:color w:val="auto"/>
                <w:sz w:val="22"/>
                <w:szCs w:val="22"/>
                <w:highlight w:val="none"/>
              </w:rPr>
            </w:pPr>
          </w:p>
        </w:tc>
      </w:tr>
      <w:tr w14:paraId="46F48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7675A66F">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1</w:t>
            </w:r>
            <w:r>
              <w:rPr>
                <w:rFonts w:hint="eastAsia" w:ascii="宋体" w:hAnsi="宋体" w:cs="宋体"/>
                <w:color w:val="auto"/>
                <w:sz w:val="22"/>
                <w:szCs w:val="22"/>
                <w:highlight w:val="none"/>
              </w:rPr>
              <w:t>1</w:t>
            </w:r>
          </w:p>
        </w:tc>
        <w:tc>
          <w:tcPr>
            <w:tcW w:w="5891" w:type="dxa"/>
            <w:vAlign w:val="center"/>
          </w:tcPr>
          <w:p w14:paraId="7FAD06D1">
            <w:pPr>
              <w:wordWrap w:val="0"/>
              <w:snapToGrid w:val="0"/>
              <w:spacing w:line="360" w:lineRule="auto"/>
              <w:rPr>
                <w:rFonts w:hint="eastAsia"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资料管理：</w:t>
            </w:r>
          </w:p>
          <w:p w14:paraId="168EE1C5">
            <w:pPr>
              <w:wordWrap w:val="0"/>
              <w:snapToGrid w:val="0"/>
              <w:spacing w:line="360" w:lineRule="auto"/>
              <w:rPr>
                <w:rFonts w:hint="eastAsia" w:ascii="宋体" w:hAnsi="宋体" w:cs="宋体"/>
                <w:bCs/>
                <w:color w:val="auto"/>
                <w:sz w:val="22"/>
                <w:szCs w:val="22"/>
                <w:highlight w:val="none"/>
              </w:rPr>
            </w:pPr>
            <w:r>
              <w:rPr>
                <w:rFonts w:hint="eastAsia" w:ascii="宋体" w:hAnsi="宋体" w:cs="宋体"/>
                <w:color w:val="auto"/>
                <w:sz w:val="22"/>
                <w:szCs w:val="22"/>
                <w:highlight w:val="none"/>
                <w:lang w:val="zh-CN"/>
              </w:rPr>
              <w:t>根据供应商在项目实施过程中的资料管理制度进行打分。资料管理体系完整能够满足本项目要求的得3分，基本满足的得2分，有明显不足的得1分，未提及的不得分。</w:t>
            </w:r>
          </w:p>
        </w:tc>
        <w:tc>
          <w:tcPr>
            <w:tcW w:w="730" w:type="dxa"/>
            <w:vAlign w:val="center"/>
          </w:tcPr>
          <w:p w14:paraId="19443FA6">
            <w:pPr>
              <w:snapToGrid w:val="0"/>
              <w:spacing w:line="240" w:lineRule="atLeast"/>
              <w:jc w:val="center"/>
              <w:rPr>
                <w:rFonts w:hint="eastAsia" w:ascii="宋体" w:hAnsi="宋体" w:cs="宋体"/>
                <w:color w:val="auto"/>
                <w:sz w:val="22"/>
                <w:szCs w:val="22"/>
                <w:highlight w:val="none"/>
              </w:rPr>
            </w:pPr>
            <w:r>
              <w:rPr>
                <w:rFonts w:hint="eastAsia" w:ascii="仿宋" w:hAnsi="仿宋" w:eastAsia="仿宋" w:cs="仿宋_GB2312"/>
                <w:color w:val="auto"/>
                <w:kern w:val="0"/>
                <w:sz w:val="22"/>
                <w:szCs w:val="22"/>
                <w:highlight w:val="none"/>
              </w:rPr>
              <w:t>3</w:t>
            </w:r>
          </w:p>
        </w:tc>
        <w:tc>
          <w:tcPr>
            <w:tcW w:w="940" w:type="dxa"/>
            <w:vAlign w:val="center"/>
          </w:tcPr>
          <w:p w14:paraId="2425CF9C">
            <w:pPr>
              <w:snapToGrid w:val="0"/>
              <w:spacing w:line="240" w:lineRule="atLeas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主观分</w:t>
            </w:r>
          </w:p>
        </w:tc>
        <w:tc>
          <w:tcPr>
            <w:tcW w:w="1310" w:type="dxa"/>
          </w:tcPr>
          <w:p w14:paraId="119B661F">
            <w:pPr>
              <w:wordWrap w:val="0"/>
              <w:snapToGrid w:val="0"/>
              <w:spacing w:line="360" w:lineRule="auto"/>
              <w:jc w:val="center"/>
              <w:rPr>
                <w:rFonts w:hint="eastAsia" w:ascii="宋体" w:hAnsi="宋体" w:cs="宋体"/>
                <w:color w:val="auto"/>
                <w:sz w:val="22"/>
                <w:szCs w:val="22"/>
                <w:highlight w:val="none"/>
              </w:rPr>
            </w:pPr>
          </w:p>
        </w:tc>
      </w:tr>
      <w:tr w14:paraId="29832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6A98FDC5">
            <w:pPr>
              <w:wordWrap w:val="0"/>
              <w:snapToGrid w:val="0"/>
              <w:spacing w:line="360" w:lineRule="auto"/>
              <w:ind w:left="425" w:hanging="425"/>
              <w:jc w:val="center"/>
              <w:rPr>
                <w:rFonts w:hint="eastAsia" w:ascii="宋体" w:hAnsi="宋体" w:cs="宋体"/>
                <w:color w:val="auto"/>
                <w:sz w:val="22"/>
                <w:szCs w:val="22"/>
                <w:highlight w:val="none"/>
              </w:rPr>
            </w:pPr>
            <w:r>
              <w:rPr>
                <w:rFonts w:ascii="宋体" w:hAnsi="宋体" w:cs="宋体"/>
                <w:color w:val="auto"/>
                <w:sz w:val="22"/>
                <w:szCs w:val="22"/>
                <w:highlight w:val="none"/>
              </w:rPr>
              <w:t>1</w:t>
            </w:r>
            <w:r>
              <w:rPr>
                <w:rFonts w:hint="eastAsia" w:ascii="宋体" w:hAnsi="宋体" w:cs="宋体"/>
                <w:color w:val="auto"/>
                <w:sz w:val="22"/>
                <w:szCs w:val="22"/>
                <w:highlight w:val="none"/>
              </w:rPr>
              <w:t>2</w:t>
            </w:r>
          </w:p>
        </w:tc>
        <w:tc>
          <w:tcPr>
            <w:tcW w:w="5891" w:type="dxa"/>
            <w:vAlign w:val="center"/>
          </w:tcPr>
          <w:p w14:paraId="6DB3C017">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项目班子成员配备情况：</w:t>
            </w:r>
          </w:p>
          <w:p w14:paraId="7A37FBC3">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（1）项目负责人资质及能力（3分）</w:t>
            </w:r>
          </w:p>
          <w:p w14:paraId="69624FE4">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①具有环境工程或机械设备或水利水电工程或市政公用工程或港口与航道工程类专业本科及以上学历的得2分；</w:t>
            </w:r>
          </w:p>
          <w:p w14:paraId="395BE143">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②具有中级及以上工程师职称的得1分。</w:t>
            </w:r>
          </w:p>
          <w:p w14:paraId="1E157EA3">
            <w:p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证明材料提供：①学历、职称证书；②证明材料提供投标截止月上溯</w:t>
            </w:r>
            <w:r>
              <w:rPr>
                <w:rFonts w:ascii="宋体" w:hAnsi="宋体" w:cs="宋体"/>
                <w:color w:val="auto"/>
                <w:sz w:val="22"/>
                <w:szCs w:val="22"/>
                <w:highlight w:val="none"/>
              </w:rPr>
              <w:t>3</w:t>
            </w:r>
            <w:r>
              <w:rPr>
                <w:rFonts w:hint="eastAsia" w:ascii="宋体" w:hAnsi="宋体" w:cs="宋体"/>
                <w:color w:val="auto"/>
                <w:sz w:val="22"/>
                <w:szCs w:val="22"/>
                <w:highlight w:val="none"/>
              </w:rPr>
              <w:t>个月（含投标截止日当月，共</w:t>
            </w:r>
            <w:r>
              <w:rPr>
                <w:rFonts w:ascii="宋体" w:hAnsi="宋体" w:cs="宋体"/>
                <w:color w:val="auto"/>
                <w:sz w:val="22"/>
                <w:szCs w:val="22"/>
                <w:highlight w:val="none"/>
              </w:rPr>
              <w:t>4</w:t>
            </w:r>
            <w:r>
              <w:rPr>
                <w:rFonts w:hint="eastAsia" w:ascii="宋体" w:hAnsi="宋体" w:cs="宋体"/>
                <w:color w:val="auto"/>
                <w:sz w:val="22"/>
                <w:szCs w:val="22"/>
                <w:highlight w:val="none"/>
              </w:rPr>
              <w:t>个月中任意连续</w:t>
            </w:r>
            <w:r>
              <w:rPr>
                <w:rFonts w:ascii="宋体" w:hAnsi="宋体" w:cs="宋体"/>
                <w:color w:val="auto"/>
                <w:sz w:val="22"/>
                <w:szCs w:val="22"/>
                <w:highlight w:val="none"/>
              </w:rPr>
              <w:t>3</w:t>
            </w:r>
            <w:r>
              <w:rPr>
                <w:rFonts w:hint="eastAsia" w:ascii="宋体" w:hAnsi="宋体" w:cs="宋体"/>
                <w:color w:val="auto"/>
                <w:sz w:val="22"/>
                <w:szCs w:val="22"/>
                <w:highlight w:val="none"/>
              </w:rPr>
              <w:t>个月）在投标单位的社保缴纳证明（开标前</w:t>
            </w:r>
            <w:r>
              <w:rPr>
                <w:rFonts w:ascii="宋体" w:hAnsi="宋体" w:cs="宋体"/>
                <w:color w:val="auto"/>
                <w:sz w:val="22"/>
                <w:szCs w:val="22"/>
                <w:highlight w:val="none"/>
              </w:rPr>
              <w:t>20</w:t>
            </w:r>
            <w:r>
              <w:rPr>
                <w:rFonts w:hint="eastAsia" w:ascii="宋体" w:hAnsi="宋体" w:cs="宋体"/>
                <w:color w:val="auto"/>
                <w:sz w:val="22"/>
                <w:szCs w:val="22"/>
                <w:highlight w:val="none"/>
              </w:rPr>
              <w:t>天内投标人所属社保机构出具的加盖印章的单位或个人专用社保证明）。</w:t>
            </w:r>
          </w:p>
          <w:p w14:paraId="260B5735">
            <w:pPr>
              <w:numPr>
                <w:ilvl w:val="255"/>
                <w:numId w:val="0"/>
              </w:num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（2）项目班子成员（除项目负责人外）（5分）</w:t>
            </w:r>
          </w:p>
          <w:p w14:paraId="6D09FDBE">
            <w:pPr>
              <w:numPr>
                <w:ilvl w:val="255"/>
                <w:numId w:val="0"/>
              </w:num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①具有“中级及以上工程师职称”的，每具有</w:t>
            </w:r>
            <w:r>
              <w:rPr>
                <w:rFonts w:ascii="宋体" w:hAnsi="宋体" w:cs="宋体"/>
                <w:color w:val="auto"/>
                <w:sz w:val="22"/>
                <w:szCs w:val="22"/>
                <w:highlight w:val="none"/>
              </w:rPr>
              <w:t>1人得1分，最高得2分。</w:t>
            </w:r>
          </w:p>
          <w:p w14:paraId="14265F8F">
            <w:pPr>
              <w:numPr>
                <w:ilvl w:val="255"/>
                <w:numId w:val="0"/>
              </w:num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②质检员、项目管理员、安全员全部配备齐全得2分，配备不齐全或未配备的得0分；</w:t>
            </w:r>
          </w:p>
          <w:p w14:paraId="31BDD7EF">
            <w:pPr>
              <w:numPr>
                <w:ilvl w:val="255"/>
                <w:numId w:val="0"/>
              </w:num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③安全员具有三类人员“C类”证书或“安全工程专业大专及以上学历”或“安全工程专业助理工程师”或“注册安全工程师”的得0</w:t>
            </w:r>
            <w:bookmarkStart w:id="474" w:name="_GoBack"/>
            <w:bookmarkEnd w:id="474"/>
            <w:r>
              <w:rPr>
                <w:rFonts w:hint="eastAsia" w:ascii="宋体" w:hAnsi="宋体" w:cs="宋体"/>
                <w:color w:val="auto"/>
                <w:sz w:val="22"/>
                <w:szCs w:val="22"/>
                <w:highlight w:val="none"/>
              </w:rPr>
              <w:t>.5分；</w:t>
            </w:r>
          </w:p>
          <w:p w14:paraId="7F98E706">
            <w:pPr>
              <w:numPr>
                <w:ilvl w:val="255"/>
                <w:numId w:val="0"/>
              </w:num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lang w:val="en-US" w:eastAsia="zh-CN"/>
              </w:rPr>
              <w:t>④</w:t>
            </w:r>
            <w:r>
              <w:rPr>
                <w:rFonts w:hint="eastAsia" w:ascii="宋体" w:hAnsi="宋体" w:cs="宋体"/>
                <w:color w:val="auto"/>
                <w:sz w:val="22"/>
                <w:szCs w:val="22"/>
                <w:highlight w:val="none"/>
              </w:rPr>
              <w:t>作业人员中配备持有电工特种作业操作证的得0.5分。</w:t>
            </w:r>
          </w:p>
          <w:p w14:paraId="05CADA50">
            <w:pPr>
              <w:numPr>
                <w:ilvl w:val="255"/>
                <w:numId w:val="0"/>
              </w:numPr>
              <w:wordWrap w:val="0"/>
              <w:snapToGrid w:val="0"/>
              <w:spacing w:line="360" w:lineRule="auto"/>
              <w:rPr>
                <w:rFonts w:hint="eastAsia" w:ascii="宋体" w:hAnsi="宋体" w:cs="宋体"/>
                <w:color w:val="auto"/>
                <w:sz w:val="22"/>
                <w:szCs w:val="22"/>
                <w:highlight w:val="none"/>
              </w:rPr>
            </w:pPr>
          </w:p>
          <w:p w14:paraId="60C2A4D4">
            <w:pPr>
              <w:numPr>
                <w:ilvl w:val="255"/>
                <w:numId w:val="0"/>
              </w:numPr>
              <w:wordWrap w:val="0"/>
              <w:snapToGrid w:val="0"/>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以上证明材料提供：①学历证书，职称证书，“C类”证书，注册证书，电工作业证；②证明材料提供投标截止月上溯3个月（含投标截止日当月，共4个月中任意连续3个月）在投标单位的社保缴纳证明（开标前20天内投标人所属社保机构出具的加盖印章的单位或个人专用社保证明）。</w:t>
            </w:r>
          </w:p>
        </w:tc>
        <w:tc>
          <w:tcPr>
            <w:tcW w:w="730" w:type="dxa"/>
            <w:vAlign w:val="center"/>
          </w:tcPr>
          <w:p w14:paraId="1ED74E55">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8</w:t>
            </w:r>
          </w:p>
        </w:tc>
        <w:tc>
          <w:tcPr>
            <w:tcW w:w="940" w:type="dxa"/>
            <w:vAlign w:val="center"/>
          </w:tcPr>
          <w:p w14:paraId="6DB2B4DA">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客观分</w:t>
            </w:r>
          </w:p>
        </w:tc>
        <w:tc>
          <w:tcPr>
            <w:tcW w:w="1310" w:type="dxa"/>
          </w:tcPr>
          <w:p w14:paraId="6E64FB8B">
            <w:pPr>
              <w:wordWrap w:val="0"/>
              <w:snapToGrid w:val="0"/>
              <w:spacing w:line="360" w:lineRule="auto"/>
              <w:jc w:val="center"/>
              <w:rPr>
                <w:rFonts w:hint="eastAsia" w:ascii="宋体" w:hAnsi="宋体" w:cs="宋体"/>
                <w:color w:val="auto"/>
                <w:sz w:val="22"/>
                <w:szCs w:val="22"/>
                <w:highlight w:val="none"/>
              </w:rPr>
            </w:pPr>
          </w:p>
        </w:tc>
      </w:tr>
      <w:tr w14:paraId="054C6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center"/>
          </w:tcPr>
          <w:p w14:paraId="1B3A748A">
            <w:pPr>
              <w:wordWrap w:val="0"/>
              <w:snapToGrid w:val="0"/>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13</w:t>
            </w:r>
          </w:p>
        </w:tc>
        <w:tc>
          <w:tcPr>
            <w:tcW w:w="5891" w:type="dxa"/>
          </w:tcPr>
          <w:p w14:paraId="348228BF">
            <w:pPr>
              <w:wordWrap w:val="0"/>
              <w:spacing w:line="360" w:lineRule="auto"/>
              <w:outlineLvl w:val="0"/>
              <w:rPr>
                <w:rFonts w:hint="eastAsia" w:ascii="宋体" w:hAnsi="宋体" w:cs="宋体"/>
                <w:color w:val="auto"/>
                <w:sz w:val="22"/>
                <w:szCs w:val="22"/>
                <w:highlight w:val="none"/>
              </w:rPr>
            </w:pPr>
            <w:bookmarkStart w:id="394" w:name="_Toc124257992"/>
            <w:r>
              <w:rPr>
                <w:rFonts w:hint="eastAsia" w:ascii="宋体" w:hAnsi="宋体" w:cs="宋体"/>
                <w:color w:val="auto"/>
                <w:sz w:val="22"/>
                <w:szCs w:val="22"/>
                <w:highlight w:val="none"/>
              </w:rPr>
              <w:t>有效投标报价的最低价作为评标基准价，其最低报价为满分；按［投标报价得分=（评标基准价/投标报价）*10%］的计算公式计算。</w:t>
            </w:r>
            <w:bookmarkEnd w:id="394"/>
          </w:p>
          <w:p w14:paraId="0D72682E">
            <w:pPr>
              <w:widowControl/>
              <w:shd w:val="clear" w:color="auto" w:fill="FFFFFF"/>
              <w:wordWrap w:val="0"/>
              <w:adjustRightInd/>
              <w:spacing w:line="360" w:lineRule="auto"/>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评标过程中，不得去掉报价中的最高报价和最低报价。</w:t>
            </w:r>
          </w:p>
          <w:p w14:paraId="03197359">
            <w:pPr>
              <w:widowControl/>
              <w:shd w:val="clear" w:color="auto" w:fill="FFFFFF"/>
              <w:wordWrap w:val="0"/>
              <w:adjustRightInd/>
              <w:spacing w:line="360" w:lineRule="auto"/>
              <w:jc w:val="left"/>
              <w:rPr>
                <w:rFonts w:hint="eastAsia" w:ascii="宋体" w:hAnsi="宋体" w:cs="宋体"/>
                <w:color w:val="auto"/>
                <w:sz w:val="22"/>
                <w:szCs w:val="22"/>
                <w:highlight w:val="none"/>
              </w:rPr>
            </w:pPr>
            <w:r>
              <w:rPr>
                <w:rFonts w:hint="eastAsia" w:ascii="宋体" w:hAnsi="宋体" w:cs="宋体"/>
                <w:color w:val="auto"/>
                <w:sz w:val="22"/>
                <w:szCs w:val="22"/>
                <w:highlight w:val="none"/>
              </w:rPr>
              <w:sym w:font="Wingdings" w:char="00A8"/>
            </w:r>
            <w:r>
              <w:rPr>
                <w:rFonts w:hint="eastAsia" w:ascii="宋体" w:hAnsi="宋体" w:cs="宋体"/>
                <w:color w:val="auto"/>
                <w:sz w:val="22"/>
                <w:szCs w:val="22"/>
                <w:highlight w:val="none"/>
              </w:rPr>
              <w:t>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p w14:paraId="770F6663">
            <w:pPr>
              <w:widowControl/>
              <w:shd w:val="clear" w:color="auto" w:fill="FFFFFF"/>
              <w:wordWrap w:val="0"/>
              <w:adjustRightInd/>
              <w:spacing w:line="360" w:lineRule="auto"/>
              <w:jc w:val="left"/>
              <w:rPr>
                <w:rFonts w:hint="eastAsia" w:ascii="宋体" w:hAnsi="宋体" w:cs="宋体"/>
                <w:color w:val="auto"/>
                <w:sz w:val="22"/>
                <w:szCs w:val="22"/>
                <w:highlight w:val="none"/>
              </w:rPr>
            </w:pPr>
            <w:r>
              <w:rPr>
                <w:rFonts w:hint="eastAsia" w:ascii="宋体" w:hAnsi="宋体" w:cs="宋体"/>
                <w:color w:val="auto"/>
                <w:sz w:val="22"/>
                <w:szCs w:val="22"/>
                <w:highlight w:val="none"/>
              </w:rPr>
              <w:sym w:font="Wingdings" w:char="00FE"/>
            </w:r>
            <w:r>
              <w:rPr>
                <w:rFonts w:hint="eastAsia" w:ascii="宋体" w:hAnsi="宋体" w:cs="宋体"/>
                <w:color w:val="auto"/>
                <w:sz w:val="22"/>
                <w:szCs w:val="22"/>
                <w:highlight w:val="none"/>
              </w:rPr>
              <w:t>本项目专门面向中小企业，无价格扣除。</w:t>
            </w:r>
          </w:p>
        </w:tc>
        <w:tc>
          <w:tcPr>
            <w:tcW w:w="730" w:type="dxa"/>
            <w:vAlign w:val="center"/>
          </w:tcPr>
          <w:p w14:paraId="5D8A0439">
            <w:pPr>
              <w:wordWrap w:val="0"/>
              <w:spacing w:line="360" w:lineRule="auto"/>
              <w:jc w:val="center"/>
              <w:outlineLvl w:val="0"/>
              <w:rPr>
                <w:rFonts w:hint="eastAsia" w:ascii="宋体" w:hAnsi="宋体" w:cs="宋体"/>
                <w:color w:val="auto"/>
                <w:sz w:val="22"/>
                <w:szCs w:val="22"/>
                <w:highlight w:val="none"/>
              </w:rPr>
            </w:pPr>
            <w:r>
              <w:rPr>
                <w:rFonts w:hint="eastAsia" w:ascii="宋体" w:hAnsi="宋体" w:cs="宋体"/>
                <w:color w:val="auto"/>
                <w:sz w:val="22"/>
                <w:szCs w:val="22"/>
                <w:highlight w:val="none"/>
              </w:rPr>
              <w:t>10</w:t>
            </w:r>
          </w:p>
        </w:tc>
        <w:tc>
          <w:tcPr>
            <w:tcW w:w="940" w:type="dxa"/>
            <w:vAlign w:val="center"/>
          </w:tcPr>
          <w:p w14:paraId="31AEF936">
            <w:pPr>
              <w:wordWrap w:val="0"/>
              <w:spacing w:line="360" w:lineRule="auto"/>
              <w:jc w:val="center"/>
              <w:outlineLvl w:val="0"/>
              <w:rPr>
                <w:rFonts w:hint="eastAsia" w:ascii="宋体" w:hAnsi="宋体" w:cs="宋体"/>
                <w:color w:val="auto"/>
                <w:sz w:val="22"/>
                <w:szCs w:val="22"/>
                <w:highlight w:val="none"/>
              </w:rPr>
            </w:pPr>
            <w:r>
              <w:rPr>
                <w:rFonts w:hint="eastAsia" w:ascii="宋体" w:hAnsi="宋体" w:cs="宋体"/>
                <w:color w:val="auto"/>
                <w:sz w:val="22"/>
                <w:szCs w:val="22"/>
                <w:highlight w:val="none"/>
              </w:rPr>
              <w:t>客观分</w:t>
            </w:r>
          </w:p>
        </w:tc>
        <w:tc>
          <w:tcPr>
            <w:tcW w:w="1310" w:type="dxa"/>
            <w:vAlign w:val="center"/>
          </w:tcPr>
          <w:p w14:paraId="6400B4DE">
            <w:pPr>
              <w:wordWrap w:val="0"/>
              <w:spacing w:line="360" w:lineRule="auto"/>
              <w:jc w:val="center"/>
              <w:outlineLvl w:val="0"/>
              <w:rPr>
                <w:rFonts w:hint="eastAsia" w:ascii="宋体" w:hAnsi="宋体" w:cs="宋体"/>
                <w:color w:val="auto"/>
                <w:sz w:val="22"/>
                <w:szCs w:val="22"/>
                <w:highlight w:val="none"/>
              </w:rPr>
            </w:pPr>
            <w:bookmarkStart w:id="395" w:name="_Toc124257993"/>
            <w:r>
              <w:rPr>
                <w:rFonts w:hint="eastAsia" w:ascii="宋体" w:hAnsi="宋体" w:cs="宋体"/>
                <w:color w:val="auto"/>
                <w:sz w:val="22"/>
                <w:szCs w:val="22"/>
                <w:highlight w:val="none"/>
              </w:rPr>
              <w:t>/</w:t>
            </w:r>
            <w:bookmarkEnd w:id="395"/>
          </w:p>
        </w:tc>
      </w:tr>
    </w:tbl>
    <w:p w14:paraId="7D462DCC">
      <w:pPr>
        <w:rPr>
          <w:color w:val="auto"/>
          <w:highlight w:val="none"/>
        </w:rPr>
      </w:pPr>
    </w:p>
    <w:p w14:paraId="286EA441">
      <w:pPr>
        <w:snapToGrid w:val="0"/>
        <w:spacing w:line="360" w:lineRule="auto"/>
        <w:rPr>
          <w:rFonts w:hint="eastAsia"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0EEC1A5">
      <w:pPr>
        <w:snapToGrid w:val="0"/>
        <w:spacing w:line="360" w:lineRule="auto"/>
        <w:rPr>
          <w:rFonts w:hint="eastAsia" w:ascii="宋体" w:hAnsi="宋体" w:cs="宋体"/>
          <w:b/>
          <w:color w:val="auto"/>
          <w:sz w:val="28"/>
          <w:szCs w:val="28"/>
          <w:highlight w:val="none"/>
        </w:rPr>
      </w:pPr>
      <w:r>
        <w:rPr>
          <w:rFonts w:hint="eastAsia" w:ascii="宋体" w:hAnsi="宋体" w:cs="宋体"/>
          <w:b/>
          <w:color w:val="auto"/>
          <w:sz w:val="32"/>
          <w:highlight w:val="none"/>
        </w:rPr>
        <w:t>一、评标方法</w:t>
      </w:r>
    </w:p>
    <w:p w14:paraId="754A6792">
      <w:pPr>
        <w:adjustRightInd/>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7264B892">
      <w:pPr>
        <w:adjustRightInd/>
        <w:spacing w:line="360" w:lineRule="auto"/>
        <w:rPr>
          <w:rFonts w:hint="eastAsia" w:ascii="宋体" w:hAnsi="宋体" w:cs="宋体"/>
          <w:color w:val="auto"/>
          <w:kern w:val="0"/>
          <w:sz w:val="24"/>
          <w:highlight w:val="none"/>
        </w:rPr>
      </w:pPr>
      <w:r>
        <w:rPr>
          <w:rFonts w:hint="eastAsia" w:ascii="宋体" w:hAnsi="宋体" w:cs="宋体"/>
          <w:b/>
          <w:color w:val="auto"/>
          <w:sz w:val="32"/>
          <w:highlight w:val="none"/>
        </w:rPr>
        <w:t>二、评标标准</w:t>
      </w:r>
    </w:p>
    <w:p w14:paraId="7F754F16">
      <w:pPr>
        <w:spacing w:line="360" w:lineRule="auto"/>
        <w:ind w:firstLine="472" w:firstLineChars="196"/>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41A213E8">
      <w:pPr>
        <w:spacing w:line="360" w:lineRule="auto"/>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1E3AF0D4">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66ECBFC">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6F3DDF72">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685194FD">
      <w:pPr>
        <w:spacing w:line="360" w:lineRule="auto"/>
        <w:ind w:firstLine="472" w:firstLineChars="196"/>
        <w:rPr>
          <w:rFonts w:hint="eastAsia"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0BB70C3">
      <w:pPr>
        <w:pStyle w:val="132"/>
        <w:spacing w:before="0"/>
        <w:ind w:firstLine="508" w:firstLineChars="212"/>
        <w:rPr>
          <w:rFonts w:hint="eastAsia"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06ECA43C">
      <w:pPr>
        <w:pStyle w:val="132"/>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3CB1B2C1">
      <w:pPr>
        <w:pStyle w:val="132"/>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9A8D9E">
      <w:pPr>
        <w:pStyle w:val="132"/>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1F732987">
      <w:pPr>
        <w:pStyle w:val="132"/>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35A17DB1">
      <w:pPr>
        <w:pStyle w:val="132"/>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1235CB0">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F1F578F">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04462DE3">
      <w:pPr>
        <w:pStyle w:val="132"/>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EDF51A8">
      <w:pPr>
        <w:pStyle w:val="132"/>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20B08965">
      <w:pPr>
        <w:spacing w:line="360" w:lineRule="auto"/>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rPr>
        <w:t>本项目推荐的中标候选人数量：</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lang w:val="en"/>
        </w:rPr>
        <w:t>。</w:t>
      </w:r>
    </w:p>
    <w:p w14:paraId="10A699AF">
      <w:pPr>
        <w:spacing w:line="360" w:lineRule="auto"/>
        <w:ind w:firstLine="480" w:firstLineChars="200"/>
        <w:rPr>
          <w:rFonts w:hint="eastAsia"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96D1A78">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2E57739">
      <w:pPr>
        <w:widowControl/>
        <w:shd w:val="clear" w:color="auto" w:fill="FFFFFF"/>
        <w:adjustRightInd/>
        <w:spacing w:after="225" w:line="315" w:lineRule="atLeast"/>
        <w:jc w:val="left"/>
        <w:rPr>
          <w:rFonts w:hint="eastAsia" w:ascii="宋体" w:hAnsi="宋体" w:cs="宋体"/>
          <w:b/>
          <w:color w:val="auto"/>
          <w:sz w:val="32"/>
          <w:highlight w:val="none"/>
        </w:rPr>
      </w:pPr>
      <w:r>
        <w:rPr>
          <w:rFonts w:hint="eastAsia" w:ascii="宋体" w:hAnsi="宋体" w:cs="宋体"/>
          <w:b/>
          <w:color w:val="auto"/>
          <w:sz w:val="32"/>
          <w:highlight w:val="none"/>
        </w:rPr>
        <w:t>四、评标中的其他事项</w:t>
      </w:r>
    </w:p>
    <w:p w14:paraId="61B12E1B">
      <w:pPr>
        <w:pStyle w:val="132"/>
        <w:spacing w:before="0"/>
        <w:ind w:firstLine="472" w:firstLineChars="196"/>
        <w:rPr>
          <w:rFonts w:hint="eastAsia"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6DCC475">
      <w:pPr>
        <w:pStyle w:val="24"/>
        <w:spacing w:line="360" w:lineRule="auto"/>
        <w:ind w:left="954" w:leftChars="226" w:hanging="479" w:firstLineChars="0"/>
        <w:rPr>
          <w:rFonts w:hint="eastAsia"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1C27220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7DBF9C9">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E0E1F09">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8DCDAF8">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4077379C">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CAE17F3">
      <w:pPr>
        <w:snapToGrid w:val="0"/>
        <w:spacing w:line="360" w:lineRule="auto"/>
        <w:ind w:firstLine="120" w:firstLineChars="50"/>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7D5B97DD">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7AAA30F0">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4.2.8投标人对根据修正原则修正后的报价不确认的；</w:t>
      </w:r>
    </w:p>
    <w:p w14:paraId="00FDDD51">
      <w:pPr>
        <w:spacing w:line="360" w:lineRule="auto"/>
        <w:ind w:firstLine="480" w:firstLineChars="200"/>
        <w:rPr>
          <w:color w:val="auto"/>
          <w:highlight w:val="none"/>
        </w:rPr>
      </w:pPr>
      <w:r>
        <w:rPr>
          <w:rFonts w:hint="eastAsia" w:ascii="宋体" w:hAnsi="宋体" w:cs="宋体"/>
          <w:color w:val="auto"/>
          <w:kern w:val="0"/>
          <w:sz w:val="24"/>
          <w:highlight w:val="none"/>
        </w:rPr>
        <w:t>4.2.9投标人提供虚假材料投标的；</w:t>
      </w:r>
    </w:p>
    <w:p w14:paraId="6412D20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4.2.10投标人有恶意串通、妨碍其他投标人的竞争行为、损害采购人或者其他投标人的合法权益情形的；</w:t>
      </w:r>
    </w:p>
    <w:p w14:paraId="4DB2BE35">
      <w:pPr>
        <w:spacing w:line="360" w:lineRule="auto"/>
        <w:ind w:firstLine="480" w:firstLineChars="200"/>
        <w:rPr>
          <w:color w:val="auto"/>
          <w:highlight w:val="none"/>
        </w:rPr>
      </w:pPr>
      <w:r>
        <w:rPr>
          <w:rFonts w:hint="eastAsia" w:ascii="宋体" w:hAnsi="宋体" w:cs="宋体"/>
          <w:color w:val="auto"/>
          <w:kern w:val="0"/>
          <w:sz w:val="24"/>
          <w:highlight w:val="none"/>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C409411">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692429B8">
      <w:pPr>
        <w:pStyle w:val="3"/>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28FA381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4A80C1C8">
      <w:pPr>
        <w:pStyle w:val="24"/>
        <w:snapToGrid w:val="0"/>
        <w:spacing w:line="360" w:lineRule="auto"/>
        <w:ind w:firstLine="472" w:firstLineChars="196"/>
        <w:rPr>
          <w:rFonts w:hint="eastAsia"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223BF62">
      <w:pPr>
        <w:pStyle w:val="24"/>
        <w:snapToGrid w:val="0"/>
        <w:spacing w:line="360" w:lineRule="auto"/>
        <w:rPr>
          <w:rFonts w:hint="eastAsia" w:cs="宋体"/>
          <w:color w:val="auto"/>
          <w:highlight w:val="none"/>
        </w:rPr>
      </w:pPr>
      <w:r>
        <w:rPr>
          <w:rFonts w:hint="eastAsia" w:cs="宋体"/>
          <w:color w:val="auto"/>
          <w:highlight w:val="none"/>
        </w:rPr>
        <w:t>5.1符合专业条件的供应商或者对招标文件作实质响应的供应商不足3家的；</w:t>
      </w:r>
    </w:p>
    <w:p w14:paraId="6985843E">
      <w:pPr>
        <w:pStyle w:val="24"/>
        <w:snapToGrid w:val="0"/>
        <w:spacing w:line="360" w:lineRule="auto"/>
        <w:rPr>
          <w:rFonts w:hint="eastAsia" w:cs="宋体"/>
          <w:color w:val="auto"/>
          <w:highlight w:val="none"/>
        </w:rPr>
      </w:pPr>
      <w:r>
        <w:rPr>
          <w:rFonts w:hint="eastAsia" w:cs="宋体"/>
          <w:color w:val="auto"/>
          <w:highlight w:val="none"/>
        </w:rPr>
        <w:t>5.2出现影响采购公正的违法、违规行为的；</w:t>
      </w:r>
    </w:p>
    <w:p w14:paraId="17771AFB">
      <w:pPr>
        <w:pStyle w:val="24"/>
        <w:snapToGrid w:val="0"/>
        <w:spacing w:line="360" w:lineRule="auto"/>
        <w:rPr>
          <w:rFonts w:hint="eastAsia" w:cs="宋体"/>
          <w:color w:val="auto"/>
          <w:highlight w:val="none"/>
        </w:rPr>
      </w:pPr>
      <w:r>
        <w:rPr>
          <w:rFonts w:hint="eastAsia" w:cs="宋体"/>
          <w:color w:val="auto"/>
          <w:highlight w:val="none"/>
        </w:rPr>
        <w:t>5.3投标人的报价均超过了采购预算，采购人不能支付的；</w:t>
      </w:r>
    </w:p>
    <w:p w14:paraId="4E736A86">
      <w:pPr>
        <w:pStyle w:val="24"/>
        <w:snapToGrid w:val="0"/>
        <w:spacing w:line="360" w:lineRule="auto"/>
        <w:rPr>
          <w:rFonts w:hint="eastAsia" w:cs="宋体"/>
          <w:color w:val="auto"/>
          <w:highlight w:val="none"/>
        </w:rPr>
      </w:pPr>
      <w:r>
        <w:rPr>
          <w:rFonts w:hint="eastAsia" w:cs="宋体"/>
          <w:color w:val="auto"/>
          <w:highlight w:val="none"/>
        </w:rPr>
        <w:t>5.4因重大变故，采购任务取消的。</w:t>
      </w:r>
    </w:p>
    <w:p w14:paraId="27CDFE28">
      <w:pPr>
        <w:pStyle w:val="24"/>
        <w:snapToGrid w:val="0"/>
        <w:spacing w:line="360" w:lineRule="auto"/>
        <w:rPr>
          <w:rFonts w:hint="eastAsia" w:cs="宋体"/>
          <w:color w:val="auto"/>
          <w:highlight w:val="none"/>
        </w:rPr>
      </w:pPr>
      <w:r>
        <w:rPr>
          <w:rFonts w:hint="eastAsia" w:cs="宋体"/>
          <w:color w:val="auto"/>
          <w:highlight w:val="none"/>
        </w:rPr>
        <w:t>废标后，采购代理机构应当将废标理由通知所有投标人。</w:t>
      </w:r>
    </w:p>
    <w:p w14:paraId="7F7279D5">
      <w:pPr>
        <w:pStyle w:val="24"/>
        <w:snapToGrid w:val="0"/>
        <w:spacing w:line="360" w:lineRule="auto"/>
        <w:ind w:firstLine="590" w:firstLineChars="245"/>
        <w:rPr>
          <w:rFonts w:hint="eastAsia"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0BE08CB">
      <w:pPr>
        <w:pStyle w:val="24"/>
        <w:snapToGrid w:val="0"/>
        <w:spacing w:line="360" w:lineRule="auto"/>
        <w:ind w:firstLine="482"/>
        <w:rPr>
          <w:rFonts w:hint="eastAsia"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1AD0BB55">
      <w:pPr>
        <w:pStyle w:val="24"/>
        <w:snapToGrid w:val="0"/>
        <w:spacing w:line="360" w:lineRule="auto"/>
        <w:rPr>
          <w:rFonts w:hint="eastAsia" w:cs="宋体"/>
          <w:color w:val="auto"/>
          <w:highlight w:val="none"/>
        </w:rPr>
      </w:pPr>
      <w:r>
        <w:rPr>
          <w:rFonts w:hint="eastAsia" w:cs="宋体"/>
          <w:color w:val="auto"/>
          <w:highlight w:val="none"/>
        </w:rPr>
        <w:t>7.1未确定中标供应商的，终止本次政府采购活动，重新开展政府采购活动。</w:t>
      </w:r>
    </w:p>
    <w:p w14:paraId="0BEE8181">
      <w:pPr>
        <w:pStyle w:val="24"/>
        <w:snapToGrid w:val="0"/>
        <w:spacing w:line="360" w:lineRule="auto"/>
        <w:rPr>
          <w:rFonts w:hint="eastAsia"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A9D38CE">
      <w:pPr>
        <w:pStyle w:val="24"/>
        <w:snapToGrid w:val="0"/>
        <w:spacing w:line="360" w:lineRule="auto"/>
        <w:rPr>
          <w:rFonts w:hint="eastAsia"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D1A8FDF">
      <w:pPr>
        <w:pStyle w:val="24"/>
        <w:snapToGrid w:val="0"/>
        <w:spacing w:line="360" w:lineRule="auto"/>
        <w:rPr>
          <w:rFonts w:hint="eastAsia" w:cs="宋体"/>
          <w:color w:val="auto"/>
          <w:highlight w:val="none"/>
        </w:rPr>
      </w:pPr>
      <w:r>
        <w:rPr>
          <w:rFonts w:hint="eastAsia" w:cs="宋体"/>
          <w:color w:val="auto"/>
          <w:highlight w:val="none"/>
        </w:rPr>
        <w:t>7.4政府采购合同已经履行，给采购人、供应商造成损失的，由责任人承担赔偿责任。</w:t>
      </w:r>
    </w:p>
    <w:p w14:paraId="08150484">
      <w:pPr>
        <w:pStyle w:val="24"/>
        <w:snapToGrid w:val="0"/>
        <w:spacing w:line="360" w:lineRule="auto"/>
        <w:rPr>
          <w:rFonts w:hint="eastAsia"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062B1CE7">
      <w:pPr>
        <w:pStyle w:val="24"/>
        <w:snapToGrid w:val="0"/>
        <w:spacing w:line="360" w:lineRule="auto"/>
        <w:ind w:firstLine="0" w:firstLineChars="0"/>
        <w:rPr>
          <w:rFonts w:hint="eastAsia" w:cs="宋体"/>
          <w:color w:val="auto"/>
          <w:highlight w:val="none"/>
        </w:rPr>
      </w:pPr>
    </w:p>
    <w:bookmarkEnd w:id="27"/>
    <w:p w14:paraId="2792283E">
      <w:pPr>
        <w:spacing w:line="360" w:lineRule="auto"/>
        <w:ind w:left="720" w:leftChars="343" w:firstLine="1084" w:firstLineChars="300"/>
        <w:outlineLvl w:val="0"/>
        <w:rPr>
          <w:rFonts w:hint="eastAsia" w:ascii="宋体" w:hAnsi="宋体" w:cs="宋体"/>
          <w:b/>
          <w:color w:val="auto"/>
          <w:sz w:val="36"/>
          <w:szCs w:val="36"/>
          <w:highlight w:val="none"/>
        </w:rPr>
      </w:pPr>
      <w:bookmarkStart w:id="396" w:name="第五部分"/>
      <w:bookmarkStart w:id="397" w:name="_Toc86217003"/>
    </w:p>
    <w:p w14:paraId="22B6106B">
      <w:pPr>
        <w:spacing w:line="360" w:lineRule="auto"/>
        <w:ind w:left="720" w:leftChars="343" w:firstLine="1084" w:firstLineChars="300"/>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453FC0EF">
      <w:pPr>
        <w:spacing w:line="360" w:lineRule="auto"/>
        <w:ind w:left="720" w:leftChars="343" w:firstLine="1084" w:firstLineChars="300"/>
        <w:outlineLvl w:val="0"/>
        <w:rPr>
          <w:rFonts w:hint="eastAsia" w:ascii="宋体" w:hAnsi="宋体" w:cs="宋体"/>
          <w:b/>
          <w:color w:val="auto"/>
          <w:sz w:val="36"/>
          <w:szCs w:val="36"/>
          <w:highlight w:val="none"/>
        </w:rPr>
      </w:pPr>
    </w:p>
    <w:p w14:paraId="31C3D604">
      <w:pPr>
        <w:spacing w:line="360" w:lineRule="auto"/>
        <w:ind w:left="720" w:leftChars="343" w:firstLine="1084" w:firstLineChars="300"/>
        <w:outlineLvl w:val="0"/>
        <w:rPr>
          <w:rFonts w:hint="eastAsia" w:ascii="宋体" w:hAnsi="宋体" w:cs="宋体"/>
          <w:b/>
          <w:color w:val="auto"/>
          <w:sz w:val="36"/>
          <w:szCs w:val="36"/>
          <w:highlight w:val="none"/>
        </w:rPr>
      </w:pPr>
    </w:p>
    <w:p w14:paraId="76ABE464">
      <w:pPr>
        <w:spacing w:line="360" w:lineRule="auto"/>
        <w:ind w:left="720" w:leftChars="343" w:firstLine="1084" w:firstLineChars="300"/>
        <w:outlineLvl w:val="0"/>
        <w:rPr>
          <w:rFonts w:hint="eastAsia" w:ascii="宋体" w:hAnsi="宋体" w:cs="宋体"/>
          <w:b/>
          <w:color w:val="auto"/>
          <w:sz w:val="36"/>
          <w:szCs w:val="36"/>
          <w:highlight w:val="none"/>
        </w:rPr>
      </w:pPr>
    </w:p>
    <w:p w14:paraId="0C34BB8E">
      <w:pPr>
        <w:spacing w:line="360" w:lineRule="auto"/>
        <w:ind w:left="720" w:leftChars="343" w:firstLine="1084" w:firstLineChars="300"/>
        <w:outlineLvl w:val="0"/>
        <w:rPr>
          <w:rFonts w:hint="eastAsia" w:ascii="宋体" w:hAnsi="宋体" w:cs="宋体"/>
          <w:b/>
          <w:color w:val="auto"/>
          <w:sz w:val="36"/>
          <w:szCs w:val="36"/>
          <w:highlight w:val="none"/>
        </w:rPr>
      </w:pPr>
    </w:p>
    <w:p w14:paraId="2B06AC1D">
      <w:pPr>
        <w:spacing w:line="360" w:lineRule="auto"/>
        <w:ind w:left="720" w:leftChars="343" w:firstLine="1084" w:firstLineChars="300"/>
        <w:outlineLvl w:val="0"/>
        <w:rPr>
          <w:rFonts w:hint="eastAsia" w:ascii="宋体" w:hAnsi="宋体" w:cs="宋体"/>
          <w:b/>
          <w:color w:val="auto"/>
          <w:sz w:val="36"/>
          <w:szCs w:val="36"/>
          <w:highlight w:val="none"/>
        </w:rPr>
      </w:pPr>
    </w:p>
    <w:p w14:paraId="1A7F7CF1">
      <w:pPr>
        <w:widowControl/>
        <w:adjustRightInd/>
        <w:jc w:val="left"/>
        <w:rPr>
          <w:rFonts w:hint="eastAsia" w:ascii="宋体" w:hAnsi="宋体" w:cs="宋体"/>
          <w:b/>
          <w:color w:val="auto"/>
          <w:sz w:val="36"/>
          <w:szCs w:val="36"/>
          <w:highlight w:val="none"/>
        </w:rPr>
      </w:pPr>
      <w:r>
        <w:rPr>
          <w:rFonts w:ascii="宋体" w:hAnsi="宋体" w:cs="宋体"/>
          <w:b/>
          <w:color w:val="auto"/>
          <w:sz w:val="36"/>
          <w:szCs w:val="36"/>
          <w:highlight w:val="none"/>
        </w:rPr>
        <w:br w:type="page"/>
      </w:r>
    </w:p>
    <w:p w14:paraId="72ED168C">
      <w:pPr>
        <w:spacing w:line="360" w:lineRule="auto"/>
        <w:ind w:left="720" w:leftChars="343" w:firstLine="1084" w:firstLineChars="300"/>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27D35532">
      <w:pPr>
        <w:rPr>
          <w:rFonts w:hint="eastAsia"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0435259">
      <w:pPr>
        <w:spacing w:line="480" w:lineRule="auto"/>
        <w:jc w:val="center"/>
        <w:rPr>
          <w:rFonts w:hint="eastAsia" w:ascii="宋体" w:hAnsi="宋体" w:cs="宋体"/>
          <w:b/>
          <w:color w:val="auto"/>
          <w:sz w:val="28"/>
          <w:szCs w:val="28"/>
          <w:highlight w:val="none"/>
        </w:rPr>
      </w:pPr>
    </w:p>
    <w:p w14:paraId="058EC154">
      <w:pPr>
        <w:spacing w:line="480" w:lineRule="auto"/>
        <w:jc w:val="center"/>
        <w:rPr>
          <w:rFonts w:hint="eastAsia" w:ascii="宋体" w:hAnsi="宋体" w:cs="宋体"/>
          <w:b/>
          <w:color w:val="auto"/>
          <w:sz w:val="24"/>
          <w:highlight w:val="none"/>
        </w:rPr>
      </w:pPr>
    </w:p>
    <w:p w14:paraId="143981E9">
      <w:pPr>
        <w:spacing w:line="480" w:lineRule="auto"/>
        <w:jc w:val="center"/>
        <w:rPr>
          <w:rFonts w:hint="eastAsia" w:ascii="宋体" w:hAnsi="宋体" w:cs="宋体"/>
          <w:b/>
          <w:color w:val="auto"/>
          <w:sz w:val="24"/>
          <w:highlight w:val="none"/>
        </w:rPr>
      </w:pPr>
    </w:p>
    <w:p w14:paraId="63577ABA">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04B11354">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（服务类）</w:t>
      </w:r>
    </w:p>
    <w:p w14:paraId="762296FF">
      <w:pPr>
        <w:pStyle w:val="703"/>
        <w:ind w:firstLine="2843" w:firstLineChars="1180"/>
        <w:rPr>
          <w:rFonts w:hint="eastAsia" w:ascii="宋体" w:hAnsi="宋体" w:cs="宋体"/>
          <w:b/>
          <w:color w:val="auto"/>
          <w:szCs w:val="24"/>
          <w:highlight w:val="none"/>
        </w:rPr>
      </w:pPr>
      <w:r>
        <w:rPr>
          <w:rFonts w:hint="eastAsia" w:ascii="宋体" w:hAnsi="宋体" w:cs="宋体"/>
          <w:b/>
          <w:color w:val="auto"/>
          <w:szCs w:val="24"/>
          <w:highlight w:val="none"/>
        </w:rPr>
        <w:t>第一部分 合同书</w:t>
      </w:r>
    </w:p>
    <w:p w14:paraId="563E7411">
      <w:pPr>
        <w:spacing w:before="120" w:line="22" w:lineRule="atLeast"/>
        <w:rPr>
          <w:rFonts w:hint="eastAsia" w:ascii="宋体" w:hAnsi="宋体" w:cs="宋体"/>
          <w:color w:val="auto"/>
          <w:sz w:val="24"/>
          <w:highlight w:val="none"/>
        </w:rPr>
      </w:pPr>
    </w:p>
    <w:p w14:paraId="04D09B24">
      <w:pPr>
        <w:pStyle w:val="3"/>
        <w:rPr>
          <w:rFonts w:hint="eastAsia"/>
          <w:color w:val="auto"/>
          <w:highlight w:val="none"/>
        </w:rPr>
      </w:pPr>
    </w:p>
    <w:p w14:paraId="0C1C018B">
      <w:pPr>
        <w:spacing w:before="120" w:line="22" w:lineRule="atLeast"/>
        <w:ind w:left="960"/>
        <w:rPr>
          <w:rFonts w:hint="eastAsia"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8"/>
          <w:szCs w:val="28"/>
          <w:highlight w:val="none"/>
          <w:u w:val="single"/>
        </w:rPr>
        <w:t>西塘河（湖州街-京杭运河）生态清淤工程</w:t>
      </w:r>
    </w:p>
    <w:p w14:paraId="1BB6CC16">
      <w:pPr>
        <w:pStyle w:val="600"/>
        <w:spacing w:before="120" w:line="22" w:lineRule="atLeast"/>
        <w:rPr>
          <w:rFonts w:hint="eastAsia" w:ascii="宋体" w:hAnsi="宋体" w:eastAsia="宋体" w:cs="宋体"/>
          <w:color w:val="auto"/>
          <w:szCs w:val="24"/>
          <w:highlight w:val="none"/>
        </w:rPr>
      </w:pPr>
    </w:p>
    <w:p w14:paraId="71746EB2">
      <w:pPr>
        <w:pStyle w:val="600"/>
        <w:spacing w:before="120" w:line="22" w:lineRule="atLeast"/>
        <w:rPr>
          <w:rFonts w:hint="eastAsia" w:ascii="宋体" w:hAnsi="宋体" w:eastAsia="宋体" w:cs="宋体"/>
          <w:color w:val="auto"/>
          <w:szCs w:val="24"/>
          <w:highlight w:val="none"/>
        </w:rPr>
      </w:pPr>
    </w:p>
    <w:p w14:paraId="2A18643A">
      <w:pPr>
        <w:rPr>
          <w:rFonts w:hint="eastAsia" w:ascii="宋体" w:hAnsi="宋体" w:cs="宋体"/>
          <w:color w:val="auto"/>
          <w:sz w:val="24"/>
          <w:highlight w:val="none"/>
        </w:rPr>
      </w:pPr>
    </w:p>
    <w:p w14:paraId="0C6F2D71">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8"/>
          <w:szCs w:val="28"/>
          <w:highlight w:val="none"/>
          <w:u w:val="single"/>
        </w:rPr>
        <w:t>杭州市城市水设施和河道保护管理中心</w:t>
      </w:r>
    </w:p>
    <w:p w14:paraId="38A2BA5D">
      <w:pPr>
        <w:spacing w:before="120" w:line="22" w:lineRule="atLeast"/>
        <w:rPr>
          <w:rFonts w:hint="eastAsia" w:ascii="宋体" w:hAnsi="宋体" w:cs="宋体"/>
          <w:color w:val="auto"/>
          <w:sz w:val="24"/>
          <w:highlight w:val="none"/>
        </w:rPr>
      </w:pPr>
    </w:p>
    <w:p w14:paraId="7E6FA784">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39428CFF">
      <w:pPr>
        <w:spacing w:before="120" w:line="22" w:lineRule="atLeast"/>
        <w:rPr>
          <w:rFonts w:hint="eastAsia" w:ascii="宋体" w:hAnsi="宋体" w:cs="宋体"/>
          <w:color w:val="auto"/>
          <w:sz w:val="24"/>
          <w:highlight w:val="none"/>
        </w:rPr>
      </w:pPr>
    </w:p>
    <w:p w14:paraId="0DFB199D">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8"/>
          <w:szCs w:val="28"/>
          <w:highlight w:val="none"/>
          <w:u w:val="single"/>
        </w:rPr>
        <w:t xml:space="preserve"> 浙江省 杭州市</w:t>
      </w:r>
    </w:p>
    <w:p w14:paraId="10AC9A9E">
      <w:pPr>
        <w:spacing w:before="120" w:line="22" w:lineRule="atLeast"/>
        <w:rPr>
          <w:rFonts w:hint="eastAsia" w:ascii="宋体" w:hAnsi="宋体" w:cs="宋体"/>
          <w:color w:val="auto"/>
          <w:sz w:val="24"/>
          <w:highlight w:val="none"/>
        </w:rPr>
      </w:pPr>
    </w:p>
    <w:p w14:paraId="35DA779A">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2025</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6F69AEC">
      <w:pPr>
        <w:widowControl/>
        <w:jc w:val="left"/>
        <w:rPr>
          <w:rFonts w:hint="eastAsia" w:ascii="宋体" w:hAnsi="宋体" w:cs="宋体"/>
          <w:color w:val="auto"/>
          <w:kern w:val="0"/>
          <w:sz w:val="24"/>
          <w:highlight w:val="none"/>
        </w:rPr>
        <w:sectPr>
          <w:pgSz w:w="11905" w:h="16838"/>
          <w:pgMar w:top="1247" w:right="1417" w:bottom="1247" w:left="1417" w:header="851" w:footer="850" w:gutter="0"/>
          <w:cols w:space="0" w:num="1"/>
        </w:sectPr>
      </w:pPr>
    </w:p>
    <w:p w14:paraId="368DDAE7">
      <w:pPr>
        <w:rPr>
          <w:rFonts w:hint="eastAsia" w:ascii="宋体" w:hAnsi="宋体" w:cs="宋体"/>
          <w:b/>
          <w:color w:val="auto"/>
          <w:sz w:val="24"/>
          <w:highlight w:val="none"/>
        </w:rPr>
      </w:pPr>
    </w:p>
    <w:p w14:paraId="2E2C2CFE">
      <w:pPr>
        <w:wordWrap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u w:val="single"/>
        </w:rPr>
        <w:t>杭州市城市水设施和河道保护管理中心</w:t>
      </w:r>
      <w:r>
        <w:rPr>
          <w:rFonts w:hint="eastAsia" w:ascii="宋体" w:hAnsi="宋体" w:cs="宋体"/>
          <w:color w:val="auto"/>
          <w:sz w:val="24"/>
          <w:highlight w:val="none"/>
        </w:rPr>
        <w:t>按照</w:t>
      </w:r>
      <w:r>
        <w:rPr>
          <w:rFonts w:hint="eastAsia" w:ascii="宋体" w:hAnsi="宋体" w:cs="宋体"/>
          <w:color w:val="auto"/>
          <w:sz w:val="24"/>
          <w:highlight w:val="none"/>
          <w:u w:val="single"/>
        </w:rPr>
        <w:t xml:space="preserve">  公开招标 </w:t>
      </w:r>
      <w:r>
        <w:rPr>
          <w:rFonts w:hint="eastAsia" w:ascii="宋体" w:hAnsi="宋体" w:cs="宋体"/>
          <w:color w:val="auto"/>
          <w:sz w:val="24"/>
          <w:highlight w:val="none"/>
        </w:rPr>
        <w:t>方式对</w:t>
      </w:r>
      <w:r>
        <w:rPr>
          <w:rFonts w:hint="eastAsia" w:ascii="宋体" w:hAnsi="宋体" w:cs="宋体"/>
          <w:color w:val="auto"/>
          <w:kern w:val="0"/>
          <w:sz w:val="24"/>
          <w:highlight w:val="none"/>
          <w:u w:val="single"/>
        </w:rPr>
        <w:t>西塘河（湖州街-京杭运河）生态清淤工程</w:t>
      </w:r>
      <w:r>
        <w:rPr>
          <w:rFonts w:hint="eastAsia" w:ascii="宋体" w:hAnsi="宋体" w:cs="宋体"/>
          <w:color w:val="auto"/>
          <w:kern w:val="0"/>
          <w:sz w:val="24"/>
          <w:highlight w:val="none"/>
        </w:rPr>
        <w:t>项目</w:t>
      </w:r>
      <w:r>
        <w:rPr>
          <w:rFonts w:hint="eastAsia" w:ascii="宋体" w:hAnsi="宋体" w:cs="宋体"/>
          <w:color w:val="auto"/>
          <w:sz w:val="24"/>
          <w:highlight w:val="none"/>
        </w:rPr>
        <w:t>进行了公开招标采购。</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确定</w:t>
      </w:r>
      <w:r>
        <w:rPr>
          <w:rFonts w:hint="eastAsia" w:ascii="宋体" w:hAnsi="宋体" w:cs="宋体"/>
          <w:color w:val="auto"/>
          <w:sz w:val="24"/>
          <w:highlight w:val="none"/>
          <w:u w:val="single"/>
        </w:rPr>
        <w:t xml:space="preserve"> （中标供应商名称）</w:t>
      </w:r>
      <w:r>
        <w:rPr>
          <w:rFonts w:hint="eastAsia" w:ascii="宋体" w:hAnsi="宋体" w:cs="宋体"/>
          <w:color w:val="auto"/>
          <w:sz w:val="24"/>
          <w:highlight w:val="none"/>
        </w:rPr>
        <w:t>为本项目的中标供应商。</w:t>
      </w:r>
    </w:p>
    <w:p w14:paraId="099D2591">
      <w:pPr>
        <w:wordWrap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在中标通知书发出之日起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日内，</w:t>
      </w:r>
      <w:r>
        <w:rPr>
          <w:rFonts w:hint="eastAsia" w:ascii="宋体" w:hAnsi="宋体" w:cs="宋体"/>
          <w:color w:val="auto"/>
          <w:sz w:val="24"/>
          <w:highlight w:val="none"/>
          <w:lang w:val="zh-CN"/>
        </w:rPr>
        <w:t>根据《中华人民共和国民法典》、《中华人民共和国政府采购法》等相关法律法规之规定，按照平等、自愿、公平、诚实信用的原则</w:t>
      </w:r>
      <w:r>
        <w:rPr>
          <w:rFonts w:hint="eastAsia" w:ascii="宋体" w:hAnsi="宋体" w:cs="宋体"/>
          <w:color w:val="auto"/>
          <w:sz w:val="24"/>
          <w:highlight w:val="none"/>
        </w:rPr>
        <w:t>和采购文件确定的事项，</w:t>
      </w:r>
      <w:r>
        <w:rPr>
          <w:rFonts w:hint="eastAsia" w:ascii="宋体" w:hAnsi="宋体" w:cs="宋体"/>
          <w:color w:val="auto"/>
          <w:sz w:val="24"/>
          <w:highlight w:val="none"/>
          <w:lang w:val="zh-CN"/>
        </w:rPr>
        <w:t>经</w:t>
      </w:r>
      <w:r>
        <w:rPr>
          <w:rFonts w:hint="eastAsia" w:ascii="宋体" w:hAnsi="宋体" w:cs="宋体"/>
          <w:color w:val="auto"/>
          <w:sz w:val="24"/>
          <w:highlight w:val="none"/>
          <w:u w:val="single"/>
        </w:rPr>
        <w:t xml:space="preserve"> （采购人） </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lang w:val="zh-CN"/>
        </w:rPr>
        <w:t>(以下简称乙方)协商一致，</w:t>
      </w:r>
      <w:r>
        <w:rPr>
          <w:rFonts w:hint="eastAsia" w:ascii="宋体" w:hAnsi="宋体" w:cs="宋体"/>
          <w:color w:val="auto"/>
          <w:sz w:val="24"/>
          <w:highlight w:val="none"/>
        </w:rPr>
        <w:t>签订本合同，以兹共同遵守、全面履行。</w:t>
      </w:r>
    </w:p>
    <w:p w14:paraId="617B23B7">
      <w:pPr>
        <w:spacing w:line="360" w:lineRule="auto"/>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1.1 合同组成部分</w:t>
      </w:r>
    </w:p>
    <w:p w14:paraId="7D6D30E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下列文件为本合同的组成部分，并构成一个整体，需综合解释、相互补充。如果下列文件内容出现不一致的情形，在保证按照采购文件确定的事项的前提下，组成本合同的多个文件的优先适用顺序如下：</w:t>
      </w:r>
    </w:p>
    <w:p w14:paraId="77317DA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 本合同及其补充合同、变更协议；</w:t>
      </w:r>
    </w:p>
    <w:p w14:paraId="7E483DB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1.1.2 中标通知书；</w:t>
      </w:r>
    </w:p>
    <w:p w14:paraId="35C127D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1.1.3 投标文件（含澄清或者说明文件）；</w:t>
      </w:r>
    </w:p>
    <w:p w14:paraId="426ADFD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1.1.4 招标文件（含澄清或者修改文件）；</w:t>
      </w:r>
    </w:p>
    <w:p w14:paraId="5405D71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1.1.5 其他相关采购文件。</w:t>
      </w:r>
    </w:p>
    <w:p w14:paraId="04F5156B">
      <w:pPr>
        <w:spacing w:line="360" w:lineRule="auto"/>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1.2 标的</w:t>
      </w:r>
    </w:p>
    <w:p w14:paraId="76C933BE">
      <w:pP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1.2.1 服务内容：</w:t>
      </w:r>
      <w:r>
        <w:rPr>
          <w:rFonts w:hint="eastAsia" w:ascii="宋体" w:hAnsi="宋体" w:cs="宋体"/>
          <w:color w:val="auto"/>
          <w:sz w:val="24"/>
          <w:highlight w:val="none"/>
          <w:u w:val="single"/>
        </w:rPr>
        <w:t>西塘河（湖州街—运河）生态清淤工作，包括生态清淤作业、淤泥干化处理、干化淤泥运输、淤泥利用和消纳等。</w:t>
      </w:r>
    </w:p>
    <w:p w14:paraId="0917F2DD">
      <w:pPr>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u w:val="single"/>
        </w:rPr>
        <w:t>本次清淤范围：西塘河（湖州街—运河）生态清淤项目，河道长约2千米，河道水面宽度15—35米，河道常水位约1.4米（黄海复测标高），水下清淤量约4.1万立方米，具体详见施工图。</w:t>
      </w:r>
    </w:p>
    <w:p w14:paraId="7A5013F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1.2.2 服务标准：</w:t>
      </w:r>
    </w:p>
    <w:p w14:paraId="1247EAA8">
      <w:pPr>
        <w:pStyle w:val="3"/>
        <w:ind w:left="434" w:leftChars="202" w:hanging="10" w:hangingChars="4"/>
        <w:rPr>
          <w:rFonts w:hint="eastAsia" w:ascii="宋体" w:hAnsi="宋体" w:eastAsia="宋体" w:cs="宋体"/>
          <w:b w:val="0"/>
          <w:bCs w:val="0"/>
          <w:color w:val="auto"/>
          <w:highlight w:val="none"/>
          <w:u w:val="single"/>
          <w:lang w:val="en-US"/>
        </w:rPr>
      </w:pPr>
      <w:r>
        <w:rPr>
          <w:rFonts w:hint="eastAsia" w:ascii="宋体" w:hAnsi="宋体" w:eastAsia="宋体" w:cs="宋体"/>
          <w:color w:val="auto"/>
          <w:sz w:val="24"/>
          <w:highlight w:val="none"/>
          <w:u w:val="single"/>
          <w:lang w:val="en-US"/>
        </w:rPr>
        <w:t>1.2.</w:t>
      </w:r>
      <w:r>
        <w:rPr>
          <w:rFonts w:hint="eastAsia" w:ascii="宋体" w:hAnsi="宋体" w:eastAsia="宋体" w:cs="宋体"/>
          <w:color w:val="auto"/>
          <w:sz w:val="24"/>
          <w:highlight w:val="none"/>
          <w:u w:val="single"/>
        </w:rPr>
        <w:t>2.</w:t>
      </w:r>
      <w:r>
        <w:rPr>
          <w:rFonts w:hint="eastAsia" w:ascii="宋体" w:hAnsi="宋体" w:eastAsia="宋体" w:cs="宋体"/>
          <w:color w:val="auto"/>
          <w:sz w:val="24"/>
          <w:highlight w:val="none"/>
          <w:u w:val="single"/>
          <w:lang w:val="en-US"/>
        </w:rPr>
        <w:t>1</w:t>
      </w:r>
      <w:r>
        <w:rPr>
          <w:rFonts w:hint="eastAsia" w:ascii="宋体" w:hAnsi="宋体" w:eastAsia="宋体" w:cs="宋体"/>
          <w:color w:val="auto"/>
          <w:sz w:val="24"/>
          <w:highlight w:val="none"/>
          <w:u w:val="single"/>
        </w:rPr>
        <w:t>服务期：施工工期180天（</w:t>
      </w:r>
      <w:r>
        <w:rPr>
          <w:rFonts w:hint="eastAsia" w:ascii="宋体" w:hAnsi="宋体" w:eastAsia="宋体" w:cs="宋体"/>
          <w:color w:val="auto"/>
          <w:sz w:val="24"/>
          <w:highlight w:val="none"/>
          <w:u w:val="single"/>
          <w:lang w:val="en-US"/>
        </w:rPr>
        <w:t>以甲方开工令为准</w:t>
      </w:r>
      <w:r>
        <w:rPr>
          <w:rFonts w:hint="eastAsia" w:ascii="宋体" w:hAnsi="宋体" w:eastAsia="宋体" w:cs="宋体"/>
          <w:color w:val="auto"/>
          <w:sz w:val="24"/>
          <w:highlight w:val="none"/>
          <w:u w:val="single"/>
        </w:rPr>
        <w:t>）。</w:t>
      </w:r>
    </w:p>
    <w:p w14:paraId="38395A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1.2.3 技术保障：</w:t>
      </w:r>
      <w:r>
        <w:rPr>
          <w:rFonts w:hint="eastAsia" w:ascii="宋体" w:hAnsi="宋体" w:cs="宋体"/>
          <w:color w:val="auto"/>
          <w:sz w:val="24"/>
          <w:highlight w:val="none"/>
          <w:u w:val="single"/>
        </w:rPr>
        <w:t xml:space="preserve">        按投标文件承诺               ；</w:t>
      </w:r>
    </w:p>
    <w:p w14:paraId="133B0AD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1.2.4 服务人员组成：</w:t>
      </w:r>
      <w:r>
        <w:rPr>
          <w:rFonts w:hint="eastAsia" w:ascii="宋体" w:hAnsi="宋体" w:cs="宋体"/>
          <w:color w:val="auto"/>
          <w:sz w:val="24"/>
          <w:highlight w:val="none"/>
          <w:u w:val="single"/>
        </w:rPr>
        <w:t xml:space="preserve">    详见合同附件（合同签订时附后）；</w:t>
      </w:r>
    </w:p>
    <w:p w14:paraId="0214EE79">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1.3 价款</w:t>
      </w:r>
    </w:p>
    <w:p w14:paraId="3814999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1.3.2 </w:t>
      </w:r>
      <w:r>
        <w:rPr>
          <w:rFonts w:hint="eastAsia" w:ascii="宋体" w:hAnsi="宋体" w:cs="宋体"/>
          <w:color w:val="auto"/>
          <w:sz w:val="24"/>
          <w:highlight w:val="none"/>
        </w:rPr>
        <w:t>条款规定的计价方式计价。</w:t>
      </w:r>
    </w:p>
    <w:p w14:paraId="42BC28B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1.3.1总价合同，本合同总价（含税）为：￥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元人民币）。具体分项价格见附件。</w:t>
      </w:r>
    </w:p>
    <w:p w14:paraId="737695FE">
      <w:pPr>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1.3.2单价合同，本合同单价（含税）标准为：</w:t>
      </w:r>
    </w:p>
    <w:tbl>
      <w:tblPr>
        <w:tblStyle w:val="64"/>
        <w:tblW w:w="0" w:type="auto"/>
        <w:tblInd w:w="1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0"/>
        <w:gridCol w:w="2234"/>
        <w:gridCol w:w="962"/>
        <w:gridCol w:w="1375"/>
        <w:gridCol w:w="1688"/>
        <w:gridCol w:w="1359"/>
      </w:tblGrid>
      <w:tr w14:paraId="349CB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Pr>
          <w:p w14:paraId="17D735C3">
            <w:pPr>
              <w:wordWrap w:val="0"/>
              <w:autoSpaceDE w:val="0"/>
              <w:autoSpaceDN w:val="0"/>
              <w:spacing w:line="36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序号</w:t>
            </w:r>
          </w:p>
        </w:tc>
        <w:tc>
          <w:tcPr>
            <w:tcW w:w="2234" w:type="dxa"/>
          </w:tcPr>
          <w:p w14:paraId="1556B16A">
            <w:pPr>
              <w:wordWrap w:val="0"/>
              <w:autoSpaceDE w:val="0"/>
              <w:autoSpaceDN w:val="0"/>
              <w:spacing w:line="36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内容</w:t>
            </w:r>
          </w:p>
        </w:tc>
        <w:tc>
          <w:tcPr>
            <w:tcW w:w="962" w:type="dxa"/>
          </w:tcPr>
          <w:p w14:paraId="5B4B93DD">
            <w:pPr>
              <w:wordWrap w:val="0"/>
              <w:autoSpaceDE w:val="0"/>
              <w:autoSpaceDN w:val="0"/>
              <w:spacing w:line="3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单位</w:t>
            </w:r>
          </w:p>
        </w:tc>
        <w:tc>
          <w:tcPr>
            <w:tcW w:w="1375" w:type="dxa"/>
          </w:tcPr>
          <w:p w14:paraId="0C66145A">
            <w:pPr>
              <w:wordWrap w:val="0"/>
              <w:autoSpaceDE w:val="0"/>
              <w:autoSpaceDN w:val="0"/>
              <w:spacing w:line="3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数量</w:t>
            </w:r>
          </w:p>
        </w:tc>
        <w:tc>
          <w:tcPr>
            <w:tcW w:w="1688" w:type="dxa"/>
          </w:tcPr>
          <w:p w14:paraId="6654F851">
            <w:pPr>
              <w:wordWrap w:val="0"/>
              <w:autoSpaceDE w:val="0"/>
              <w:autoSpaceDN w:val="0"/>
              <w:spacing w:line="36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综合单价（元）</w:t>
            </w:r>
          </w:p>
        </w:tc>
        <w:tc>
          <w:tcPr>
            <w:tcW w:w="1359" w:type="dxa"/>
          </w:tcPr>
          <w:p w14:paraId="7247AE77">
            <w:pPr>
              <w:wordWrap w:val="0"/>
              <w:autoSpaceDE w:val="0"/>
              <w:autoSpaceDN w:val="0"/>
              <w:spacing w:line="36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合价（元）</w:t>
            </w:r>
          </w:p>
        </w:tc>
      </w:tr>
      <w:tr w14:paraId="69FAA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vAlign w:val="center"/>
          </w:tcPr>
          <w:p w14:paraId="6FD43C05">
            <w:pPr>
              <w:wordWrap w:val="0"/>
              <w:autoSpaceDE w:val="0"/>
              <w:autoSpaceDN w:val="0"/>
              <w:spacing w:line="36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一</w:t>
            </w:r>
          </w:p>
        </w:tc>
        <w:tc>
          <w:tcPr>
            <w:tcW w:w="2234" w:type="dxa"/>
            <w:vAlign w:val="center"/>
          </w:tcPr>
          <w:p w14:paraId="4FF61BAD">
            <w:pPr>
              <w:wordWrap w:val="0"/>
              <w:autoSpaceDE w:val="0"/>
              <w:autoSpaceDN w:val="0"/>
              <w:spacing w:line="36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西塘河（湖州街—运河）生态清淤</w:t>
            </w:r>
          </w:p>
        </w:tc>
        <w:tc>
          <w:tcPr>
            <w:tcW w:w="962" w:type="dxa"/>
            <w:vAlign w:val="center"/>
          </w:tcPr>
          <w:p w14:paraId="0C1878CF">
            <w:pPr>
              <w:wordWrap w:val="0"/>
              <w:autoSpaceDE w:val="0"/>
              <w:autoSpaceDN w:val="0"/>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m</w:t>
            </w:r>
            <w:r>
              <w:rPr>
                <w:rFonts w:hint="eastAsia" w:ascii="宋体" w:hAnsi="宋体" w:cs="宋体"/>
                <w:color w:val="auto"/>
                <w:sz w:val="24"/>
                <w:highlight w:val="none"/>
                <w:vertAlign w:val="superscript"/>
              </w:rPr>
              <w:t>3</w:t>
            </w:r>
          </w:p>
        </w:tc>
        <w:tc>
          <w:tcPr>
            <w:tcW w:w="1375" w:type="dxa"/>
            <w:vAlign w:val="center"/>
          </w:tcPr>
          <w:p w14:paraId="4620F1C8">
            <w:pPr>
              <w:wordWrap w:val="0"/>
              <w:autoSpaceDE w:val="0"/>
              <w:autoSpaceDN w:val="0"/>
              <w:spacing w:line="360" w:lineRule="exact"/>
              <w:jc w:val="center"/>
              <w:rPr>
                <w:rFonts w:hint="eastAsia" w:ascii="宋体" w:hAnsi="宋体" w:eastAsia="仿宋" w:cs="宋体"/>
                <w:color w:val="auto"/>
                <w:sz w:val="24"/>
                <w:highlight w:val="none"/>
              </w:rPr>
            </w:pPr>
            <w:r>
              <w:rPr>
                <w:rFonts w:ascii="宋体" w:hAnsi="宋体" w:cs="宋体"/>
                <w:color w:val="auto"/>
                <w:sz w:val="24"/>
                <w:highlight w:val="none"/>
                <w:lang w:val="en"/>
              </w:rPr>
              <w:t>41</w:t>
            </w:r>
            <w:r>
              <w:rPr>
                <w:rFonts w:hint="eastAsia" w:ascii="宋体" w:hAnsi="宋体" w:cs="宋体"/>
                <w:color w:val="auto"/>
                <w:sz w:val="24"/>
                <w:highlight w:val="none"/>
              </w:rPr>
              <w:t>000</w:t>
            </w:r>
          </w:p>
        </w:tc>
        <w:tc>
          <w:tcPr>
            <w:tcW w:w="1688" w:type="dxa"/>
            <w:vAlign w:val="center"/>
          </w:tcPr>
          <w:p w14:paraId="686FDF55">
            <w:pPr>
              <w:wordWrap w:val="0"/>
              <w:autoSpaceDE w:val="0"/>
              <w:autoSpaceDN w:val="0"/>
              <w:spacing w:line="360" w:lineRule="exact"/>
              <w:jc w:val="center"/>
              <w:rPr>
                <w:rFonts w:hint="eastAsia" w:ascii="宋体" w:hAnsi="宋体" w:cs="宋体"/>
                <w:color w:val="auto"/>
                <w:sz w:val="24"/>
                <w:highlight w:val="none"/>
                <w:lang w:val="zh-CN"/>
              </w:rPr>
            </w:pPr>
          </w:p>
        </w:tc>
        <w:tc>
          <w:tcPr>
            <w:tcW w:w="1359" w:type="dxa"/>
            <w:vAlign w:val="center"/>
          </w:tcPr>
          <w:p w14:paraId="4CF7CA1F">
            <w:pPr>
              <w:wordWrap w:val="0"/>
              <w:autoSpaceDE w:val="0"/>
              <w:autoSpaceDN w:val="0"/>
              <w:spacing w:line="360" w:lineRule="exact"/>
              <w:jc w:val="center"/>
              <w:rPr>
                <w:rFonts w:hint="eastAsia" w:ascii="宋体" w:hAnsi="宋体" w:cs="宋体"/>
                <w:color w:val="auto"/>
                <w:sz w:val="24"/>
                <w:highlight w:val="none"/>
                <w:lang w:val="zh-CN"/>
              </w:rPr>
            </w:pPr>
          </w:p>
        </w:tc>
      </w:tr>
    </w:tbl>
    <w:p w14:paraId="3BEDA199">
      <w:pPr>
        <w:spacing w:line="360" w:lineRule="auto"/>
        <w:ind w:firstLine="480" w:firstLineChars="200"/>
        <w:jc w:val="left"/>
        <w:rPr>
          <w:rFonts w:hint="eastAsia" w:ascii="宋体" w:hAnsi="宋体" w:cs="宋体"/>
          <w:bCs/>
          <w:color w:val="auto"/>
          <w:sz w:val="24"/>
          <w:highlight w:val="none"/>
        </w:rPr>
      </w:pPr>
    </w:p>
    <w:p w14:paraId="450DC6E9">
      <w:pPr>
        <w:spacing w:line="360" w:lineRule="auto"/>
        <w:ind w:firstLine="480" w:firstLineChars="200"/>
        <w:jc w:val="left"/>
        <w:rPr>
          <w:rFonts w:hint="eastAsia" w:ascii="宋体" w:hAnsi="宋体" w:cs="宋体"/>
          <w:color w:val="auto"/>
          <w:sz w:val="24"/>
          <w:highlight w:val="none"/>
        </w:rPr>
      </w:pPr>
      <w:r>
        <w:rPr>
          <w:rFonts w:hint="eastAsia" w:ascii="宋体" w:hAnsi="宋体" w:cs="宋体"/>
          <w:bCs/>
          <w:color w:val="auto"/>
          <w:sz w:val="24"/>
          <w:highlight w:val="none"/>
        </w:rPr>
        <w:t>服务工作量的计量方式为：</w:t>
      </w:r>
      <w:r>
        <w:rPr>
          <w:rFonts w:hint="eastAsia" w:ascii="宋体" w:hAnsi="宋体" w:cs="宋体"/>
          <w:bCs/>
          <w:color w:val="auto"/>
          <w:sz w:val="24"/>
          <w:highlight w:val="none"/>
          <w:u w:val="single"/>
        </w:rPr>
        <w:t xml:space="preserve">       见合同专用条款     </w:t>
      </w:r>
      <w:r>
        <w:rPr>
          <w:rFonts w:hint="eastAsia" w:ascii="宋体" w:hAnsi="宋体" w:cs="宋体"/>
          <w:bCs/>
          <w:color w:val="auto"/>
          <w:sz w:val="24"/>
          <w:highlight w:val="none"/>
        </w:rPr>
        <w:t>。单价合同，在合同履行期间内，根据实际完成的工作量据实结算，但结算总价上限不得超过</w:t>
      </w:r>
      <w:r>
        <w:rPr>
          <w:rFonts w:hint="eastAsia" w:ascii="宋体" w:hAnsi="宋体" w:cs="宋体"/>
          <w:bCs/>
          <w:color w:val="auto"/>
          <w:sz w:val="24"/>
          <w:highlight w:val="none"/>
          <w:u w:val="single"/>
        </w:rPr>
        <w:sym w:font="Wingdings 2" w:char="0052"/>
      </w:r>
      <w:r>
        <w:rPr>
          <w:rFonts w:hint="eastAsia" w:ascii="宋体" w:hAnsi="宋体" w:cs="宋体"/>
          <w:bCs/>
          <w:color w:val="auto"/>
          <w:sz w:val="24"/>
          <w:highlight w:val="none"/>
          <w:u w:val="single"/>
        </w:rPr>
        <w:t>预算金额</w:t>
      </w:r>
      <w:r>
        <w:rPr>
          <w:rFonts w:hint="eastAsia" w:ascii="宋体" w:hAnsi="宋体" w:cs="宋体"/>
          <w:bCs/>
          <w:color w:val="auto"/>
          <w:sz w:val="24"/>
          <w:highlight w:val="none"/>
        </w:rPr>
        <w:t>或者</w:t>
      </w:r>
      <w:r>
        <w:rPr>
          <w:rFonts w:hint="eastAsia" w:ascii="宋体" w:hAnsi="宋体" w:cs="宋体"/>
          <w:bCs/>
          <w:color w:val="auto"/>
          <w:sz w:val="24"/>
          <w:highlight w:val="none"/>
          <w:u w:val="single"/>
        </w:rPr>
        <w:sym w:font="Wingdings 2" w:char="00A3"/>
      </w:r>
      <w:r>
        <w:rPr>
          <w:rFonts w:hint="eastAsia" w:ascii="宋体" w:hAnsi="宋体" w:cs="宋体"/>
          <w:bCs/>
          <w:color w:val="auto"/>
          <w:sz w:val="24"/>
          <w:highlight w:val="none"/>
          <w:u w:val="single"/>
        </w:rPr>
        <w:t>双方确定的金额￥           元（大写：                 元人民币）</w:t>
      </w:r>
      <w:r>
        <w:rPr>
          <w:rFonts w:hint="eastAsia" w:ascii="宋体" w:hAnsi="宋体" w:cs="宋体"/>
          <w:color w:val="auto"/>
          <w:sz w:val="24"/>
          <w:highlight w:val="none"/>
        </w:rPr>
        <w:t>。</w:t>
      </w:r>
    </w:p>
    <w:p w14:paraId="18757D47">
      <w:pPr>
        <w:pStyle w:val="3"/>
        <w:keepNext w:val="0"/>
        <w:keepLines w:val="0"/>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       </w:t>
      </w:r>
      <w:r>
        <w:rPr>
          <w:rFonts w:hint="eastAsia" w:ascii="宋体" w:hAnsi="宋体" w:eastAsia="宋体" w:cs="宋体"/>
          <w:b w:val="0"/>
          <w:bCs w:val="0"/>
          <w:color w:val="auto"/>
          <w:sz w:val="24"/>
          <w:highlight w:val="none"/>
        </w:rPr>
        <w:t>。</w:t>
      </w:r>
    </w:p>
    <w:p w14:paraId="3E8FA423">
      <w:pPr>
        <w:pStyle w:val="961"/>
        <w:spacing w:before="0" w:beforeAutospacing="0" w:after="0" w:afterAutospacing="0" w:line="360" w:lineRule="auto"/>
        <w:ind w:firstLine="482" w:firstLineChars="200"/>
        <w:rPr>
          <w:rFonts w:hint="eastAsia"/>
          <w:b/>
          <w:color w:val="auto"/>
          <w:highlight w:val="none"/>
        </w:rPr>
      </w:pPr>
      <w:r>
        <w:rPr>
          <w:rFonts w:hint="eastAsia"/>
          <w:b/>
          <w:color w:val="auto"/>
          <w:highlight w:val="none"/>
        </w:rPr>
        <w:t>1.4履约保证金</w:t>
      </w:r>
    </w:p>
    <w:p w14:paraId="055D7812">
      <w:pPr>
        <w:pStyle w:val="961"/>
        <w:spacing w:before="0" w:beforeAutospacing="0" w:after="0" w:afterAutospacing="0" w:line="360" w:lineRule="auto"/>
        <w:ind w:firstLine="480" w:firstLineChars="200"/>
        <w:rPr>
          <w:rFonts w:hint="eastAsia"/>
          <w:color w:val="auto"/>
          <w:highlight w:val="none"/>
        </w:rPr>
      </w:pPr>
      <w:r>
        <w:rPr>
          <w:rFonts w:hint="eastAsia"/>
          <w:color w:val="auto"/>
          <w:highlight w:val="none"/>
        </w:rPr>
        <w:t>乙方</w:t>
      </w:r>
      <w:r>
        <w:rPr>
          <w:rFonts w:hint="eastAsia"/>
          <w:color w:val="auto"/>
          <w:highlight w:val="none"/>
          <w:u w:val="single"/>
        </w:rPr>
        <w:t xml:space="preserve">   是  </w:t>
      </w:r>
      <w:r>
        <w:rPr>
          <w:rFonts w:hint="eastAsia"/>
          <w:color w:val="auto"/>
          <w:highlight w:val="none"/>
        </w:rPr>
        <w:t>（是/否）需要支付履约保证金。若需要支付履约保证金的，则：</w:t>
      </w:r>
    </w:p>
    <w:p w14:paraId="30B4F50A">
      <w:pPr>
        <w:spacing w:line="360" w:lineRule="auto"/>
        <w:ind w:firstLine="480" w:firstLineChars="200"/>
        <w:outlineLvl w:val="0"/>
        <w:rPr>
          <w:rFonts w:hint="eastAsia" w:ascii="宋体" w:hAnsi="宋体" w:cs="宋体"/>
          <w:color w:val="auto"/>
          <w:kern w:val="0"/>
          <w:sz w:val="24"/>
          <w:highlight w:val="none"/>
        </w:rPr>
      </w:pPr>
      <w:bookmarkStart w:id="398" w:name="_Toc10150"/>
      <w:bookmarkStart w:id="399" w:name="_Toc10654"/>
      <w:bookmarkStart w:id="400" w:name="_Toc23432"/>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1 </w:t>
      </w:r>
      <w:r>
        <w:rPr>
          <w:rFonts w:hint="eastAsia" w:ascii="宋体" w:hAnsi="宋体" w:cs="宋体"/>
          <w:color w:val="auto"/>
          <w:kern w:val="0"/>
          <w:sz w:val="24"/>
          <w:highlight w:val="none"/>
        </w:rPr>
        <w:t>%；</w:t>
      </w:r>
      <w:bookmarkEnd w:id="398"/>
      <w:bookmarkEnd w:id="399"/>
      <w:bookmarkEnd w:id="400"/>
    </w:p>
    <w:p w14:paraId="177D6003">
      <w:pPr>
        <w:spacing w:line="360" w:lineRule="auto"/>
        <w:ind w:firstLine="480" w:firstLineChars="200"/>
        <w:outlineLvl w:val="0"/>
        <w:rPr>
          <w:rFonts w:hint="eastAsia" w:ascii="宋体" w:hAnsi="宋体" w:cs="宋体"/>
          <w:color w:val="auto"/>
          <w:kern w:val="0"/>
          <w:sz w:val="24"/>
          <w:highlight w:val="none"/>
        </w:rPr>
      </w:pPr>
      <w:bookmarkStart w:id="401" w:name="_Toc8714"/>
      <w:bookmarkStart w:id="402" w:name="_Toc6717"/>
      <w:bookmarkStart w:id="403" w:name="_Toc29534"/>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bookmarkEnd w:id="401"/>
      <w:bookmarkEnd w:id="402"/>
      <w:bookmarkEnd w:id="403"/>
    </w:p>
    <w:p w14:paraId="68D01066">
      <w:pPr>
        <w:pStyle w:val="3"/>
        <w:keepNext w:val="0"/>
        <w:keepLines w:val="0"/>
        <w:tabs>
          <w:tab w:val="left" w:pos="0"/>
        </w:tabs>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4D70803">
      <w:pPr>
        <w:spacing w:line="360" w:lineRule="auto"/>
        <w:ind w:firstLine="480" w:firstLineChars="200"/>
        <w:outlineLvl w:val="0"/>
        <w:rPr>
          <w:rFonts w:hint="eastAsia" w:ascii="宋体" w:hAnsi="宋体" w:cs="宋体"/>
          <w:color w:val="auto"/>
          <w:kern w:val="0"/>
          <w:sz w:val="24"/>
          <w:highlight w:val="none"/>
        </w:rPr>
      </w:pPr>
      <w:bookmarkStart w:id="404" w:name="_Toc9602"/>
      <w:bookmarkStart w:id="405" w:name="_Toc22822"/>
      <w:bookmarkStart w:id="406" w:name="_Toc6865"/>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bookmarkEnd w:id="404"/>
      <w:bookmarkEnd w:id="405"/>
      <w:bookmarkEnd w:id="406"/>
    </w:p>
    <w:p w14:paraId="5E0C85C3">
      <w:pPr>
        <w:spacing w:line="360" w:lineRule="auto"/>
        <w:ind w:firstLine="482" w:firstLineChars="200"/>
        <w:outlineLvl w:val="0"/>
        <w:rPr>
          <w:rFonts w:hint="eastAsia" w:ascii="宋体" w:hAnsi="宋体" w:cs="宋体"/>
          <w:b/>
          <w:color w:val="auto"/>
          <w:sz w:val="24"/>
          <w:highlight w:val="none"/>
        </w:rPr>
      </w:pPr>
      <w:bookmarkStart w:id="407" w:name="_Toc8649"/>
      <w:bookmarkStart w:id="408" w:name="_Toc13676"/>
      <w:bookmarkStart w:id="409" w:name="_Toc30339"/>
      <w:r>
        <w:rPr>
          <w:rFonts w:hint="eastAsia" w:ascii="宋体" w:hAnsi="宋体" w:cs="宋体"/>
          <w:b/>
          <w:color w:val="auto"/>
          <w:sz w:val="24"/>
          <w:highlight w:val="none"/>
        </w:rPr>
        <w:t>1.5预付款</w:t>
      </w:r>
      <w:bookmarkEnd w:id="407"/>
      <w:bookmarkEnd w:id="408"/>
      <w:bookmarkEnd w:id="409"/>
    </w:p>
    <w:p w14:paraId="63862BBA">
      <w:pPr>
        <w:pStyle w:val="961"/>
        <w:spacing w:before="0" w:beforeAutospacing="0" w:after="0" w:afterAutospacing="0" w:line="360" w:lineRule="auto"/>
        <w:ind w:firstLine="480" w:firstLineChars="200"/>
        <w:rPr>
          <w:rFonts w:hint="eastAsia"/>
          <w:color w:val="auto"/>
          <w:highlight w:val="none"/>
        </w:rPr>
      </w:pPr>
      <w:r>
        <w:rPr>
          <w:rFonts w:hint="eastAsia"/>
          <w:color w:val="auto"/>
          <w:highlight w:val="none"/>
        </w:rPr>
        <w:t>甲方</w:t>
      </w:r>
      <w:r>
        <w:rPr>
          <w:rFonts w:hint="eastAsia"/>
          <w:color w:val="auto"/>
          <w:highlight w:val="none"/>
          <w:u w:val="single"/>
        </w:rPr>
        <w:t xml:space="preserve">  是   </w:t>
      </w:r>
      <w:r>
        <w:rPr>
          <w:rFonts w:hint="eastAsia"/>
          <w:color w:val="auto"/>
          <w:highlight w:val="none"/>
        </w:rPr>
        <w:t>（是/否）需要支付预付款。若需要支付预付款的，则：</w:t>
      </w:r>
    </w:p>
    <w:p w14:paraId="68E66DD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61AF07D">
      <w:pPr>
        <w:pStyle w:val="961"/>
        <w:spacing w:before="0" w:beforeAutospacing="0" w:after="0" w:afterAutospacing="0" w:line="360" w:lineRule="auto"/>
        <w:ind w:firstLine="480" w:firstLineChars="200"/>
        <w:rPr>
          <w:rFonts w:hint="eastAsia"/>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A75155D">
      <w:pPr>
        <w:pStyle w:val="961"/>
        <w:spacing w:before="0" w:beforeAutospacing="0" w:after="0" w:afterAutospacing="0" w:line="360" w:lineRule="auto"/>
        <w:ind w:firstLine="480" w:firstLineChars="200"/>
        <w:rPr>
          <w:rFonts w:hint="eastAsia"/>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3DD24710">
      <w:pPr>
        <w:pStyle w:val="961"/>
        <w:spacing w:before="0" w:beforeAutospacing="0" w:after="0" w:afterAutospacing="0" w:line="360" w:lineRule="auto"/>
        <w:ind w:firstLine="482" w:firstLineChars="200"/>
        <w:rPr>
          <w:rFonts w:hint="eastAsia"/>
          <w:b/>
          <w:bCs/>
          <w:color w:val="auto"/>
          <w:highlight w:val="none"/>
        </w:rPr>
      </w:pPr>
      <w:r>
        <w:rPr>
          <w:rFonts w:hint="eastAsia"/>
          <w:b/>
          <w:bCs/>
          <w:color w:val="auto"/>
          <w:highlight w:val="none"/>
        </w:rPr>
        <w:t>1.6资金支付</w:t>
      </w:r>
    </w:p>
    <w:p w14:paraId="0C72C1F9">
      <w:pPr>
        <w:pStyle w:val="961"/>
        <w:spacing w:before="0" w:beforeAutospacing="0" w:after="0" w:afterAutospacing="0" w:line="360" w:lineRule="auto"/>
        <w:ind w:firstLine="480" w:firstLineChars="200"/>
        <w:rPr>
          <w:rFonts w:hint="eastAsia"/>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AD57E61">
      <w:pPr>
        <w:spacing w:line="360" w:lineRule="auto"/>
        <w:ind w:firstLine="480" w:firstLineChars="200"/>
        <w:outlineLvl w:val="0"/>
        <w:rPr>
          <w:rFonts w:hint="eastAsia" w:ascii="宋体" w:hAnsi="宋体" w:cs="宋体"/>
          <w:color w:val="auto"/>
          <w:sz w:val="24"/>
          <w:highlight w:val="none"/>
        </w:rPr>
      </w:pPr>
      <w:bookmarkStart w:id="410" w:name="_Toc20620"/>
      <w:bookmarkStart w:id="411" w:name="_Toc15644"/>
      <w:bookmarkStart w:id="412" w:name="_Toc13230"/>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bookmarkEnd w:id="410"/>
      <w:bookmarkEnd w:id="411"/>
      <w:bookmarkEnd w:id="412"/>
    </w:p>
    <w:p w14:paraId="0E325F66">
      <w:pPr>
        <w:spacing w:line="360" w:lineRule="auto"/>
        <w:ind w:firstLine="482" w:firstLineChars="200"/>
        <w:outlineLvl w:val="0"/>
        <w:rPr>
          <w:rFonts w:hint="eastAsia" w:ascii="宋体" w:hAnsi="宋体" w:cs="宋体"/>
          <w:b/>
          <w:color w:val="auto"/>
          <w:sz w:val="24"/>
          <w:highlight w:val="none"/>
        </w:rPr>
      </w:pPr>
      <w:bookmarkStart w:id="413" w:name="_Toc32135"/>
      <w:bookmarkStart w:id="414" w:name="_Toc15195"/>
      <w:bookmarkStart w:id="415" w:name="_Toc3031"/>
      <w:r>
        <w:rPr>
          <w:rFonts w:hint="eastAsia" w:ascii="宋体" w:hAnsi="宋体" w:cs="宋体"/>
          <w:b/>
          <w:color w:val="auto"/>
          <w:sz w:val="24"/>
          <w:highlight w:val="none"/>
        </w:rPr>
        <w:t>1.7 履行期限、地点和方式</w:t>
      </w:r>
      <w:bookmarkEnd w:id="413"/>
      <w:bookmarkEnd w:id="414"/>
      <w:bookmarkEnd w:id="415"/>
    </w:p>
    <w:p w14:paraId="633D708E">
      <w:pP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1.7.1 服务交付（实施）的时间（期限）：</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995DD2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1.7.2 服务交付（实施）的地点（地域范围）：</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DF8E70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1.7.3 服务交付（实施）的方式：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524A590">
      <w:pPr>
        <w:spacing w:line="360" w:lineRule="auto"/>
        <w:ind w:firstLine="482" w:firstLineChars="200"/>
        <w:outlineLvl w:val="0"/>
        <w:rPr>
          <w:rFonts w:hint="eastAsia" w:ascii="宋体" w:hAnsi="宋体" w:cs="宋体"/>
          <w:color w:val="auto"/>
          <w:sz w:val="24"/>
          <w:highlight w:val="none"/>
          <w:u w:val="single"/>
        </w:rPr>
      </w:pPr>
      <w:bookmarkStart w:id="416" w:name="_Toc23902"/>
      <w:bookmarkStart w:id="417" w:name="_Toc31802"/>
      <w:bookmarkStart w:id="418" w:name="_Toc13446"/>
      <w:r>
        <w:rPr>
          <w:rFonts w:hint="eastAsia" w:ascii="宋体" w:hAnsi="宋体" w:cs="宋体"/>
          <w:b/>
          <w:color w:val="auto"/>
          <w:sz w:val="24"/>
          <w:highlight w:val="none"/>
        </w:rPr>
        <w:t>1.8违约责任</w:t>
      </w:r>
      <w:bookmarkEnd w:id="416"/>
      <w:bookmarkEnd w:id="417"/>
      <w:bookmarkEnd w:id="418"/>
    </w:p>
    <w:p w14:paraId="7C451A1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color w:val="auto"/>
          <w:sz w:val="24"/>
          <w:highlight w:val="none"/>
          <w:u w:val="single"/>
        </w:rPr>
        <w:t xml:space="preserve">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%；迟延履行的违约金计算数额达到前述最高限额之日起，甲方有权在要求乙方支付违约金的同时，书面通知乙方解除本合同；</w:t>
      </w:r>
    </w:p>
    <w:p w14:paraId="155E2408">
      <w:pPr>
        <w:pStyle w:val="3"/>
        <w:keepNext w:val="0"/>
        <w:keepLines w:val="0"/>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2B48340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1.8.3除不可抗力和财政预算调整外，如果甲方没有按照本合同约定的付款方式付款，那么乙方可要求甲方支付违约金，违约金按每迟延付款一日的应付而未付款的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14:paraId="324F2BD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3E364D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69BAB5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1.8.6如果出现政府采购监督管理部门在处理投诉事项期间，书面通知甲方暂停采购活动的情形，或者询问或质疑事项可能影响中标结果的，导致甲方中止履行合同的情形，均不视为甲方违约。</w:t>
      </w:r>
    </w:p>
    <w:p w14:paraId="26CF6D1C">
      <w:pPr>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0176EBC5">
      <w:pPr>
        <w:spacing w:line="360" w:lineRule="auto"/>
        <w:ind w:firstLine="482" w:firstLineChars="200"/>
        <w:outlineLvl w:val="0"/>
        <w:rPr>
          <w:rFonts w:hint="eastAsia" w:ascii="宋体" w:hAnsi="宋体" w:cs="宋体"/>
          <w:b/>
          <w:color w:val="auto"/>
          <w:sz w:val="24"/>
          <w:highlight w:val="none"/>
        </w:rPr>
      </w:pPr>
      <w:bookmarkStart w:id="419" w:name="_Toc7349"/>
      <w:bookmarkStart w:id="420" w:name="_Toc4927"/>
      <w:bookmarkStart w:id="421" w:name="_Toc198"/>
      <w:r>
        <w:rPr>
          <w:rFonts w:hint="eastAsia" w:ascii="宋体" w:hAnsi="宋体" w:cs="宋体"/>
          <w:b/>
          <w:color w:val="auto"/>
          <w:sz w:val="24"/>
          <w:highlight w:val="none"/>
        </w:rPr>
        <w:t>1.9合同争议的解决</w:t>
      </w:r>
      <w:bookmarkEnd w:id="419"/>
      <w:bookmarkEnd w:id="420"/>
      <w:bookmarkEnd w:id="421"/>
    </w:p>
    <w:p w14:paraId="6918BBA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48B9C7F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0340CD5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7C40DE3C">
      <w:pPr>
        <w:spacing w:line="360" w:lineRule="auto"/>
        <w:ind w:firstLine="482" w:firstLineChars="200"/>
        <w:outlineLvl w:val="1"/>
        <w:rPr>
          <w:rFonts w:hint="eastAsia" w:ascii="宋体" w:hAnsi="宋体" w:cs="宋体"/>
          <w:b/>
          <w:color w:val="auto"/>
          <w:sz w:val="24"/>
          <w:highlight w:val="none"/>
        </w:rPr>
      </w:pPr>
      <w:bookmarkStart w:id="422" w:name="_Toc2411"/>
      <w:bookmarkStart w:id="423" w:name="_Toc14116"/>
      <w:r>
        <w:rPr>
          <w:rFonts w:hint="eastAsia" w:ascii="宋体" w:hAnsi="宋体" w:cs="宋体"/>
          <w:b/>
          <w:color w:val="auto"/>
          <w:sz w:val="24"/>
          <w:highlight w:val="none"/>
        </w:rPr>
        <w:t>2.0 合同生效</w:t>
      </w:r>
      <w:bookmarkEnd w:id="422"/>
      <w:bookmarkEnd w:id="423"/>
    </w:p>
    <w:p w14:paraId="0513ACA1">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6D443BFB">
      <w:pPr>
        <w:spacing w:line="360" w:lineRule="auto"/>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附件1：廉政协议</w:t>
      </w:r>
    </w:p>
    <w:p w14:paraId="0BE90183">
      <w:pPr>
        <w:autoSpaceDE w:val="0"/>
        <w:autoSpaceDN w:val="0"/>
        <w:spacing w:line="360" w:lineRule="auto"/>
        <w:ind w:firstLine="482" w:firstLineChars="200"/>
        <w:rPr>
          <w:rFonts w:hint="eastAsia"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2B727F36">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统一社会信用代码：                  </w:t>
      </w:r>
      <w:r>
        <w:rPr>
          <w:rFonts w:hint="eastAsia" w:ascii="宋体" w:hAnsi="宋体" w:cs="宋体"/>
          <w:color w:val="auto"/>
          <w:sz w:val="24"/>
          <w:highlight w:val="none"/>
        </w:rPr>
        <w:t xml:space="preserve">  </w:t>
      </w:r>
      <w:r>
        <w:rPr>
          <w:rFonts w:hint="eastAsia" w:ascii="宋体" w:hAnsi="宋体" w:cs="宋体"/>
          <w:color w:val="auto"/>
          <w:sz w:val="24"/>
          <w:highlight w:val="none"/>
          <w:lang w:val="zh-CN"/>
        </w:rPr>
        <w:t xml:space="preserve"> 统一社会信用代码或身份证号码：</w:t>
      </w:r>
    </w:p>
    <w:p w14:paraId="0A7F2C2A">
      <w:pPr>
        <w:autoSpaceDE w:val="0"/>
        <w:autoSpaceDN w:val="0"/>
        <w:spacing w:line="360" w:lineRule="auto"/>
        <w:ind w:firstLine="480" w:firstLineChars="200"/>
        <w:rPr>
          <w:rFonts w:hint="eastAsia" w:ascii="宋体" w:hAnsi="宋体" w:cs="宋体"/>
          <w:color w:val="auto"/>
          <w:sz w:val="24"/>
          <w:highlight w:val="none"/>
          <w:lang w:val="zh-CN"/>
        </w:rPr>
      </w:pPr>
    </w:p>
    <w:p w14:paraId="01526E67">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住所：                                   住所：</w:t>
      </w:r>
    </w:p>
    <w:p w14:paraId="4EE40BD4">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法定代表人或                             法定代表人或</w:t>
      </w:r>
    </w:p>
    <w:p w14:paraId="48E016A8">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授权代表（签字）: </w:t>
      </w:r>
    </w:p>
    <w:p w14:paraId="59B6FDC6">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3C38C9B5">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4640D809">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68975881">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41285C68">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传真:                                    传真:</w:t>
      </w:r>
    </w:p>
    <w:p w14:paraId="03C31CFD">
      <w:pPr>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zh-CN"/>
        </w:rPr>
        <w:t>电子邮箱：                               电子邮箱：</w:t>
      </w:r>
    </w:p>
    <w:p w14:paraId="3CBCA75B">
      <w:pPr>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开户银行：                               开户银行： </w:t>
      </w:r>
    </w:p>
    <w:p w14:paraId="45B8E81D">
      <w:pPr>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开户名称：                               开户名称： </w:t>
      </w:r>
    </w:p>
    <w:p w14:paraId="4DDB4F61">
      <w:pPr>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2EF2A4C7">
      <w:pPr>
        <w:pStyle w:val="703"/>
        <w:autoSpaceDE/>
        <w:autoSpaceDN/>
        <w:spacing w:after="0"/>
        <w:ind w:left="0" w:leftChars="0" w:firstLine="482"/>
        <w:jc w:val="center"/>
        <w:rPr>
          <w:rFonts w:hint="eastAsia" w:ascii="宋体" w:hAnsi="宋体" w:cs="宋体"/>
          <w:b/>
          <w:color w:val="auto"/>
          <w:szCs w:val="24"/>
          <w:highlight w:val="none"/>
        </w:rPr>
      </w:pPr>
      <w:r>
        <w:rPr>
          <w:rFonts w:hint="eastAsia" w:ascii="宋体" w:hAnsi="宋体" w:cs="宋体"/>
          <w:b/>
          <w:color w:val="auto"/>
          <w:szCs w:val="24"/>
          <w:highlight w:val="none"/>
        </w:rPr>
        <w:t>第二部分 合同一般条款</w:t>
      </w:r>
    </w:p>
    <w:p w14:paraId="3D7F5E88">
      <w:pPr>
        <w:spacing w:line="360" w:lineRule="auto"/>
        <w:ind w:firstLine="482" w:firstLineChars="200"/>
        <w:rPr>
          <w:rFonts w:hint="eastAsia" w:ascii="宋体" w:hAnsi="宋体" w:cs="宋体"/>
          <w:b/>
          <w:color w:val="auto"/>
          <w:sz w:val="24"/>
          <w:highlight w:val="none"/>
        </w:rPr>
      </w:pPr>
      <w:bookmarkStart w:id="424" w:name="_Toc29070"/>
      <w:bookmarkStart w:id="425" w:name="_Toc9265"/>
      <w:r>
        <w:rPr>
          <w:rFonts w:hint="eastAsia" w:ascii="宋体" w:hAnsi="宋体" w:cs="宋体"/>
          <w:b/>
          <w:color w:val="auto"/>
          <w:sz w:val="24"/>
          <w:highlight w:val="none"/>
        </w:rPr>
        <w:t>2.1 定义</w:t>
      </w:r>
      <w:bookmarkEnd w:id="424"/>
      <w:bookmarkEnd w:id="425"/>
    </w:p>
    <w:p w14:paraId="680A9D3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本合同中的下列词语应按以下内容进行解释：</w:t>
      </w:r>
    </w:p>
    <w:p w14:paraId="6F115AF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 “合同”系指采购人和中标供应商签订的载明双方当事人所达成的协议，并包括所有的附件、附录和构成合同的其他文件。</w:t>
      </w:r>
    </w:p>
    <w:p w14:paraId="6FAF0DC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2.1.2 “合同价”系指根据合同约定，中标供应商在完全履行合同义务后，采购人应支付给中标供应商的价格。</w:t>
      </w:r>
    </w:p>
    <w:p w14:paraId="606F724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2.1.3 “服务”系指中标供应商根据合同约定应向采购人履行的除货物和工程以外的其他政府采购对象，包括采购人自身需要的服务和向社会公众提供的公共服务。</w:t>
      </w:r>
    </w:p>
    <w:p w14:paraId="0909070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2.1.4 “甲方”系指与中标供应商签署合同的采购人；采购人委托采购代理机构代表其与乙方签订合同的，采购人的授权委托书作为合同附件。</w:t>
      </w:r>
    </w:p>
    <w:p w14:paraId="3F77C00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460B42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2.1.6 “现场”系指合同约定提供服务的地点。</w:t>
      </w:r>
    </w:p>
    <w:p w14:paraId="322622D1">
      <w:pPr>
        <w:spacing w:line="360" w:lineRule="auto"/>
        <w:ind w:firstLine="482" w:firstLineChars="200"/>
        <w:rPr>
          <w:rFonts w:hint="eastAsia" w:ascii="宋体" w:hAnsi="宋体" w:cs="宋体"/>
          <w:b/>
          <w:color w:val="auto"/>
          <w:sz w:val="24"/>
          <w:highlight w:val="none"/>
        </w:rPr>
      </w:pPr>
      <w:bookmarkStart w:id="426" w:name="_Toc18441"/>
      <w:bookmarkStart w:id="427" w:name="_Toc25348"/>
      <w:r>
        <w:rPr>
          <w:rFonts w:hint="eastAsia" w:ascii="宋体" w:hAnsi="宋体" w:cs="宋体"/>
          <w:b/>
          <w:color w:val="auto"/>
          <w:sz w:val="24"/>
          <w:highlight w:val="none"/>
        </w:rPr>
        <w:t>2.2 技术规范</w:t>
      </w:r>
      <w:bookmarkEnd w:id="426"/>
      <w:bookmarkEnd w:id="427"/>
    </w:p>
    <w:p w14:paraId="7459700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1DA9C38">
      <w:pPr>
        <w:spacing w:line="360" w:lineRule="auto"/>
        <w:ind w:firstLine="482" w:firstLineChars="200"/>
        <w:rPr>
          <w:rFonts w:hint="eastAsia" w:ascii="宋体" w:hAnsi="宋体" w:cs="宋体"/>
          <w:b/>
          <w:color w:val="auto"/>
          <w:sz w:val="24"/>
          <w:highlight w:val="none"/>
        </w:rPr>
      </w:pPr>
      <w:bookmarkStart w:id="428" w:name="_Toc13042"/>
      <w:bookmarkStart w:id="429" w:name="_Toc31737"/>
      <w:r>
        <w:rPr>
          <w:rFonts w:hint="eastAsia" w:ascii="宋体" w:hAnsi="宋体" w:cs="宋体"/>
          <w:b/>
          <w:color w:val="auto"/>
          <w:sz w:val="24"/>
          <w:highlight w:val="none"/>
        </w:rPr>
        <w:t>2.3 知识产权</w:t>
      </w:r>
      <w:bookmarkEnd w:id="428"/>
      <w:bookmarkEnd w:id="429"/>
    </w:p>
    <w:p w14:paraId="2F47F39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618A1F1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2.3.2 合同涉及技术成果的归属和收益的分成办法的，详见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18D25BC">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2.4 履约检查和问题反馈</w:t>
      </w:r>
    </w:p>
    <w:p w14:paraId="2C2E3F3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50BB15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2.4.2 合同履行期间，甲方有权将履行过程中出现的问题反馈给乙方，双方当事人应以书面形式约定需要完善和改进的内容。</w:t>
      </w:r>
    </w:p>
    <w:p w14:paraId="480010B8">
      <w:pPr>
        <w:spacing w:line="360" w:lineRule="auto"/>
        <w:ind w:firstLine="482" w:firstLineChars="200"/>
        <w:rPr>
          <w:rFonts w:hint="eastAsia" w:ascii="宋体" w:hAnsi="宋体" w:cs="宋体"/>
          <w:b/>
          <w:color w:val="auto"/>
          <w:sz w:val="24"/>
          <w:highlight w:val="none"/>
        </w:rPr>
      </w:pPr>
      <w:bookmarkStart w:id="430" w:name="_Toc8304"/>
      <w:bookmarkStart w:id="431" w:name="_Toc12391"/>
      <w:r>
        <w:rPr>
          <w:rFonts w:hint="eastAsia" w:ascii="宋体" w:hAnsi="宋体" w:cs="宋体"/>
          <w:b/>
          <w:color w:val="auto"/>
          <w:sz w:val="24"/>
          <w:highlight w:val="none"/>
        </w:rPr>
        <w:t>2.5 结算方式和付款条件</w:t>
      </w:r>
      <w:bookmarkEnd w:id="430"/>
      <w:bookmarkEnd w:id="431"/>
    </w:p>
    <w:p w14:paraId="56F7065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5C1E49F">
      <w:pPr>
        <w:spacing w:line="360" w:lineRule="auto"/>
        <w:ind w:firstLine="482" w:firstLineChars="200"/>
        <w:rPr>
          <w:rFonts w:hint="eastAsia" w:ascii="宋体" w:hAnsi="宋体" w:cs="宋体"/>
          <w:b/>
          <w:color w:val="auto"/>
          <w:sz w:val="24"/>
          <w:highlight w:val="none"/>
        </w:rPr>
      </w:pPr>
      <w:bookmarkStart w:id="432" w:name="_Toc8639"/>
      <w:bookmarkStart w:id="433" w:name="_Toc22052"/>
      <w:r>
        <w:rPr>
          <w:rFonts w:hint="eastAsia" w:ascii="宋体" w:hAnsi="宋体" w:cs="宋体"/>
          <w:b/>
          <w:color w:val="auto"/>
          <w:sz w:val="24"/>
          <w:highlight w:val="none"/>
        </w:rPr>
        <w:t>2.6 技术资料和保密义务</w:t>
      </w:r>
      <w:bookmarkEnd w:id="432"/>
      <w:bookmarkEnd w:id="433"/>
    </w:p>
    <w:p w14:paraId="548F2CC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2.6.1 乙方有权依据合同约定和项目需要，向甲方了解有关情况，调阅有关资料等，甲方应予积极配合；</w:t>
      </w:r>
    </w:p>
    <w:p w14:paraId="51245E9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2.6.2 乙方有义务妥善保管和保护由甲方提供的前款信息和资料等；</w:t>
      </w:r>
    </w:p>
    <w:p w14:paraId="052FEED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F61C9C4">
      <w:pPr>
        <w:spacing w:line="360" w:lineRule="auto"/>
        <w:ind w:firstLine="482" w:firstLineChars="200"/>
        <w:rPr>
          <w:rFonts w:hint="eastAsia" w:ascii="宋体" w:hAnsi="宋体" w:cs="宋体"/>
          <w:b/>
          <w:color w:val="auto"/>
          <w:sz w:val="24"/>
          <w:highlight w:val="none"/>
        </w:rPr>
      </w:pPr>
      <w:bookmarkStart w:id="434" w:name="_Toc15424"/>
      <w:bookmarkStart w:id="435" w:name="_Toc24562"/>
      <w:r>
        <w:rPr>
          <w:rFonts w:hint="eastAsia" w:ascii="宋体" w:hAnsi="宋体" w:cs="宋体"/>
          <w:b/>
          <w:color w:val="auto"/>
          <w:sz w:val="24"/>
          <w:highlight w:val="none"/>
        </w:rPr>
        <w:t>2.7 质量保证</w:t>
      </w:r>
      <w:bookmarkEnd w:id="434"/>
      <w:bookmarkEnd w:id="435"/>
    </w:p>
    <w:p w14:paraId="3F94B6B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2.7.1 乙方应建立和完善履行合同的内部质量保证体系，并提供相关内部规章制度给甲方，以便甲方进行监督检查；</w:t>
      </w:r>
    </w:p>
    <w:p w14:paraId="3A52853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2.7.2 乙方应保证履行合同的人员数量和素质、软件和硬件设备的配置、场地、环境和设施等满足全面履行合同的要求，并应接受甲方的监督检查。</w:t>
      </w:r>
    </w:p>
    <w:p w14:paraId="76B499E4">
      <w:pPr>
        <w:spacing w:line="360" w:lineRule="auto"/>
        <w:ind w:firstLine="482" w:firstLineChars="200"/>
        <w:rPr>
          <w:rFonts w:hint="eastAsia" w:ascii="宋体" w:hAnsi="宋体" w:cs="宋体"/>
          <w:b/>
          <w:color w:val="auto"/>
          <w:sz w:val="24"/>
          <w:highlight w:val="none"/>
        </w:rPr>
      </w:pPr>
      <w:bookmarkStart w:id="436" w:name="_Toc17722"/>
      <w:bookmarkStart w:id="437" w:name="_Toc24080"/>
      <w:r>
        <w:rPr>
          <w:rFonts w:hint="eastAsia" w:ascii="宋体" w:hAnsi="宋体" w:cs="宋体"/>
          <w:b/>
          <w:color w:val="auto"/>
          <w:sz w:val="24"/>
          <w:highlight w:val="none"/>
        </w:rPr>
        <w:t>2.8 延迟履行</w:t>
      </w:r>
      <w:bookmarkEnd w:id="436"/>
      <w:bookmarkEnd w:id="437"/>
    </w:p>
    <w:p w14:paraId="5341BE0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839C8CC">
      <w:pPr>
        <w:spacing w:line="360" w:lineRule="auto"/>
        <w:ind w:firstLine="482" w:firstLineChars="200"/>
        <w:rPr>
          <w:rFonts w:hint="eastAsia" w:ascii="宋体" w:hAnsi="宋体" w:cs="宋体"/>
          <w:b/>
          <w:color w:val="auto"/>
          <w:sz w:val="24"/>
          <w:highlight w:val="none"/>
        </w:rPr>
      </w:pPr>
      <w:bookmarkStart w:id="438" w:name="_Toc11742"/>
      <w:bookmarkStart w:id="439" w:name="_Toc17148"/>
      <w:r>
        <w:rPr>
          <w:rFonts w:hint="eastAsia" w:ascii="宋体" w:hAnsi="宋体" w:cs="宋体"/>
          <w:b/>
          <w:color w:val="auto"/>
          <w:sz w:val="24"/>
          <w:highlight w:val="none"/>
        </w:rPr>
        <w:t>2.9 合同变更</w:t>
      </w:r>
      <w:bookmarkEnd w:id="438"/>
      <w:bookmarkEnd w:id="439"/>
    </w:p>
    <w:p w14:paraId="46F4BC8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2DE523E5">
      <w:pPr>
        <w:spacing w:line="360" w:lineRule="auto"/>
        <w:ind w:firstLine="482" w:firstLineChars="200"/>
        <w:rPr>
          <w:rFonts w:hint="eastAsia" w:ascii="宋体" w:hAnsi="宋体" w:cs="宋体"/>
          <w:b/>
          <w:color w:val="auto"/>
          <w:sz w:val="24"/>
          <w:highlight w:val="none"/>
        </w:rPr>
      </w:pPr>
      <w:bookmarkStart w:id="440" w:name="_Toc24533"/>
      <w:bookmarkStart w:id="441" w:name="_Toc17193"/>
      <w:r>
        <w:rPr>
          <w:rFonts w:hint="eastAsia" w:ascii="宋体" w:hAnsi="宋体" w:cs="宋体"/>
          <w:b/>
          <w:color w:val="auto"/>
          <w:sz w:val="24"/>
          <w:highlight w:val="none"/>
        </w:rPr>
        <w:t>2.10 合同转让和分包</w:t>
      </w:r>
      <w:bookmarkEnd w:id="440"/>
      <w:bookmarkEnd w:id="441"/>
    </w:p>
    <w:p w14:paraId="18C9E54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5B0E380">
      <w:pPr>
        <w:spacing w:line="360" w:lineRule="auto"/>
        <w:ind w:firstLine="482" w:firstLineChars="200"/>
        <w:rPr>
          <w:rFonts w:hint="eastAsia" w:ascii="宋体" w:hAnsi="宋体" w:cs="宋体"/>
          <w:b/>
          <w:color w:val="auto"/>
          <w:sz w:val="24"/>
          <w:highlight w:val="none"/>
        </w:rPr>
      </w:pPr>
      <w:bookmarkStart w:id="442" w:name="_Toc18393"/>
      <w:bookmarkStart w:id="443" w:name="_Toc10781"/>
      <w:r>
        <w:rPr>
          <w:rFonts w:hint="eastAsia" w:ascii="宋体" w:hAnsi="宋体" w:cs="宋体"/>
          <w:b/>
          <w:color w:val="auto"/>
          <w:sz w:val="24"/>
          <w:highlight w:val="none"/>
        </w:rPr>
        <w:t>2.11 不可抗力</w:t>
      </w:r>
      <w:bookmarkEnd w:id="442"/>
      <w:bookmarkEnd w:id="443"/>
    </w:p>
    <w:p w14:paraId="2A476E3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2.11.1如果任何一方遭遇法律规定的不可抗力，致使合同履行受阻时，履行合同的期限应予延长，延长的期限应相当于不可抗力所影响的时间；</w:t>
      </w:r>
    </w:p>
    <w:p w14:paraId="392B58A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2.11.2 因不可抗力致使不能实现合同目的的，当事人可以解除合同；</w:t>
      </w:r>
    </w:p>
    <w:p w14:paraId="3BD6B55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2.11.3 因不可抗力致使合同有变更必要的，双方当事人应在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约定时间内以书面形式变更合同；</w:t>
      </w:r>
    </w:p>
    <w:p w14:paraId="268F2D5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2.11.4受不可抗力影响的一方在不可抗力发生后，应在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约定时间内以书面形式通知对方当事人，并在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约定时间内，将有关部门出具的证明文件送达对方当事人。</w:t>
      </w:r>
    </w:p>
    <w:p w14:paraId="6CDC80D7">
      <w:pPr>
        <w:spacing w:line="360" w:lineRule="auto"/>
        <w:ind w:firstLine="482" w:firstLineChars="200"/>
        <w:rPr>
          <w:rFonts w:hint="eastAsia" w:ascii="宋体" w:hAnsi="宋体" w:cs="宋体"/>
          <w:b/>
          <w:color w:val="auto"/>
          <w:sz w:val="24"/>
          <w:highlight w:val="none"/>
        </w:rPr>
      </w:pPr>
      <w:bookmarkStart w:id="444" w:name="_Toc32573"/>
      <w:bookmarkStart w:id="445" w:name="_Toc13317"/>
      <w:r>
        <w:rPr>
          <w:rFonts w:hint="eastAsia" w:ascii="宋体" w:hAnsi="宋体" w:cs="宋体"/>
          <w:b/>
          <w:color w:val="auto"/>
          <w:sz w:val="24"/>
          <w:highlight w:val="none"/>
        </w:rPr>
        <w:t>2.12 税费</w:t>
      </w:r>
      <w:bookmarkEnd w:id="444"/>
      <w:bookmarkEnd w:id="445"/>
    </w:p>
    <w:p w14:paraId="51250FF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与合同有关的一切税费，均按照中华人民共和国法律的相关规定缴纳。</w:t>
      </w:r>
    </w:p>
    <w:p w14:paraId="20B9449B">
      <w:pPr>
        <w:spacing w:line="360" w:lineRule="auto"/>
        <w:ind w:firstLine="482" w:firstLineChars="200"/>
        <w:rPr>
          <w:rFonts w:hint="eastAsia" w:ascii="宋体" w:hAnsi="宋体" w:cs="宋体"/>
          <w:b/>
          <w:color w:val="auto"/>
          <w:sz w:val="24"/>
          <w:highlight w:val="none"/>
        </w:rPr>
      </w:pPr>
      <w:bookmarkStart w:id="446" w:name="_Toc26875"/>
      <w:bookmarkStart w:id="447" w:name="_Toc24743"/>
      <w:r>
        <w:rPr>
          <w:rFonts w:hint="eastAsia" w:ascii="宋体" w:hAnsi="宋体" w:cs="宋体"/>
          <w:b/>
          <w:color w:val="auto"/>
          <w:sz w:val="24"/>
          <w:highlight w:val="none"/>
        </w:rPr>
        <w:t>2.13 乙方破产</w:t>
      </w:r>
      <w:bookmarkEnd w:id="446"/>
      <w:bookmarkEnd w:id="447"/>
    </w:p>
    <w:p w14:paraId="37FB469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391C23C">
      <w:pPr>
        <w:spacing w:line="360" w:lineRule="auto"/>
        <w:ind w:firstLine="482" w:firstLineChars="200"/>
        <w:rPr>
          <w:rFonts w:hint="eastAsia" w:ascii="宋体" w:hAnsi="宋体" w:cs="宋体"/>
          <w:b/>
          <w:color w:val="auto"/>
          <w:sz w:val="24"/>
          <w:highlight w:val="none"/>
        </w:rPr>
      </w:pPr>
      <w:bookmarkStart w:id="448" w:name="_Toc25881"/>
      <w:bookmarkStart w:id="449" w:name="_Toc25595"/>
      <w:r>
        <w:rPr>
          <w:rFonts w:hint="eastAsia" w:ascii="宋体" w:hAnsi="宋体" w:cs="宋体"/>
          <w:b/>
          <w:color w:val="auto"/>
          <w:sz w:val="24"/>
          <w:highlight w:val="none"/>
        </w:rPr>
        <w:t>2.14 合同中止、终止</w:t>
      </w:r>
      <w:bookmarkEnd w:id="448"/>
      <w:bookmarkEnd w:id="449"/>
    </w:p>
    <w:p w14:paraId="63319AA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2.14.1 双方当事人不得擅自中止或者终止合同；</w:t>
      </w:r>
    </w:p>
    <w:p w14:paraId="51FDF99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A68BE3D">
      <w:pPr>
        <w:spacing w:line="360" w:lineRule="auto"/>
        <w:ind w:firstLine="482" w:firstLineChars="200"/>
        <w:rPr>
          <w:rFonts w:hint="eastAsia" w:ascii="宋体" w:hAnsi="宋体" w:cs="宋体"/>
          <w:b/>
          <w:color w:val="auto"/>
          <w:sz w:val="24"/>
          <w:highlight w:val="none"/>
        </w:rPr>
      </w:pPr>
      <w:bookmarkStart w:id="450" w:name="_Toc18802"/>
      <w:bookmarkStart w:id="451" w:name="_Toc17783"/>
      <w:r>
        <w:rPr>
          <w:rFonts w:hint="eastAsia" w:ascii="宋体" w:hAnsi="宋体" w:cs="宋体"/>
          <w:b/>
          <w:color w:val="auto"/>
          <w:sz w:val="24"/>
          <w:highlight w:val="none"/>
        </w:rPr>
        <w:t>2.15 检验和验收</w:t>
      </w:r>
      <w:bookmarkEnd w:id="450"/>
      <w:bookmarkEnd w:id="451"/>
    </w:p>
    <w:p w14:paraId="343E1B08">
      <w:pPr>
        <w:tabs>
          <w:tab w:val="left" w:pos="360"/>
          <w:tab w:val="left" w:pos="540"/>
          <w:tab w:val="left" w:pos="1080"/>
        </w:tabs>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2.15.1 乙方按照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的约定，定期提交服务报告，甲方按照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的约定进行定期验收；</w:t>
      </w:r>
    </w:p>
    <w:p w14:paraId="0F1310D8">
      <w:pPr>
        <w:tabs>
          <w:tab w:val="left" w:pos="360"/>
          <w:tab w:val="left" w:pos="540"/>
          <w:tab w:val="left" w:pos="1080"/>
        </w:tabs>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EC34BE0">
      <w:pPr>
        <w:tabs>
          <w:tab w:val="left" w:pos="360"/>
          <w:tab w:val="left" w:pos="540"/>
          <w:tab w:val="left" w:pos="1080"/>
        </w:tabs>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2.15.3 检验和验收标准、程序等具体内容以及前述验收书的效力详见</w:t>
      </w:r>
      <w:r>
        <w:rPr>
          <w:rFonts w:hint="eastAsia" w:ascii="宋体" w:hAnsi="宋体" w:cs="宋体"/>
          <w:b/>
          <w:i/>
          <w:color w:val="auto"/>
          <w:sz w:val="24"/>
          <w:highlight w:val="none"/>
          <w:u w:val="single"/>
        </w:rPr>
        <w:t>合同专用条款</w:t>
      </w:r>
      <w:r>
        <w:rPr>
          <w:rFonts w:hint="eastAsia" w:ascii="宋体" w:hAnsi="宋体" w:cs="宋体"/>
          <w:i/>
          <w:color w:val="auto"/>
          <w:sz w:val="24"/>
          <w:highlight w:val="none"/>
        </w:rPr>
        <w:t>。</w:t>
      </w:r>
    </w:p>
    <w:p w14:paraId="03C0AF80">
      <w:pPr>
        <w:spacing w:line="360" w:lineRule="auto"/>
        <w:ind w:firstLine="482" w:firstLineChars="200"/>
        <w:rPr>
          <w:rFonts w:hint="eastAsia" w:ascii="宋体" w:hAnsi="宋体" w:cs="宋体"/>
          <w:b/>
          <w:color w:val="auto"/>
          <w:sz w:val="24"/>
          <w:highlight w:val="none"/>
        </w:rPr>
      </w:pPr>
      <w:bookmarkStart w:id="452" w:name="_Toc21819"/>
      <w:bookmarkStart w:id="453" w:name="_Toc30732"/>
      <w:r>
        <w:rPr>
          <w:rFonts w:hint="eastAsia" w:ascii="宋体" w:hAnsi="宋体" w:cs="宋体"/>
          <w:b/>
          <w:color w:val="auto"/>
          <w:sz w:val="24"/>
          <w:highlight w:val="none"/>
        </w:rPr>
        <w:t>2.16 通知和送达</w:t>
      </w:r>
      <w:bookmarkEnd w:id="452"/>
      <w:bookmarkEnd w:id="453"/>
    </w:p>
    <w:p w14:paraId="7FF5C05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2.16.1任何一方因履行合同而以合同第一部分尾部所列明的传真或电子邮件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发出的所有通知、文件、材料，均视为已向对方当事人送达；任何一方变更上述送达方式或者地址的，应于</w:t>
      </w:r>
      <w:r>
        <w:rPr>
          <w:rFonts w:hint="eastAsia" w:ascii="宋体" w:hAnsi="宋体" w:cs="宋体"/>
          <w:color w:val="auto"/>
          <w:sz w:val="24"/>
          <w:highlight w:val="none"/>
          <w:u w:val="single"/>
        </w:rPr>
        <w:t>3</w:t>
      </w:r>
      <w:r>
        <w:rPr>
          <w:rFonts w:hint="eastAsia" w:ascii="宋体" w:hAnsi="宋体" w:cs="宋体"/>
          <w:color w:val="auto"/>
          <w:sz w:val="24"/>
          <w:highlight w:val="none"/>
        </w:rPr>
        <w:t>个工作日内书面通知对方当事人，在对方当事人收到有关变更通知之前，变更前的约定送达方式或者地址仍视为有效。</w:t>
      </w:r>
    </w:p>
    <w:p w14:paraId="628C589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p>
    <w:p w14:paraId="7F53F811">
      <w:pPr>
        <w:spacing w:line="360" w:lineRule="auto"/>
        <w:ind w:firstLine="482" w:firstLineChars="200"/>
        <w:rPr>
          <w:rFonts w:hint="eastAsia" w:ascii="宋体" w:hAnsi="宋体" w:cs="宋体"/>
          <w:b/>
          <w:color w:val="auto"/>
          <w:sz w:val="24"/>
          <w:highlight w:val="none"/>
        </w:rPr>
      </w:pPr>
      <w:bookmarkStart w:id="454" w:name="_Toc20193"/>
      <w:bookmarkStart w:id="455" w:name="_Toc32405"/>
      <w:r>
        <w:rPr>
          <w:rFonts w:hint="eastAsia" w:ascii="宋体" w:hAnsi="宋体" w:cs="宋体"/>
          <w:b/>
          <w:color w:val="auto"/>
          <w:sz w:val="24"/>
          <w:highlight w:val="none"/>
        </w:rPr>
        <w:t>2.17 合同使用的文字和适用的法律</w:t>
      </w:r>
      <w:bookmarkEnd w:id="454"/>
      <w:bookmarkEnd w:id="455"/>
    </w:p>
    <w:p w14:paraId="2FF6ADD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2.17.1 合同使用汉语书就、变更和解释；</w:t>
      </w:r>
    </w:p>
    <w:p w14:paraId="2980526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2.17.2 合同适用中华人民共和国法律。</w:t>
      </w:r>
    </w:p>
    <w:p w14:paraId="0C18592E">
      <w:pPr>
        <w:spacing w:line="360" w:lineRule="auto"/>
        <w:ind w:firstLine="482" w:firstLineChars="200"/>
        <w:rPr>
          <w:rFonts w:hint="eastAsia" w:ascii="宋体" w:hAnsi="宋体" w:cs="宋体"/>
          <w:b/>
          <w:color w:val="auto"/>
          <w:sz w:val="24"/>
          <w:highlight w:val="none"/>
        </w:rPr>
      </w:pPr>
      <w:bookmarkStart w:id="456" w:name="_Toc30426"/>
      <w:bookmarkStart w:id="457" w:name="_Toc25493"/>
      <w:r>
        <w:rPr>
          <w:rFonts w:hint="eastAsia" w:ascii="宋体" w:hAnsi="宋体" w:cs="宋体"/>
          <w:b/>
          <w:color w:val="auto"/>
          <w:sz w:val="24"/>
          <w:highlight w:val="none"/>
        </w:rPr>
        <w:t>2.18 计量单位</w:t>
      </w:r>
      <w:bookmarkEnd w:id="456"/>
      <w:bookmarkEnd w:id="457"/>
    </w:p>
    <w:p w14:paraId="7BDC584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3F3864BD">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2.19合同份数</w:t>
      </w:r>
    </w:p>
    <w:p w14:paraId="3222BBF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合同份数按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规定，每份均具有同等法律效力。</w:t>
      </w:r>
    </w:p>
    <w:p w14:paraId="7C6B4D8B">
      <w:pPr>
        <w:spacing w:line="560" w:lineRule="exact"/>
        <w:ind w:firstLine="480" w:firstLineChars="200"/>
        <w:rPr>
          <w:rFonts w:hint="eastAsia" w:ascii="宋体" w:hAnsi="宋体" w:cs="宋体"/>
          <w:color w:val="auto"/>
          <w:sz w:val="24"/>
          <w:highlight w:val="none"/>
        </w:rPr>
      </w:pPr>
    </w:p>
    <w:p w14:paraId="3D24623A">
      <w:pPr>
        <w:pStyle w:val="703"/>
        <w:spacing w:line="560" w:lineRule="exact"/>
        <w:ind w:left="0" w:leftChars="0"/>
        <w:jc w:val="center"/>
        <w:outlineLvl w:val="0"/>
        <w:rPr>
          <w:rFonts w:hint="eastAsia" w:ascii="宋体" w:hAnsi="宋体" w:cs="宋体"/>
          <w:b/>
          <w:color w:val="auto"/>
          <w:sz w:val="36"/>
          <w:szCs w:val="36"/>
          <w:highlight w:val="none"/>
        </w:rPr>
      </w:pPr>
      <w:r>
        <w:rPr>
          <w:rFonts w:hint="eastAsia" w:ascii="宋体" w:hAnsi="宋体" w:cs="宋体"/>
          <w:color w:val="auto"/>
          <w:kern w:val="0"/>
          <w:szCs w:val="24"/>
          <w:highlight w:val="none"/>
        </w:rPr>
        <w:br w:type="page"/>
      </w:r>
      <w:bookmarkStart w:id="458" w:name="_Toc15098"/>
      <w:bookmarkStart w:id="459" w:name="_Toc25969"/>
      <w:bookmarkStart w:id="460" w:name="_Toc24383"/>
      <w:bookmarkStart w:id="461" w:name="_Toc25021"/>
      <w:bookmarkStart w:id="462" w:name="_Toc27408"/>
      <w:bookmarkStart w:id="463" w:name="_Toc2409"/>
      <w:r>
        <w:rPr>
          <w:rFonts w:hint="eastAsia" w:ascii="宋体" w:hAnsi="宋体" w:cs="宋体"/>
          <w:b/>
          <w:color w:val="auto"/>
          <w:sz w:val="32"/>
          <w:szCs w:val="32"/>
          <w:highlight w:val="none"/>
        </w:rPr>
        <w:t>第三部分 合同专用条款</w:t>
      </w:r>
      <w:bookmarkEnd w:id="458"/>
      <w:bookmarkEnd w:id="459"/>
      <w:bookmarkEnd w:id="460"/>
      <w:bookmarkEnd w:id="461"/>
      <w:bookmarkEnd w:id="462"/>
      <w:bookmarkEnd w:id="463"/>
    </w:p>
    <w:p w14:paraId="18EC7CC5">
      <w:pPr>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259"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69"/>
        <w:gridCol w:w="8290"/>
      </w:tblGrid>
      <w:tr w14:paraId="19A302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69" w:type="dxa"/>
            <w:tcBorders>
              <w:left w:val="single" w:color="auto" w:sz="4" w:space="0"/>
            </w:tcBorders>
            <w:vAlign w:val="center"/>
          </w:tcPr>
          <w:p w14:paraId="45E5ABB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条款号</w:t>
            </w:r>
          </w:p>
        </w:tc>
        <w:tc>
          <w:tcPr>
            <w:tcW w:w="8290" w:type="dxa"/>
            <w:vAlign w:val="center"/>
          </w:tcPr>
          <w:p w14:paraId="53C4878D">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约定内容</w:t>
            </w:r>
          </w:p>
        </w:tc>
      </w:tr>
      <w:tr w14:paraId="1D255D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4CF7685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1.3.2</w:t>
            </w:r>
          </w:p>
        </w:tc>
        <w:tc>
          <w:tcPr>
            <w:tcW w:w="8290" w:type="dxa"/>
            <w:vAlign w:val="center"/>
          </w:tcPr>
          <w:p w14:paraId="22188F6C">
            <w:pPr>
              <w:wordWrap w:val="0"/>
              <w:autoSpaceDE w:val="0"/>
              <w:autoSpaceDN w:val="0"/>
              <w:spacing w:line="360" w:lineRule="auto"/>
              <w:rPr>
                <w:rFonts w:hint="eastAsia" w:ascii="宋体" w:hAnsi="宋体" w:cs="宋体"/>
                <w:color w:val="auto"/>
                <w:sz w:val="24"/>
                <w:highlight w:val="none"/>
              </w:rPr>
            </w:pPr>
            <w:r>
              <w:rPr>
                <w:rFonts w:hint="eastAsia" w:ascii="宋体" w:hAnsi="宋体" w:cs="宋体"/>
                <w:bCs/>
                <w:color w:val="auto"/>
                <w:sz w:val="24"/>
                <w:highlight w:val="none"/>
              </w:rPr>
              <w:t>服务工作量的计量方式为：合同签订后，严格按照采购人提供的设计及施工图纸作业，防止漏清和超清，不伤及原生土，超出设计清淤量为超清部分，超清部分不计入结算工程量。</w:t>
            </w:r>
          </w:p>
        </w:tc>
      </w:tr>
      <w:tr w14:paraId="047D4F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3F301E1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1.4.2</w:t>
            </w:r>
          </w:p>
        </w:tc>
        <w:tc>
          <w:tcPr>
            <w:tcW w:w="8290" w:type="dxa"/>
            <w:vAlign w:val="center"/>
          </w:tcPr>
          <w:p w14:paraId="6ABBD02F">
            <w:pPr>
              <w:wordWrap w:val="0"/>
              <w:autoSpaceDE w:val="0"/>
              <w:autoSpaceDN w:val="0"/>
              <w:spacing w:line="360" w:lineRule="auto"/>
              <w:rPr>
                <w:rFonts w:hint="eastAsia" w:ascii="宋体" w:hAnsi="宋体" w:cs="宋体"/>
                <w:color w:val="auto"/>
                <w:sz w:val="24"/>
                <w:highlight w:val="none"/>
              </w:rPr>
            </w:pPr>
            <w:r>
              <w:rPr>
                <w:rFonts w:hint="eastAsia" w:ascii="宋体" w:hAnsi="宋体" w:cs="宋体"/>
                <w:color w:val="auto"/>
                <w:sz w:val="24"/>
                <w:highlight w:val="none"/>
              </w:rPr>
              <w:t>乙方在合同签订后7个工作日内以</w:t>
            </w:r>
            <w:r>
              <w:rPr>
                <w:rFonts w:hint="eastAsia" w:ascii="宋体" w:hAnsi="宋体" w:cs="宋体"/>
                <w:color w:val="auto"/>
                <w:sz w:val="24"/>
                <w:highlight w:val="none"/>
                <w:lang w:val="zh-CN"/>
              </w:rPr>
              <w:t>支票、汇票或本票或金融机构、担保机构出具的保函等非现金形式提交履约保证金。</w:t>
            </w:r>
            <w:r>
              <w:rPr>
                <w:rFonts w:hint="eastAsia" w:ascii="宋体" w:hAnsi="宋体" w:cs="宋体"/>
                <w:color w:val="auto"/>
                <w:sz w:val="24"/>
                <w:highlight w:val="none"/>
              </w:rPr>
              <w:t>履约保证金金额为</w:t>
            </w:r>
            <w:r>
              <w:rPr>
                <w:rFonts w:hint="eastAsia" w:ascii="宋体" w:hAnsi="宋体" w:cs="宋体"/>
                <w:color w:val="auto"/>
                <w:sz w:val="24"/>
                <w:highlight w:val="none"/>
                <w:lang w:val="zh-CN"/>
              </w:rPr>
              <w:t>合同</w:t>
            </w:r>
            <w:r>
              <w:rPr>
                <w:rFonts w:hint="eastAsia" w:ascii="宋体" w:hAnsi="宋体" w:cs="宋体"/>
                <w:color w:val="auto"/>
                <w:sz w:val="24"/>
                <w:highlight w:val="none"/>
              </w:rPr>
              <w:t>金额的1</w:t>
            </w:r>
            <w:r>
              <w:rPr>
                <w:rFonts w:hint="eastAsia" w:ascii="宋体" w:hAnsi="宋体" w:cs="宋体"/>
                <w:color w:val="auto"/>
                <w:sz w:val="24"/>
                <w:highlight w:val="none"/>
                <w:lang w:val="zh-CN"/>
              </w:rPr>
              <w:t>%，</w:t>
            </w:r>
            <w:r>
              <w:rPr>
                <w:rFonts w:hint="eastAsia" w:ascii="宋体" w:hAnsi="宋体" w:cs="宋体"/>
                <w:color w:val="auto"/>
                <w:sz w:val="24"/>
                <w:highlight w:val="none"/>
              </w:rPr>
              <w:t>即</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元。发生违约、赔偿扣款后，</w:t>
            </w:r>
            <w:r>
              <w:rPr>
                <w:rFonts w:hint="eastAsia" w:ascii="宋体" w:hAnsi="宋体" w:cs="宋体"/>
                <w:color w:val="auto"/>
                <w:kern w:val="0"/>
                <w:sz w:val="24"/>
                <w:highlight w:val="none"/>
              </w:rPr>
              <w:t>乙方应在五个工作日内，重新补交履约保证金。</w:t>
            </w:r>
          </w:p>
        </w:tc>
      </w:tr>
      <w:tr w14:paraId="7A7960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74DF8D7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1.5.1 </w:t>
            </w:r>
          </w:p>
        </w:tc>
        <w:tc>
          <w:tcPr>
            <w:tcW w:w="8290" w:type="dxa"/>
            <w:vAlign w:val="center"/>
          </w:tcPr>
          <w:p w14:paraId="2815A3EB">
            <w:pPr>
              <w:wordWrap w:val="0"/>
              <w:spacing w:line="360" w:lineRule="auto"/>
              <w:outlineLvl w:val="2"/>
              <w:rPr>
                <w:rFonts w:hint="eastAsia" w:ascii="宋体" w:hAnsi="宋体" w:cs="宋体"/>
                <w:color w:val="auto"/>
                <w:sz w:val="24"/>
                <w:highlight w:val="none"/>
              </w:rPr>
            </w:pPr>
            <w:r>
              <w:rPr>
                <w:rFonts w:hint="eastAsia" w:ascii="宋体" w:hAnsi="宋体" w:cs="宋体"/>
                <w:color w:val="auto"/>
                <w:sz w:val="24"/>
                <w:highlight w:val="none"/>
                <w:lang w:val="zh-CN"/>
              </w:rPr>
              <w:t>合同</w:t>
            </w:r>
            <w:r>
              <w:rPr>
                <w:rFonts w:hint="eastAsia" w:ascii="宋体" w:hAnsi="宋体" w:cs="宋体"/>
                <w:color w:val="auto"/>
                <w:sz w:val="24"/>
                <w:highlight w:val="none"/>
              </w:rPr>
              <w:t>签订后5个工作日内</w:t>
            </w:r>
            <w:r>
              <w:rPr>
                <w:rFonts w:hint="eastAsia" w:ascii="宋体" w:hAnsi="宋体" w:cs="宋体"/>
                <w:color w:val="auto"/>
                <w:sz w:val="24"/>
                <w:highlight w:val="none"/>
                <w:lang w:val="zh-CN"/>
              </w:rPr>
              <w:t>，</w:t>
            </w:r>
            <w:r>
              <w:rPr>
                <w:rFonts w:hint="eastAsia" w:ascii="宋体" w:hAnsi="宋体" w:cs="宋体"/>
                <w:color w:val="auto"/>
                <w:sz w:val="24"/>
                <w:highlight w:val="none"/>
              </w:rPr>
              <w:t>甲方在收到乙方开具的发票后向乙方支付</w:t>
            </w:r>
            <w:r>
              <w:rPr>
                <w:rFonts w:hint="eastAsia" w:ascii="宋体" w:hAnsi="宋体" w:cs="宋体"/>
                <w:color w:val="auto"/>
                <w:sz w:val="24"/>
                <w:highlight w:val="none"/>
                <w:lang w:val="zh-CN"/>
              </w:rPr>
              <w:t>合同</w:t>
            </w:r>
            <w:r>
              <w:rPr>
                <w:rFonts w:hint="eastAsia" w:ascii="宋体" w:hAnsi="宋体" w:cs="宋体"/>
                <w:color w:val="auto"/>
                <w:sz w:val="24"/>
                <w:highlight w:val="none"/>
              </w:rPr>
              <w:t>签约</w:t>
            </w:r>
            <w:r>
              <w:rPr>
                <w:rFonts w:hint="eastAsia" w:ascii="宋体" w:hAnsi="宋体" w:cs="宋体"/>
                <w:color w:val="auto"/>
                <w:sz w:val="24"/>
                <w:highlight w:val="none"/>
                <w:lang w:val="zh-CN"/>
              </w:rPr>
              <w:t>价</w:t>
            </w:r>
            <w:r>
              <w:rPr>
                <w:rFonts w:hint="eastAsia" w:ascii="宋体" w:hAnsi="宋体" w:cs="宋体"/>
                <w:color w:val="auto"/>
                <w:sz w:val="24"/>
                <w:highlight w:val="none"/>
              </w:rPr>
              <w:t>的4</w:t>
            </w:r>
            <w:r>
              <w:rPr>
                <w:rFonts w:hint="eastAsia" w:ascii="宋体" w:hAnsi="宋体" w:cs="宋体"/>
                <w:color w:val="auto"/>
                <w:sz w:val="24"/>
                <w:highlight w:val="none"/>
                <w:lang w:val="zh-CN"/>
              </w:rPr>
              <w:t>0%</w:t>
            </w:r>
            <w:r>
              <w:rPr>
                <w:rFonts w:hint="eastAsia" w:ascii="宋体" w:hAnsi="宋体" w:cs="宋体"/>
                <w:color w:val="auto"/>
                <w:sz w:val="24"/>
                <w:highlight w:val="none"/>
              </w:rPr>
              <w:t>作为预付款（</w:t>
            </w:r>
            <w:r>
              <w:rPr>
                <w:rFonts w:hint="eastAsia" w:ascii="宋体" w:hAnsi="宋体" w:cs="宋体"/>
                <w:color w:val="auto"/>
                <w:sz w:val="24"/>
                <w:highlight w:val="none"/>
                <w:lang w:val="zh-CN"/>
              </w:rPr>
              <w:t>具体按照财政资金到位情况支付），</w:t>
            </w:r>
            <w:r>
              <w:rPr>
                <w:rFonts w:hint="eastAsia" w:ascii="宋体" w:hAnsi="宋体" w:cs="宋体"/>
                <w:color w:val="auto"/>
                <w:sz w:val="24"/>
                <w:highlight w:val="none"/>
              </w:rPr>
              <w:t>同时乙方提交预付款保函。保函可由银行、保险公司出具</w:t>
            </w:r>
            <w:r>
              <w:rPr>
                <w:rFonts w:hint="eastAsia" w:ascii="宋体" w:hAnsi="宋体" w:cs="宋体"/>
                <w:color w:val="auto"/>
                <w:sz w:val="24"/>
                <w:highlight w:val="none"/>
                <w:lang w:val="zh-CN"/>
              </w:rPr>
              <w:t>。</w:t>
            </w:r>
          </w:p>
        </w:tc>
      </w:tr>
      <w:tr w14:paraId="4E8758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685C72B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1.5.2</w:t>
            </w:r>
          </w:p>
        </w:tc>
        <w:tc>
          <w:tcPr>
            <w:tcW w:w="8290" w:type="dxa"/>
            <w:vAlign w:val="center"/>
          </w:tcPr>
          <w:p w14:paraId="1992F23B">
            <w:pPr>
              <w:spacing w:line="360" w:lineRule="auto"/>
              <w:rPr>
                <w:rFonts w:hint="eastAsia" w:ascii="宋体" w:hAnsi="宋体" w:cs="宋体"/>
                <w:color w:val="auto"/>
                <w:sz w:val="24"/>
                <w:highlight w:val="none"/>
              </w:rPr>
            </w:pPr>
            <w:r>
              <w:rPr>
                <w:rFonts w:hint="eastAsia" w:ascii="宋体" w:hAnsi="宋体" w:cs="宋体"/>
                <w:color w:val="auto"/>
                <w:sz w:val="24"/>
                <w:highlight w:val="none"/>
              </w:rPr>
              <w:t>预付款在进度款付款时不扣回。</w:t>
            </w:r>
          </w:p>
        </w:tc>
      </w:tr>
      <w:tr w14:paraId="151602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1C71E73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1.5.3 </w:t>
            </w:r>
          </w:p>
        </w:tc>
        <w:tc>
          <w:tcPr>
            <w:tcW w:w="8290" w:type="dxa"/>
            <w:vAlign w:val="center"/>
          </w:tcPr>
          <w:p w14:paraId="1FF41F73">
            <w:pPr>
              <w:wordWrap w:val="0"/>
              <w:spacing w:line="360" w:lineRule="auto"/>
              <w:outlineLvl w:val="2"/>
              <w:rPr>
                <w:rFonts w:hint="eastAsia" w:ascii="宋体" w:hAnsi="宋体" w:cs="宋体"/>
                <w:color w:val="auto"/>
                <w:sz w:val="24"/>
                <w:highlight w:val="none"/>
              </w:rPr>
            </w:pPr>
            <w:r>
              <w:rPr>
                <w:rFonts w:hint="eastAsia" w:ascii="宋体" w:hAnsi="宋体" w:cs="宋体"/>
                <w:color w:val="auto"/>
                <w:sz w:val="24"/>
                <w:highlight w:val="none"/>
              </w:rPr>
              <w:t>甲方向乙方支付预付款的同时，乙方提交预付款保函。保函可由银行、保险公司出具</w:t>
            </w:r>
            <w:r>
              <w:rPr>
                <w:rFonts w:hint="eastAsia" w:ascii="宋体" w:hAnsi="宋体" w:cs="宋体"/>
                <w:color w:val="auto"/>
                <w:sz w:val="24"/>
                <w:highlight w:val="none"/>
                <w:lang w:val="zh-CN"/>
              </w:rPr>
              <w:t>。</w:t>
            </w:r>
            <w:r>
              <w:rPr>
                <w:rFonts w:hint="eastAsia" w:ascii="宋体" w:hAnsi="宋体" w:cs="宋体"/>
                <w:color w:val="auto"/>
                <w:sz w:val="24"/>
                <w:highlight w:val="none"/>
              </w:rPr>
              <w:t>（若未按要求提交预付款保函，则视为乙方无需预付款）。</w:t>
            </w:r>
          </w:p>
        </w:tc>
      </w:tr>
      <w:tr w14:paraId="312803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6E9737B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1.6.2</w:t>
            </w:r>
          </w:p>
        </w:tc>
        <w:tc>
          <w:tcPr>
            <w:tcW w:w="8290" w:type="dxa"/>
            <w:vAlign w:val="center"/>
          </w:tcPr>
          <w:p w14:paraId="4941FEE9">
            <w:pPr>
              <w:pStyle w:val="968"/>
              <w:spacing w:line="360" w:lineRule="auto"/>
              <w:rPr>
                <w:rFonts w:hint="eastAsia"/>
                <w:color w:val="auto"/>
                <w:kern w:val="0"/>
                <w:sz w:val="24"/>
                <w:highlight w:val="none"/>
              </w:rPr>
            </w:pPr>
            <w:r>
              <w:rPr>
                <w:rFonts w:hint="eastAsia"/>
                <w:color w:val="auto"/>
                <w:kern w:val="0"/>
                <w:sz w:val="24"/>
                <w:highlight w:val="none"/>
              </w:rPr>
              <w:t>资金支付的方式、时间和条件：</w:t>
            </w:r>
          </w:p>
          <w:p w14:paraId="0E424E31">
            <w:pPr>
              <w:pStyle w:val="968"/>
              <w:spacing w:line="360" w:lineRule="auto"/>
              <w:ind w:firstLine="0"/>
              <w:rPr>
                <w:rFonts w:hint="eastAsia"/>
                <w:color w:val="auto"/>
                <w:kern w:val="0"/>
                <w:sz w:val="24"/>
                <w:highlight w:val="none"/>
              </w:rPr>
            </w:pPr>
            <w:r>
              <w:rPr>
                <w:rFonts w:hint="eastAsia"/>
                <w:color w:val="auto"/>
                <w:kern w:val="0"/>
                <w:sz w:val="24"/>
                <w:highlight w:val="none"/>
              </w:rPr>
              <w:t>（1）预付款见1.5.1条规定；</w:t>
            </w:r>
          </w:p>
          <w:p w14:paraId="15F45639">
            <w:pPr>
              <w:pStyle w:val="968"/>
              <w:spacing w:line="360" w:lineRule="auto"/>
              <w:ind w:firstLine="0"/>
              <w:rPr>
                <w:rFonts w:hint="eastAsia"/>
                <w:color w:val="auto"/>
                <w:kern w:val="0"/>
                <w:sz w:val="24"/>
                <w:highlight w:val="none"/>
              </w:rPr>
            </w:pPr>
            <w:r>
              <w:rPr>
                <w:rFonts w:hint="eastAsia"/>
                <w:color w:val="auto"/>
                <w:kern w:val="0"/>
                <w:sz w:val="24"/>
                <w:highlight w:val="none"/>
              </w:rPr>
              <w:t>（2）剩余价款：</w:t>
            </w:r>
          </w:p>
          <w:p w14:paraId="4B724E23">
            <w:pPr>
              <w:pStyle w:val="968"/>
              <w:spacing w:line="360" w:lineRule="auto"/>
              <w:ind w:firstLine="0"/>
              <w:rPr>
                <w:rFonts w:hint="eastAsia"/>
                <w:color w:val="auto"/>
                <w:sz w:val="24"/>
                <w:highlight w:val="none"/>
              </w:rPr>
            </w:pPr>
            <w:r>
              <w:rPr>
                <w:rFonts w:hint="eastAsia"/>
                <w:color w:val="auto"/>
                <w:sz w:val="24"/>
                <w:highlight w:val="none"/>
              </w:rPr>
              <w:t>①清淤量完成达到60%时，甲方向乙方支付至合同签约价的50%。乙方应提交形象进度和已完清淤量支付申请，报监理单位、跟踪审计单位（如有）、甲方(现场管理人员)审核并签证确认，乙方凭发票和签证资料向甲方办理款项支付手续。②清淤量完成达到70%时，甲方向乙方支付至合同签约价的60%。乙方应提交形象进度和已完清淤量支付申请，报监理单位、跟踪审计单位（如有）、甲方(现场管理人员)审核并签证确认，乙方凭发票和签证资料向甲方办理款项支付手续。③清淤量完成达到</w:t>
            </w:r>
            <w:r>
              <w:rPr>
                <w:rFonts w:hint="eastAsia"/>
                <w:color w:val="auto"/>
                <w:sz w:val="24"/>
                <w:highlight w:val="none"/>
                <w:lang w:val="en-US" w:eastAsia="zh-CN"/>
              </w:rPr>
              <w:t>10</w:t>
            </w:r>
            <w:r>
              <w:rPr>
                <w:rFonts w:hint="eastAsia"/>
                <w:color w:val="auto"/>
                <w:sz w:val="24"/>
                <w:highlight w:val="none"/>
              </w:rPr>
              <w:t>0%时，甲方向乙方支付至合同签约价的85%。乙方应提交形象进度和已完清淤量支付申请，报监理单位、跟踪审计单位（如有）、甲方(现场管理人员)审核并签证确认，乙方凭发票和签证资料向甲方办理款项支付手续。④全部工作完成，验收合格且经结算审计后，甲方向乙方支付至结算价的100%。清淤最终完成量以清淤前、后测量报告计算为准。乙方应提交结算支付申请，报监理单位、跟踪审计单位（如有）、甲方(现场管理人员)审核并签证确认，乙方凭发票和签证资料向甲方办理款项结算支付手续。</w:t>
            </w:r>
          </w:p>
          <w:p w14:paraId="0D7F4366">
            <w:pPr>
              <w:pStyle w:val="968"/>
              <w:spacing w:line="360" w:lineRule="auto"/>
              <w:ind w:firstLine="480" w:firstLineChars="200"/>
              <w:rPr>
                <w:rFonts w:hint="eastAsia"/>
                <w:color w:val="auto"/>
                <w:sz w:val="24"/>
                <w:highlight w:val="none"/>
                <w:lang w:val="en-US" w:eastAsia="zh-CN"/>
              </w:rPr>
            </w:pPr>
            <w:r>
              <w:rPr>
                <w:rFonts w:hint="eastAsia"/>
                <w:color w:val="auto"/>
                <w:sz w:val="24"/>
                <w:highlight w:val="none"/>
                <w:lang w:val="en-US" w:eastAsia="zh-CN"/>
              </w:rPr>
              <w:t>（3）乙方应严格按照甲方提供的施工图纸作业，防止漏清和超清，不伤及原生土：①每个断面清淤过程超挖深度（施工图淤泥最低底标高-实际清淤后最低底标高）小于10cm，大于等于10cm部分为超清部分，超清工程量不予结算；②清淤结算总量不得超过设计总量±5%[（清淤结算总量-设计总量）/设计总量]：相差5%（含）以上部分为超清部分，超清工程量不予结算；相差-15%（含）以下，并按施工图整改。③非本次清淤河段的，多清部分不计入结算清淤工程量。</w:t>
            </w:r>
          </w:p>
          <w:p w14:paraId="13E54E32">
            <w:pPr>
              <w:pStyle w:val="968"/>
              <w:spacing w:line="360" w:lineRule="auto"/>
              <w:ind w:firstLine="480" w:firstLineChars="200"/>
              <w:rPr>
                <w:rFonts w:hint="eastAsia"/>
                <w:color w:val="auto"/>
                <w:sz w:val="24"/>
                <w:highlight w:val="none"/>
              </w:rPr>
            </w:pPr>
            <w:r>
              <w:rPr>
                <w:rFonts w:hint="eastAsia"/>
                <w:color w:val="auto"/>
                <w:sz w:val="24"/>
                <w:highlight w:val="none"/>
                <w:lang w:val="en-US" w:eastAsia="zh-CN"/>
              </w:rPr>
              <w:t>（4）</w:t>
            </w:r>
            <w:r>
              <w:rPr>
                <w:rFonts w:hint="eastAsia"/>
                <w:color w:val="auto"/>
                <w:sz w:val="24"/>
                <w:highlight w:val="none"/>
              </w:rPr>
              <w:t>合同款支付时，乙方</w:t>
            </w:r>
            <w:r>
              <w:rPr>
                <w:rFonts w:hint="eastAsia"/>
                <w:color w:val="auto"/>
                <w:sz w:val="24"/>
                <w:highlight w:val="none"/>
                <w:lang w:val="en-US" w:eastAsia="zh-CN"/>
              </w:rPr>
              <w:t>提供</w:t>
            </w:r>
            <w:r>
              <w:rPr>
                <w:rFonts w:hint="eastAsia"/>
                <w:color w:val="auto"/>
                <w:sz w:val="24"/>
                <w:highlight w:val="none"/>
              </w:rPr>
              <w:t>同等金额</w:t>
            </w:r>
            <w:r>
              <w:rPr>
                <w:rFonts w:hint="eastAsia"/>
                <w:color w:val="auto"/>
                <w:sz w:val="24"/>
                <w:highlight w:val="none"/>
                <w:lang w:eastAsia="zh-CN"/>
              </w:rPr>
              <w:t>的</w:t>
            </w:r>
            <w:r>
              <w:rPr>
                <w:rFonts w:hint="eastAsia"/>
                <w:color w:val="auto"/>
                <w:sz w:val="24"/>
                <w:highlight w:val="none"/>
              </w:rPr>
              <w:t>发票</w:t>
            </w:r>
            <w:r>
              <w:rPr>
                <w:rFonts w:hint="eastAsia"/>
                <w:color w:val="auto"/>
                <w:sz w:val="24"/>
                <w:highlight w:val="none"/>
                <w:lang w:val="en-US" w:eastAsia="zh-CN"/>
              </w:rPr>
              <w:t>向</w:t>
            </w:r>
            <w:r>
              <w:rPr>
                <w:rFonts w:hint="eastAsia"/>
                <w:color w:val="auto"/>
                <w:sz w:val="24"/>
                <w:highlight w:val="none"/>
              </w:rPr>
              <w:t>甲方</w:t>
            </w:r>
            <w:r>
              <w:rPr>
                <w:rFonts w:hint="eastAsia"/>
                <w:color w:val="auto"/>
                <w:sz w:val="24"/>
                <w:highlight w:val="none"/>
                <w:lang w:val="en-US" w:eastAsia="zh-CN"/>
              </w:rPr>
              <w:t>办理支付手续</w:t>
            </w:r>
            <w:r>
              <w:rPr>
                <w:rFonts w:hint="eastAsia"/>
                <w:color w:val="auto"/>
                <w:sz w:val="24"/>
                <w:highlight w:val="none"/>
                <w:lang w:eastAsia="zh-CN"/>
              </w:rPr>
              <w:t>。若联合体中标的，则联合体各成员分</w:t>
            </w:r>
            <w:r>
              <w:rPr>
                <w:rFonts w:hint="eastAsia"/>
                <w:color w:val="auto"/>
                <w:kern w:val="0"/>
                <w:sz w:val="24"/>
                <w:highlight w:val="none"/>
                <w:lang w:eastAsia="zh-CN"/>
              </w:rPr>
              <w:t>工承担的工作内容以联合体投标协议书为准，合同款项甲方直接支付给联合体牵头人，即发票由牵头人开具。</w:t>
            </w:r>
          </w:p>
        </w:tc>
      </w:tr>
      <w:tr w14:paraId="026743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7B7C458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1.7.1</w:t>
            </w:r>
          </w:p>
        </w:tc>
        <w:tc>
          <w:tcPr>
            <w:tcW w:w="8290" w:type="dxa"/>
            <w:vAlign w:val="center"/>
          </w:tcPr>
          <w:p w14:paraId="0B227075">
            <w:pPr>
              <w:wordWrap w:val="0"/>
              <w:autoSpaceDE w:val="0"/>
              <w:autoSpaceDN w:val="0"/>
              <w:snapToGri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服务交付（实施）的时间（期限）：</w:t>
            </w:r>
            <w:r>
              <w:rPr>
                <w:rFonts w:hint="eastAsia" w:ascii="宋体" w:hAnsi="宋体" w:cs="宋体"/>
                <w:b/>
                <w:iCs/>
                <w:color w:val="auto"/>
                <w:sz w:val="24"/>
                <w:highlight w:val="none"/>
                <w:u w:val="single"/>
              </w:rPr>
              <w:t>开工之日起180个日历天完成工作</w:t>
            </w:r>
            <w:r>
              <w:rPr>
                <w:rFonts w:hint="eastAsia" w:ascii="宋体" w:hAnsi="宋体" w:cs="宋体"/>
                <w:color w:val="auto"/>
                <w:sz w:val="24"/>
                <w:highlight w:val="none"/>
              </w:rPr>
              <w:t>。</w:t>
            </w:r>
          </w:p>
          <w:p w14:paraId="26FA5699">
            <w:pPr>
              <w:wordWrap w:val="0"/>
              <w:autoSpaceDE w:val="0"/>
              <w:autoSpaceDN w:val="0"/>
              <w:snapToGri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法律法规规定的不可抗力及以下几种情形且经甲方同意造成的工期延误除外</w:t>
            </w:r>
            <w:r>
              <w:rPr>
                <w:rFonts w:hint="eastAsia" w:ascii="宋体" w:hAnsi="宋体" w:cs="宋体"/>
                <w:color w:val="auto"/>
                <w:sz w:val="24"/>
                <w:highlight w:val="none"/>
                <w:lang w:eastAsia="zh-CN"/>
              </w:rPr>
              <w:t>，其它情况一律不作调整</w:t>
            </w:r>
            <w:r>
              <w:rPr>
                <w:rFonts w:hint="eastAsia" w:ascii="宋体" w:hAnsi="宋体" w:cs="宋体"/>
                <w:color w:val="auto"/>
                <w:sz w:val="24"/>
                <w:highlight w:val="none"/>
              </w:rPr>
              <w:t>：</w:t>
            </w:r>
          </w:p>
          <w:p w14:paraId="400FFCB9">
            <w:pPr>
              <w:wordWrap w:val="0"/>
              <w:autoSpaceDE w:val="0"/>
              <w:autoSpaceDN w:val="0"/>
              <w:snapToGrid/>
              <w:spacing w:line="360" w:lineRule="auto"/>
              <w:ind w:firstLine="480" w:firstLineChars="200"/>
              <w:rPr>
                <w:rFonts w:hint="eastAsia" w:ascii="宋体" w:hAnsi="宋体" w:cs="宋体"/>
                <w:color w:val="auto"/>
                <w:sz w:val="24"/>
                <w:szCs w:val="32"/>
                <w:highlight w:val="none"/>
                <w:u w:val="single"/>
              </w:rPr>
            </w:pPr>
            <w:r>
              <w:rPr>
                <w:rFonts w:hint="eastAsia" w:ascii="宋体" w:hAnsi="宋体" w:cs="宋体"/>
                <w:color w:val="auto"/>
                <w:sz w:val="24"/>
                <w:szCs w:val="32"/>
                <w:highlight w:val="none"/>
                <w:u w:val="single"/>
              </w:rPr>
              <w:t>(1)市综合执法局启动防汛四级应急响应及以上等级时:</w:t>
            </w:r>
          </w:p>
          <w:p w14:paraId="760453A7">
            <w:pPr>
              <w:wordWrap w:val="0"/>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szCs w:val="32"/>
                <w:highlight w:val="none"/>
                <w:u w:val="single"/>
              </w:rPr>
              <w:t>(2)市综合执法局启动防台四级应急响应及以上等级时;</w:t>
            </w:r>
          </w:p>
        </w:tc>
      </w:tr>
      <w:tr w14:paraId="3DDDDA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5F97C71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1.7.2</w:t>
            </w:r>
          </w:p>
        </w:tc>
        <w:tc>
          <w:tcPr>
            <w:tcW w:w="8290" w:type="dxa"/>
            <w:vAlign w:val="center"/>
          </w:tcPr>
          <w:p w14:paraId="20D22F79">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服务交付（实施）的地点（地域范围）：</w:t>
            </w:r>
            <w:r>
              <w:rPr>
                <w:rFonts w:hint="eastAsia" w:ascii="宋体" w:hAnsi="宋体" w:cs="宋体"/>
                <w:b/>
                <w:bCs/>
                <w:color w:val="auto"/>
                <w:sz w:val="24"/>
                <w:highlight w:val="none"/>
                <w:u w:val="single"/>
              </w:rPr>
              <w:t>杭州市西塘河。</w:t>
            </w:r>
          </w:p>
        </w:tc>
      </w:tr>
      <w:tr w14:paraId="78561D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0CB31BB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1.7.3</w:t>
            </w:r>
          </w:p>
        </w:tc>
        <w:tc>
          <w:tcPr>
            <w:tcW w:w="8290" w:type="dxa"/>
            <w:vAlign w:val="center"/>
          </w:tcPr>
          <w:p w14:paraId="15FCBDE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服务交付（实施）的方式：</w:t>
            </w:r>
            <w:r>
              <w:rPr>
                <w:rFonts w:hint="eastAsia" w:ascii="宋体" w:hAnsi="宋体" w:cs="宋体"/>
                <w:b/>
                <w:bCs/>
                <w:color w:val="auto"/>
                <w:sz w:val="24"/>
                <w:highlight w:val="none"/>
                <w:u w:val="single"/>
              </w:rPr>
              <w:t>现场服务。</w:t>
            </w:r>
          </w:p>
        </w:tc>
      </w:tr>
      <w:tr w14:paraId="419D93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16B377B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w:t>
            </w:r>
          </w:p>
        </w:tc>
        <w:tc>
          <w:tcPr>
            <w:tcW w:w="8290" w:type="dxa"/>
            <w:vAlign w:val="center"/>
          </w:tcPr>
          <w:p w14:paraId="0B65841A">
            <w:pPr>
              <w:wordWrap w:val="0"/>
              <w:autoSpaceDE w:val="0"/>
              <w:autoSpaceDN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其他违约责任：</w:t>
            </w:r>
          </w:p>
          <w:p w14:paraId="7CBC237C">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.因作业质量问题或扰民等因素造成新闻媒体曝光、百姓投诉的，每次扣罚 5000 元作为处罚，累计三次后，甲方有权解除本合同。</w:t>
            </w:r>
          </w:p>
          <w:p w14:paraId="1A9E235D">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乙方</w:t>
            </w:r>
            <w:r>
              <w:rPr>
                <w:rFonts w:hint="eastAsia" w:ascii="宋体" w:hAnsi="宋体" w:cs="宋体"/>
                <w:color w:val="auto"/>
                <w:sz w:val="24"/>
                <w:highlight w:val="none"/>
                <w:lang w:val="zh-CN"/>
              </w:rPr>
              <w:t>派驻本</w:t>
            </w:r>
            <w:r>
              <w:rPr>
                <w:rFonts w:hint="eastAsia" w:ascii="宋体" w:hAnsi="宋体" w:cs="宋体"/>
                <w:color w:val="auto"/>
                <w:sz w:val="24"/>
                <w:highlight w:val="none"/>
              </w:rPr>
              <w:t>项目</w:t>
            </w:r>
            <w:r>
              <w:rPr>
                <w:rFonts w:hint="eastAsia" w:ascii="宋体" w:hAnsi="宋体" w:cs="宋体"/>
                <w:color w:val="auto"/>
                <w:sz w:val="24"/>
                <w:highlight w:val="none"/>
                <w:lang w:val="zh-CN"/>
              </w:rPr>
              <w:t>的项目负</w:t>
            </w:r>
            <w:r>
              <w:rPr>
                <w:rFonts w:hint="eastAsia" w:ascii="宋体" w:hAnsi="宋体" w:cs="宋体"/>
                <w:color w:val="auto"/>
                <w:sz w:val="24"/>
                <w:highlight w:val="none"/>
              </w:rPr>
              <w:t>责</w:t>
            </w:r>
            <w:r>
              <w:rPr>
                <w:rFonts w:hint="eastAsia" w:ascii="宋体" w:hAnsi="宋体" w:cs="宋体"/>
                <w:color w:val="auto"/>
                <w:sz w:val="24"/>
                <w:highlight w:val="none"/>
                <w:lang w:val="zh-CN"/>
              </w:rPr>
              <w:t>人及其他项目管理班子人员</w:t>
            </w:r>
            <w:r>
              <w:rPr>
                <w:rFonts w:hint="eastAsia" w:ascii="宋体" w:hAnsi="宋体" w:cs="宋体"/>
                <w:color w:val="auto"/>
                <w:sz w:val="24"/>
                <w:highlight w:val="none"/>
              </w:rPr>
              <w:t>每月</w:t>
            </w:r>
            <w:r>
              <w:rPr>
                <w:rFonts w:hint="eastAsia" w:ascii="宋体" w:hAnsi="宋体" w:cs="宋体"/>
                <w:color w:val="auto"/>
                <w:sz w:val="24"/>
                <w:highlight w:val="none"/>
                <w:lang w:val="zh-CN"/>
              </w:rPr>
              <w:t>到位率不得低于</w:t>
            </w:r>
            <w:r>
              <w:rPr>
                <w:rFonts w:hint="eastAsia" w:ascii="宋体" w:hAnsi="宋体" w:cs="宋体"/>
                <w:color w:val="auto"/>
                <w:sz w:val="24"/>
                <w:highlight w:val="none"/>
              </w:rPr>
              <w:t>100</w:t>
            </w:r>
            <w:r>
              <w:rPr>
                <w:rFonts w:hint="eastAsia" w:ascii="宋体" w:hAnsi="宋体" w:cs="宋体"/>
                <w:color w:val="auto"/>
                <w:sz w:val="24"/>
                <w:highlight w:val="none"/>
                <w:lang w:val="zh-CN"/>
              </w:rPr>
              <w:t>%（</w:t>
            </w:r>
            <w:r>
              <w:rPr>
                <w:rFonts w:hint="eastAsia" w:ascii="宋体" w:hAnsi="宋体" w:cs="宋体"/>
                <w:color w:val="auto"/>
                <w:sz w:val="24"/>
                <w:highlight w:val="none"/>
              </w:rPr>
              <w:t>经甲方同意的停工除外</w:t>
            </w:r>
            <w:r>
              <w:rPr>
                <w:rFonts w:hint="eastAsia" w:ascii="宋体" w:hAnsi="宋体" w:cs="宋体"/>
                <w:color w:val="auto"/>
                <w:sz w:val="24"/>
                <w:highlight w:val="none"/>
                <w:lang w:val="zh-CN"/>
              </w:rPr>
              <w:t>）,并必须严格按照投标文件项目班子成员全部到位。若在</w:t>
            </w:r>
            <w:r>
              <w:rPr>
                <w:rFonts w:hint="eastAsia" w:ascii="宋体" w:hAnsi="宋体" w:cs="宋体"/>
                <w:color w:val="auto"/>
                <w:sz w:val="24"/>
                <w:highlight w:val="none"/>
              </w:rPr>
              <w:t>清淤服务</w:t>
            </w:r>
            <w:r>
              <w:rPr>
                <w:rFonts w:hint="eastAsia" w:ascii="宋体" w:hAnsi="宋体" w:cs="宋体"/>
                <w:color w:val="auto"/>
                <w:sz w:val="24"/>
                <w:highlight w:val="none"/>
                <w:lang w:val="zh-CN"/>
              </w:rPr>
              <w:t>实施过程中到岗、到位率达不到承诺的按下列标准向</w:t>
            </w:r>
            <w:r>
              <w:rPr>
                <w:rFonts w:hint="eastAsia" w:ascii="宋体" w:hAnsi="宋体" w:cs="宋体"/>
                <w:color w:val="auto"/>
                <w:sz w:val="24"/>
                <w:highlight w:val="none"/>
              </w:rPr>
              <w:t>甲方</w:t>
            </w:r>
            <w:r>
              <w:rPr>
                <w:rFonts w:hint="eastAsia" w:ascii="宋体" w:hAnsi="宋体" w:cs="宋体"/>
                <w:color w:val="auto"/>
                <w:sz w:val="24"/>
                <w:highlight w:val="none"/>
                <w:lang w:val="zh-CN"/>
              </w:rPr>
              <w:t>支付违约金：</w:t>
            </w:r>
          </w:p>
          <w:p w14:paraId="43A2EFE6">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项目负责人</w:t>
            </w:r>
            <w:r>
              <w:rPr>
                <w:rFonts w:hint="eastAsia" w:ascii="宋体" w:hAnsi="宋体" w:cs="宋体"/>
                <w:color w:val="auto"/>
                <w:sz w:val="24"/>
                <w:highlight w:val="none"/>
              </w:rPr>
              <w:t>每月到位率低于100%的</w:t>
            </w:r>
            <w:r>
              <w:rPr>
                <w:rFonts w:hint="eastAsia" w:ascii="宋体" w:hAnsi="宋体" w:cs="宋体"/>
                <w:color w:val="auto"/>
                <w:sz w:val="24"/>
                <w:highlight w:val="none"/>
                <w:lang w:val="zh-CN"/>
              </w:rPr>
              <w:t>，</w:t>
            </w:r>
            <w:r>
              <w:rPr>
                <w:rFonts w:hint="eastAsia" w:ascii="宋体" w:hAnsi="宋体" w:cs="宋体"/>
                <w:color w:val="auto"/>
                <w:sz w:val="24"/>
                <w:highlight w:val="none"/>
              </w:rPr>
              <w:t>乙方向甲方支付</w:t>
            </w:r>
            <w:r>
              <w:rPr>
                <w:rFonts w:hint="eastAsia" w:ascii="宋体" w:hAnsi="宋体" w:cs="宋体"/>
                <w:color w:val="auto"/>
                <w:sz w:val="24"/>
                <w:highlight w:val="none"/>
                <w:lang w:val="zh-CN"/>
              </w:rPr>
              <w:t>2000元</w:t>
            </w:r>
            <w:r>
              <w:rPr>
                <w:rFonts w:hint="eastAsia" w:ascii="宋体" w:hAnsi="宋体" w:cs="宋体"/>
                <w:color w:val="auto"/>
                <w:sz w:val="24"/>
                <w:highlight w:val="none"/>
              </w:rPr>
              <w:t>/次·人作为违约金；</w:t>
            </w:r>
            <w:r>
              <w:rPr>
                <w:rFonts w:hint="eastAsia" w:ascii="宋体" w:hAnsi="宋体" w:cs="宋体"/>
                <w:color w:val="auto"/>
                <w:sz w:val="24"/>
                <w:highlight w:val="none"/>
                <w:lang w:val="zh-CN"/>
              </w:rPr>
              <w:t>其他项目管理班子人员</w:t>
            </w:r>
            <w:r>
              <w:rPr>
                <w:rFonts w:hint="eastAsia" w:ascii="宋体" w:hAnsi="宋体" w:cs="宋体"/>
                <w:color w:val="auto"/>
                <w:sz w:val="24"/>
                <w:highlight w:val="none"/>
              </w:rPr>
              <w:t>每月到位率低于100%的</w:t>
            </w:r>
            <w:r>
              <w:rPr>
                <w:rFonts w:hint="eastAsia" w:ascii="宋体" w:hAnsi="宋体" w:cs="宋体"/>
                <w:color w:val="auto"/>
                <w:sz w:val="24"/>
                <w:highlight w:val="none"/>
                <w:lang w:val="zh-CN"/>
              </w:rPr>
              <w:t>，</w:t>
            </w:r>
            <w:r>
              <w:rPr>
                <w:rFonts w:hint="eastAsia" w:ascii="宋体" w:hAnsi="宋体" w:cs="宋体"/>
                <w:color w:val="auto"/>
                <w:sz w:val="24"/>
                <w:highlight w:val="none"/>
              </w:rPr>
              <w:t>乙方向甲方支付1</w:t>
            </w:r>
            <w:r>
              <w:rPr>
                <w:rFonts w:hint="eastAsia" w:ascii="宋体" w:hAnsi="宋体" w:cs="宋体"/>
                <w:color w:val="auto"/>
                <w:sz w:val="24"/>
                <w:highlight w:val="none"/>
                <w:lang w:val="zh-CN"/>
              </w:rPr>
              <w:t>000元</w:t>
            </w:r>
            <w:r>
              <w:rPr>
                <w:rFonts w:hint="eastAsia" w:ascii="宋体" w:hAnsi="宋体" w:cs="宋体"/>
                <w:color w:val="auto"/>
                <w:sz w:val="24"/>
                <w:highlight w:val="none"/>
              </w:rPr>
              <w:t>/次·人作为违约金</w:t>
            </w:r>
            <w:r>
              <w:rPr>
                <w:rFonts w:hint="eastAsia" w:ascii="宋体" w:hAnsi="宋体" w:cs="宋体"/>
                <w:color w:val="auto"/>
                <w:sz w:val="24"/>
                <w:highlight w:val="none"/>
                <w:lang w:val="zh-CN"/>
              </w:rPr>
              <w:t>；</w:t>
            </w:r>
            <w:r>
              <w:rPr>
                <w:rFonts w:hint="eastAsia" w:ascii="宋体" w:hAnsi="宋体" w:cs="宋体"/>
                <w:color w:val="auto"/>
                <w:sz w:val="24"/>
                <w:highlight w:val="none"/>
              </w:rPr>
              <w:t>项目管理班子人员到位率发生低于100%累计5个月或累计5人次的，甲方有权解除合同。</w:t>
            </w:r>
          </w:p>
          <w:p w14:paraId="42F70334">
            <w:pPr>
              <w:wordWrap w:val="0"/>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zh-CN"/>
              </w:rPr>
              <w:t>项目负</w:t>
            </w:r>
            <w:r>
              <w:rPr>
                <w:rFonts w:hint="eastAsia" w:ascii="宋体" w:hAnsi="宋体" w:cs="宋体"/>
                <w:color w:val="auto"/>
                <w:sz w:val="24"/>
                <w:highlight w:val="none"/>
              </w:rPr>
              <w:t>责</w:t>
            </w:r>
            <w:r>
              <w:rPr>
                <w:rFonts w:hint="eastAsia" w:ascii="宋体" w:hAnsi="宋体" w:cs="宋体"/>
                <w:color w:val="auto"/>
                <w:sz w:val="24"/>
                <w:highlight w:val="none"/>
                <w:lang w:val="zh-CN"/>
              </w:rPr>
              <w:t>人</w:t>
            </w:r>
            <w:r>
              <w:rPr>
                <w:rFonts w:hint="eastAsia" w:ascii="宋体" w:hAnsi="宋体" w:cs="宋体"/>
                <w:color w:val="auto"/>
                <w:sz w:val="24"/>
                <w:highlight w:val="none"/>
              </w:rPr>
              <w:t>擅自更换的，乙方向甲方支付1</w:t>
            </w:r>
            <w:r>
              <w:rPr>
                <w:rFonts w:hint="eastAsia" w:ascii="宋体" w:hAnsi="宋体" w:cs="宋体"/>
                <w:color w:val="auto"/>
                <w:sz w:val="24"/>
                <w:highlight w:val="none"/>
                <w:lang w:val="zh-CN"/>
              </w:rPr>
              <w:t>000</w:t>
            </w:r>
            <w:r>
              <w:rPr>
                <w:rFonts w:hint="eastAsia" w:ascii="宋体" w:hAnsi="宋体" w:cs="宋体"/>
                <w:color w:val="auto"/>
                <w:sz w:val="24"/>
                <w:highlight w:val="none"/>
              </w:rPr>
              <w:t>0</w:t>
            </w:r>
            <w:r>
              <w:rPr>
                <w:rFonts w:hint="eastAsia" w:ascii="宋体" w:hAnsi="宋体" w:cs="宋体"/>
                <w:color w:val="auto"/>
                <w:sz w:val="24"/>
                <w:highlight w:val="none"/>
                <w:lang w:val="zh-CN"/>
              </w:rPr>
              <w:t>元</w:t>
            </w:r>
            <w:r>
              <w:rPr>
                <w:rFonts w:hint="eastAsia" w:ascii="宋体" w:hAnsi="宋体" w:cs="宋体"/>
                <w:color w:val="auto"/>
                <w:sz w:val="24"/>
                <w:highlight w:val="none"/>
              </w:rPr>
              <w:t>/次·人作为违约金，累计发生两次的，甲方有权解除合同。</w:t>
            </w:r>
          </w:p>
          <w:p w14:paraId="17CE74A0">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w:t>
            </w:r>
            <w:r>
              <w:rPr>
                <w:rFonts w:hint="eastAsia" w:ascii="宋体" w:hAnsi="宋体" w:cs="宋体"/>
                <w:color w:val="auto"/>
                <w:sz w:val="24"/>
                <w:highlight w:val="none"/>
              </w:rPr>
              <w:t>甲方</w:t>
            </w:r>
            <w:r>
              <w:rPr>
                <w:rFonts w:hint="eastAsia" w:ascii="宋体" w:hAnsi="宋体" w:cs="宋体"/>
                <w:color w:val="auto"/>
                <w:sz w:val="24"/>
                <w:highlight w:val="none"/>
                <w:lang w:val="zh-CN"/>
              </w:rPr>
              <w:t>对</w:t>
            </w:r>
            <w:r>
              <w:rPr>
                <w:rFonts w:hint="eastAsia" w:ascii="宋体" w:hAnsi="宋体" w:cs="宋体"/>
                <w:color w:val="auto"/>
                <w:sz w:val="24"/>
                <w:highlight w:val="none"/>
              </w:rPr>
              <w:t>乙方服务</w:t>
            </w:r>
            <w:r>
              <w:rPr>
                <w:rFonts w:hint="eastAsia" w:ascii="宋体" w:hAnsi="宋体" w:cs="宋体"/>
                <w:color w:val="auto"/>
                <w:sz w:val="24"/>
                <w:highlight w:val="none"/>
                <w:lang w:val="zh-CN"/>
              </w:rPr>
              <w:t>质量及安全文明</w:t>
            </w:r>
            <w:r>
              <w:rPr>
                <w:rFonts w:hint="eastAsia" w:ascii="宋体" w:hAnsi="宋体" w:cs="宋体"/>
                <w:color w:val="auto"/>
                <w:sz w:val="24"/>
                <w:highlight w:val="none"/>
              </w:rPr>
              <w:t>作业</w:t>
            </w:r>
            <w:r>
              <w:rPr>
                <w:rFonts w:hint="eastAsia" w:ascii="宋体" w:hAnsi="宋体" w:cs="宋体"/>
                <w:color w:val="auto"/>
                <w:sz w:val="24"/>
                <w:highlight w:val="none"/>
                <w:lang w:val="zh-CN"/>
              </w:rPr>
              <w:t>情况进行抽查，发现</w:t>
            </w:r>
            <w:r>
              <w:rPr>
                <w:rFonts w:hint="eastAsia" w:ascii="宋体" w:hAnsi="宋体" w:cs="宋体"/>
                <w:color w:val="auto"/>
                <w:sz w:val="24"/>
                <w:highlight w:val="none"/>
              </w:rPr>
              <w:t>不合格的</w:t>
            </w:r>
            <w:r>
              <w:rPr>
                <w:rFonts w:hint="eastAsia" w:ascii="宋体" w:hAnsi="宋体" w:cs="宋体"/>
                <w:color w:val="auto"/>
                <w:sz w:val="24"/>
                <w:highlight w:val="none"/>
                <w:lang w:val="zh-CN"/>
              </w:rPr>
              <w:t>，</w:t>
            </w:r>
            <w:r>
              <w:rPr>
                <w:rFonts w:hint="eastAsia" w:ascii="宋体" w:hAnsi="宋体" w:cs="宋体"/>
                <w:color w:val="auto"/>
                <w:sz w:val="24"/>
                <w:highlight w:val="none"/>
              </w:rPr>
              <w:t>乙方向甲方支付</w:t>
            </w:r>
            <w:r>
              <w:rPr>
                <w:rFonts w:hint="eastAsia" w:ascii="宋体" w:hAnsi="宋体" w:cs="宋体"/>
                <w:color w:val="auto"/>
                <w:sz w:val="24"/>
                <w:highlight w:val="none"/>
                <w:lang w:val="zh-CN"/>
              </w:rPr>
              <w:t>5000元</w:t>
            </w:r>
            <w:r>
              <w:rPr>
                <w:rFonts w:hint="eastAsia" w:ascii="宋体" w:hAnsi="宋体" w:cs="宋体"/>
                <w:color w:val="auto"/>
                <w:sz w:val="24"/>
                <w:highlight w:val="none"/>
              </w:rPr>
              <w:t>/次</w:t>
            </w:r>
            <w:r>
              <w:rPr>
                <w:rFonts w:hint="eastAsia" w:ascii="宋体" w:hAnsi="宋体" w:cs="宋体"/>
                <w:color w:val="auto"/>
                <w:sz w:val="24"/>
                <w:highlight w:val="none"/>
                <w:lang w:val="zh-CN"/>
              </w:rPr>
              <w:t>作为</w:t>
            </w:r>
            <w:r>
              <w:rPr>
                <w:rFonts w:hint="eastAsia" w:ascii="宋体" w:hAnsi="宋体" w:cs="宋体"/>
                <w:color w:val="auto"/>
                <w:sz w:val="24"/>
                <w:highlight w:val="none"/>
              </w:rPr>
              <w:t>违约金，累计三次不合格的，甲方有权解除合同</w:t>
            </w:r>
            <w:r>
              <w:rPr>
                <w:rFonts w:hint="eastAsia" w:ascii="宋体" w:hAnsi="宋体" w:cs="宋体"/>
                <w:color w:val="auto"/>
                <w:sz w:val="24"/>
                <w:highlight w:val="none"/>
                <w:lang w:val="zh-CN"/>
              </w:rPr>
              <w:t>。</w:t>
            </w:r>
          </w:p>
          <w:p w14:paraId="0DA6EB9D">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w:t>
            </w:r>
            <w:r>
              <w:rPr>
                <w:rFonts w:hint="eastAsia" w:ascii="宋体" w:hAnsi="宋体" w:cs="宋体"/>
                <w:color w:val="auto"/>
                <w:sz w:val="24"/>
                <w:highlight w:val="none"/>
              </w:rPr>
              <w:t>本项目采用脱水淤泥车载外运，需密闭运输。发现抛洒滴漏情况每次扣3000元；发现未脱水泥浆外运情况，每次扣30000元</w:t>
            </w:r>
            <w:r>
              <w:rPr>
                <w:rFonts w:hint="eastAsia" w:ascii="宋体" w:hAnsi="宋体" w:cs="宋体"/>
                <w:color w:val="auto"/>
                <w:sz w:val="24"/>
                <w:highlight w:val="none"/>
                <w:lang w:val="zh-CN"/>
              </w:rPr>
              <w:t>。</w:t>
            </w:r>
          </w:p>
          <w:p w14:paraId="07352B30">
            <w:pPr>
              <w:wordWrap w:val="0"/>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lang w:val="zh-CN"/>
              </w:rPr>
              <w:t>.乙方未按智慧应用数据对接要求对作业情况进行监控、数据进行上传的，</w:t>
            </w:r>
            <w:r>
              <w:rPr>
                <w:rFonts w:hint="eastAsia" w:ascii="宋体" w:hAnsi="宋体" w:cs="宋体"/>
                <w:color w:val="auto"/>
                <w:sz w:val="24"/>
                <w:highlight w:val="none"/>
              </w:rPr>
              <w:t>乙方向甲方支付</w:t>
            </w:r>
            <w:r>
              <w:rPr>
                <w:rFonts w:hint="eastAsia" w:ascii="宋体" w:hAnsi="宋体" w:cs="宋体"/>
                <w:color w:val="auto"/>
                <w:sz w:val="24"/>
                <w:highlight w:val="none"/>
                <w:lang w:val="zh-CN"/>
              </w:rPr>
              <w:t>1000</w:t>
            </w:r>
            <w:r>
              <w:rPr>
                <w:rFonts w:hint="eastAsia" w:ascii="宋体" w:hAnsi="宋体" w:cs="宋体"/>
                <w:color w:val="auto"/>
                <w:sz w:val="24"/>
                <w:highlight w:val="none"/>
              </w:rPr>
              <w:t>0</w:t>
            </w:r>
            <w:r>
              <w:rPr>
                <w:rFonts w:hint="eastAsia" w:ascii="宋体" w:hAnsi="宋体" w:cs="宋体"/>
                <w:color w:val="auto"/>
                <w:sz w:val="24"/>
                <w:highlight w:val="none"/>
                <w:lang w:val="zh-CN"/>
              </w:rPr>
              <w:t>元作为</w:t>
            </w:r>
            <w:r>
              <w:rPr>
                <w:rFonts w:hint="eastAsia" w:ascii="宋体" w:hAnsi="宋体" w:cs="宋体"/>
                <w:color w:val="auto"/>
                <w:sz w:val="24"/>
                <w:highlight w:val="none"/>
              </w:rPr>
              <w:t>违约金，同时甲方有权解除合同。</w:t>
            </w:r>
          </w:p>
          <w:p w14:paraId="721577D9">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7.乙方未按投标时承诺</w:t>
            </w:r>
            <w:r>
              <w:rPr>
                <w:rFonts w:hint="eastAsia" w:ascii="宋体" w:hAnsi="宋体" w:cs="宋体"/>
                <w:color w:val="auto"/>
                <w:sz w:val="24"/>
                <w:highlight w:val="none"/>
                <w:lang w:val="zh-CN"/>
              </w:rPr>
              <w:t>的资源化利用方式处理淤泥量（干泥量）</w:t>
            </w:r>
            <w:r>
              <w:rPr>
                <w:rFonts w:hint="eastAsia" w:ascii="宋体" w:hAnsi="宋体" w:cs="宋体"/>
                <w:color w:val="auto"/>
                <w:sz w:val="24"/>
                <w:highlight w:val="none"/>
              </w:rPr>
              <w:t>的，</w:t>
            </w:r>
            <w:r>
              <w:rPr>
                <w:rFonts w:hint="eastAsia" w:ascii="宋体" w:hAnsi="宋体" w:cs="宋体"/>
                <w:color w:val="auto"/>
                <w:sz w:val="24"/>
                <w:highlight w:val="none"/>
                <w:lang w:val="zh-CN"/>
              </w:rPr>
              <w:t>每少200方，</w:t>
            </w:r>
            <w:r>
              <w:rPr>
                <w:rFonts w:hint="eastAsia" w:ascii="宋体" w:hAnsi="宋体" w:cs="宋体"/>
                <w:color w:val="auto"/>
                <w:sz w:val="24"/>
                <w:highlight w:val="none"/>
              </w:rPr>
              <w:t>乙方向甲方支付10000</w:t>
            </w:r>
            <w:r>
              <w:rPr>
                <w:rFonts w:hint="eastAsia" w:ascii="宋体" w:hAnsi="宋体" w:cs="宋体"/>
                <w:color w:val="auto"/>
                <w:sz w:val="24"/>
                <w:highlight w:val="none"/>
                <w:lang w:val="zh-CN"/>
              </w:rPr>
              <w:t>元作为</w:t>
            </w:r>
            <w:r>
              <w:rPr>
                <w:rFonts w:hint="eastAsia" w:ascii="宋体" w:hAnsi="宋体" w:cs="宋体"/>
                <w:color w:val="auto"/>
                <w:sz w:val="24"/>
                <w:highlight w:val="none"/>
              </w:rPr>
              <w:t>违约金</w:t>
            </w:r>
            <w:r>
              <w:rPr>
                <w:rFonts w:hint="eastAsia" w:ascii="宋体" w:hAnsi="宋体" w:cs="宋体"/>
                <w:color w:val="auto"/>
                <w:sz w:val="24"/>
                <w:highlight w:val="none"/>
                <w:lang w:val="zh-CN"/>
              </w:rPr>
              <w:t>。</w:t>
            </w:r>
          </w:p>
          <w:p w14:paraId="66F9159F">
            <w:pPr>
              <w:wordWrap w:val="0"/>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8.乙方在施工过程中投入设备不到位或经甲方同意后更换设备，每发生一次，乙方向甲方支付5000</w:t>
            </w:r>
            <w:r>
              <w:rPr>
                <w:rFonts w:hint="eastAsia" w:ascii="宋体" w:hAnsi="宋体" w:cs="宋体"/>
                <w:color w:val="auto"/>
                <w:sz w:val="24"/>
                <w:highlight w:val="none"/>
                <w:lang w:val="zh-CN"/>
              </w:rPr>
              <w:t>元作为</w:t>
            </w:r>
            <w:r>
              <w:rPr>
                <w:rFonts w:hint="eastAsia" w:ascii="宋体" w:hAnsi="宋体" w:cs="宋体"/>
                <w:color w:val="auto"/>
                <w:sz w:val="24"/>
                <w:highlight w:val="none"/>
              </w:rPr>
              <w:t>违约金。如在施工期间前3个月内擅自更换设备，每发生一次，乙方向甲方支付100000</w:t>
            </w:r>
            <w:r>
              <w:rPr>
                <w:rFonts w:hint="eastAsia" w:ascii="宋体" w:hAnsi="宋体" w:cs="宋体"/>
                <w:color w:val="auto"/>
                <w:sz w:val="24"/>
                <w:highlight w:val="none"/>
                <w:lang w:val="zh-CN"/>
              </w:rPr>
              <w:t>元作为</w:t>
            </w:r>
            <w:r>
              <w:rPr>
                <w:rFonts w:hint="eastAsia" w:ascii="宋体" w:hAnsi="宋体" w:cs="宋体"/>
                <w:color w:val="auto"/>
                <w:sz w:val="24"/>
                <w:highlight w:val="none"/>
              </w:rPr>
              <w:t>违约金；第4个月至第6个月内擅自更换设备，每发生一次，乙方向甲方支付50000</w:t>
            </w:r>
            <w:r>
              <w:rPr>
                <w:rFonts w:hint="eastAsia" w:ascii="宋体" w:hAnsi="宋体" w:cs="宋体"/>
                <w:color w:val="auto"/>
                <w:sz w:val="24"/>
                <w:highlight w:val="none"/>
                <w:lang w:val="zh-CN"/>
              </w:rPr>
              <w:t>元作为</w:t>
            </w:r>
            <w:r>
              <w:rPr>
                <w:rFonts w:hint="eastAsia" w:ascii="宋体" w:hAnsi="宋体" w:cs="宋体"/>
                <w:color w:val="auto"/>
                <w:sz w:val="24"/>
                <w:highlight w:val="none"/>
              </w:rPr>
              <w:t>违约金。</w:t>
            </w:r>
          </w:p>
          <w:p w14:paraId="285EA20A">
            <w:pPr>
              <w:wordWrap w:val="0"/>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.若乙方未采用生态清淤方式施工的，如采用水挖机、泥浆泵施工等，每发生一次，乙方向甲方支付50000</w:t>
            </w:r>
            <w:r>
              <w:rPr>
                <w:rFonts w:hint="eastAsia" w:ascii="宋体" w:hAnsi="宋体" w:cs="宋体"/>
                <w:color w:val="auto"/>
                <w:sz w:val="24"/>
                <w:highlight w:val="none"/>
                <w:lang w:val="zh-CN"/>
              </w:rPr>
              <w:t>元作为</w:t>
            </w:r>
            <w:r>
              <w:rPr>
                <w:rFonts w:hint="eastAsia" w:ascii="宋体" w:hAnsi="宋体" w:cs="宋体"/>
                <w:color w:val="auto"/>
                <w:sz w:val="24"/>
                <w:highlight w:val="none"/>
              </w:rPr>
              <w:t>违约金；采用水挖机、泥浆泵等非生态清淤方式清障时，须书面申请并经甲方同意后方可施工。</w:t>
            </w:r>
          </w:p>
          <w:p w14:paraId="1A2FB9FF">
            <w:pPr>
              <w:wordWrap w:val="0"/>
              <w:autoSpaceDE w:val="0"/>
              <w:autoSpaceDN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.若乙方违反廉政协议相关规定，甲方有权解除合同。</w:t>
            </w:r>
          </w:p>
          <w:p w14:paraId="12704DBA">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zh-CN"/>
              </w:rPr>
              <w:t>在履行合同过程中，乙方应遵守国家、省、市颁布的法律法规规章以及有关规定，遵守有关部门的规章细则等，清淤工作中涉及的有关审批及协调手续由乙方办理（如通航河道清淤前，乙方应办理相关手续并发布航行通告），由于乙方违反上述有关规定而导致各种罚款和责任，由乙方自行负责。</w:t>
            </w:r>
          </w:p>
          <w:p w14:paraId="59C17DFC">
            <w:pPr>
              <w:wordWrap w:val="0"/>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zh-CN"/>
              </w:rPr>
              <w:t>为确保安全、文明施工，应该本着“安全第一，预防为主”的原则，建立安全管理组织体系；严格贯彻国家、省、市和劳动保护、安全生产部门颁发的有关安全生产、消防工作的方针、政策、法规、条例、规定等执行。由于乙方</w:t>
            </w:r>
            <w:r>
              <w:rPr>
                <w:rFonts w:hint="eastAsia" w:ascii="宋体" w:hAnsi="宋体" w:cs="宋体"/>
                <w:color w:val="auto"/>
                <w:sz w:val="24"/>
                <w:highlight w:val="none"/>
              </w:rPr>
              <w:t>安全文明作业措施</w:t>
            </w:r>
            <w:r>
              <w:rPr>
                <w:rFonts w:hint="eastAsia" w:ascii="宋体" w:hAnsi="宋体" w:cs="宋体"/>
                <w:color w:val="auto"/>
                <w:sz w:val="24"/>
                <w:highlight w:val="none"/>
                <w:lang w:val="zh-CN"/>
              </w:rPr>
              <w:t>不到位、违反安全操作规程而导致责任事故或伤害，所发生的费用均由乙方</w:t>
            </w:r>
            <w:r>
              <w:rPr>
                <w:rFonts w:hint="eastAsia" w:ascii="宋体" w:hAnsi="宋体" w:cs="宋体"/>
                <w:color w:val="auto"/>
                <w:sz w:val="24"/>
                <w:highlight w:val="none"/>
              </w:rPr>
              <w:t>自行承担</w:t>
            </w:r>
            <w:r>
              <w:rPr>
                <w:rFonts w:hint="eastAsia" w:ascii="宋体" w:hAnsi="宋体" w:cs="宋体"/>
                <w:color w:val="auto"/>
                <w:sz w:val="24"/>
                <w:highlight w:val="none"/>
                <w:lang w:val="zh-CN"/>
              </w:rPr>
              <w:t>，甲方保留追究责任的权利。</w:t>
            </w:r>
          </w:p>
          <w:p w14:paraId="2B72B79C">
            <w:pPr>
              <w:numPr>
                <w:ilvl w:val="255"/>
                <w:numId w:val="0"/>
              </w:num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sz w:val="24"/>
                <w:highlight w:val="none"/>
                <w:lang w:val="zh-CN"/>
              </w:rPr>
              <w:t>因前述乙方违约行为导致甲方解除合同的，</w:t>
            </w:r>
            <w:r>
              <w:rPr>
                <w:rFonts w:hint="eastAsia" w:ascii="宋体" w:hAnsi="宋体" w:cs="宋体"/>
                <w:color w:val="auto"/>
                <w:sz w:val="24"/>
                <w:highlight w:val="none"/>
              </w:rPr>
              <w:t>除支付相应</w:t>
            </w:r>
            <w:r>
              <w:rPr>
                <w:rFonts w:hint="eastAsia" w:ascii="宋体" w:hAnsi="宋体" w:cs="宋体"/>
                <w:color w:val="auto"/>
                <w:sz w:val="24"/>
                <w:highlight w:val="none"/>
                <w:lang w:val="zh-CN"/>
              </w:rPr>
              <w:t>违约金外，如造成甲方损失的，由乙方承担赔偿责任。</w:t>
            </w:r>
          </w:p>
        </w:tc>
      </w:tr>
      <w:tr w14:paraId="32C96C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2E629F2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w:t>
            </w:r>
          </w:p>
        </w:tc>
        <w:tc>
          <w:tcPr>
            <w:tcW w:w="8290" w:type="dxa"/>
            <w:vAlign w:val="center"/>
          </w:tcPr>
          <w:p w14:paraId="5D9EEFBE">
            <w:pPr>
              <w:spacing w:line="360" w:lineRule="auto"/>
              <w:rPr>
                <w:rFonts w:hint="eastAsia" w:ascii="宋体" w:hAnsi="宋体" w:cs="宋体"/>
                <w:color w:val="auto"/>
                <w:sz w:val="24"/>
                <w:highlight w:val="none"/>
              </w:rPr>
            </w:pPr>
            <w:r>
              <w:rPr>
                <w:rFonts w:hint="eastAsia" w:ascii="宋体" w:hAnsi="宋体" w:cs="宋体"/>
                <w:bCs/>
                <w:color w:val="auto"/>
                <w:sz w:val="24"/>
                <w:highlight w:val="none"/>
              </w:rPr>
              <w:t>本项目选择以下第1.9.2 条款规定的方式解决。</w:t>
            </w:r>
          </w:p>
        </w:tc>
      </w:tr>
      <w:tr w14:paraId="2664B3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3BBC26A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1.9.1</w:t>
            </w:r>
          </w:p>
        </w:tc>
        <w:tc>
          <w:tcPr>
            <w:tcW w:w="8290" w:type="dxa"/>
            <w:vAlign w:val="center"/>
          </w:tcPr>
          <w:p w14:paraId="41317A68">
            <w:pPr>
              <w:spacing w:line="360" w:lineRule="exact"/>
              <w:rPr>
                <w:rFonts w:hint="eastAsia" w:ascii="宋体" w:hAnsi="宋体" w:cs="宋体"/>
                <w:color w:val="auto"/>
                <w:sz w:val="24"/>
                <w:highlight w:val="none"/>
              </w:rPr>
            </w:pPr>
            <w:r>
              <w:rPr>
                <w:rFonts w:hint="eastAsia" w:ascii="宋体" w:hAnsi="宋体" w:cs="宋体"/>
                <w:color w:val="auto"/>
                <w:sz w:val="24"/>
                <w:highlight w:val="none"/>
              </w:rPr>
              <w:t>将争议提交</w:t>
            </w:r>
            <w:r>
              <w:rPr>
                <w:rFonts w:hint="eastAsia" w:ascii="宋体" w:hAnsi="宋体" w:cs="宋体"/>
                <w:b/>
                <w:iCs/>
                <w:color w:val="auto"/>
                <w:sz w:val="24"/>
                <w:highlight w:val="none"/>
                <w:u w:val="single"/>
              </w:rPr>
              <w:t>杭州</w:t>
            </w:r>
            <w:r>
              <w:rPr>
                <w:rFonts w:hint="eastAsia" w:ascii="宋体" w:hAnsi="宋体" w:cs="宋体"/>
                <w:color w:val="auto"/>
                <w:sz w:val="24"/>
                <w:highlight w:val="none"/>
              </w:rPr>
              <w:t>仲裁委员会依申请仲裁时其现行有效的仲裁规则裁决；</w:t>
            </w:r>
          </w:p>
        </w:tc>
      </w:tr>
      <w:tr w14:paraId="1DAF9D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77F2CB9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1.9.2</w:t>
            </w:r>
          </w:p>
        </w:tc>
        <w:tc>
          <w:tcPr>
            <w:tcW w:w="8290" w:type="dxa"/>
            <w:vAlign w:val="center"/>
          </w:tcPr>
          <w:p w14:paraId="341FA884">
            <w:pPr>
              <w:spacing w:line="360" w:lineRule="exact"/>
              <w:rPr>
                <w:rFonts w:hint="eastAsia" w:ascii="宋体" w:hAnsi="宋体" w:cs="宋体"/>
                <w:color w:val="auto"/>
                <w:sz w:val="24"/>
                <w:highlight w:val="none"/>
              </w:rPr>
            </w:pPr>
            <w:r>
              <w:rPr>
                <w:rFonts w:hint="eastAsia" w:ascii="宋体" w:hAnsi="宋体" w:cs="宋体"/>
                <w:color w:val="auto"/>
                <w:sz w:val="24"/>
                <w:highlight w:val="none"/>
              </w:rPr>
              <w:t>向</w:t>
            </w:r>
            <w:r>
              <w:rPr>
                <w:rFonts w:hint="eastAsia" w:ascii="宋体" w:hAnsi="宋体" w:cs="宋体"/>
                <w:b/>
                <w:iCs/>
                <w:color w:val="auto"/>
                <w:sz w:val="24"/>
                <w:highlight w:val="none"/>
                <w:u w:val="single"/>
              </w:rPr>
              <w:t>甲方所在地</w:t>
            </w:r>
            <w:r>
              <w:rPr>
                <w:rFonts w:hint="eastAsia" w:ascii="宋体" w:hAnsi="宋体" w:cs="宋体"/>
                <w:color w:val="auto"/>
                <w:sz w:val="24"/>
                <w:highlight w:val="none"/>
              </w:rPr>
              <w:t>人民法院起诉。</w:t>
            </w:r>
          </w:p>
        </w:tc>
      </w:tr>
      <w:tr w14:paraId="253375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493D040F">
            <w:pPr>
              <w:spacing w:line="360" w:lineRule="auto"/>
              <w:rPr>
                <w:rFonts w:hint="eastAsia" w:ascii="宋体" w:hAnsi="宋体" w:cs="宋体"/>
                <w:color w:val="auto"/>
                <w:sz w:val="24"/>
                <w:highlight w:val="none"/>
              </w:rPr>
            </w:pPr>
            <w:r>
              <w:rPr>
                <w:rFonts w:hint="eastAsia" w:ascii="宋体" w:hAnsi="宋体" w:cs="宋体"/>
                <w:color w:val="auto"/>
                <w:sz w:val="24"/>
                <w:highlight w:val="none"/>
              </w:rPr>
              <w:t>2.3.2</w:t>
            </w:r>
          </w:p>
        </w:tc>
        <w:tc>
          <w:tcPr>
            <w:tcW w:w="8290" w:type="dxa"/>
            <w:vAlign w:val="center"/>
          </w:tcPr>
          <w:p w14:paraId="6DD0C507">
            <w:pPr>
              <w:spacing w:line="360" w:lineRule="auto"/>
              <w:ind w:right="-420" w:rightChars="-200"/>
              <w:rPr>
                <w:rFonts w:hint="eastAsia" w:ascii="宋体" w:hAnsi="宋体" w:cs="宋体"/>
                <w:color w:val="auto"/>
                <w:sz w:val="24"/>
                <w:highlight w:val="none"/>
              </w:rPr>
            </w:pPr>
            <w:r>
              <w:rPr>
                <w:rFonts w:hint="eastAsia" w:ascii="宋体" w:hAnsi="宋体" w:cs="宋体"/>
                <w:color w:val="auto"/>
                <w:sz w:val="24"/>
                <w:highlight w:val="none"/>
              </w:rPr>
              <w:t>合同涉及技术成果的归属和收益的分成：成果归属甲方，无受益分成。</w:t>
            </w:r>
          </w:p>
        </w:tc>
      </w:tr>
      <w:tr w14:paraId="5C8D1A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7F4DF232">
            <w:pPr>
              <w:spacing w:line="360" w:lineRule="auto"/>
              <w:rPr>
                <w:rFonts w:hint="eastAsia" w:ascii="宋体" w:hAnsi="宋体" w:cs="宋体"/>
                <w:color w:val="auto"/>
                <w:sz w:val="24"/>
                <w:highlight w:val="none"/>
              </w:rPr>
            </w:pPr>
            <w:r>
              <w:rPr>
                <w:rFonts w:hint="eastAsia" w:ascii="宋体" w:hAnsi="宋体" w:cs="宋体"/>
                <w:color w:val="auto"/>
                <w:sz w:val="24"/>
                <w:highlight w:val="none"/>
              </w:rPr>
              <w:t>2.5</w:t>
            </w:r>
          </w:p>
        </w:tc>
        <w:tc>
          <w:tcPr>
            <w:tcW w:w="8290" w:type="dxa"/>
            <w:vAlign w:val="center"/>
          </w:tcPr>
          <w:p w14:paraId="491C1B6F">
            <w:pPr>
              <w:spacing w:line="360" w:lineRule="auto"/>
              <w:ind w:right="-420" w:rightChars="-200"/>
              <w:rPr>
                <w:rFonts w:hint="eastAsia" w:ascii="宋体" w:hAnsi="宋体" w:cs="宋体"/>
                <w:color w:val="auto"/>
                <w:highlight w:val="none"/>
              </w:rPr>
            </w:pPr>
            <w:r>
              <w:rPr>
                <w:rFonts w:hint="eastAsia" w:ascii="宋体" w:hAnsi="宋体" w:cs="宋体"/>
                <w:color w:val="auto"/>
                <w:sz w:val="24"/>
                <w:highlight w:val="none"/>
              </w:rPr>
              <w:t>详见1.6.2。</w:t>
            </w:r>
          </w:p>
        </w:tc>
      </w:tr>
      <w:tr w14:paraId="1ACCC3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5672444C">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2.11.3</w:t>
            </w:r>
          </w:p>
        </w:tc>
        <w:tc>
          <w:tcPr>
            <w:tcW w:w="8290" w:type="dxa"/>
            <w:vAlign w:val="center"/>
          </w:tcPr>
          <w:p w14:paraId="342AE34F">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因不可抗力致使合同有变更必要的，双方当事人应在发生后15个工作日内以书面形式变更合同。</w:t>
            </w:r>
          </w:p>
        </w:tc>
      </w:tr>
      <w:tr w14:paraId="2D7226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tcPr>
          <w:p w14:paraId="03FB79C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2.11.4 </w:t>
            </w:r>
          </w:p>
        </w:tc>
        <w:tc>
          <w:tcPr>
            <w:tcW w:w="8290" w:type="dxa"/>
            <w:vAlign w:val="center"/>
          </w:tcPr>
          <w:p w14:paraId="47DDFBEF">
            <w:pPr>
              <w:spacing w:line="360" w:lineRule="auto"/>
              <w:rPr>
                <w:rFonts w:hint="eastAsia" w:ascii="宋体" w:hAnsi="宋体" w:cs="宋体"/>
                <w:color w:val="auto"/>
                <w:sz w:val="24"/>
                <w:highlight w:val="none"/>
              </w:rPr>
            </w:pPr>
            <w:r>
              <w:rPr>
                <w:rFonts w:hint="eastAsia" w:ascii="宋体" w:hAnsi="宋体" w:cs="宋体"/>
                <w:color w:val="auto"/>
                <w:sz w:val="24"/>
                <w:highlight w:val="none"/>
              </w:rPr>
              <w:t>受不可抗力影响的一方在不可抗力发生后，应在</w:t>
            </w:r>
            <w:r>
              <w:rPr>
                <w:rFonts w:hint="eastAsia" w:ascii="宋体" w:hAnsi="宋体" w:cs="宋体"/>
                <w:b/>
                <w:iCs/>
                <w:color w:val="auto"/>
                <w:sz w:val="24"/>
                <w:highlight w:val="none"/>
                <w:u w:val="single"/>
              </w:rPr>
              <w:t>3天</w:t>
            </w:r>
            <w:r>
              <w:rPr>
                <w:rFonts w:hint="eastAsia" w:ascii="宋体" w:hAnsi="宋体" w:cs="宋体"/>
                <w:color w:val="auto"/>
                <w:sz w:val="24"/>
                <w:highlight w:val="none"/>
              </w:rPr>
              <w:t>内以书面形式通知对方当事人，并在</w:t>
            </w:r>
            <w:r>
              <w:rPr>
                <w:rFonts w:hint="eastAsia" w:ascii="宋体" w:hAnsi="宋体" w:cs="宋体"/>
                <w:b/>
                <w:iCs/>
                <w:color w:val="auto"/>
                <w:sz w:val="24"/>
                <w:highlight w:val="none"/>
                <w:u w:val="single"/>
              </w:rPr>
              <w:t>3天</w:t>
            </w:r>
            <w:r>
              <w:rPr>
                <w:rFonts w:hint="eastAsia" w:ascii="宋体" w:hAnsi="宋体" w:cs="宋体"/>
                <w:color w:val="auto"/>
                <w:sz w:val="24"/>
                <w:highlight w:val="none"/>
              </w:rPr>
              <w:t>内，将有关部门出具的证明文件送达对方当事人。</w:t>
            </w:r>
          </w:p>
        </w:tc>
      </w:tr>
      <w:tr w14:paraId="62CEE9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28D44F6E">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2.15.1</w:t>
            </w:r>
          </w:p>
        </w:tc>
        <w:tc>
          <w:tcPr>
            <w:tcW w:w="8290" w:type="dxa"/>
            <w:vAlign w:val="center"/>
          </w:tcPr>
          <w:p w14:paraId="6BBCB620">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服务报告要求：清淤作业全部完成后，中标人编制项目清淤工程竣工报告（包括底泥分析、水质分析、清淤方量、泥饼含水率、资源化利用、智慧应用等方面）。报告成果纸质五份，电子版一份。</w:t>
            </w:r>
          </w:p>
        </w:tc>
      </w:tr>
      <w:tr w14:paraId="2CB616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14:paraId="251D6394">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2.15.3</w:t>
            </w:r>
          </w:p>
        </w:tc>
        <w:tc>
          <w:tcPr>
            <w:tcW w:w="8290" w:type="dxa"/>
            <w:vAlign w:val="center"/>
          </w:tcPr>
          <w:p w14:paraId="575AF304">
            <w:pPr>
              <w:spacing w:line="360" w:lineRule="auto"/>
              <w:rPr>
                <w:rFonts w:hint="eastAsia" w:ascii="宋体" w:hAnsi="宋体" w:cs="宋体"/>
                <w:color w:val="auto"/>
                <w:sz w:val="24"/>
                <w:highlight w:val="none"/>
              </w:rPr>
            </w:pPr>
            <w:r>
              <w:rPr>
                <w:rFonts w:hint="eastAsia" w:ascii="宋体" w:hAnsi="宋体" w:cs="宋体"/>
                <w:color w:val="auto"/>
                <w:sz w:val="24"/>
                <w:highlight w:val="none"/>
              </w:rPr>
              <w:t>检验和验收标准：①满足采购需求及技术服务的要求，达到甲方考核合格标准；②资金支付及履约保证金返还条件、争议处理、验收费用支付、采购人及供应商各自权利义务等内容按国家，省，市现行规定和合同约定的内容。以上内容以及验收书具有同等法律效力，以上内容有冲突时以较严格的要求为准。</w:t>
            </w:r>
          </w:p>
          <w:p w14:paraId="3397BA5C">
            <w:pPr>
              <w:spacing w:line="360" w:lineRule="auto"/>
              <w:rPr>
                <w:rFonts w:hint="eastAsia" w:ascii="宋体" w:hAnsi="宋体" w:cs="宋体"/>
                <w:color w:val="auto"/>
                <w:sz w:val="24"/>
                <w:highlight w:val="none"/>
              </w:rPr>
            </w:pPr>
            <w:r>
              <w:rPr>
                <w:rFonts w:hint="eastAsia" w:ascii="宋体" w:hAnsi="宋体" w:cs="宋体"/>
                <w:color w:val="auto"/>
                <w:sz w:val="24"/>
                <w:highlight w:val="none"/>
              </w:rPr>
              <w:t>履约验收程序：按《杭州市政府采购履约验收暂行办法》中的一般程序进行履约验收。</w:t>
            </w:r>
          </w:p>
        </w:tc>
      </w:tr>
      <w:tr w14:paraId="5524E6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69" w:type="dxa"/>
            <w:tcBorders>
              <w:left w:val="single" w:color="auto" w:sz="4" w:space="0"/>
            </w:tcBorders>
          </w:tcPr>
          <w:p w14:paraId="445C926C">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2.19</w:t>
            </w:r>
          </w:p>
        </w:tc>
        <w:tc>
          <w:tcPr>
            <w:tcW w:w="8290" w:type="dxa"/>
          </w:tcPr>
          <w:p w14:paraId="5662F600">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本合同一式六份，甲方三份，乙方三份。</w:t>
            </w:r>
          </w:p>
        </w:tc>
      </w:tr>
    </w:tbl>
    <w:p w14:paraId="52199649">
      <w:pPr>
        <w:rPr>
          <w:color w:val="auto"/>
          <w:highlight w:val="none"/>
        </w:rPr>
      </w:pPr>
    </w:p>
    <w:p w14:paraId="76D73A3A">
      <w:pPr>
        <w:spacing w:line="360" w:lineRule="exact"/>
        <w:rPr>
          <w:rFonts w:hint="eastAsia" w:ascii="仿宋" w:hAnsi="仿宋" w:eastAsia="仿宋" w:cs="仿宋"/>
          <w:color w:val="auto"/>
          <w:highlight w:val="none"/>
        </w:rPr>
      </w:pPr>
    </w:p>
    <w:p w14:paraId="3A88FF68">
      <w:pPr>
        <w:spacing w:line="360" w:lineRule="exact"/>
        <w:rPr>
          <w:rFonts w:hint="eastAsia" w:ascii="仿宋" w:hAnsi="仿宋" w:eastAsia="仿宋" w:cs="仿宋"/>
          <w:b/>
          <w:color w:val="auto"/>
          <w:highlight w:val="none"/>
        </w:rPr>
      </w:pPr>
    </w:p>
    <w:p w14:paraId="1E422731">
      <w:pPr>
        <w:rPr>
          <w:color w:val="auto"/>
          <w:highlight w:val="none"/>
        </w:rPr>
      </w:pPr>
      <w:r>
        <w:rPr>
          <w:color w:val="auto"/>
          <w:highlight w:val="none"/>
        </w:rPr>
        <w:br w:type="page"/>
      </w:r>
    </w:p>
    <w:p w14:paraId="74DC5B12">
      <w:pPr>
        <w:rPr>
          <w:color w:val="auto"/>
          <w:highlight w:val="none"/>
        </w:rPr>
      </w:pPr>
    </w:p>
    <w:p w14:paraId="3E863763">
      <w:pPr>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附件：</w:t>
      </w:r>
    </w:p>
    <w:p w14:paraId="306644D3">
      <w:pPr>
        <w:spacing w:line="360" w:lineRule="auto"/>
        <w:jc w:val="cente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廉 政 协 议</w:t>
      </w:r>
    </w:p>
    <w:p w14:paraId="5F91CA83">
      <w:pPr>
        <w:pStyle w:val="969"/>
        <w:spacing w:line="360" w:lineRule="auto"/>
        <w:ind w:firstLine="480"/>
        <w:rPr>
          <w:rFonts w:hint="eastAsia" w:cs="宋体"/>
          <w:color w:val="auto"/>
          <w:sz w:val="24"/>
          <w:szCs w:val="24"/>
          <w:highlight w:val="none"/>
        </w:rPr>
      </w:pPr>
      <w:r>
        <w:rPr>
          <w:rFonts w:hint="eastAsia" w:cs="宋体"/>
          <w:color w:val="auto"/>
          <w:sz w:val="24"/>
          <w:szCs w:val="24"/>
          <w:highlight w:val="none"/>
        </w:rPr>
        <w:t>甲  方：</w:t>
      </w:r>
      <w:r>
        <w:rPr>
          <w:rFonts w:hint="eastAsia" w:cs="宋体"/>
          <w:b/>
          <w:color w:val="auto"/>
          <w:sz w:val="24"/>
          <w:szCs w:val="24"/>
          <w:highlight w:val="none"/>
          <w:u w:val="single"/>
        </w:rPr>
        <w:t xml:space="preserve">杭州市城市水设施和河道保护管理中心 </w:t>
      </w:r>
    </w:p>
    <w:p w14:paraId="17597473">
      <w:pPr>
        <w:pStyle w:val="969"/>
        <w:spacing w:line="360" w:lineRule="auto"/>
        <w:ind w:firstLine="480"/>
        <w:rPr>
          <w:rFonts w:hint="eastAsia" w:cs="宋体"/>
          <w:b/>
          <w:color w:val="auto"/>
          <w:sz w:val="24"/>
          <w:szCs w:val="24"/>
          <w:highlight w:val="none"/>
          <w:u w:val="single"/>
        </w:rPr>
      </w:pPr>
      <w:r>
        <w:rPr>
          <w:rFonts w:hint="eastAsia" w:cs="宋体"/>
          <w:color w:val="auto"/>
          <w:sz w:val="24"/>
          <w:szCs w:val="24"/>
          <w:highlight w:val="none"/>
        </w:rPr>
        <w:t>乙  方：</w:t>
      </w:r>
      <w:r>
        <w:rPr>
          <w:rFonts w:hint="eastAsia" w:cs="宋体"/>
          <w:b/>
          <w:color w:val="auto"/>
          <w:sz w:val="24"/>
          <w:szCs w:val="24"/>
          <w:highlight w:val="none"/>
          <w:u w:val="single"/>
        </w:rPr>
        <w:t xml:space="preserve">                                   </w:t>
      </w:r>
    </w:p>
    <w:p w14:paraId="2210BA46">
      <w:pPr>
        <w:spacing w:line="360" w:lineRule="auto"/>
        <w:ind w:firstLine="480" w:firstLineChars="200"/>
        <w:rPr>
          <w:rFonts w:hint="eastAsia" w:ascii="宋体" w:hAnsi="宋体" w:cs="宋体"/>
          <w:color w:val="auto"/>
          <w:sz w:val="24"/>
          <w:highlight w:val="none"/>
        </w:rPr>
      </w:pPr>
    </w:p>
    <w:p w14:paraId="062B246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为了进一步加强城市水设施河道改善项目领域的党风廉政建设，预防和遏制该领域的腐败现象，惩处相关违规行为，有效促进城市水设施河道事业的健康发展，努力构建“亲清”政商关系，结合实际，特制定本廉政协议，凡涉及城市水设施河道改善管理的甲乙双方必须履行以下条款。</w:t>
      </w:r>
    </w:p>
    <w:p w14:paraId="794AAC4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一、甲乙双方必须遵守国家、省、市规定的各项法律、法规和本部门、本行业的制度标准规范。</w:t>
      </w:r>
    </w:p>
    <w:p w14:paraId="0CA3106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二、甲方领导干部和管理人员要严格遵守四个“不准”：</w:t>
      </w:r>
    </w:p>
    <w:p w14:paraId="266436D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1.不准以任何理由收受乙方单位或个人赠送的礼金、礼品、烟票、消费卡（券）和有价证券、股权、其它金融产品等。</w:t>
      </w:r>
    </w:p>
    <w:p w14:paraId="4E43F33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2.不准将个人负担的费用到乙方进行报销，向乙方或乙方人员私人借款借物，以及借口刁难，索要好处费。</w:t>
      </w:r>
    </w:p>
    <w:p w14:paraId="726BFDC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3.不准以任何名义、任何形式参与乙方组织的宴请、旅游、健身、娱乐等安排，以及与乙方人员进行各种形式的赌博、有偿陪侍等活动。</w:t>
      </w:r>
    </w:p>
    <w:p w14:paraId="5E8D0D50">
      <w:pPr>
        <w:pStyle w:val="42"/>
        <w:spacing w:line="360" w:lineRule="auto"/>
        <w:ind w:firstLine="560"/>
        <w:rPr>
          <w:rFonts w:hint="eastAsia" w:ascii="宋体" w:hAnsi="宋体" w:cs="宋体"/>
          <w:color w:val="auto"/>
          <w:sz w:val="24"/>
          <w:highlight w:val="none"/>
        </w:rPr>
      </w:pPr>
      <w:r>
        <w:rPr>
          <w:rFonts w:hint="eastAsia" w:ascii="宋体" w:hAnsi="宋体" w:cs="宋体"/>
          <w:color w:val="auto"/>
          <w:sz w:val="24"/>
          <w:highlight w:val="none"/>
        </w:rPr>
        <w:t>4.不准违规插手、干预城市水设施河道行业项目招标采购、考核等过程。</w:t>
      </w:r>
    </w:p>
    <w:p w14:paraId="246FF06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三、乙方单位与人员要严格遵守四个“不准”：</w:t>
      </w:r>
    </w:p>
    <w:p w14:paraId="57EEE76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1.不准以任何名义、任何形式向甲方领导干部或管理人员赠送礼金、礼品烟票、消费卡（券）和有价证券、股权、其它金融产品等。</w:t>
      </w:r>
    </w:p>
    <w:p w14:paraId="63F1BEF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2.不准为甲方或甲方领导干部和工作人员购买、租借手机、助动车、空调、电脑、传真机等贵重物品。</w:t>
      </w:r>
    </w:p>
    <w:p w14:paraId="2E6BF77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3.不准借款给甲方的领导干部和工作人员及给予报销个人费用。</w:t>
      </w:r>
    </w:p>
    <w:p w14:paraId="492A977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4.不准借故组织甲方人员参与各种高消费娱乐活动、各种形式的赌博活动和旅游。</w:t>
      </w:r>
    </w:p>
    <w:p w14:paraId="50D883F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四、甲方人员若违反该廉政协议或其他违反考核廉政规定的，一经查实，按相关规定进行处理，触犯法律的移交相应机关进行处理。</w:t>
      </w:r>
    </w:p>
    <w:p w14:paraId="366AF64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五、乙方及其人员若违反该廉政协议，一经查实，视情况轻重逐级进行处理至解除合同、追究刑事责任。</w:t>
      </w:r>
    </w:p>
    <w:p w14:paraId="67D6362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本协议与主合同一并签约，并报甲方纪检部门留存一份备查。甲乙双方应相互监督、相互约束。</w:t>
      </w:r>
    </w:p>
    <w:p w14:paraId="2C1587BA">
      <w:pPr>
        <w:spacing w:line="360" w:lineRule="auto"/>
        <w:rPr>
          <w:rFonts w:hint="eastAsia" w:ascii="宋体" w:hAnsi="宋体" w:cs="宋体"/>
          <w:color w:val="auto"/>
          <w:sz w:val="24"/>
          <w:highlight w:val="none"/>
        </w:rPr>
      </w:pPr>
    </w:p>
    <w:p w14:paraId="12731883">
      <w:p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（此页无正文）</w:t>
      </w:r>
    </w:p>
    <w:p w14:paraId="47AE651A">
      <w:pPr>
        <w:spacing w:line="360" w:lineRule="auto"/>
        <w:rPr>
          <w:rFonts w:hint="eastAsia" w:ascii="宋体" w:hAnsi="宋体" w:cs="宋体"/>
          <w:color w:val="auto"/>
          <w:sz w:val="24"/>
          <w:highlight w:val="none"/>
        </w:rPr>
      </w:pPr>
    </w:p>
    <w:p w14:paraId="6B5B8690">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甲方（盖章）：                   乙方（盖章）：</w:t>
      </w:r>
    </w:p>
    <w:p w14:paraId="7FCA7C5E">
      <w:pPr>
        <w:spacing w:line="360" w:lineRule="auto"/>
        <w:ind w:left="6240" w:hanging="6240" w:hangingChars="2600"/>
        <w:rPr>
          <w:rFonts w:hint="eastAsia" w:ascii="宋体" w:hAnsi="宋体" w:cs="宋体"/>
          <w:color w:val="auto"/>
          <w:sz w:val="24"/>
          <w:highlight w:val="none"/>
        </w:rPr>
      </w:pPr>
    </w:p>
    <w:p w14:paraId="7848B99A">
      <w:pPr>
        <w:wordWrap w:val="0"/>
        <w:autoSpaceDE w:val="0"/>
        <w:autoSpaceDN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法定代表人（签字）：             法定代表人（签字）：</w:t>
      </w:r>
    </w:p>
    <w:p w14:paraId="23A9B1A8">
      <w:pPr>
        <w:spacing w:line="360" w:lineRule="auto"/>
        <w:rPr>
          <w:rFonts w:hint="eastAsia" w:ascii="宋体" w:hAnsi="宋体" w:cs="宋体"/>
          <w:color w:val="auto"/>
          <w:sz w:val="24"/>
          <w:highlight w:val="none"/>
        </w:rPr>
      </w:pPr>
    </w:p>
    <w:p w14:paraId="59E014AD">
      <w:pPr>
        <w:spacing w:line="360" w:lineRule="auto"/>
        <w:rPr>
          <w:rFonts w:hint="eastAsia" w:ascii="宋体" w:hAnsi="宋体" w:cs="宋体"/>
          <w:color w:val="auto"/>
          <w:sz w:val="24"/>
          <w:highlight w:val="none"/>
        </w:rPr>
      </w:pPr>
      <w:r>
        <w:rPr>
          <w:rFonts w:hint="eastAsia" w:ascii="宋体" w:hAnsi="宋体" w:cs="宋体"/>
          <w:color w:val="auto"/>
          <w:sz w:val="24"/>
          <w:highlight w:val="none"/>
        </w:rPr>
        <w:t>分管负责人（签字）：             项目经理（签字）：</w:t>
      </w:r>
    </w:p>
    <w:p w14:paraId="3FA6F062">
      <w:pPr>
        <w:pStyle w:val="42"/>
        <w:spacing w:line="360" w:lineRule="auto"/>
        <w:rPr>
          <w:rFonts w:hint="eastAsia" w:ascii="宋体" w:hAnsi="宋体" w:cs="宋体"/>
          <w:color w:val="auto"/>
          <w:sz w:val="24"/>
          <w:highlight w:val="none"/>
        </w:rPr>
      </w:pPr>
    </w:p>
    <w:p w14:paraId="1A2ABA1A">
      <w:pPr>
        <w:spacing w:line="360" w:lineRule="auto"/>
        <w:rPr>
          <w:rFonts w:hint="eastAsia" w:ascii="宋体" w:hAnsi="宋体" w:cs="宋体"/>
          <w:color w:val="auto"/>
          <w:sz w:val="24"/>
          <w:highlight w:val="none"/>
        </w:rPr>
      </w:pPr>
      <w:r>
        <w:rPr>
          <w:rFonts w:hint="eastAsia" w:ascii="宋体" w:hAnsi="宋体" w:cs="宋体"/>
          <w:color w:val="auto"/>
          <w:sz w:val="24"/>
          <w:highlight w:val="none"/>
        </w:rPr>
        <w:t>处室负责人（签字）：             项目负责人（签字）：</w:t>
      </w:r>
    </w:p>
    <w:p w14:paraId="09E90153">
      <w:pPr>
        <w:pStyle w:val="42"/>
        <w:spacing w:line="360" w:lineRule="auto"/>
        <w:rPr>
          <w:rFonts w:hint="eastAsia" w:ascii="宋体" w:hAnsi="宋体" w:cs="宋体"/>
          <w:color w:val="auto"/>
          <w:sz w:val="24"/>
          <w:highlight w:val="none"/>
        </w:rPr>
      </w:pPr>
    </w:p>
    <w:p w14:paraId="14793EA8">
      <w:pPr>
        <w:spacing w:line="360" w:lineRule="auto"/>
        <w:rPr>
          <w:rFonts w:hint="eastAsia" w:ascii="宋体" w:hAnsi="宋体" w:cs="宋体"/>
          <w:color w:val="auto"/>
          <w:sz w:val="24"/>
          <w:highlight w:val="none"/>
        </w:rPr>
      </w:pPr>
      <w:r>
        <w:rPr>
          <w:rFonts w:hint="eastAsia" w:ascii="宋体" w:hAnsi="宋体" w:cs="宋体"/>
          <w:color w:val="auto"/>
          <w:sz w:val="24"/>
          <w:highlight w:val="none"/>
        </w:rPr>
        <w:t>项目负责人（签字）：</w:t>
      </w:r>
    </w:p>
    <w:p w14:paraId="52F00719">
      <w:pPr>
        <w:pStyle w:val="3"/>
        <w:rPr>
          <w:rFonts w:hint="eastAsia" w:ascii="宋体" w:hAnsi="宋体" w:eastAsia="宋体" w:cs="宋体"/>
          <w:color w:val="auto"/>
          <w:highlight w:val="none"/>
        </w:rPr>
      </w:pPr>
    </w:p>
    <w:p w14:paraId="232B9EB8">
      <w:pPr>
        <w:pStyle w:val="81"/>
        <w:ind w:firstLine="562"/>
        <w:rPr>
          <w:rFonts w:hint="eastAsia" w:ascii="宋体" w:hAnsi="宋体" w:cs="宋体"/>
          <w:b/>
          <w:color w:val="auto"/>
          <w:sz w:val="28"/>
          <w:szCs w:val="28"/>
          <w:highlight w:val="none"/>
        </w:rPr>
      </w:pPr>
    </w:p>
    <w:p w14:paraId="2E3ED07F">
      <w:pPr>
        <w:widowControl/>
        <w:adjustRightInd/>
        <w:jc w:val="left"/>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3042F236">
      <w:pPr>
        <w:widowControl/>
        <w:adjustRightInd/>
        <w:jc w:val="center"/>
        <w:rPr>
          <w:rFonts w:hint="eastAsia"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6"/>
      <w:r>
        <w:rPr>
          <w:rFonts w:hint="eastAsia" w:ascii="宋体" w:hAnsi="宋体" w:cs="宋体"/>
          <w:b/>
          <w:color w:val="auto"/>
          <w:sz w:val="36"/>
          <w:szCs w:val="20"/>
          <w:highlight w:val="none"/>
        </w:rPr>
        <w:t xml:space="preserve"> </w:t>
      </w:r>
      <w:bookmarkEnd w:id="397"/>
      <w:r>
        <w:rPr>
          <w:rFonts w:hint="eastAsia" w:ascii="宋体" w:hAnsi="宋体" w:cs="宋体"/>
          <w:b/>
          <w:color w:val="auto"/>
          <w:sz w:val="36"/>
          <w:szCs w:val="20"/>
          <w:highlight w:val="none"/>
        </w:rPr>
        <w:t>应提交的有关格式范例</w:t>
      </w:r>
    </w:p>
    <w:p w14:paraId="7F9BAD9D">
      <w:pPr>
        <w:spacing w:line="360" w:lineRule="auto"/>
        <w:jc w:val="center"/>
        <w:outlineLvl w:val="0"/>
        <w:rPr>
          <w:rFonts w:hint="eastAsia" w:ascii="宋体" w:hAnsi="宋体" w:cs="宋体"/>
          <w:b/>
          <w:color w:val="auto"/>
          <w:kern w:val="0"/>
          <w:sz w:val="36"/>
          <w:szCs w:val="36"/>
          <w:highlight w:val="none"/>
        </w:rPr>
      </w:pPr>
    </w:p>
    <w:p w14:paraId="54BCCBA4">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E477DA1">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36A3738">
      <w:pPr>
        <w:spacing w:line="360" w:lineRule="auto"/>
        <w:jc w:val="center"/>
        <w:outlineLvl w:val="0"/>
        <w:rPr>
          <w:rFonts w:hint="eastAsia" w:ascii="宋体" w:hAnsi="宋体" w:cs="宋体"/>
          <w:b/>
          <w:color w:val="auto"/>
          <w:kern w:val="0"/>
          <w:sz w:val="36"/>
          <w:szCs w:val="36"/>
          <w:highlight w:val="none"/>
        </w:rPr>
      </w:pPr>
    </w:p>
    <w:p w14:paraId="640FF6F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0C6F6F35">
      <w:pPr>
        <w:snapToGrid w:val="0"/>
        <w:spacing w:line="360" w:lineRule="auto"/>
        <w:rPr>
          <w:rFonts w:hint="eastAsia"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47E8161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D3E3BB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6CD4AC8B">
      <w:pPr>
        <w:snapToGrid w:val="0"/>
        <w:spacing w:line="360" w:lineRule="auto"/>
        <w:ind w:firstLine="480" w:firstLineChars="200"/>
        <w:rPr>
          <w:rFonts w:hint="eastAsia" w:ascii="宋体" w:hAnsi="宋体" w:cs="宋体"/>
          <w:color w:val="auto"/>
          <w:sz w:val="24"/>
          <w:highlight w:val="none"/>
        </w:rPr>
      </w:pPr>
    </w:p>
    <w:p w14:paraId="48190057">
      <w:pPr>
        <w:spacing w:line="360" w:lineRule="auto"/>
        <w:ind w:firstLine="480" w:firstLineChars="200"/>
        <w:rPr>
          <w:rFonts w:hint="eastAsia" w:ascii="宋体" w:hAnsi="宋体" w:cs="宋体"/>
          <w:color w:val="auto"/>
          <w:sz w:val="24"/>
          <w:highlight w:val="none"/>
        </w:rPr>
      </w:pPr>
    </w:p>
    <w:p w14:paraId="633E32BF">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095E50E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杭州市城市水设施和河道保护管理中心、浙江豪圣建设项目管理有限公司：</w:t>
      </w:r>
    </w:p>
    <w:p w14:paraId="73E3E2CB">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我方参与西塘河（湖州街-京杭运河）生态清淤工程【项目编号：HSZB-2024-1480】政府采购活动，郑重承诺：</w:t>
      </w:r>
    </w:p>
    <w:p w14:paraId="32BD3A3C">
      <w:pPr>
        <w:snapToGrid w:val="0"/>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F28AE6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1、具有独立承担民事责任的能力；</w:t>
      </w:r>
    </w:p>
    <w:p w14:paraId="1C9977A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6AFAD3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264A5B5B">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842BF7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168E56C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25A397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11FFABF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（三）不存在以下情况：</w:t>
      </w:r>
    </w:p>
    <w:p w14:paraId="0C67F4D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B2EF4E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29F88F4">
      <w:pPr>
        <w:snapToGrid w:val="0"/>
        <w:spacing w:line="360" w:lineRule="auto"/>
        <w:ind w:firstLine="5520" w:firstLineChars="23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B157616">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7F49961">
      <w:pPr>
        <w:snapToGrid w:val="0"/>
        <w:spacing w:line="360" w:lineRule="auto"/>
        <w:ind w:right="480"/>
        <w:jc w:val="center"/>
        <w:rPr>
          <w:rFonts w:hint="eastAsia" w:ascii="宋体" w:hAnsi="宋体" w:cs="宋体"/>
          <w:b/>
          <w:color w:val="auto"/>
          <w:kern w:val="0"/>
          <w:sz w:val="32"/>
          <w:szCs w:val="32"/>
          <w:highlight w:val="none"/>
        </w:rPr>
      </w:pPr>
    </w:p>
    <w:p w14:paraId="7A975420">
      <w:pPr>
        <w:snapToGrid w:val="0"/>
        <w:spacing w:line="360" w:lineRule="auto"/>
        <w:ind w:right="480"/>
        <w:jc w:val="center"/>
        <w:rPr>
          <w:rFonts w:hint="eastAsia" w:ascii="宋体" w:hAnsi="宋体" w:cs="宋体"/>
          <w:b/>
          <w:color w:val="auto"/>
          <w:kern w:val="0"/>
          <w:sz w:val="32"/>
          <w:szCs w:val="32"/>
          <w:highlight w:val="none"/>
        </w:rPr>
      </w:pPr>
    </w:p>
    <w:p w14:paraId="01A97EDE">
      <w:pPr>
        <w:snapToGrid w:val="0"/>
        <w:spacing w:line="360" w:lineRule="auto"/>
        <w:ind w:right="480"/>
        <w:jc w:val="left"/>
        <w:rPr>
          <w:rFonts w:hint="eastAsia" w:ascii="宋体" w:hAnsi="宋体" w:cs="宋体"/>
          <w:b/>
          <w:color w:val="auto"/>
          <w:kern w:val="0"/>
          <w:sz w:val="24"/>
          <w:highlight w:val="none"/>
        </w:rPr>
      </w:pPr>
      <w:r>
        <w:rPr>
          <w:rFonts w:hint="eastAsia" w:ascii="宋体" w:hAnsi="宋体" w:cs="宋体"/>
          <w:b/>
          <w:color w:val="auto"/>
          <w:kern w:val="0"/>
          <w:sz w:val="24"/>
          <w:highlight w:val="none"/>
        </w:rPr>
        <w:t>备注：联合体投标的，联合体成员均应提供。非牵头人可提供加盖单位物理公章的原件扫描件。</w:t>
      </w:r>
    </w:p>
    <w:p w14:paraId="1FD1C7E3">
      <w:pPr>
        <w:snapToGrid w:val="0"/>
        <w:spacing w:line="360" w:lineRule="auto"/>
        <w:ind w:right="480"/>
        <w:jc w:val="center"/>
        <w:rPr>
          <w:rFonts w:hint="eastAsia" w:ascii="宋体" w:hAnsi="宋体" w:cs="宋体"/>
          <w:b/>
          <w:color w:val="auto"/>
          <w:kern w:val="0"/>
          <w:sz w:val="32"/>
          <w:szCs w:val="32"/>
          <w:highlight w:val="none"/>
        </w:rPr>
      </w:pPr>
    </w:p>
    <w:p w14:paraId="3016DD08">
      <w:pPr>
        <w:rPr>
          <w:rFonts w:hint="eastAsia" w:ascii="宋体" w:hAnsi="宋体" w:cs="宋体"/>
          <w:color w:val="auto"/>
          <w:highlight w:val="none"/>
        </w:rPr>
      </w:pPr>
    </w:p>
    <w:p w14:paraId="60D9A49B">
      <w:pPr>
        <w:snapToGrid w:val="0"/>
        <w:spacing w:line="360" w:lineRule="auto"/>
        <w:ind w:right="480"/>
        <w:jc w:val="center"/>
        <w:rPr>
          <w:rFonts w:hint="eastAsia" w:ascii="宋体" w:hAnsi="宋体" w:cs="宋体"/>
          <w:b/>
          <w:color w:val="auto"/>
          <w:kern w:val="0"/>
          <w:sz w:val="32"/>
          <w:szCs w:val="32"/>
          <w:highlight w:val="none"/>
        </w:rPr>
      </w:pPr>
    </w:p>
    <w:p w14:paraId="5FE74E6A">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36A4AE5">
      <w:pPr>
        <w:widowControl/>
        <w:spacing w:line="360" w:lineRule="auto"/>
        <w:ind w:firstLine="643" w:firstLineChars="20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8C5A05C">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C47BF9F">
      <w:pPr>
        <w:snapToGrid w:val="0"/>
        <w:spacing w:line="360" w:lineRule="auto"/>
        <w:ind w:right="480"/>
        <w:jc w:val="center"/>
        <w:rPr>
          <w:rFonts w:hint="eastAsia" w:ascii="宋体" w:hAnsi="宋体" w:cs="宋体"/>
          <w:b/>
          <w:color w:val="auto"/>
          <w:kern w:val="0"/>
          <w:sz w:val="32"/>
          <w:szCs w:val="32"/>
          <w:highlight w:val="none"/>
        </w:rPr>
      </w:pPr>
    </w:p>
    <w:p w14:paraId="10961BA9">
      <w:pPr>
        <w:snapToGrid w:val="0"/>
        <w:spacing w:line="360" w:lineRule="auto"/>
        <w:ind w:right="480"/>
        <w:jc w:val="center"/>
        <w:rPr>
          <w:rFonts w:hint="eastAsia" w:ascii="宋体" w:hAnsi="宋体" w:cs="宋体"/>
          <w:b/>
          <w:color w:val="auto"/>
          <w:kern w:val="0"/>
          <w:sz w:val="32"/>
          <w:szCs w:val="32"/>
          <w:highlight w:val="none"/>
        </w:rPr>
      </w:pPr>
    </w:p>
    <w:p w14:paraId="0D70D48C">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78A0FC62">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A2A279F">
      <w:pPr>
        <w:snapToGrid w:val="0"/>
        <w:spacing w:before="50" w:after="50" w:line="360" w:lineRule="auto"/>
        <w:ind w:firstLine="472" w:firstLineChars="196"/>
        <w:jc w:val="left"/>
        <w:rPr>
          <w:rFonts w:hint="eastAsia"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7C6A2129">
      <w:pPr>
        <w:widowControl/>
        <w:spacing w:line="360" w:lineRule="auto"/>
        <w:ind w:firstLine="480"/>
        <w:jc w:val="left"/>
        <w:rPr>
          <w:rFonts w:hint="eastAsia" w:ascii="宋体" w:hAnsi="宋体" w:cs="宋体"/>
          <w:color w:val="auto"/>
          <w:sz w:val="24"/>
          <w:highlight w:val="none"/>
        </w:rPr>
      </w:pPr>
    </w:p>
    <w:p w14:paraId="5EAEAD1F">
      <w:pPr>
        <w:widowControl/>
        <w:spacing w:line="360" w:lineRule="auto"/>
        <w:ind w:firstLine="472" w:firstLineChars="196"/>
        <w:jc w:val="left"/>
        <w:rPr>
          <w:rFonts w:hint="eastAsia"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785BC513">
      <w:pPr>
        <w:snapToGrid w:val="0"/>
        <w:spacing w:before="50" w:after="50" w:line="360" w:lineRule="auto"/>
        <w:jc w:val="center"/>
        <w:rPr>
          <w:rFonts w:hint="eastAsia" w:ascii="宋体" w:hAnsi="宋体" w:cs="宋体"/>
          <w:color w:val="auto"/>
          <w:sz w:val="24"/>
          <w:highlight w:val="none"/>
        </w:rPr>
      </w:pPr>
      <w:r>
        <w:rPr>
          <w:rFonts w:hint="eastAsia" w:ascii="宋体" w:hAnsi="宋体" w:cs="宋体"/>
          <w:b/>
          <w:color w:val="auto"/>
          <w:sz w:val="24"/>
          <w:highlight w:val="none"/>
        </w:rPr>
        <w:t xml:space="preserve">    </w:t>
      </w:r>
    </w:p>
    <w:p w14:paraId="45C4E187">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41D971CD">
      <w:pPr>
        <w:widowControl/>
        <w:spacing w:line="360" w:lineRule="auto"/>
        <w:ind w:left="150"/>
        <w:jc w:val="center"/>
        <w:rPr>
          <w:rFonts w:hint="eastAsia" w:ascii="宋体" w:hAnsi="宋体" w:cs="宋体"/>
          <w:b/>
          <w:color w:val="auto"/>
          <w:kern w:val="0"/>
          <w:sz w:val="32"/>
          <w:szCs w:val="32"/>
          <w:highlight w:val="none"/>
        </w:rPr>
      </w:pPr>
    </w:p>
    <w:p w14:paraId="4E870718">
      <w:pPr>
        <w:widowControl/>
        <w:spacing w:line="360" w:lineRule="auto"/>
        <w:ind w:left="15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1C3C906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31F1C27B">
      <w:pPr>
        <w:rPr>
          <w:rFonts w:hint="eastAsia" w:ascii="宋体" w:hAnsi="宋体" w:cs="宋体"/>
          <w:color w:val="auto"/>
          <w:highlight w:val="none"/>
        </w:rPr>
      </w:pPr>
    </w:p>
    <w:p w14:paraId="0019D35B">
      <w:pPr>
        <w:widowControl/>
        <w:adjustRightInd/>
        <w:jc w:val="left"/>
        <w:rPr>
          <w:rFonts w:hint="eastAsia"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219857B8">
      <w:pPr>
        <w:spacing w:line="360" w:lineRule="auto"/>
        <w:ind w:right="420" w:firstLine="3614" w:firstLineChars="100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0183671">
      <w:pPr>
        <w:spacing w:line="360" w:lineRule="auto"/>
        <w:jc w:val="center"/>
        <w:outlineLvl w:val="0"/>
        <w:rPr>
          <w:rFonts w:hint="eastAsia" w:ascii="宋体" w:hAnsi="宋体" w:cs="宋体"/>
          <w:b/>
          <w:color w:val="auto"/>
          <w:kern w:val="0"/>
          <w:sz w:val="24"/>
          <w:highlight w:val="none"/>
        </w:rPr>
      </w:pPr>
    </w:p>
    <w:p w14:paraId="7A9BFC67">
      <w:pPr>
        <w:spacing w:line="360" w:lineRule="auto"/>
        <w:jc w:val="center"/>
        <w:outlineLvl w:val="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2C13E67">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078DF622">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A53C216">
      <w:pPr>
        <w:snapToGrid w:val="0"/>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3608D044">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）承诺书</w:t>
      </w:r>
      <w:r>
        <w:rPr>
          <w:rFonts w:hint="eastAsia" w:ascii="宋体" w:hAnsi="宋体" w:cs="宋体"/>
          <w:color w:val="auto"/>
          <w:highlight w:val="none"/>
        </w:rPr>
        <w:t>…………………………………………………………………………………（页码）</w:t>
      </w:r>
    </w:p>
    <w:p w14:paraId="2CE0B34B">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14:paraId="43C0FF2E">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（7）投标标的清单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（8）商务技术偏离表</w:t>
      </w:r>
      <w:r>
        <w:rPr>
          <w:rFonts w:hint="eastAsia" w:ascii="宋体" w:hAnsi="宋体" w:cs="宋体"/>
          <w:color w:val="auto"/>
          <w:highlight w:val="none"/>
        </w:rPr>
        <w:t>………………………………………………………………………（页码）</w:t>
      </w:r>
    </w:p>
    <w:p w14:paraId="29ADC767">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9</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1BF69BCF">
      <w:pPr>
        <w:snapToGrid w:val="0"/>
        <w:spacing w:line="360" w:lineRule="auto"/>
        <w:jc w:val="center"/>
        <w:rPr>
          <w:rFonts w:hint="eastAsia" w:ascii="宋体" w:hAnsi="宋体" w:cs="宋体"/>
          <w:b/>
          <w:color w:val="auto"/>
          <w:kern w:val="0"/>
          <w:sz w:val="32"/>
          <w:szCs w:val="32"/>
          <w:highlight w:val="none"/>
          <w:lang w:val="zh-CN"/>
        </w:rPr>
      </w:pPr>
    </w:p>
    <w:p w14:paraId="2E3F1AF2">
      <w:pPr>
        <w:snapToGrid w:val="0"/>
        <w:spacing w:line="360" w:lineRule="auto"/>
        <w:jc w:val="center"/>
        <w:rPr>
          <w:rFonts w:hint="eastAsia" w:ascii="宋体" w:hAnsi="宋体" w:cs="宋体"/>
          <w:b/>
          <w:color w:val="auto"/>
          <w:kern w:val="0"/>
          <w:sz w:val="32"/>
          <w:szCs w:val="32"/>
          <w:highlight w:val="none"/>
          <w:lang w:val="zh-CN"/>
        </w:rPr>
      </w:pPr>
    </w:p>
    <w:p w14:paraId="7E7B5DF7">
      <w:pPr>
        <w:snapToGrid w:val="0"/>
        <w:spacing w:line="360" w:lineRule="auto"/>
        <w:jc w:val="center"/>
        <w:rPr>
          <w:rFonts w:hint="eastAsia" w:ascii="宋体" w:hAnsi="宋体" w:cs="宋体"/>
          <w:b/>
          <w:color w:val="auto"/>
          <w:kern w:val="0"/>
          <w:sz w:val="32"/>
          <w:szCs w:val="32"/>
          <w:highlight w:val="none"/>
          <w:lang w:val="zh-CN"/>
        </w:rPr>
      </w:pPr>
    </w:p>
    <w:p w14:paraId="77C876F6">
      <w:pPr>
        <w:snapToGrid w:val="0"/>
        <w:spacing w:line="360" w:lineRule="auto"/>
        <w:jc w:val="center"/>
        <w:rPr>
          <w:rFonts w:hint="eastAsia" w:ascii="宋体" w:hAnsi="宋体" w:cs="宋体"/>
          <w:b/>
          <w:color w:val="auto"/>
          <w:kern w:val="0"/>
          <w:sz w:val="32"/>
          <w:szCs w:val="32"/>
          <w:highlight w:val="none"/>
          <w:lang w:val="zh-CN"/>
        </w:rPr>
      </w:pPr>
    </w:p>
    <w:p w14:paraId="6DF3CC25">
      <w:pPr>
        <w:snapToGrid w:val="0"/>
        <w:spacing w:line="360" w:lineRule="auto"/>
        <w:jc w:val="center"/>
        <w:rPr>
          <w:rFonts w:hint="eastAsia" w:ascii="宋体" w:hAnsi="宋体" w:cs="宋体"/>
          <w:b/>
          <w:color w:val="auto"/>
          <w:kern w:val="0"/>
          <w:sz w:val="32"/>
          <w:szCs w:val="32"/>
          <w:highlight w:val="none"/>
          <w:lang w:val="zh-CN"/>
        </w:rPr>
      </w:pPr>
    </w:p>
    <w:p w14:paraId="3B3B1F16">
      <w:pPr>
        <w:snapToGrid w:val="0"/>
        <w:spacing w:line="360" w:lineRule="auto"/>
        <w:jc w:val="center"/>
        <w:rPr>
          <w:rFonts w:hint="eastAsia" w:ascii="宋体" w:hAnsi="宋体" w:cs="宋体"/>
          <w:b/>
          <w:color w:val="auto"/>
          <w:kern w:val="0"/>
          <w:sz w:val="32"/>
          <w:szCs w:val="32"/>
          <w:highlight w:val="none"/>
          <w:lang w:val="zh-CN"/>
        </w:rPr>
      </w:pPr>
    </w:p>
    <w:p w14:paraId="22C8CE8E">
      <w:pPr>
        <w:snapToGrid w:val="0"/>
        <w:spacing w:line="360" w:lineRule="auto"/>
        <w:jc w:val="center"/>
        <w:rPr>
          <w:rFonts w:hint="eastAsia" w:ascii="宋体" w:hAnsi="宋体" w:cs="宋体"/>
          <w:b/>
          <w:color w:val="auto"/>
          <w:kern w:val="0"/>
          <w:sz w:val="32"/>
          <w:szCs w:val="32"/>
          <w:highlight w:val="none"/>
          <w:lang w:val="zh-CN"/>
        </w:rPr>
      </w:pPr>
    </w:p>
    <w:p w14:paraId="5FB83E55">
      <w:pPr>
        <w:snapToGrid w:val="0"/>
        <w:spacing w:line="360" w:lineRule="auto"/>
        <w:jc w:val="center"/>
        <w:rPr>
          <w:rFonts w:hint="eastAsia" w:ascii="宋体" w:hAnsi="宋体" w:cs="宋体"/>
          <w:b/>
          <w:color w:val="auto"/>
          <w:kern w:val="0"/>
          <w:sz w:val="32"/>
          <w:szCs w:val="32"/>
          <w:highlight w:val="none"/>
          <w:lang w:val="zh-CN"/>
        </w:rPr>
      </w:pPr>
    </w:p>
    <w:p w14:paraId="54AC164A">
      <w:pPr>
        <w:snapToGrid w:val="0"/>
        <w:spacing w:line="360" w:lineRule="auto"/>
        <w:jc w:val="center"/>
        <w:rPr>
          <w:rFonts w:hint="eastAsia" w:ascii="宋体" w:hAnsi="宋体" w:cs="宋体"/>
          <w:b/>
          <w:color w:val="auto"/>
          <w:kern w:val="0"/>
          <w:sz w:val="32"/>
          <w:szCs w:val="32"/>
          <w:highlight w:val="none"/>
          <w:lang w:val="zh-CN"/>
        </w:rPr>
      </w:pPr>
    </w:p>
    <w:p w14:paraId="40BAE5FF">
      <w:pPr>
        <w:snapToGrid w:val="0"/>
        <w:spacing w:line="360" w:lineRule="auto"/>
        <w:jc w:val="center"/>
        <w:rPr>
          <w:rFonts w:hint="eastAsia" w:ascii="宋体" w:hAnsi="宋体" w:cs="宋体"/>
          <w:b/>
          <w:color w:val="auto"/>
          <w:kern w:val="0"/>
          <w:sz w:val="32"/>
          <w:szCs w:val="32"/>
          <w:highlight w:val="none"/>
          <w:lang w:val="zh-CN"/>
        </w:rPr>
      </w:pPr>
    </w:p>
    <w:p w14:paraId="419175DD">
      <w:pPr>
        <w:snapToGrid w:val="0"/>
        <w:spacing w:line="360" w:lineRule="auto"/>
        <w:jc w:val="center"/>
        <w:rPr>
          <w:rFonts w:hint="eastAsia" w:ascii="宋体" w:hAnsi="宋体" w:cs="宋体"/>
          <w:b/>
          <w:color w:val="auto"/>
          <w:kern w:val="0"/>
          <w:sz w:val="32"/>
          <w:szCs w:val="32"/>
          <w:highlight w:val="none"/>
          <w:lang w:val="zh-CN"/>
        </w:rPr>
      </w:pPr>
    </w:p>
    <w:p w14:paraId="08799AFB">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9093B16">
      <w:pPr>
        <w:snapToGrid w:val="0"/>
        <w:spacing w:line="360" w:lineRule="auto"/>
        <w:jc w:val="center"/>
        <w:outlineLvl w:val="0"/>
        <w:rPr>
          <w:rFonts w:hint="eastAsia"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5C2CE441">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杭州市城市水设施和河道保护管理中心、浙江豪圣建设项目管理有限公司：</w:t>
      </w:r>
    </w:p>
    <w:p w14:paraId="09631D3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我方参加你方组织的西塘河（湖州街-京杭运河）生态清淤工程【项目编号：HSZB-2024-1480】招标的有关活动，并对此项目进行投标。为此：</w:t>
      </w:r>
    </w:p>
    <w:p w14:paraId="40001530">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588A86B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2、我方的投标文件包括以下内容：</w:t>
      </w:r>
    </w:p>
    <w:p w14:paraId="4B75A097">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2.1资格文件：</w:t>
      </w:r>
    </w:p>
    <w:p w14:paraId="3393D05E">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2.1.1承诺函；</w:t>
      </w:r>
    </w:p>
    <w:p w14:paraId="115DD4F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64" w:name="_Hlk101257010"/>
      <w:r>
        <w:rPr>
          <w:rFonts w:hint="eastAsia" w:ascii="宋体" w:hAnsi="宋体" w:cs="宋体"/>
          <w:color w:val="auto"/>
          <w:sz w:val="24"/>
          <w:highlight w:val="none"/>
        </w:rPr>
        <w:t>（如果有)</w:t>
      </w:r>
      <w:bookmarkEnd w:id="464"/>
      <w:r>
        <w:rPr>
          <w:rFonts w:hint="eastAsia" w:ascii="宋体" w:hAnsi="宋体" w:cs="宋体"/>
          <w:snapToGrid w:val="0"/>
          <w:color w:val="auto"/>
          <w:kern w:val="28"/>
          <w:sz w:val="24"/>
          <w:szCs w:val="20"/>
          <w:highlight w:val="none"/>
        </w:rPr>
        <w:t>；</w:t>
      </w:r>
    </w:p>
    <w:p w14:paraId="036629AA">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1BB491E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68493E0B">
      <w:pPr>
        <w:snapToGrid w:val="0"/>
        <w:spacing w:line="360" w:lineRule="auto"/>
        <w:ind w:left="210" w:leftChars="1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F16BBDB">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6C61B4D2">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59573DC7">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29AC0429">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4AF0E7A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承诺书</w:t>
      </w:r>
    </w:p>
    <w:p w14:paraId="6D2E031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评标标准相应的商务技术资料；</w:t>
      </w:r>
    </w:p>
    <w:p w14:paraId="20A3F926">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2.2.7投标标的清单；</w:t>
      </w:r>
    </w:p>
    <w:p w14:paraId="6CB3FFFB">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2.2.8商务技术偏离表；</w:t>
      </w:r>
    </w:p>
    <w:p w14:paraId="5B8442AC">
      <w:pPr>
        <w:snapToGrid w:val="0"/>
        <w:spacing w:line="360" w:lineRule="auto"/>
        <w:ind w:left="420" w:leftChars="2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9</w:t>
      </w:r>
      <w:r>
        <w:rPr>
          <w:rFonts w:hint="eastAsia" w:ascii="宋体" w:hAnsi="宋体" w:cs="宋体"/>
          <w:color w:val="auto"/>
          <w:sz w:val="24"/>
          <w:highlight w:val="none"/>
          <w:lang w:val="zh-CN"/>
        </w:rPr>
        <w:t>政府采购供应商廉洁自律承诺书；</w:t>
      </w:r>
    </w:p>
    <w:p w14:paraId="1F47BB01">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7710869">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19E0EAF1">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2.3.2中小企业声明函（如果有）。</w:t>
      </w:r>
    </w:p>
    <w:p w14:paraId="597B1C6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55984B8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4、如我方中标，我方承诺：</w:t>
      </w:r>
    </w:p>
    <w:p w14:paraId="3568C045">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E657E0D">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5B2ABA56">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8F61F89">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328D8953">
      <w:pPr>
        <w:spacing w:line="360" w:lineRule="auto"/>
        <w:ind w:firstLine="480" w:firstLineChars="200"/>
        <w:rPr>
          <w:rFonts w:hint="eastAsia" w:ascii="宋体" w:hAnsi="宋体" w:cs="宋体"/>
          <w:color w:val="auto"/>
          <w:sz w:val="24"/>
          <w:highlight w:val="none"/>
          <w:shd w:val="clear" w:color="auto" w:fill="FFFFFF"/>
        </w:rPr>
      </w:pPr>
      <w:r>
        <w:rPr>
          <w:rFonts w:hint="eastAsia" w:ascii="宋体" w:hAnsi="宋体" w:cs="宋体"/>
          <w:color w:val="auto"/>
          <w:sz w:val="24"/>
          <w:highlight w:val="none"/>
        </w:rPr>
        <w:t>5、对</w:t>
      </w:r>
      <w:r>
        <w:rPr>
          <w:rFonts w:hint="eastAsia" w:ascii="宋体" w:hAnsi="宋体" w:cs="宋体"/>
          <w:color w:val="auto"/>
          <w:sz w:val="24"/>
          <w:highlight w:val="none"/>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57D39E2">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6152CD3">
      <w:pPr>
        <w:spacing w:line="360" w:lineRule="auto"/>
        <w:ind w:firstLine="3600" w:firstLineChars="1500"/>
        <w:rPr>
          <w:rFonts w:hint="eastAsia"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282B51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08F7825C">
      <w:pPr>
        <w:snapToGrid w:val="0"/>
        <w:spacing w:line="360" w:lineRule="auto"/>
        <w:ind w:left="420" w:leftChars="200" w:firstLine="4200" w:firstLineChars="1750"/>
        <w:rPr>
          <w:rFonts w:hint="eastAsia" w:ascii="宋体" w:hAnsi="宋体" w:cs="宋体"/>
          <w:color w:val="auto"/>
          <w:kern w:val="0"/>
          <w:sz w:val="24"/>
          <w:highlight w:val="none"/>
          <w:u w:val="single"/>
        </w:rPr>
      </w:pPr>
    </w:p>
    <w:p w14:paraId="440DDCB4">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57F9BFCD">
      <w:pPr>
        <w:snapToGrid w:val="0"/>
        <w:spacing w:line="360" w:lineRule="auto"/>
        <w:jc w:val="center"/>
        <w:rPr>
          <w:rFonts w:hint="eastAsia" w:ascii="宋体" w:hAnsi="宋体" w:cs="宋体"/>
          <w:b/>
          <w:color w:val="auto"/>
          <w:kern w:val="0"/>
          <w:sz w:val="32"/>
          <w:szCs w:val="32"/>
          <w:highlight w:val="none"/>
        </w:rPr>
      </w:pPr>
    </w:p>
    <w:p w14:paraId="5403340F">
      <w:pPr>
        <w:snapToGrid w:val="0"/>
        <w:spacing w:line="360" w:lineRule="auto"/>
        <w:rPr>
          <w:rFonts w:hint="eastAsia" w:ascii="宋体" w:hAnsi="宋体" w:cs="宋体"/>
          <w:color w:val="auto"/>
          <w:sz w:val="24"/>
          <w:highlight w:val="none"/>
        </w:rPr>
      </w:pPr>
    </w:p>
    <w:p w14:paraId="17DAB22B">
      <w:pPr>
        <w:rPr>
          <w:rFonts w:hint="eastAsia" w:ascii="宋体" w:hAnsi="宋体" w:cs="宋体"/>
          <w:b/>
          <w:color w:val="auto"/>
          <w:kern w:val="0"/>
          <w:sz w:val="32"/>
          <w:szCs w:val="32"/>
          <w:highlight w:val="none"/>
        </w:rPr>
      </w:pPr>
    </w:p>
    <w:p w14:paraId="069002A7">
      <w:pPr>
        <w:jc w:val="center"/>
        <w:rPr>
          <w:rFonts w:hint="eastAsia" w:ascii="宋体" w:hAnsi="宋体" w:cs="宋体"/>
          <w:b/>
          <w:color w:val="auto"/>
          <w:kern w:val="0"/>
          <w:sz w:val="32"/>
          <w:szCs w:val="32"/>
          <w:highlight w:val="none"/>
        </w:rPr>
      </w:pPr>
    </w:p>
    <w:p w14:paraId="50C16C71">
      <w:pPr>
        <w:jc w:val="center"/>
        <w:rPr>
          <w:rFonts w:hint="eastAsia" w:ascii="宋体" w:hAnsi="宋体" w:cs="宋体"/>
          <w:b/>
          <w:color w:val="auto"/>
          <w:kern w:val="0"/>
          <w:sz w:val="32"/>
          <w:szCs w:val="32"/>
          <w:highlight w:val="none"/>
        </w:rPr>
      </w:pPr>
    </w:p>
    <w:p w14:paraId="6EE85CD1">
      <w:pPr>
        <w:jc w:val="center"/>
        <w:rPr>
          <w:rFonts w:hint="eastAsia" w:ascii="宋体" w:hAnsi="宋体" w:cs="宋体"/>
          <w:b/>
          <w:color w:val="auto"/>
          <w:kern w:val="0"/>
          <w:sz w:val="32"/>
          <w:szCs w:val="32"/>
          <w:highlight w:val="none"/>
        </w:rPr>
      </w:pPr>
    </w:p>
    <w:p w14:paraId="69DFAAE2">
      <w:pPr>
        <w:jc w:val="center"/>
        <w:rPr>
          <w:rFonts w:hint="eastAsia" w:ascii="宋体" w:hAnsi="宋体" w:cs="宋体"/>
          <w:b/>
          <w:color w:val="auto"/>
          <w:kern w:val="0"/>
          <w:sz w:val="32"/>
          <w:szCs w:val="32"/>
          <w:highlight w:val="none"/>
        </w:rPr>
      </w:pPr>
    </w:p>
    <w:p w14:paraId="37E6FF9D">
      <w:pPr>
        <w:jc w:val="center"/>
        <w:rPr>
          <w:rFonts w:hint="eastAsia" w:ascii="宋体" w:hAnsi="宋体" w:cs="宋体"/>
          <w:b/>
          <w:color w:val="auto"/>
          <w:kern w:val="0"/>
          <w:sz w:val="32"/>
          <w:szCs w:val="32"/>
          <w:highlight w:val="none"/>
        </w:rPr>
      </w:pPr>
    </w:p>
    <w:p w14:paraId="651AC426">
      <w:pPr>
        <w:jc w:val="center"/>
        <w:rPr>
          <w:rFonts w:hint="eastAsia" w:ascii="宋体" w:hAnsi="宋体" w:cs="宋体"/>
          <w:b/>
          <w:color w:val="auto"/>
          <w:kern w:val="0"/>
          <w:sz w:val="32"/>
          <w:szCs w:val="32"/>
          <w:highlight w:val="none"/>
        </w:rPr>
      </w:pPr>
    </w:p>
    <w:p w14:paraId="25D587AB">
      <w:pPr>
        <w:jc w:val="center"/>
        <w:rPr>
          <w:rFonts w:hint="eastAsia" w:ascii="宋体" w:hAnsi="宋体" w:cs="宋体"/>
          <w:b/>
          <w:color w:val="auto"/>
          <w:kern w:val="0"/>
          <w:sz w:val="32"/>
          <w:szCs w:val="32"/>
          <w:highlight w:val="none"/>
        </w:rPr>
      </w:pPr>
    </w:p>
    <w:p w14:paraId="43766686">
      <w:pPr>
        <w:jc w:val="center"/>
        <w:rPr>
          <w:rFonts w:hint="eastAsia" w:ascii="宋体" w:hAnsi="宋体" w:cs="宋体"/>
          <w:b/>
          <w:color w:val="auto"/>
          <w:kern w:val="0"/>
          <w:sz w:val="32"/>
          <w:szCs w:val="32"/>
          <w:highlight w:val="none"/>
        </w:rPr>
      </w:pPr>
    </w:p>
    <w:p w14:paraId="7C4D2E71">
      <w:pPr>
        <w:jc w:val="center"/>
        <w:rPr>
          <w:rFonts w:hint="eastAsia" w:ascii="宋体" w:hAnsi="宋体" w:cs="宋体"/>
          <w:b/>
          <w:color w:val="auto"/>
          <w:kern w:val="0"/>
          <w:sz w:val="32"/>
          <w:szCs w:val="32"/>
          <w:highlight w:val="none"/>
        </w:rPr>
      </w:pPr>
    </w:p>
    <w:p w14:paraId="74C035F9">
      <w:pPr>
        <w:jc w:val="center"/>
        <w:rPr>
          <w:rFonts w:hint="eastAsia" w:ascii="宋体" w:hAnsi="宋体" w:cs="宋体"/>
          <w:b/>
          <w:color w:val="auto"/>
          <w:kern w:val="0"/>
          <w:sz w:val="32"/>
          <w:szCs w:val="32"/>
          <w:highlight w:val="none"/>
        </w:rPr>
      </w:pPr>
    </w:p>
    <w:p w14:paraId="0FD3FD99">
      <w:pPr>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06D1AC7">
      <w:pPr>
        <w:jc w:val="center"/>
        <w:rPr>
          <w:rFonts w:hint="eastAsia" w:ascii="宋体" w:hAnsi="宋体" w:cs="宋体"/>
          <w:b/>
          <w:color w:val="auto"/>
          <w:kern w:val="0"/>
          <w:sz w:val="32"/>
          <w:szCs w:val="32"/>
          <w:highlight w:val="none"/>
        </w:rPr>
      </w:pPr>
    </w:p>
    <w:p w14:paraId="12B415A6">
      <w:p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317797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3E465948">
      <w:pPr>
        <w:snapToGrid w:val="0"/>
        <w:spacing w:line="360" w:lineRule="auto"/>
        <w:ind w:firstLine="2872" w:firstLineChars="894"/>
        <w:rPr>
          <w:rFonts w:hint="eastAsia"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8173CBA">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杭州市城市水设施和河道保护管理中心、浙江豪圣建设项目管理有限公司</w:t>
      </w:r>
      <w:r>
        <w:rPr>
          <w:rFonts w:hint="eastAsia" w:ascii="宋体" w:hAnsi="宋体" w:cs="宋体"/>
          <w:color w:val="auto"/>
          <w:kern w:val="0"/>
          <w:sz w:val="24"/>
          <w:highlight w:val="none"/>
          <w:lang w:val="zh-CN"/>
        </w:rPr>
        <w:t>：</w:t>
      </w:r>
    </w:p>
    <w:p w14:paraId="4EA1DCD5">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西塘河（湖州街-京杭运河）生态清淤工程【项目编号：HSZB-2024-1480】</w:t>
      </w:r>
      <w:r>
        <w:rPr>
          <w:rFonts w:hint="eastAsia" w:ascii="宋体" w:hAnsi="宋体" w:cs="宋体"/>
          <w:color w:val="auto"/>
          <w:kern w:val="0"/>
          <w:sz w:val="24"/>
          <w:highlight w:val="none"/>
          <w:lang w:val="zh-CN"/>
        </w:rPr>
        <w:t>政府采购投标的一切事项，其法律后果由我方承担。</w:t>
      </w:r>
    </w:p>
    <w:p w14:paraId="692F9240">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65340B5">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087548C">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8CFC660">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1AF1C1E">
      <w:pPr>
        <w:snapToGrid w:val="0"/>
        <w:spacing w:line="360" w:lineRule="auto"/>
        <w:rPr>
          <w:rFonts w:hint="eastAsia" w:ascii="宋体" w:hAnsi="宋体" w:cs="宋体"/>
          <w:color w:val="auto"/>
          <w:sz w:val="24"/>
          <w:highlight w:val="none"/>
        </w:rPr>
      </w:pPr>
    </w:p>
    <w:p w14:paraId="5AEA2BD4">
      <w:pPr>
        <w:spacing w:line="360" w:lineRule="auto"/>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DC50943">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杭州市城市水设施和河道保护管理中心、浙江豪圣建设项目管理有限公司</w:t>
      </w:r>
      <w:r>
        <w:rPr>
          <w:rFonts w:hint="eastAsia" w:ascii="宋体" w:hAnsi="宋体" w:cs="宋体"/>
          <w:color w:val="auto"/>
          <w:kern w:val="0"/>
          <w:sz w:val="24"/>
          <w:highlight w:val="none"/>
          <w:lang w:val="zh-CN"/>
        </w:rPr>
        <w:t>：</w:t>
      </w:r>
    </w:p>
    <w:p w14:paraId="358B86FF">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西塘河（湖州街-京杭运河）生态清淤工程【项目编号：HSZB-2024-1480】</w:t>
      </w:r>
      <w:r>
        <w:rPr>
          <w:rFonts w:hint="eastAsia" w:ascii="宋体" w:hAnsi="宋体" w:cs="宋体"/>
          <w:color w:val="auto"/>
          <w:kern w:val="0"/>
          <w:sz w:val="24"/>
          <w:highlight w:val="none"/>
          <w:lang w:val="zh-CN"/>
        </w:rPr>
        <w:t>政府采购投标的一切事项，其法律后果由我方承担。</w:t>
      </w:r>
    </w:p>
    <w:p w14:paraId="3888618E">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C0D2B68">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6632698">
      <w:pPr>
        <w:jc w:val="center"/>
        <w:rPr>
          <w:rFonts w:hint="eastAsia" w:ascii="宋体" w:hAnsi="宋体" w:cs="宋体"/>
          <w:b/>
          <w:color w:val="auto"/>
          <w:kern w:val="0"/>
          <w:sz w:val="32"/>
          <w:szCs w:val="32"/>
          <w:highlight w:val="none"/>
        </w:rPr>
      </w:pPr>
    </w:p>
    <w:p w14:paraId="763B34FF">
      <w:pPr>
        <w:rPr>
          <w:rFonts w:hint="eastAsia" w:ascii="宋体" w:hAnsi="宋体" w:cs="宋体"/>
          <w:color w:val="auto"/>
          <w:highlight w:val="none"/>
        </w:rPr>
      </w:pPr>
    </w:p>
    <w:p w14:paraId="4EC74771">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C4CCC59">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10B900C">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21915DE9">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8A992BF">
      <w:pPr>
        <w:autoSpaceDE w:val="0"/>
        <w:autoSpaceDN w:val="0"/>
        <w:spacing w:line="360" w:lineRule="auto"/>
        <w:jc w:val="center"/>
        <w:rPr>
          <w:rFonts w:hint="eastAsia" w:ascii="宋体" w:hAnsi="宋体" w:cs="宋体"/>
          <w:b/>
          <w:color w:val="auto"/>
          <w:kern w:val="0"/>
          <w:sz w:val="32"/>
          <w:szCs w:val="32"/>
          <w:highlight w:val="none"/>
          <w:lang w:val="zh-CN"/>
        </w:rPr>
      </w:pPr>
    </w:p>
    <w:p w14:paraId="4A26EF4F">
      <w:pPr>
        <w:autoSpaceDE w:val="0"/>
        <w:autoSpaceDN w:val="0"/>
        <w:spacing w:line="360" w:lineRule="auto"/>
        <w:jc w:val="center"/>
        <w:rPr>
          <w:rFonts w:hint="eastAsia"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7338C554">
      <w:pPr>
        <w:pStyle w:val="150"/>
        <w:spacing w:line="360" w:lineRule="auto"/>
        <w:rPr>
          <w:rFonts w:hint="eastAsia"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417E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E28AF2F">
            <w:pPr>
              <w:pStyle w:val="150"/>
              <w:adjustRightInd w:val="0"/>
              <w:spacing w:line="360" w:lineRule="auto"/>
              <w:rPr>
                <w:rFonts w:hint="eastAsia" w:hAnsi="宋体" w:cs="宋体"/>
                <w:bCs/>
                <w:color w:val="auto"/>
                <w:sz w:val="24"/>
                <w:highlight w:val="none"/>
              </w:rPr>
            </w:pPr>
            <w:r>
              <w:rPr>
                <w:rFonts w:hint="eastAsia" w:hAnsi="宋体" w:cs="宋体"/>
                <w:bCs/>
                <w:color w:val="auto"/>
                <w:sz w:val="24"/>
                <w:highlight w:val="none"/>
              </w:rPr>
              <w:t>正面：                                 反面：</w:t>
            </w:r>
          </w:p>
          <w:p w14:paraId="1C5AF334">
            <w:pPr>
              <w:pStyle w:val="150"/>
              <w:adjustRightInd w:val="0"/>
              <w:spacing w:line="360" w:lineRule="auto"/>
              <w:rPr>
                <w:rFonts w:hint="eastAsia" w:hAnsi="宋体" w:cs="宋体"/>
                <w:bCs/>
                <w:color w:val="auto"/>
                <w:sz w:val="24"/>
                <w:highlight w:val="none"/>
              </w:rPr>
            </w:pPr>
          </w:p>
        </w:tc>
      </w:tr>
    </w:tbl>
    <w:p w14:paraId="3D8296ED">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ACAB476">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20AB8F42">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7AE1235">
      <w:pPr>
        <w:jc w:val="center"/>
        <w:rPr>
          <w:rFonts w:hint="eastAsia" w:ascii="宋体" w:hAnsi="宋体" w:cs="宋体"/>
          <w:b/>
          <w:color w:val="auto"/>
          <w:kern w:val="0"/>
          <w:sz w:val="32"/>
          <w:szCs w:val="32"/>
          <w:highlight w:val="none"/>
        </w:rPr>
      </w:pPr>
    </w:p>
    <w:p w14:paraId="063D9C36">
      <w:pPr>
        <w:jc w:val="center"/>
        <w:rPr>
          <w:rFonts w:hint="eastAsia" w:ascii="宋体" w:hAnsi="宋体" w:cs="宋体"/>
          <w:b/>
          <w:color w:val="auto"/>
          <w:kern w:val="0"/>
          <w:sz w:val="32"/>
          <w:szCs w:val="32"/>
          <w:highlight w:val="none"/>
        </w:rPr>
      </w:pPr>
    </w:p>
    <w:p w14:paraId="778009E5">
      <w:pPr>
        <w:jc w:val="center"/>
        <w:rPr>
          <w:rFonts w:hint="eastAsia" w:ascii="宋体" w:hAnsi="宋体" w:cs="宋体"/>
          <w:b/>
          <w:color w:val="auto"/>
          <w:kern w:val="0"/>
          <w:sz w:val="32"/>
          <w:szCs w:val="32"/>
          <w:highlight w:val="none"/>
        </w:rPr>
      </w:pPr>
    </w:p>
    <w:p w14:paraId="52A2047B">
      <w:pPr>
        <w:jc w:val="center"/>
        <w:rPr>
          <w:rFonts w:hint="eastAsia" w:ascii="宋体" w:hAnsi="宋体" w:cs="宋体"/>
          <w:b/>
          <w:color w:val="auto"/>
          <w:kern w:val="0"/>
          <w:sz w:val="32"/>
          <w:szCs w:val="32"/>
          <w:highlight w:val="none"/>
        </w:rPr>
      </w:pPr>
    </w:p>
    <w:p w14:paraId="62DCC0CB">
      <w:pPr>
        <w:jc w:val="center"/>
        <w:rPr>
          <w:rFonts w:hint="eastAsia" w:ascii="宋体" w:hAnsi="宋体" w:cs="宋体"/>
          <w:b/>
          <w:color w:val="auto"/>
          <w:kern w:val="0"/>
          <w:sz w:val="32"/>
          <w:szCs w:val="32"/>
          <w:highlight w:val="none"/>
        </w:rPr>
      </w:pPr>
    </w:p>
    <w:p w14:paraId="0083CC20">
      <w:pPr>
        <w:jc w:val="center"/>
        <w:rPr>
          <w:rFonts w:hint="eastAsia" w:ascii="宋体" w:hAnsi="宋体" w:cs="宋体"/>
          <w:b/>
          <w:color w:val="auto"/>
          <w:kern w:val="0"/>
          <w:sz w:val="32"/>
          <w:szCs w:val="32"/>
          <w:highlight w:val="none"/>
        </w:rPr>
      </w:pPr>
    </w:p>
    <w:p w14:paraId="78664EB3">
      <w:pPr>
        <w:jc w:val="center"/>
        <w:rPr>
          <w:rFonts w:hint="eastAsia" w:ascii="宋体" w:hAnsi="宋体" w:cs="宋体"/>
          <w:b/>
          <w:color w:val="auto"/>
          <w:kern w:val="0"/>
          <w:sz w:val="32"/>
          <w:szCs w:val="32"/>
          <w:highlight w:val="none"/>
        </w:rPr>
      </w:pPr>
    </w:p>
    <w:p w14:paraId="27846BFA">
      <w:pPr>
        <w:jc w:val="center"/>
        <w:rPr>
          <w:rFonts w:hint="eastAsia" w:ascii="宋体" w:hAnsi="宋体" w:cs="宋体"/>
          <w:b/>
          <w:color w:val="auto"/>
          <w:kern w:val="0"/>
          <w:sz w:val="32"/>
          <w:szCs w:val="32"/>
          <w:highlight w:val="none"/>
        </w:rPr>
      </w:pPr>
    </w:p>
    <w:p w14:paraId="0BFF1F22">
      <w:pPr>
        <w:jc w:val="center"/>
        <w:rPr>
          <w:rFonts w:hint="eastAsia" w:ascii="宋体" w:hAnsi="宋体" w:cs="宋体"/>
          <w:b/>
          <w:color w:val="auto"/>
          <w:kern w:val="0"/>
          <w:sz w:val="32"/>
          <w:szCs w:val="32"/>
          <w:highlight w:val="none"/>
        </w:rPr>
      </w:pPr>
    </w:p>
    <w:p w14:paraId="275E34BF">
      <w:pPr>
        <w:jc w:val="center"/>
        <w:rPr>
          <w:rFonts w:hint="eastAsia" w:ascii="宋体" w:hAnsi="宋体" w:cs="宋体"/>
          <w:b/>
          <w:color w:val="auto"/>
          <w:kern w:val="0"/>
          <w:sz w:val="32"/>
          <w:szCs w:val="32"/>
          <w:highlight w:val="none"/>
        </w:rPr>
      </w:pPr>
    </w:p>
    <w:p w14:paraId="7FD32132">
      <w:pPr>
        <w:snapToGrid w:val="0"/>
        <w:spacing w:line="360" w:lineRule="auto"/>
        <w:ind w:right="480"/>
        <w:rPr>
          <w:rFonts w:hint="eastAsia"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5" w:h="16838"/>
          <w:pgMar w:top="1247" w:right="1417" w:bottom="1247" w:left="1417" w:header="851" w:footer="850" w:gutter="0"/>
          <w:cols w:space="0" w:num="1"/>
          <w:docGrid w:linePitch="312" w:charSpace="0"/>
        </w:sectPr>
      </w:pPr>
    </w:p>
    <w:p w14:paraId="3E95D856">
      <w:pPr>
        <w:snapToGrid w:val="0"/>
        <w:spacing w:line="360" w:lineRule="auto"/>
        <w:ind w:firstLine="2570" w:firstLineChars="8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282668A6">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04A6840">
      <w:pPr>
        <w:snapToGrid w:val="0"/>
        <w:spacing w:line="360" w:lineRule="auto"/>
        <w:rPr>
          <w:rFonts w:hint="eastAsia" w:ascii="宋体" w:hAnsi="宋体" w:cs="宋体"/>
          <w:color w:val="auto"/>
          <w:kern w:val="0"/>
          <w:sz w:val="24"/>
          <w:highlight w:val="none"/>
        </w:rPr>
      </w:pPr>
    </w:p>
    <w:p w14:paraId="78BD1931">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AE86C78">
      <w:pPr>
        <w:jc w:val="center"/>
        <w:rPr>
          <w:rFonts w:hint="eastAsia" w:ascii="宋体" w:hAnsi="宋体" w:cs="宋体"/>
          <w:b/>
          <w:color w:val="auto"/>
          <w:kern w:val="0"/>
          <w:sz w:val="32"/>
          <w:szCs w:val="32"/>
          <w:highlight w:val="none"/>
        </w:rPr>
      </w:pPr>
    </w:p>
    <w:tbl>
      <w:tblPr>
        <w:tblStyle w:val="63"/>
        <w:tblW w:w="94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3767"/>
        <w:gridCol w:w="3200"/>
        <w:gridCol w:w="1733"/>
      </w:tblGrid>
      <w:tr w14:paraId="585CC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70" w:type="dxa"/>
            <w:vAlign w:val="center"/>
          </w:tcPr>
          <w:p w14:paraId="26223869">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3767" w:type="dxa"/>
            <w:vAlign w:val="center"/>
          </w:tcPr>
          <w:p w14:paraId="7806137C">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实质性要求</w:t>
            </w:r>
          </w:p>
        </w:tc>
        <w:tc>
          <w:tcPr>
            <w:tcW w:w="3200" w:type="dxa"/>
            <w:vAlign w:val="center"/>
          </w:tcPr>
          <w:p w14:paraId="7741F060">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733" w:type="dxa"/>
            <w:vAlign w:val="center"/>
          </w:tcPr>
          <w:p w14:paraId="014843A8">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投标文件中的</w:t>
            </w:r>
          </w:p>
          <w:p w14:paraId="4494C200">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页码位置</w:t>
            </w:r>
          </w:p>
        </w:tc>
      </w:tr>
      <w:tr w14:paraId="01400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70" w:type="dxa"/>
            <w:vAlign w:val="center"/>
          </w:tcPr>
          <w:p w14:paraId="1BA240C0">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767" w:type="dxa"/>
          </w:tcPr>
          <w:p w14:paraId="04EA2F1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3200" w:type="dxa"/>
            <w:vAlign w:val="center"/>
          </w:tcPr>
          <w:p w14:paraId="7FD196A7">
            <w:pPr>
              <w:rPr>
                <w:rFonts w:hint="eastAsia"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733" w:type="dxa"/>
            <w:vAlign w:val="center"/>
          </w:tcPr>
          <w:p w14:paraId="44C57F02">
            <w:pPr>
              <w:jc w:val="center"/>
              <w:rPr>
                <w:rFonts w:hint="eastAsia" w:ascii="宋体" w:hAnsi="宋体" w:cs="宋体"/>
                <w:color w:val="auto"/>
                <w:sz w:val="24"/>
                <w:highlight w:val="none"/>
              </w:rPr>
            </w:pPr>
            <w:r>
              <w:rPr>
                <w:rFonts w:hint="eastAsia" w:ascii="宋体" w:hAnsi="宋体" w:cs="宋体"/>
                <w:color w:val="auto"/>
                <w:sz w:val="24"/>
                <w:highlight w:val="none"/>
              </w:rPr>
              <w:t>见投标文件</w:t>
            </w:r>
          </w:p>
          <w:p w14:paraId="1D0DAE1F">
            <w:pPr>
              <w:jc w:val="center"/>
              <w:rPr>
                <w:rFonts w:hint="eastAsia"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0566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70" w:type="dxa"/>
            <w:vAlign w:val="center"/>
          </w:tcPr>
          <w:p w14:paraId="4D28B2AA">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767" w:type="dxa"/>
          </w:tcPr>
          <w:p w14:paraId="6F9BCE4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3200" w:type="dxa"/>
            <w:vAlign w:val="center"/>
          </w:tcPr>
          <w:p w14:paraId="2282569F">
            <w:pPr>
              <w:rPr>
                <w:rFonts w:hint="eastAsia" w:ascii="宋体" w:hAnsi="宋体" w:cs="宋体"/>
                <w:color w:val="auto"/>
                <w:sz w:val="24"/>
                <w:highlight w:val="none"/>
              </w:rPr>
            </w:pPr>
            <w:r>
              <w:rPr>
                <w:rFonts w:hint="eastAsia" w:ascii="宋体" w:hAnsi="宋体" w:cs="宋体"/>
                <w:color w:val="auto"/>
                <w:sz w:val="24"/>
                <w:highlight w:val="none"/>
              </w:rPr>
              <w:t>投标函</w:t>
            </w:r>
          </w:p>
        </w:tc>
        <w:tc>
          <w:tcPr>
            <w:tcW w:w="1733" w:type="dxa"/>
            <w:vAlign w:val="center"/>
          </w:tcPr>
          <w:p w14:paraId="707072F3">
            <w:pPr>
              <w:jc w:val="cente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D70C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70" w:type="dxa"/>
            <w:vAlign w:val="center"/>
          </w:tcPr>
          <w:p w14:paraId="7DC1A7FB">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767" w:type="dxa"/>
          </w:tcPr>
          <w:p w14:paraId="7DA5214A">
            <w:pPr>
              <w:spacing w:line="360" w:lineRule="auto"/>
              <w:rPr>
                <w:rFonts w:hint="eastAsia" w:ascii="宋体" w:hAnsi="宋体" w:cs="宋体"/>
                <w:color w:val="auto"/>
                <w:sz w:val="24"/>
                <w:highlight w:val="none"/>
              </w:rPr>
            </w:pPr>
            <w:r>
              <w:rPr>
                <w:rFonts w:hint="eastAsia" w:ascii="宋体" w:hAnsi="宋体" w:cs="宋体"/>
                <w:snapToGrid w:val="0"/>
                <w:color w:val="auto"/>
                <w:sz w:val="24"/>
                <w:highlight w:val="none"/>
              </w:rPr>
              <w:t>其他实质性要求1：</w:t>
            </w:r>
          </w:p>
        </w:tc>
        <w:tc>
          <w:tcPr>
            <w:tcW w:w="3200" w:type="dxa"/>
            <w:vMerge w:val="restart"/>
            <w:vAlign w:val="center"/>
          </w:tcPr>
          <w:p w14:paraId="15AB7D07">
            <w:pPr>
              <w:rPr>
                <w:rFonts w:hint="eastAsia"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733" w:type="dxa"/>
            <w:vAlign w:val="center"/>
          </w:tcPr>
          <w:p w14:paraId="58C1AC39">
            <w:pPr>
              <w:jc w:val="cente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8ECA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70" w:type="dxa"/>
            <w:vAlign w:val="center"/>
          </w:tcPr>
          <w:p w14:paraId="63F5D50B">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767" w:type="dxa"/>
          </w:tcPr>
          <w:p w14:paraId="08EA7013">
            <w:pPr>
              <w:spacing w:line="360" w:lineRule="auto"/>
              <w:rPr>
                <w:rFonts w:hint="eastAsia" w:ascii="宋体" w:hAnsi="宋体" w:cs="宋体"/>
                <w:color w:val="auto"/>
                <w:sz w:val="24"/>
                <w:highlight w:val="none"/>
              </w:rPr>
            </w:pPr>
            <w:r>
              <w:rPr>
                <w:rFonts w:hint="eastAsia" w:ascii="宋体" w:hAnsi="宋体" w:cs="宋体"/>
                <w:snapToGrid w:val="0"/>
                <w:color w:val="auto"/>
                <w:sz w:val="24"/>
                <w:highlight w:val="none"/>
              </w:rPr>
              <w:t>其他实质性要求2：</w:t>
            </w:r>
          </w:p>
        </w:tc>
        <w:tc>
          <w:tcPr>
            <w:tcW w:w="3200" w:type="dxa"/>
            <w:vMerge w:val="continue"/>
            <w:vAlign w:val="center"/>
          </w:tcPr>
          <w:p w14:paraId="1E023487">
            <w:pPr>
              <w:rPr>
                <w:rFonts w:hint="eastAsia" w:ascii="宋体" w:hAnsi="宋体" w:cs="宋体"/>
                <w:color w:val="auto"/>
                <w:sz w:val="24"/>
                <w:highlight w:val="none"/>
              </w:rPr>
            </w:pPr>
          </w:p>
        </w:tc>
        <w:tc>
          <w:tcPr>
            <w:tcW w:w="1733" w:type="dxa"/>
            <w:vAlign w:val="center"/>
          </w:tcPr>
          <w:p w14:paraId="11CB4B53">
            <w:pPr>
              <w:jc w:val="cente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795C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70" w:type="dxa"/>
            <w:vAlign w:val="center"/>
          </w:tcPr>
          <w:p w14:paraId="630B3CAE">
            <w:pPr>
              <w:jc w:val="center"/>
              <w:rPr>
                <w:rFonts w:hint="eastAsia" w:ascii="宋体" w:hAnsi="宋体" w:cs="宋体"/>
                <w:color w:val="auto"/>
                <w:sz w:val="24"/>
                <w:highlight w:val="none"/>
              </w:rPr>
            </w:pPr>
            <w:r>
              <w:rPr>
                <w:rFonts w:hint="eastAsia" w:ascii="宋体" w:hAnsi="宋体" w:cs="宋体"/>
                <w:color w:val="auto"/>
                <w:kern w:val="0"/>
                <w:sz w:val="24"/>
                <w:highlight w:val="none"/>
              </w:rPr>
              <w:t>……</w:t>
            </w:r>
          </w:p>
        </w:tc>
        <w:tc>
          <w:tcPr>
            <w:tcW w:w="3767" w:type="dxa"/>
          </w:tcPr>
          <w:p w14:paraId="2120FC7C">
            <w:pPr>
              <w:spacing w:line="360" w:lineRule="auto"/>
              <w:rPr>
                <w:rFonts w:hint="eastAsia" w:ascii="宋体" w:hAnsi="宋体" w:cs="宋体"/>
                <w:color w:val="auto"/>
                <w:sz w:val="24"/>
                <w:highlight w:val="none"/>
              </w:rPr>
            </w:pPr>
            <w:r>
              <w:rPr>
                <w:rFonts w:hint="eastAsia" w:ascii="宋体" w:hAnsi="宋体" w:cs="宋体"/>
                <w:snapToGrid w:val="0"/>
                <w:color w:val="auto"/>
                <w:sz w:val="24"/>
                <w:highlight w:val="none"/>
              </w:rPr>
              <w:t>其他实质性要求</w:t>
            </w:r>
            <w:r>
              <w:rPr>
                <w:rFonts w:hint="eastAsia" w:ascii="宋体" w:hAnsi="宋体" w:cs="宋体"/>
                <w:color w:val="auto"/>
                <w:kern w:val="0"/>
                <w:sz w:val="24"/>
                <w:highlight w:val="none"/>
              </w:rPr>
              <w:t>……</w:t>
            </w:r>
            <w:r>
              <w:rPr>
                <w:rFonts w:hint="eastAsia" w:ascii="宋体" w:hAnsi="宋体" w:cs="宋体"/>
                <w:snapToGrid w:val="0"/>
                <w:color w:val="auto"/>
                <w:sz w:val="24"/>
                <w:highlight w:val="none"/>
              </w:rPr>
              <w:t>：</w:t>
            </w:r>
          </w:p>
        </w:tc>
        <w:tc>
          <w:tcPr>
            <w:tcW w:w="3200" w:type="dxa"/>
            <w:vMerge w:val="continue"/>
            <w:vAlign w:val="center"/>
          </w:tcPr>
          <w:p w14:paraId="4FE7F143">
            <w:pPr>
              <w:rPr>
                <w:rFonts w:hint="eastAsia" w:ascii="宋体" w:hAnsi="宋体" w:cs="宋体"/>
                <w:color w:val="auto"/>
                <w:sz w:val="24"/>
                <w:highlight w:val="none"/>
              </w:rPr>
            </w:pPr>
          </w:p>
        </w:tc>
        <w:tc>
          <w:tcPr>
            <w:tcW w:w="1733" w:type="dxa"/>
            <w:vAlign w:val="center"/>
          </w:tcPr>
          <w:p w14:paraId="3C677DCF">
            <w:pPr>
              <w:jc w:val="cente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6107566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42EF542C">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2、招标文件中实质性要求必须明确响应。</w:t>
      </w:r>
    </w:p>
    <w:p w14:paraId="47279925">
      <w:pPr>
        <w:jc w:val="center"/>
        <w:rPr>
          <w:rFonts w:hint="eastAsia" w:ascii="宋体" w:hAnsi="宋体" w:cs="宋体"/>
          <w:b/>
          <w:color w:val="auto"/>
          <w:kern w:val="0"/>
          <w:sz w:val="32"/>
          <w:szCs w:val="32"/>
          <w:highlight w:val="none"/>
        </w:rPr>
      </w:pPr>
    </w:p>
    <w:p w14:paraId="2B62D6F6">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6907B43B">
      <w:pPr>
        <w:jc w:val="center"/>
        <w:rPr>
          <w:rFonts w:hint="eastAsia" w:ascii="宋体" w:hAnsi="宋体" w:cs="宋体"/>
          <w:b/>
          <w:color w:val="auto"/>
          <w:kern w:val="0"/>
          <w:sz w:val="32"/>
          <w:szCs w:val="32"/>
          <w:highlight w:val="none"/>
        </w:rPr>
      </w:pPr>
    </w:p>
    <w:p w14:paraId="4B92981D">
      <w:pPr>
        <w:jc w:val="center"/>
        <w:rPr>
          <w:rFonts w:hint="eastAsia" w:ascii="宋体" w:hAnsi="宋体" w:cs="宋体"/>
          <w:b/>
          <w:color w:val="auto"/>
          <w:kern w:val="0"/>
          <w:sz w:val="32"/>
          <w:szCs w:val="32"/>
          <w:highlight w:val="none"/>
        </w:rPr>
      </w:pPr>
    </w:p>
    <w:p w14:paraId="03F5A244">
      <w:pPr>
        <w:jc w:val="center"/>
        <w:rPr>
          <w:rFonts w:hint="eastAsia" w:ascii="宋体" w:hAnsi="宋体" w:cs="宋体"/>
          <w:b/>
          <w:color w:val="auto"/>
          <w:kern w:val="0"/>
          <w:sz w:val="32"/>
          <w:szCs w:val="32"/>
          <w:highlight w:val="none"/>
        </w:rPr>
      </w:pPr>
    </w:p>
    <w:p w14:paraId="033EF8D0">
      <w:pPr>
        <w:jc w:val="center"/>
        <w:rPr>
          <w:rFonts w:hint="eastAsia" w:ascii="宋体" w:hAnsi="宋体" w:cs="宋体"/>
          <w:b/>
          <w:color w:val="auto"/>
          <w:kern w:val="0"/>
          <w:sz w:val="32"/>
          <w:szCs w:val="32"/>
          <w:highlight w:val="none"/>
        </w:rPr>
      </w:pPr>
    </w:p>
    <w:p w14:paraId="10879565">
      <w:pPr>
        <w:jc w:val="center"/>
        <w:rPr>
          <w:rFonts w:hint="eastAsia" w:ascii="宋体" w:hAnsi="宋体" w:cs="宋体"/>
          <w:b/>
          <w:color w:val="auto"/>
          <w:kern w:val="0"/>
          <w:sz w:val="32"/>
          <w:szCs w:val="32"/>
          <w:highlight w:val="none"/>
        </w:rPr>
      </w:pPr>
    </w:p>
    <w:p w14:paraId="0CE8E470">
      <w:pPr>
        <w:jc w:val="center"/>
        <w:rPr>
          <w:rFonts w:hint="eastAsia" w:ascii="宋体" w:hAnsi="宋体" w:cs="宋体"/>
          <w:b/>
          <w:color w:val="auto"/>
          <w:kern w:val="0"/>
          <w:sz w:val="32"/>
          <w:szCs w:val="32"/>
          <w:highlight w:val="none"/>
        </w:rPr>
      </w:pPr>
    </w:p>
    <w:p w14:paraId="759292CE">
      <w:pPr>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6EF14F8">
      <w:pPr>
        <w:ind w:firstLine="3534" w:firstLineChars="11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五、承诺书</w:t>
      </w:r>
    </w:p>
    <w:p w14:paraId="580B37E4">
      <w:pPr>
        <w:pStyle w:val="23"/>
        <w:rPr>
          <w:color w:val="auto"/>
          <w:highlight w:val="none"/>
        </w:rPr>
      </w:pPr>
    </w:p>
    <w:p w14:paraId="238B8680">
      <w:pPr>
        <w:pStyle w:val="23"/>
        <w:jc w:val="center"/>
        <w:rPr>
          <w:rFonts w:hint="eastAsia" w:hAnsi="宋体" w:cs="宋体"/>
          <w:b/>
          <w:color w:val="auto"/>
          <w:kern w:val="0"/>
          <w:sz w:val="32"/>
          <w:szCs w:val="32"/>
          <w:highlight w:val="none"/>
        </w:rPr>
      </w:pPr>
      <w:r>
        <w:rPr>
          <w:rFonts w:hint="eastAsia" w:hAnsi="宋体" w:cs="宋体"/>
          <w:b/>
          <w:color w:val="auto"/>
          <w:kern w:val="0"/>
          <w:sz w:val="32"/>
          <w:szCs w:val="32"/>
          <w:highlight w:val="none"/>
        </w:rPr>
        <w:t>承诺书</w:t>
      </w:r>
      <w:r>
        <w:rPr>
          <w:rFonts w:hint="eastAsia" w:hAnsi="宋体" w:cs="宋体"/>
          <w:b/>
          <w:color w:val="auto"/>
          <w:kern w:val="0"/>
          <w:sz w:val="32"/>
          <w:szCs w:val="32"/>
          <w:highlight w:val="none"/>
          <w:lang w:val="en-US"/>
        </w:rPr>
        <w:t>一</w:t>
      </w:r>
    </w:p>
    <w:p w14:paraId="222C979D">
      <w:pPr>
        <w:pStyle w:val="23"/>
        <w:rPr>
          <w:color w:val="auto"/>
          <w:highlight w:val="none"/>
        </w:rPr>
      </w:pPr>
    </w:p>
    <w:p w14:paraId="0D71A9B3">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杭州市城市水设施和河道保护管理中心、浙江豪圣建设项目管理有限公司</w:t>
      </w:r>
      <w:r>
        <w:rPr>
          <w:rFonts w:hint="eastAsia" w:ascii="宋体" w:hAnsi="宋体" w:cs="宋体"/>
          <w:color w:val="auto"/>
          <w:kern w:val="0"/>
          <w:sz w:val="24"/>
          <w:highlight w:val="none"/>
          <w:lang w:val="zh-CN"/>
        </w:rPr>
        <w:t>：</w:t>
      </w:r>
    </w:p>
    <w:p w14:paraId="7E526830">
      <w:pPr>
        <w:autoSpaceDE w:val="0"/>
        <w:autoSpaceDN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单位西塘河（湖州街-京杭运河）生态清淤工程</w:t>
      </w:r>
      <w:r>
        <w:rPr>
          <w:rFonts w:hint="eastAsia" w:ascii="宋体" w:hAnsi="宋体" w:cs="宋体"/>
          <w:color w:val="auto"/>
          <w:kern w:val="0"/>
          <w:sz w:val="24"/>
          <w:highlight w:val="none"/>
          <w:lang w:val="zh-CN"/>
        </w:rPr>
        <w:t>项目招标要求参加投标，依据招标文件采购需求，</w:t>
      </w:r>
      <w:r>
        <w:rPr>
          <w:rFonts w:hint="eastAsia" w:ascii="宋体" w:hAnsi="宋体" w:cs="宋体"/>
          <w:color w:val="auto"/>
          <w:kern w:val="0"/>
          <w:sz w:val="24"/>
          <w:highlight w:val="none"/>
        </w:rPr>
        <w:t>承诺如下：</w:t>
      </w:r>
    </w:p>
    <w:p w14:paraId="1BD4FC2A">
      <w:pPr>
        <w:autoSpaceDE w:val="0"/>
        <w:autoSpaceDN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我单位</w:t>
      </w:r>
      <w:r>
        <w:rPr>
          <w:rFonts w:hint="eastAsia" w:ascii="宋体" w:hAnsi="宋体" w:cs="宋体"/>
          <w:color w:val="auto"/>
          <w:kern w:val="0"/>
          <w:sz w:val="24"/>
          <w:highlight w:val="none"/>
        </w:rPr>
        <w:t>承诺在中标公告发布后10个工作日内（10个工作日包括场地租赁、场地平整、设备安装、运输吊装、接水接电等各项协调措施、审查申请）将所有清淤设施设备送达现场后调试运行正常出泥，现场设备与投标文件一致。</w:t>
      </w:r>
    </w:p>
    <w:p w14:paraId="0C1E9192">
      <w:pPr>
        <w:autoSpaceDE w:val="0"/>
        <w:autoSpaceDN w:val="0"/>
        <w:spacing w:line="360" w:lineRule="auto"/>
        <w:ind w:left="2"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若中标后未按规定的时间提供，或现场设备与投标文件不一致的，我单位放弃中标。</w:t>
      </w:r>
    </w:p>
    <w:p w14:paraId="456F5C82">
      <w:pPr>
        <w:autoSpaceDE w:val="0"/>
        <w:autoSpaceDN w:val="0"/>
        <w:spacing w:line="360" w:lineRule="auto"/>
        <w:ind w:left="2" w:firstLine="480" w:firstLineChars="200"/>
        <w:jc w:val="left"/>
        <w:rPr>
          <w:rFonts w:hint="eastAsia" w:ascii="宋体" w:hAnsi="宋体" w:cs="宋体"/>
          <w:color w:val="auto"/>
          <w:kern w:val="0"/>
          <w:sz w:val="24"/>
          <w:highlight w:val="none"/>
          <w:lang w:val="zh-CN"/>
        </w:rPr>
      </w:pPr>
    </w:p>
    <w:p w14:paraId="2915EDEA">
      <w:pPr>
        <w:autoSpaceDE w:val="0"/>
        <w:autoSpaceDN w:val="0"/>
        <w:spacing w:line="360" w:lineRule="auto"/>
        <w:ind w:left="2" w:firstLine="480" w:firstLineChars="200"/>
        <w:jc w:val="left"/>
        <w:rPr>
          <w:rFonts w:hint="eastAsia" w:ascii="宋体" w:hAnsi="宋体" w:cs="宋体"/>
          <w:color w:val="auto"/>
          <w:kern w:val="0"/>
          <w:sz w:val="24"/>
          <w:highlight w:val="none"/>
          <w:lang w:val="zh-CN"/>
        </w:rPr>
      </w:pPr>
    </w:p>
    <w:p w14:paraId="0BC356CC">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FE591E5">
      <w:pPr>
        <w:wordWrap w:val="0"/>
        <w:ind w:right="720"/>
        <w:jc w:val="right"/>
        <w:rPr>
          <w:rFonts w:cs="宋体"/>
          <w:b/>
          <w:bCs/>
          <w:color w:val="auto"/>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           </w:t>
      </w:r>
    </w:p>
    <w:p w14:paraId="36A7ADF0">
      <w:pPr>
        <w:autoSpaceDE w:val="0"/>
        <w:autoSpaceDN w:val="0"/>
        <w:spacing w:line="360" w:lineRule="auto"/>
        <w:ind w:firstLine="480" w:firstLineChars="200"/>
        <w:jc w:val="left"/>
        <w:rPr>
          <w:rFonts w:hint="eastAsia" w:ascii="宋体" w:hAnsi="宋体" w:cs="宋体"/>
          <w:color w:val="auto"/>
          <w:kern w:val="0"/>
          <w:sz w:val="24"/>
          <w:highlight w:val="none"/>
        </w:rPr>
      </w:pPr>
    </w:p>
    <w:p w14:paraId="3AD3898B">
      <w:pPr>
        <w:pStyle w:val="23"/>
        <w:jc w:val="center"/>
        <w:rPr>
          <w:rFonts w:hint="eastAsia" w:hAnsi="宋体" w:cs="宋体"/>
          <w:b/>
          <w:color w:val="auto"/>
          <w:kern w:val="0"/>
          <w:sz w:val="32"/>
          <w:szCs w:val="32"/>
          <w:highlight w:val="none"/>
          <w:lang w:val="en-US"/>
        </w:rPr>
      </w:pPr>
    </w:p>
    <w:p w14:paraId="25F6F02C">
      <w:pPr>
        <w:pStyle w:val="23"/>
        <w:jc w:val="center"/>
        <w:rPr>
          <w:rFonts w:hint="eastAsia" w:hAnsi="宋体" w:cs="宋体"/>
          <w:b/>
          <w:color w:val="auto"/>
          <w:kern w:val="0"/>
          <w:sz w:val="32"/>
          <w:szCs w:val="32"/>
          <w:highlight w:val="none"/>
          <w:lang w:val="en-US"/>
        </w:rPr>
      </w:pPr>
    </w:p>
    <w:p w14:paraId="55B966A6">
      <w:pPr>
        <w:pStyle w:val="23"/>
        <w:jc w:val="center"/>
        <w:rPr>
          <w:rFonts w:hint="eastAsia" w:hAnsi="宋体" w:cs="宋体"/>
          <w:b/>
          <w:color w:val="auto"/>
          <w:kern w:val="0"/>
          <w:sz w:val="32"/>
          <w:szCs w:val="32"/>
          <w:highlight w:val="none"/>
          <w:lang w:val="en-US"/>
        </w:rPr>
      </w:pPr>
    </w:p>
    <w:p w14:paraId="10B37DF2">
      <w:pPr>
        <w:pStyle w:val="23"/>
        <w:jc w:val="center"/>
        <w:rPr>
          <w:rFonts w:hint="eastAsia" w:hAnsi="宋体" w:cs="宋体"/>
          <w:b/>
          <w:color w:val="auto"/>
          <w:kern w:val="0"/>
          <w:sz w:val="32"/>
          <w:szCs w:val="32"/>
          <w:highlight w:val="none"/>
          <w:lang w:val="en-US"/>
        </w:rPr>
      </w:pPr>
    </w:p>
    <w:p w14:paraId="5535C2C7">
      <w:pPr>
        <w:pStyle w:val="23"/>
        <w:jc w:val="center"/>
        <w:rPr>
          <w:rFonts w:hint="eastAsia" w:hAnsi="宋体" w:cs="宋体"/>
          <w:b/>
          <w:color w:val="auto"/>
          <w:kern w:val="0"/>
          <w:sz w:val="32"/>
          <w:szCs w:val="32"/>
          <w:highlight w:val="none"/>
          <w:lang w:val="en-US"/>
        </w:rPr>
      </w:pPr>
    </w:p>
    <w:p w14:paraId="5E867291">
      <w:pPr>
        <w:pStyle w:val="23"/>
        <w:jc w:val="center"/>
        <w:rPr>
          <w:rFonts w:hint="eastAsia" w:hAnsi="宋体" w:cs="宋体"/>
          <w:b/>
          <w:color w:val="auto"/>
          <w:kern w:val="0"/>
          <w:sz w:val="32"/>
          <w:szCs w:val="32"/>
          <w:highlight w:val="none"/>
          <w:lang w:val="en-US"/>
        </w:rPr>
      </w:pPr>
    </w:p>
    <w:p w14:paraId="37A74DB2">
      <w:pPr>
        <w:pStyle w:val="23"/>
        <w:jc w:val="center"/>
        <w:rPr>
          <w:rFonts w:hint="eastAsia" w:hAnsi="宋体" w:cs="宋体"/>
          <w:b/>
          <w:color w:val="auto"/>
          <w:kern w:val="0"/>
          <w:sz w:val="32"/>
          <w:szCs w:val="32"/>
          <w:highlight w:val="none"/>
          <w:lang w:val="en-US"/>
        </w:rPr>
      </w:pPr>
    </w:p>
    <w:p w14:paraId="6811494F">
      <w:pPr>
        <w:pStyle w:val="23"/>
        <w:jc w:val="center"/>
        <w:rPr>
          <w:rFonts w:hint="eastAsia" w:hAnsi="宋体" w:cs="宋体"/>
          <w:b/>
          <w:color w:val="auto"/>
          <w:kern w:val="0"/>
          <w:sz w:val="32"/>
          <w:szCs w:val="32"/>
          <w:highlight w:val="none"/>
          <w:lang w:val="en-US"/>
        </w:rPr>
      </w:pPr>
    </w:p>
    <w:p w14:paraId="6D490D02">
      <w:pPr>
        <w:pStyle w:val="23"/>
        <w:jc w:val="center"/>
        <w:rPr>
          <w:rFonts w:hint="eastAsia" w:hAnsi="宋体" w:cs="宋体"/>
          <w:b/>
          <w:color w:val="auto"/>
          <w:kern w:val="0"/>
          <w:sz w:val="32"/>
          <w:szCs w:val="32"/>
          <w:highlight w:val="none"/>
          <w:lang w:val="en-US"/>
        </w:rPr>
      </w:pPr>
    </w:p>
    <w:p w14:paraId="2C9946F6">
      <w:pPr>
        <w:pStyle w:val="23"/>
        <w:jc w:val="center"/>
        <w:rPr>
          <w:rFonts w:hint="eastAsia" w:hAnsi="宋体" w:cs="宋体"/>
          <w:b/>
          <w:color w:val="auto"/>
          <w:kern w:val="0"/>
          <w:sz w:val="32"/>
          <w:szCs w:val="32"/>
          <w:highlight w:val="none"/>
          <w:lang w:val="en-US"/>
        </w:rPr>
      </w:pPr>
    </w:p>
    <w:p w14:paraId="71C84274">
      <w:pPr>
        <w:pStyle w:val="23"/>
        <w:jc w:val="center"/>
        <w:rPr>
          <w:rFonts w:hint="eastAsia" w:hAnsi="宋体" w:cs="宋体"/>
          <w:b/>
          <w:color w:val="auto"/>
          <w:kern w:val="0"/>
          <w:sz w:val="32"/>
          <w:szCs w:val="32"/>
          <w:highlight w:val="none"/>
          <w:lang w:val="en-US"/>
        </w:rPr>
      </w:pPr>
    </w:p>
    <w:p w14:paraId="0B023EC9">
      <w:pPr>
        <w:pStyle w:val="23"/>
        <w:jc w:val="center"/>
        <w:rPr>
          <w:rFonts w:hint="eastAsia" w:hAnsi="宋体" w:cs="宋体"/>
          <w:b/>
          <w:color w:val="auto"/>
          <w:kern w:val="0"/>
          <w:sz w:val="32"/>
          <w:szCs w:val="32"/>
          <w:highlight w:val="none"/>
        </w:rPr>
      </w:pPr>
      <w:r>
        <w:rPr>
          <w:rFonts w:hint="eastAsia" w:hAnsi="宋体" w:cs="宋体"/>
          <w:b/>
          <w:color w:val="auto"/>
          <w:kern w:val="0"/>
          <w:sz w:val="32"/>
          <w:szCs w:val="32"/>
          <w:highlight w:val="none"/>
        </w:rPr>
        <w:t>承诺书</w:t>
      </w:r>
      <w:r>
        <w:rPr>
          <w:rFonts w:hint="eastAsia" w:hAnsi="宋体" w:cs="宋体"/>
          <w:b/>
          <w:color w:val="auto"/>
          <w:kern w:val="0"/>
          <w:sz w:val="32"/>
          <w:szCs w:val="32"/>
          <w:highlight w:val="none"/>
          <w:lang w:val="en-US"/>
        </w:rPr>
        <w:t>二</w:t>
      </w:r>
    </w:p>
    <w:p w14:paraId="702F520D">
      <w:pPr>
        <w:pStyle w:val="23"/>
        <w:rPr>
          <w:color w:val="auto"/>
          <w:highlight w:val="none"/>
        </w:rPr>
      </w:pPr>
    </w:p>
    <w:p w14:paraId="626BA86E">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杭州市城市水设施和河道保护管理中心、浙江豪圣建设项目管理有限公司</w:t>
      </w:r>
      <w:r>
        <w:rPr>
          <w:rFonts w:hint="eastAsia" w:ascii="宋体" w:hAnsi="宋体" w:cs="宋体"/>
          <w:color w:val="auto"/>
          <w:kern w:val="0"/>
          <w:sz w:val="24"/>
          <w:highlight w:val="none"/>
          <w:lang w:val="zh-CN"/>
        </w:rPr>
        <w:t>：</w:t>
      </w:r>
    </w:p>
    <w:p w14:paraId="5729752D">
      <w:pPr>
        <w:autoSpaceDE w:val="0"/>
        <w:autoSpaceDN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单位西塘河（湖州街-京杭运河）生态清淤工程</w:t>
      </w:r>
      <w:r>
        <w:rPr>
          <w:rFonts w:hint="eastAsia" w:ascii="宋体" w:hAnsi="宋体" w:cs="宋体"/>
          <w:color w:val="auto"/>
          <w:kern w:val="0"/>
          <w:sz w:val="24"/>
          <w:highlight w:val="none"/>
          <w:lang w:val="zh-CN"/>
        </w:rPr>
        <w:t>项目招标要求参加投标，依据招标文件采购需求，</w:t>
      </w:r>
      <w:r>
        <w:rPr>
          <w:rFonts w:hint="eastAsia" w:ascii="宋体" w:hAnsi="宋体" w:cs="宋体"/>
          <w:color w:val="auto"/>
          <w:kern w:val="0"/>
          <w:sz w:val="24"/>
          <w:highlight w:val="none"/>
        </w:rPr>
        <w:t>承诺如下：</w:t>
      </w:r>
    </w:p>
    <w:p w14:paraId="708B5E6A">
      <w:pPr>
        <w:autoSpaceDE w:val="0"/>
        <w:autoSpaceDN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我单位承诺在中标公告发布后10个工作日内（10个工作日包括场地租赁、场地平整、设备安装、运输吊装、接水接电等各项协调措施、审查申请）</w:t>
      </w:r>
      <w:r>
        <w:rPr>
          <w:rFonts w:hint="eastAsia" w:ascii="宋体" w:hAnsi="宋体" w:cs="宋体"/>
          <w:color w:val="auto"/>
          <w:kern w:val="0"/>
          <w:sz w:val="24"/>
          <w:highlight w:val="none"/>
          <w:lang w:val="zh-CN"/>
        </w:rPr>
        <w:t>提供</w:t>
      </w:r>
      <w:r>
        <w:rPr>
          <w:rFonts w:hint="eastAsia" w:ascii="宋体" w:hAnsi="宋体" w:cs="宋体"/>
          <w:color w:val="auto"/>
          <w:kern w:val="0"/>
          <w:sz w:val="24"/>
          <w:highlight w:val="none"/>
        </w:rPr>
        <w:t>招标文件要求设备，将所有清淤设施设备送达现场后调试运行正常出泥，现场主要设备如下：</w:t>
      </w:r>
    </w:p>
    <w:tbl>
      <w:tblPr>
        <w:tblStyle w:val="63"/>
        <w:tblW w:w="9038" w:type="dxa"/>
        <w:jc w:val="center"/>
        <w:tblLayout w:type="autofit"/>
        <w:tblCellMar>
          <w:top w:w="0" w:type="dxa"/>
          <w:left w:w="108" w:type="dxa"/>
          <w:bottom w:w="0" w:type="dxa"/>
          <w:right w:w="108" w:type="dxa"/>
        </w:tblCellMar>
      </w:tblPr>
      <w:tblGrid>
        <w:gridCol w:w="816"/>
        <w:gridCol w:w="2088"/>
        <w:gridCol w:w="1062"/>
        <w:gridCol w:w="1089"/>
        <w:gridCol w:w="2649"/>
        <w:gridCol w:w="1334"/>
      </w:tblGrid>
      <w:tr w14:paraId="0F170E2F">
        <w:tblPrEx>
          <w:tblCellMar>
            <w:top w:w="0" w:type="dxa"/>
            <w:left w:w="108" w:type="dxa"/>
            <w:bottom w:w="0" w:type="dxa"/>
            <w:right w:w="108" w:type="dxa"/>
          </w:tblCellMar>
        </w:tblPrEx>
        <w:trPr>
          <w:trHeight w:val="499" w:hRule="atLeast"/>
          <w:jc w:val="center"/>
        </w:trPr>
        <w:tc>
          <w:tcPr>
            <w:tcW w:w="816" w:type="dxa"/>
            <w:tcBorders>
              <w:top w:val="single" w:color="000000" w:sz="4" w:space="0"/>
              <w:left w:val="single" w:color="000000" w:sz="4" w:space="0"/>
              <w:bottom w:val="single" w:color="000000" w:sz="4" w:space="0"/>
              <w:right w:val="single" w:color="auto" w:sz="4" w:space="0"/>
            </w:tcBorders>
            <w:vAlign w:val="center"/>
          </w:tcPr>
          <w:p w14:paraId="325399B8">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2088" w:type="dxa"/>
            <w:tcBorders>
              <w:top w:val="single" w:color="000000" w:sz="4" w:space="0"/>
              <w:left w:val="single" w:color="auto" w:sz="4" w:space="0"/>
              <w:bottom w:val="single" w:color="000000" w:sz="4" w:space="0"/>
              <w:right w:val="single" w:color="000000" w:sz="4" w:space="0"/>
            </w:tcBorders>
            <w:vAlign w:val="center"/>
          </w:tcPr>
          <w:p w14:paraId="4C3CF7F1">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设备名称</w:t>
            </w:r>
          </w:p>
        </w:tc>
        <w:tc>
          <w:tcPr>
            <w:tcW w:w="1062" w:type="dxa"/>
            <w:tcBorders>
              <w:top w:val="single" w:color="000000" w:sz="4" w:space="0"/>
              <w:left w:val="single" w:color="000000" w:sz="4" w:space="0"/>
              <w:bottom w:val="single" w:color="000000" w:sz="4" w:space="0"/>
              <w:right w:val="single" w:color="auto" w:sz="4" w:space="0"/>
            </w:tcBorders>
            <w:shd w:val="clear" w:color="auto" w:fill="auto"/>
            <w:vAlign w:val="center"/>
          </w:tcPr>
          <w:p w14:paraId="5A00B90F">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数量</w:t>
            </w:r>
          </w:p>
        </w:tc>
        <w:tc>
          <w:tcPr>
            <w:tcW w:w="1089" w:type="dxa"/>
            <w:tcBorders>
              <w:top w:val="single" w:color="000000" w:sz="4" w:space="0"/>
              <w:left w:val="single" w:color="auto" w:sz="4" w:space="0"/>
              <w:bottom w:val="single" w:color="000000" w:sz="4" w:space="0"/>
              <w:right w:val="single" w:color="auto" w:sz="4" w:space="0"/>
            </w:tcBorders>
            <w:shd w:val="clear" w:color="auto" w:fill="auto"/>
            <w:vAlign w:val="center"/>
          </w:tcPr>
          <w:p w14:paraId="68C84C7D">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品牌</w:t>
            </w:r>
          </w:p>
        </w:tc>
        <w:tc>
          <w:tcPr>
            <w:tcW w:w="2649" w:type="dxa"/>
            <w:tcBorders>
              <w:top w:val="single" w:color="000000" w:sz="4" w:space="0"/>
              <w:left w:val="single" w:color="auto" w:sz="4" w:space="0"/>
              <w:bottom w:val="single" w:color="000000" w:sz="4" w:space="0"/>
              <w:right w:val="single" w:color="000000" w:sz="4" w:space="0"/>
            </w:tcBorders>
            <w:shd w:val="clear" w:color="auto" w:fill="auto"/>
            <w:vAlign w:val="center"/>
          </w:tcPr>
          <w:p w14:paraId="672B41A8">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型号 / 规格</w:t>
            </w:r>
          </w:p>
        </w:tc>
        <w:tc>
          <w:tcPr>
            <w:tcW w:w="1334" w:type="dxa"/>
            <w:tcBorders>
              <w:top w:val="single" w:color="000000" w:sz="4" w:space="0"/>
              <w:left w:val="single" w:color="auto" w:sz="4" w:space="0"/>
              <w:bottom w:val="single" w:color="000000" w:sz="4" w:space="0"/>
              <w:right w:val="single" w:color="000000" w:sz="4" w:space="0"/>
            </w:tcBorders>
            <w:vAlign w:val="center"/>
          </w:tcPr>
          <w:p w14:paraId="0182B99B">
            <w:pPr>
              <w:widowControl/>
              <w:jc w:val="center"/>
              <w:rPr>
                <w:rStyle w:val="71"/>
                <w:rFonts w:hint="eastAsia" w:ascii="宋体" w:hAnsi="宋体" w:cs="宋体"/>
                <w:color w:val="auto"/>
                <w:kern w:val="0"/>
                <w:sz w:val="24"/>
                <w:highlight w:val="none"/>
                <w:lang w:bidi="ar"/>
              </w:rPr>
            </w:pPr>
            <w:r>
              <w:rPr>
                <w:rStyle w:val="71"/>
                <w:rFonts w:hint="eastAsia" w:ascii="宋体" w:hAnsi="宋体" w:cs="宋体"/>
                <w:color w:val="auto"/>
                <w:kern w:val="0"/>
                <w:sz w:val="24"/>
                <w:highlight w:val="none"/>
                <w:lang w:bidi="ar"/>
              </w:rPr>
              <w:t>备注</w:t>
            </w:r>
          </w:p>
        </w:tc>
      </w:tr>
      <w:tr w14:paraId="4333CE73">
        <w:tblPrEx>
          <w:tblCellMar>
            <w:top w:w="0" w:type="dxa"/>
            <w:left w:w="108" w:type="dxa"/>
            <w:bottom w:w="0" w:type="dxa"/>
            <w:right w:w="108" w:type="dxa"/>
          </w:tblCellMar>
        </w:tblPrEx>
        <w:trPr>
          <w:trHeight w:val="499" w:hRule="atLeast"/>
          <w:jc w:val="center"/>
        </w:trPr>
        <w:tc>
          <w:tcPr>
            <w:tcW w:w="816" w:type="dxa"/>
            <w:tcBorders>
              <w:top w:val="single" w:color="000000" w:sz="4" w:space="0"/>
              <w:left w:val="single" w:color="000000" w:sz="4" w:space="0"/>
              <w:bottom w:val="single" w:color="000000" w:sz="4" w:space="0"/>
              <w:right w:val="single" w:color="auto" w:sz="4" w:space="0"/>
            </w:tcBorders>
            <w:vAlign w:val="center"/>
          </w:tcPr>
          <w:p w14:paraId="0287CE43">
            <w:pPr>
              <w:widowControl/>
              <w:jc w:val="center"/>
              <w:rPr>
                <w:rFonts w:hint="eastAsia" w:ascii="宋体" w:hAnsi="宋体" w:cs="宋体"/>
                <w:b/>
                <w:bCs/>
                <w:color w:val="auto"/>
                <w:kern w:val="0"/>
                <w:sz w:val="24"/>
                <w:highlight w:val="none"/>
              </w:rPr>
            </w:pPr>
          </w:p>
        </w:tc>
        <w:tc>
          <w:tcPr>
            <w:tcW w:w="2088" w:type="dxa"/>
            <w:tcBorders>
              <w:top w:val="single" w:color="000000" w:sz="4" w:space="0"/>
              <w:left w:val="single" w:color="auto" w:sz="4" w:space="0"/>
              <w:bottom w:val="single" w:color="000000" w:sz="4" w:space="0"/>
              <w:right w:val="single" w:color="000000" w:sz="4" w:space="0"/>
            </w:tcBorders>
            <w:vAlign w:val="center"/>
          </w:tcPr>
          <w:p w14:paraId="2F008D43">
            <w:pPr>
              <w:widowControl/>
              <w:jc w:val="center"/>
              <w:rPr>
                <w:rFonts w:hint="eastAsia" w:ascii="宋体" w:hAnsi="宋体" w:cs="宋体"/>
                <w:b/>
                <w:bCs/>
                <w:color w:val="auto"/>
                <w:kern w:val="0"/>
                <w:sz w:val="24"/>
                <w:highlight w:val="none"/>
              </w:rPr>
            </w:pPr>
          </w:p>
        </w:tc>
        <w:tc>
          <w:tcPr>
            <w:tcW w:w="1062" w:type="dxa"/>
            <w:tcBorders>
              <w:top w:val="single" w:color="000000" w:sz="4" w:space="0"/>
              <w:left w:val="single" w:color="000000" w:sz="4" w:space="0"/>
              <w:bottom w:val="single" w:color="000000" w:sz="4" w:space="0"/>
              <w:right w:val="single" w:color="auto" w:sz="4" w:space="0"/>
            </w:tcBorders>
            <w:shd w:val="clear" w:color="auto" w:fill="auto"/>
            <w:vAlign w:val="center"/>
          </w:tcPr>
          <w:p w14:paraId="433805EB">
            <w:pPr>
              <w:widowControl/>
              <w:jc w:val="center"/>
              <w:rPr>
                <w:rFonts w:hint="eastAsia" w:ascii="宋体" w:hAnsi="宋体" w:cs="宋体"/>
                <w:b/>
                <w:bCs/>
                <w:color w:val="auto"/>
                <w:kern w:val="0"/>
                <w:sz w:val="24"/>
                <w:highlight w:val="none"/>
              </w:rPr>
            </w:pPr>
          </w:p>
        </w:tc>
        <w:tc>
          <w:tcPr>
            <w:tcW w:w="1089" w:type="dxa"/>
            <w:tcBorders>
              <w:top w:val="single" w:color="000000" w:sz="4" w:space="0"/>
              <w:left w:val="single" w:color="auto" w:sz="4" w:space="0"/>
              <w:bottom w:val="single" w:color="000000" w:sz="4" w:space="0"/>
              <w:right w:val="single" w:color="auto" w:sz="4" w:space="0"/>
            </w:tcBorders>
            <w:shd w:val="clear" w:color="auto" w:fill="auto"/>
            <w:vAlign w:val="center"/>
          </w:tcPr>
          <w:p w14:paraId="5747CE8A">
            <w:pPr>
              <w:widowControl/>
              <w:jc w:val="center"/>
              <w:rPr>
                <w:rFonts w:hint="eastAsia" w:ascii="宋体" w:hAnsi="宋体" w:cs="宋体"/>
                <w:b/>
                <w:bCs/>
                <w:color w:val="auto"/>
                <w:kern w:val="0"/>
                <w:sz w:val="24"/>
                <w:highlight w:val="none"/>
              </w:rPr>
            </w:pPr>
          </w:p>
        </w:tc>
        <w:tc>
          <w:tcPr>
            <w:tcW w:w="2649" w:type="dxa"/>
            <w:tcBorders>
              <w:top w:val="single" w:color="000000" w:sz="4" w:space="0"/>
              <w:left w:val="single" w:color="auto" w:sz="4" w:space="0"/>
              <w:bottom w:val="single" w:color="000000" w:sz="4" w:space="0"/>
              <w:right w:val="single" w:color="000000" w:sz="4" w:space="0"/>
            </w:tcBorders>
            <w:shd w:val="clear" w:color="auto" w:fill="auto"/>
            <w:vAlign w:val="center"/>
          </w:tcPr>
          <w:p w14:paraId="78CB7545">
            <w:pPr>
              <w:widowControl/>
              <w:jc w:val="center"/>
              <w:rPr>
                <w:rFonts w:hint="eastAsia" w:ascii="宋体" w:hAnsi="宋体" w:cs="宋体"/>
                <w:b/>
                <w:bCs/>
                <w:color w:val="auto"/>
                <w:kern w:val="0"/>
                <w:sz w:val="24"/>
                <w:highlight w:val="none"/>
              </w:rPr>
            </w:pPr>
          </w:p>
        </w:tc>
        <w:tc>
          <w:tcPr>
            <w:tcW w:w="1334" w:type="dxa"/>
            <w:tcBorders>
              <w:top w:val="single" w:color="000000" w:sz="4" w:space="0"/>
              <w:left w:val="single" w:color="auto" w:sz="4" w:space="0"/>
              <w:bottom w:val="single" w:color="000000" w:sz="4" w:space="0"/>
              <w:right w:val="single" w:color="000000" w:sz="4" w:space="0"/>
            </w:tcBorders>
            <w:vAlign w:val="center"/>
          </w:tcPr>
          <w:p w14:paraId="305EE2E9">
            <w:pPr>
              <w:widowControl/>
              <w:jc w:val="center"/>
              <w:rPr>
                <w:rStyle w:val="71"/>
                <w:rFonts w:hint="eastAsia" w:ascii="宋体" w:hAnsi="宋体" w:cs="宋体"/>
                <w:color w:val="auto"/>
                <w:kern w:val="0"/>
                <w:sz w:val="24"/>
                <w:highlight w:val="none"/>
                <w:lang w:bidi="ar"/>
              </w:rPr>
            </w:pPr>
          </w:p>
        </w:tc>
      </w:tr>
      <w:tr w14:paraId="39BF2409">
        <w:tblPrEx>
          <w:tblCellMar>
            <w:top w:w="0" w:type="dxa"/>
            <w:left w:w="108" w:type="dxa"/>
            <w:bottom w:w="0" w:type="dxa"/>
            <w:right w:w="108" w:type="dxa"/>
          </w:tblCellMar>
        </w:tblPrEx>
        <w:trPr>
          <w:trHeight w:val="499" w:hRule="atLeast"/>
          <w:jc w:val="center"/>
        </w:trPr>
        <w:tc>
          <w:tcPr>
            <w:tcW w:w="816" w:type="dxa"/>
            <w:tcBorders>
              <w:top w:val="single" w:color="000000" w:sz="4" w:space="0"/>
              <w:left w:val="single" w:color="000000" w:sz="4" w:space="0"/>
              <w:bottom w:val="single" w:color="000000" w:sz="4" w:space="0"/>
              <w:right w:val="single" w:color="auto" w:sz="4" w:space="0"/>
            </w:tcBorders>
            <w:vAlign w:val="center"/>
          </w:tcPr>
          <w:p w14:paraId="3583E865">
            <w:pPr>
              <w:widowControl/>
              <w:jc w:val="center"/>
              <w:rPr>
                <w:rFonts w:hint="eastAsia" w:ascii="宋体" w:hAnsi="宋体" w:cs="宋体"/>
                <w:b/>
                <w:bCs/>
                <w:color w:val="auto"/>
                <w:kern w:val="0"/>
                <w:sz w:val="24"/>
                <w:highlight w:val="none"/>
              </w:rPr>
            </w:pPr>
          </w:p>
        </w:tc>
        <w:tc>
          <w:tcPr>
            <w:tcW w:w="2088" w:type="dxa"/>
            <w:tcBorders>
              <w:top w:val="single" w:color="000000" w:sz="4" w:space="0"/>
              <w:left w:val="single" w:color="auto" w:sz="4" w:space="0"/>
              <w:bottom w:val="single" w:color="000000" w:sz="4" w:space="0"/>
              <w:right w:val="single" w:color="000000" w:sz="4" w:space="0"/>
            </w:tcBorders>
            <w:vAlign w:val="center"/>
          </w:tcPr>
          <w:p w14:paraId="207743A2">
            <w:pPr>
              <w:widowControl/>
              <w:jc w:val="center"/>
              <w:rPr>
                <w:rFonts w:hint="eastAsia" w:ascii="宋体" w:hAnsi="宋体" w:cs="宋体"/>
                <w:b/>
                <w:bCs/>
                <w:color w:val="auto"/>
                <w:kern w:val="0"/>
                <w:sz w:val="24"/>
                <w:highlight w:val="none"/>
              </w:rPr>
            </w:pPr>
          </w:p>
        </w:tc>
        <w:tc>
          <w:tcPr>
            <w:tcW w:w="1062" w:type="dxa"/>
            <w:tcBorders>
              <w:top w:val="single" w:color="000000" w:sz="4" w:space="0"/>
              <w:left w:val="single" w:color="000000" w:sz="4" w:space="0"/>
              <w:bottom w:val="single" w:color="000000" w:sz="4" w:space="0"/>
              <w:right w:val="single" w:color="auto" w:sz="4" w:space="0"/>
            </w:tcBorders>
            <w:shd w:val="clear" w:color="auto" w:fill="auto"/>
            <w:vAlign w:val="center"/>
          </w:tcPr>
          <w:p w14:paraId="1A6A68A2">
            <w:pPr>
              <w:widowControl/>
              <w:jc w:val="center"/>
              <w:rPr>
                <w:rFonts w:hint="eastAsia" w:ascii="宋体" w:hAnsi="宋体" w:cs="宋体"/>
                <w:b/>
                <w:bCs/>
                <w:color w:val="auto"/>
                <w:kern w:val="0"/>
                <w:sz w:val="24"/>
                <w:highlight w:val="none"/>
              </w:rPr>
            </w:pPr>
          </w:p>
        </w:tc>
        <w:tc>
          <w:tcPr>
            <w:tcW w:w="1089" w:type="dxa"/>
            <w:tcBorders>
              <w:top w:val="single" w:color="000000" w:sz="4" w:space="0"/>
              <w:left w:val="single" w:color="auto" w:sz="4" w:space="0"/>
              <w:bottom w:val="single" w:color="000000" w:sz="4" w:space="0"/>
              <w:right w:val="single" w:color="auto" w:sz="4" w:space="0"/>
            </w:tcBorders>
            <w:shd w:val="clear" w:color="auto" w:fill="auto"/>
            <w:vAlign w:val="center"/>
          </w:tcPr>
          <w:p w14:paraId="7F3CCCF7">
            <w:pPr>
              <w:widowControl/>
              <w:jc w:val="center"/>
              <w:rPr>
                <w:rFonts w:hint="eastAsia" w:ascii="宋体" w:hAnsi="宋体" w:cs="宋体"/>
                <w:b/>
                <w:bCs/>
                <w:color w:val="auto"/>
                <w:kern w:val="0"/>
                <w:sz w:val="24"/>
                <w:highlight w:val="none"/>
              </w:rPr>
            </w:pPr>
          </w:p>
        </w:tc>
        <w:tc>
          <w:tcPr>
            <w:tcW w:w="2649" w:type="dxa"/>
            <w:tcBorders>
              <w:top w:val="single" w:color="000000" w:sz="4" w:space="0"/>
              <w:left w:val="single" w:color="auto" w:sz="4" w:space="0"/>
              <w:bottom w:val="single" w:color="000000" w:sz="4" w:space="0"/>
              <w:right w:val="single" w:color="000000" w:sz="4" w:space="0"/>
            </w:tcBorders>
            <w:shd w:val="clear" w:color="auto" w:fill="auto"/>
            <w:vAlign w:val="center"/>
          </w:tcPr>
          <w:p w14:paraId="5A900FD2">
            <w:pPr>
              <w:widowControl/>
              <w:jc w:val="center"/>
              <w:rPr>
                <w:rFonts w:hint="eastAsia" w:ascii="宋体" w:hAnsi="宋体" w:cs="宋体"/>
                <w:b/>
                <w:bCs/>
                <w:color w:val="auto"/>
                <w:kern w:val="0"/>
                <w:sz w:val="24"/>
                <w:highlight w:val="none"/>
              </w:rPr>
            </w:pPr>
          </w:p>
        </w:tc>
        <w:tc>
          <w:tcPr>
            <w:tcW w:w="1334" w:type="dxa"/>
            <w:tcBorders>
              <w:top w:val="single" w:color="000000" w:sz="4" w:space="0"/>
              <w:left w:val="single" w:color="auto" w:sz="4" w:space="0"/>
              <w:bottom w:val="single" w:color="000000" w:sz="4" w:space="0"/>
              <w:right w:val="single" w:color="000000" w:sz="4" w:space="0"/>
            </w:tcBorders>
            <w:vAlign w:val="center"/>
          </w:tcPr>
          <w:p w14:paraId="63BBE14D">
            <w:pPr>
              <w:widowControl/>
              <w:jc w:val="center"/>
              <w:rPr>
                <w:rStyle w:val="71"/>
                <w:rFonts w:hint="eastAsia" w:ascii="宋体" w:hAnsi="宋体" w:cs="宋体"/>
                <w:color w:val="auto"/>
                <w:kern w:val="0"/>
                <w:sz w:val="24"/>
                <w:highlight w:val="none"/>
                <w:lang w:bidi="ar"/>
              </w:rPr>
            </w:pPr>
          </w:p>
        </w:tc>
      </w:tr>
      <w:tr w14:paraId="65601A29">
        <w:tblPrEx>
          <w:tblCellMar>
            <w:top w:w="0" w:type="dxa"/>
            <w:left w:w="108" w:type="dxa"/>
            <w:bottom w:w="0" w:type="dxa"/>
            <w:right w:w="108" w:type="dxa"/>
          </w:tblCellMar>
        </w:tblPrEx>
        <w:trPr>
          <w:trHeight w:val="499" w:hRule="atLeast"/>
          <w:jc w:val="center"/>
        </w:trPr>
        <w:tc>
          <w:tcPr>
            <w:tcW w:w="816" w:type="dxa"/>
            <w:tcBorders>
              <w:top w:val="single" w:color="000000" w:sz="4" w:space="0"/>
              <w:left w:val="single" w:color="000000" w:sz="4" w:space="0"/>
              <w:bottom w:val="single" w:color="000000" w:sz="4" w:space="0"/>
              <w:right w:val="single" w:color="auto" w:sz="4" w:space="0"/>
            </w:tcBorders>
            <w:vAlign w:val="center"/>
          </w:tcPr>
          <w:p w14:paraId="74D637AC">
            <w:pPr>
              <w:widowControl/>
              <w:jc w:val="center"/>
              <w:rPr>
                <w:rFonts w:hint="eastAsia" w:ascii="宋体" w:hAnsi="宋体" w:cs="宋体"/>
                <w:b/>
                <w:bCs/>
                <w:color w:val="auto"/>
                <w:kern w:val="0"/>
                <w:sz w:val="24"/>
                <w:highlight w:val="none"/>
              </w:rPr>
            </w:pPr>
          </w:p>
        </w:tc>
        <w:tc>
          <w:tcPr>
            <w:tcW w:w="2088" w:type="dxa"/>
            <w:tcBorders>
              <w:top w:val="single" w:color="000000" w:sz="4" w:space="0"/>
              <w:left w:val="single" w:color="auto" w:sz="4" w:space="0"/>
              <w:bottom w:val="single" w:color="000000" w:sz="4" w:space="0"/>
              <w:right w:val="single" w:color="000000" w:sz="4" w:space="0"/>
            </w:tcBorders>
            <w:vAlign w:val="center"/>
          </w:tcPr>
          <w:p w14:paraId="5922A97C">
            <w:pPr>
              <w:widowControl/>
              <w:jc w:val="center"/>
              <w:rPr>
                <w:rFonts w:hint="eastAsia" w:ascii="宋体" w:hAnsi="宋体" w:cs="宋体"/>
                <w:b/>
                <w:bCs/>
                <w:color w:val="auto"/>
                <w:kern w:val="0"/>
                <w:sz w:val="24"/>
                <w:highlight w:val="none"/>
              </w:rPr>
            </w:pPr>
          </w:p>
        </w:tc>
        <w:tc>
          <w:tcPr>
            <w:tcW w:w="1062" w:type="dxa"/>
            <w:tcBorders>
              <w:top w:val="single" w:color="000000" w:sz="4" w:space="0"/>
              <w:left w:val="single" w:color="000000" w:sz="4" w:space="0"/>
              <w:bottom w:val="single" w:color="000000" w:sz="4" w:space="0"/>
              <w:right w:val="single" w:color="auto" w:sz="4" w:space="0"/>
            </w:tcBorders>
            <w:shd w:val="clear" w:color="auto" w:fill="auto"/>
            <w:vAlign w:val="center"/>
          </w:tcPr>
          <w:p w14:paraId="21CCD862">
            <w:pPr>
              <w:widowControl/>
              <w:jc w:val="center"/>
              <w:rPr>
                <w:rFonts w:hint="eastAsia" w:ascii="宋体" w:hAnsi="宋体" w:cs="宋体"/>
                <w:b/>
                <w:bCs/>
                <w:color w:val="auto"/>
                <w:kern w:val="0"/>
                <w:sz w:val="24"/>
                <w:highlight w:val="none"/>
              </w:rPr>
            </w:pPr>
          </w:p>
        </w:tc>
        <w:tc>
          <w:tcPr>
            <w:tcW w:w="1089" w:type="dxa"/>
            <w:tcBorders>
              <w:top w:val="single" w:color="000000" w:sz="4" w:space="0"/>
              <w:left w:val="single" w:color="auto" w:sz="4" w:space="0"/>
              <w:bottom w:val="single" w:color="000000" w:sz="4" w:space="0"/>
              <w:right w:val="single" w:color="auto" w:sz="4" w:space="0"/>
            </w:tcBorders>
            <w:shd w:val="clear" w:color="auto" w:fill="auto"/>
            <w:vAlign w:val="center"/>
          </w:tcPr>
          <w:p w14:paraId="4A95F560">
            <w:pPr>
              <w:widowControl/>
              <w:jc w:val="center"/>
              <w:rPr>
                <w:rFonts w:hint="eastAsia" w:ascii="宋体" w:hAnsi="宋体" w:cs="宋体"/>
                <w:b/>
                <w:bCs/>
                <w:color w:val="auto"/>
                <w:kern w:val="0"/>
                <w:sz w:val="24"/>
                <w:highlight w:val="none"/>
              </w:rPr>
            </w:pPr>
          </w:p>
        </w:tc>
        <w:tc>
          <w:tcPr>
            <w:tcW w:w="2649" w:type="dxa"/>
            <w:tcBorders>
              <w:top w:val="single" w:color="000000" w:sz="4" w:space="0"/>
              <w:left w:val="single" w:color="auto" w:sz="4" w:space="0"/>
              <w:bottom w:val="single" w:color="000000" w:sz="4" w:space="0"/>
              <w:right w:val="single" w:color="000000" w:sz="4" w:space="0"/>
            </w:tcBorders>
            <w:shd w:val="clear" w:color="auto" w:fill="auto"/>
            <w:vAlign w:val="center"/>
          </w:tcPr>
          <w:p w14:paraId="75F3528B">
            <w:pPr>
              <w:widowControl/>
              <w:jc w:val="center"/>
              <w:rPr>
                <w:rFonts w:hint="eastAsia" w:ascii="宋体" w:hAnsi="宋体" w:cs="宋体"/>
                <w:b/>
                <w:bCs/>
                <w:color w:val="auto"/>
                <w:kern w:val="0"/>
                <w:sz w:val="24"/>
                <w:highlight w:val="none"/>
              </w:rPr>
            </w:pPr>
          </w:p>
        </w:tc>
        <w:tc>
          <w:tcPr>
            <w:tcW w:w="1334" w:type="dxa"/>
            <w:tcBorders>
              <w:top w:val="single" w:color="000000" w:sz="4" w:space="0"/>
              <w:left w:val="single" w:color="auto" w:sz="4" w:space="0"/>
              <w:bottom w:val="single" w:color="000000" w:sz="4" w:space="0"/>
              <w:right w:val="single" w:color="000000" w:sz="4" w:space="0"/>
            </w:tcBorders>
            <w:vAlign w:val="center"/>
          </w:tcPr>
          <w:p w14:paraId="12B28334">
            <w:pPr>
              <w:widowControl/>
              <w:jc w:val="center"/>
              <w:rPr>
                <w:rStyle w:val="71"/>
                <w:rFonts w:hint="eastAsia" w:ascii="宋体" w:hAnsi="宋体" w:cs="宋体"/>
                <w:color w:val="auto"/>
                <w:kern w:val="0"/>
                <w:sz w:val="24"/>
                <w:highlight w:val="none"/>
                <w:lang w:bidi="ar"/>
              </w:rPr>
            </w:pPr>
          </w:p>
        </w:tc>
      </w:tr>
      <w:tr w14:paraId="52552B32">
        <w:tblPrEx>
          <w:tblCellMar>
            <w:top w:w="0" w:type="dxa"/>
            <w:left w:w="108" w:type="dxa"/>
            <w:bottom w:w="0" w:type="dxa"/>
            <w:right w:w="108" w:type="dxa"/>
          </w:tblCellMar>
        </w:tblPrEx>
        <w:trPr>
          <w:trHeight w:val="499" w:hRule="atLeast"/>
          <w:jc w:val="center"/>
        </w:trPr>
        <w:tc>
          <w:tcPr>
            <w:tcW w:w="816" w:type="dxa"/>
            <w:tcBorders>
              <w:top w:val="single" w:color="000000" w:sz="4" w:space="0"/>
              <w:left w:val="single" w:color="000000" w:sz="4" w:space="0"/>
              <w:bottom w:val="single" w:color="000000" w:sz="4" w:space="0"/>
              <w:right w:val="single" w:color="auto" w:sz="4" w:space="0"/>
            </w:tcBorders>
            <w:vAlign w:val="center"/>
          </w:tcPr>
          <w:p w14:paraId="32D8808B">
            <w:pPr>
              <w:widowControl/>
              <w:jc w:val="center"/>
              <w:rPr>
                <w:rFonts w:hint="eastAsia" w:ascii="宋体" w:hAnsi="宋体" w:cs="宋体"/>
                <w:b/>
                <w:bCs/>
                <w:color w:val="auto"/>
                <w:kern w:val="0"/>
                <w:sz w:val="24"/>
                <w:highlight w:val="none"/>
              </w:rPr>
            </w:pPr>
          </w:p>
        </w:tc>
        <w:tc>
          <w:tcPr>
            <w:tcW w:w="2088" w:type="dxa"/>
            <w:tcBorders>
              <w:top w:val="single" w:color="000000" w:sz="4" w:space="0"/>
              <w:left w:val="single" w:color="auto" w:sz="4" w:space="0"/>
              <w:bottom w:val="single" w:color="000000" w:sz="4" w:space="0"/>
              <w:right w:val="single" w:color="000000" w:sz="4" w:space="0"/>
            </w:tcBorders>
            <w:vAlign w:val="center"/>
          </w:tcPr>
          <w:p w14:paraId="36C832AF">
            <w:pPr>
              <w:widowControl/>
              <w:jc w:val="center"/>
              <w:rPr>
                <w:rFonts w:hint="eastAsia" w:ascii="宋体" w:hAnsi="宋体" w:cs="宋体"/>
                <w:b/>
                <w:bCs/>
                <w:color w:val="auto"/>
                <w:kern w:val="0"/>
                <w:sz w:val="24"/>
                <w:highlight w:val="none"/>
              </w:rPr>
            </w:pPr>
          </w:p>
        </w:tc>
        <w:tc>
          <w:tcPr>
            <w:tcW w:w="1062" w:type="dxa"/>
            <w:tcBorders>
              <w:top w:val="single" w:color="000000" w:sz="4" w:space="0"/>
              <w:left w:val="single" w:color="000000" w:sz="4" w:space="0"/>
              <w:bottom w:val="single" w:color="000000" w:sz="4" w:space="0"/>
              <w:right w:val="single" w:color="auto" w:sz="4" w:space="0"/>
            </w:tcBorders>
            <w:shd w:val="clear" w:color="auto" w:fill="auto"/>
            <w:vAlign w:val="center"/>
          </w:tcPr>
          <w:p w14:paraId="394D236A">
            <w:pPr>
              <w:widowControl/>
              <w:jc w:val="center"/>
              <w:rPr>
                <w:rFonts w:hint="eastAsia" w:ascii="宋体" w:hAnsi="宋体" w:cs="宋体"/>
                <w:b/>
                <w:bCs/>
                <w:color w:val="auto"/>
                <w:kern w:val="0"/>
                <w:sz w:val="24"/>
                <w:highlight w:val="none"/>
              </w:rPr>
            </w:pPr>
          </w:p>
        </w:tc>
        <w:tc>
          <w:tcPr>
            <w:tcW w:w="1089" w:type="dxa"/>
            <w:tcBorders>
              <w:top w:val="single" w:color="000000" w:sz="4" w:space="0"/>
              <w:left w:val="single" w:color="auto" w:sz="4" w:space="0"/>
              <w:bottom w:val="single" w:color="000000" w:sz="4" w:space="0"/>
              <w:right w:val="single" w:color="auto" w:sz="4" w:space="0"/>
            </w:tcBorders>
            <w:shd w:val="clear" w:color="auto" w:fill="auto"/>
            <w:vAlign w:val="center"/>
          </w:tcPr>
          <w:p w14:paraId="5F546A0E">
            <w:pPr>
              <w:widowControl/>
              <w:jc w:val="center"/>
              <w:rPr>
                <w:rFonts w:hint="eastAsia" w:ascii="宋体" w:hAnsi="宋体" w:cs="宋体"/>
                <w:b/>
                <w:bCs/>
                <w:color w:val="auto"/>
                <w:kern w:val="0"/>
                <w:sz w:val="24"/>
                <w:highlight w:val="none"/>
              </w:rPr>
            </w:pPr>
          </w:p>
        </w:tc>
        <w:tc>
          <w:tcPr>
            <w:tcW w:w="2649" w:type="dxa"/>
            <w:tcBorders>
              <w:top w:val="single" w:color="000000" w:sz="4" w:space="0"/>
              <w:left w:val="single" w:color="auto" w:sz="4" w:space="0"/>
              <w:bottom w:val="single" w:color="000000" w:sz="4" w:space="0"/>
              <w:right w:val="single" w:color="000000" w:sz="4" w:space="0"/>
            </w:tcBorders>
            <w:shd w:val="clear" w:color="auto" w:fill="auto"/>
            <w:vAlign w:val="center"/>
          </w:tcPr>
          <w:p w14:paraId="44757F0A">
            <w:pPr>
              <w:widowControl/>
              <w:jc w:val="center"/>
              <w:rPr>
                <w:rFonts w:hint="eastAsia" w:ascii="宋体" w:hAnsi="宋体" w:cs="宋体"/>
                <w:b/>
                <w:bCs/>
                <w:color w:val="auto"/>
                <w:kern w:val="0"/>
                <w:sz w:val="24"/>
                <w:highlight w:val="none"/>
              </w:rPr>
            </w:pPr>
          </w:p>
        </w:tc>
        <w:tc>
          <w:tcPr>
            <w:tcW w:w="1334" w:type="dxa"/>
            <w:tcBorders>
              <w:top w:val="single" w:color="000000" w:sz="4" w:space="0"/>
              <w:left w:val="single" w:color="auto" w:sz="4" w:space="0"/>
              <w:bottom w:val="single" w:color="000000" w:sz="4" w:space="0"/>
              <w:right w:val="single" w:color="000000" w:sz="4" w:space="0"/>
            </w:tcBorders>
            <w:vAlign w:val="center"/>
          </w:tcPr>
          <w:p w14:paraId="6A97884F">
            <w:pPr>
              <w:widowControl/>
              <w:jc w:val="center"/>
              <w:rPr>
                <w:rStyle w:val="71"/>
                <w:rFonts w:hint="eastAsia" w:ascii="宋体" w:hAnsi="宋体" w:cs="宋体"/>
                <w:color w:val="auto"/>
                <w:kern w:val="0"/>
                <w:sz w:val="24"/>
                <w:highlight w:val="none"/>
                <w:lang w:bidi="ar"/>
              </w:rPr>
            </w:pPr>
          </w:p>
        </w:tc>
      </w:tr>
      <w:tr w14:paraId="3EBCF894">
        <w:tblPrEx>
          <w:tblCellMar>
            <w:top w:w="0" w:type="dxa"/>
            <w:left w:w="108" w:type="dxa"/>
            <w:bottom w:w="0" w:type="dxa"/>
            <w:right w:w="108" w:type="dxa"/>
          </w:tblCellMar>
        </w:tblPrEx>
        <w:trPr>
          <w:trHeight w:val="499" w:hRule="atLeast"/>
          <w:jc w:val="center"/>
        </w:trPr>
        <w:tc>
          <w:tcPr>
            <w:tcW w:w="816" w:type="dxa"/>
            <w:tcBorders>
              <w:top w:val="single" w:color="000000" w:sz="4" w:space="0"/>
              <w:left w:val="single" w:color="000000" w:sz="4" w:space="0"/>
              <w:bottom w:val="single" w:color="000000" w:sz="4" w:space="0"/>
              <w:right w:val="single" w:color="auto" w:sz="4" w:space="0"/>
            </w:tcBorders>
            <w:vAlign w:val="center"/>
          </w:tcPr>
          <w:p w14:paraId="2866F79B">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Cs w:val="21"/>
                <w:highlight w:val="none"/>
              </w:rPr>
              <w:t>...</w:t>
            </w:r>
          </w:p>
        </w:tc>
        <w:tc>
          <w:tcPr>
            <w:tcW w:w="2088" w:type="dxa"/>
            <w:tcBorders>
              <w:top w:val="single" w:color="000000" w:sz="4" w:space="0"/>
              <w:left w:val="single" w:color="auto" w:sz="4" w:space="0"/>
              <w:bottom w:val="single" w:color="000000" w:sz="4" w:space="0"/>
              <w:right w:val="single" w:color="000000" w:sz="4" w:space="0"/>
            </w:tcBorders>
            <w:vAlign w:val="center"/>
          </w:tcPr>
          <w:p w14:paraId="1135B201">
            <w:pPr>
              <w:widowControl/>
              <w:jc w:val="center"/>
              <w:rPr>
                <w:rFonts w:hint="eastAsia" w:ascii="宋体" w:hAnsi="宋体" w:cs="宋体"/>
                <w:b/>
                <w:bCs/>
                <w:color w:val="auto"/>
                <w:kern w:val="0"/>
                <w:sz w:val="24"/>
                <w:highlight w:val="none"/>
              </w:rPr>
            </w:pPr>
          </w:p>
        </w:tc>
        <w:tc>
          <w:tcPr>
            <w:tcW w:w="1062" w:type="dxa"/>
            <w:tcBorders>
              <w:top w:val="single" w:color="000000" w:sz="4" w:space="0"/>
              <w:left w:val="single" w:color="000000" w:sz="4" w:space="0"/>
              <w:bottom w:val="single" w:color="000000" w:sz="4" w:space="0"/>
              <w:right w:val="single" w:color="auto" w:sz="4" w:space="0"/>
            </w:tcBorders>
            <w:shd w:val="clear" w:color="auto" w:fill="auto"/>
            <w:vAlign w:val="center"/>
          </w:tcPr>
          <w:p w14:paraId="53FA88C9">
            <w:pPr>
              <w:widowControl/>
              <w:jc w:val="center"/>
              <w:rPr>
                <w:rFonts w:hint="eastAsia" w:ascii="宋体" w:hAnsi="宋体" w:cs="宋体"/>
                <w:b/>
                <w:bCs/>
                <w:color w:val="auto"/>
                <w:kern w:val="0"/>
                <w:sz w:val="24"/>
                <w:highlight w:val="none"/>
              </w:rPr>
            </w:pPr>
          </w:p>
        </w:tc>
        <w:tc>
          <w:tcPr>
            <w:tcW w:w="1089" w:type="dxa"/>
            <w:tcBorders>
              <w:top w:val="single" w:color="000000" w:sz="4" w:space="0"/>
              <w:left w:val="single" w:color="auto" w:sz="4" w:space="0"/>
              <w:bottom w:val="single" w:color="000000" w:sz="4" w:space="0"/>
              <w:right w:val="single" w:color="auto" w:sz="4" w:space="0"/>
            </w:tcBorders>
            <w:shd w:val="clear" w:color="auto" w:fill="auto"/>
            <w:vAlign w:val="center"/>
          </w:tcPr>
          <w:p w14:paraId="4D5E583E">
            <w:pPr>
              <w:widowControl/>
              <w:jc w:val="center"/>
              <w:rPr>
                <w:rFonts w:hint="eastAsia" w:ascii="宋体" w:hAnsi="宋体" w:cs="宋体"/>
                <w:b/>
                <w:bCs/>
                <w:color w:val="auto"/>
                <w:kern w:val="0"/>
                <w:sz w:val="24"/>
                <w:highlight w:val="none"/>
              </w:rPr>
            </w:pPr>
          </w:p>
        </w:tc>
        <w:tc>
          <w:tcPr>
            <w:tcW w:w="2649" w:type="dxa"/>
            <w:tcBorders>
              <w:top w:val="single" w:color="000000" w:sz="4" w:space="0"/>
              <w:left w:val="single" w:color="auto" w:sz="4" w:space="0"/>
              <w:bottom w:val="single" w:color="000000" w:sz="4" w:space="0"/>
              <w:right w:val="single" w:color="000000" w:sz="4" w:space="0"/>
            </w:tcBorders>
            <w:shd w:val="clear" w:color="auto" w:fill="auto"/>
            <w:vAlign w:val="center"/>
          </w:tcPr>
          <w:p w14:paraId="376C1878">
            <w:pPr>
              <w:widowControl/>
              <w:jc w:val="center"/>
              <w:rPr>
                <w:rFonts w:hint="eastAsia" w:ascii="宋体" w:hAnsi="宋体" w:cs="宋体"/>
                <w:b/>
                <w:bCs/>
                <w:color w:val="auto"/>
                <w:kern w:val="0"/>
                <w:sz w:val="24"/>
                <w:highlight w:val="none"/>
              </w:rPr>
            </w:pPr>
          </w:p>
        </w:tc>
        <w:tc>
          <w:tcPr>
            <w:tcW w:w="1334" w:type="dxa"/>
            <w:tcBorders>
              <w:top w:val="single" w:color="000000" w:sz="4" w:space="0"/>
              <w:left w:val="single" w:color="auto" w:sz="4" w:space="0"/>
              <w:bottom w:val="single" w:color="000000" w:sz="4" w:space="0"/>
              <w:right w:val="single" w:color="000000" w:sz="4" w:space="0"/>
            </w:tcBorders>
            <w:vAlign w:val="center"/>
          </w:tcPr>
          <w:p w14:paraId="48F3742F">
            <w:pPr>
              <w:widowControl/>
              <w:jc w:val="center"/>
              <w:rPr>
                <w:rStyle w:val="71"/>
                <w:rFonts w:hint="eastAsia" w:ascii="宋体" w:hAnsi="宋体" w:cs="宋体"/>
                <w:color w:val="auto"/>
                <w:kern w:val="0"/>
                <w:sz w:val="24"/>
                <w:highlight w:val="none"/>
                <w:lang w:bidi="ar"/>
              </w:rPr>
            </w:pPr>
          </w:p>
        </w:tc>
      </w:tr>
    </w:tbl>
    <w:p w14:paraId="23B2E6DE">
      <w:pPr>
        <w:autoSpaceDE w:val="0"/>
        <w:autoSpaceDN w:val="0"/>
        <w:spacing w:line="360" w:lineRule="auto"/>
        <w:ind w:left="2" w:firstLine="480" w:firstLineChars="200"/>
        <w:jc w:val="left"/>
        <w:rPr>
          <w:rFonts w:hint="eastAsia" w:ascii="宋体" w:hAnsi="宋体" w:cs="宋体"/>
          <w:color w:val="auto"/>
          <w:kern w:val="0"/>
          <w:sz w:val="24"/>
          <w:highlight w:val="none"/>
        </w:rPr>
      </w:pPr>
    </w:p>
    <w:p w14:paraId="037B9FFD">
      <w:pPr>
        <w:autoSpaceDE w:val="0"/>
        <w:autoSpaceDN w:val="0"/>
        <w:spacing w:line="360" w:lineRule="auto"/>
        <w:ind w:left="2"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若中标后未按规定的时间提供，或现场设备与承诺不一致的</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rPr>
        <w:t>我单位放弃中标。</w:t>
      </w:r>
    </w:p>
    <w:p w14:paraId="448A353E">
      <w:pPr>
        <w:autoSpaceDE w:val="0"/>
        <w:autoSpaceDN w:val="0"/>
        <w:spacing w:line="360" w:lineRule="auto"/>
        <w:ind w:left="2"/>
        <w:jc w:val="left"/>
        <w:rPr>
          <w:rFonts w:hint="eastAsia" w:ascii="宋体" w:hAnsi="宋体" w:cs="宋体"/>
          <w:color w:val="auto"/>
          <w:kern w:val="0"/>
          <w:sz w:val="24"/>
          <w:highlight w:val="none"/>
          <w:lang w:val="en-US"/>
        </w:rPr>
      </w:pPr>
    </w:p>
    <w:p w14:paraId="05295DCC">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1F001F85">
      <w:pPr>
        <w:spacing w:line="360" w:lineRule="auto"/>
        <w:ind w:left="4620" w:leftChars="2200"/>
        <w:rPr>
          <w:rFonts w:hint="eastAsia"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2C604EF">
      <w:pPr>
        <w:pStyle w:val="23"/>
        <w:jc w:val="center"/>
        <w:rPr>
          <w:rFonts w:hint="eastAsia" w:hAnsi="宋体" w:cs="宋体"/>
          <w:b/>
          <w:color w:val="auto"/>
          <w:kern w:val="0"/>
          <w:sz w:val="32"/>
          <w:szCs w:val="32"/>
          <w:highlight w:val="none"/>
        </w:rPr>
      </w:pPr>
    </w:p>
    <w:p w14:paraId="61B839EF">
      <w:pPr>
        <w:jc w:val="center"/>
        <w:rPr>
          <w:rFonts w:hint="eastAsia" w:hAnsi="宋体" w:cs="宋体"/>
          <w:b/>
          <w:color w:val="auto"/>
          <w:kern w:val="0"/>
          <w:sz w:val="32"/>
          <w:szCs w:val="32"/>
          <w:highlight w:val="none"/>
        </w:rPr>
      </w:pPr>
      <w:r>
        <w:rPr>
          <w:rFonts w:hint="eastAsia" w:hAnsi="宋体" w:cs="宋体"/>
          <w:b/>
          <w:color w:val="auto"/>
          <w:kern w:val="0"/>
          <w:sz w:val="32"/>
          <w:szCs w:val="32"/>
          <w:highlight w:val="none"/>
        </w:rPr>
        <w:br w:type="page"/>
      </w:r>
    </w:p>
    <w:p w14:paraId="7D6915D3">
      <w:pPr>
        <w:pStyle w:val="23"/>
        <w:jc w:val="center"/>
        <w:rPr>
          <w:rFonts w:hint="eastAsia" w:hAnsi="宋体" w:cs="宋体"/>
          <w:b/>
          <w:color w:val="auto"/>
          <w:kern w:val="0"/>
          <w:sz w:val="32"/>
          <w:szCs w:val="32"/>
          <w:highlight w:val="none"/>
        </w:rPr>
      </w:pPr>
      <w:r>
        <w:rPr>
          <w:rFonts w:hint="eastAsia" w:hAnsi="宋体" w:cs="宋体"/>
          <w:b/>
          <w:color w:val="auto"/>
          <w:kern w:val="0"/>
          <w:sz w:val="32"/>
          <w:szCs w:val="32"/>
          <w:highlight w:val="none"/>
        </w:rPr>
        <w:t>承诺书</w:t>
      </w:r>
      <w:r>
        <w:rPr>
          <w:rFonts w:hint="eastAsia" w:hAnsi="宋体" w:cs="宋体"/>
          <w:b/>
          <w:color w:val="auto"/>
          <w:kern w:val="0"/>
          <w:sz w:val="32"/>
          <w:szCs w:val="32"/>
          <w:highlight w:val="none"/>
          <w:lang w:val="en-US"/>
        </w:rPr>
        <w:t>三</w:t>
      </w:r>
    </w:p>
    <w:p w14:paraId="437747CC">
      <w:pPr>
        <w:pStyle w:val="23"/>
        <w:rPr>
          <w:color w:val="auto"/>
          <w:highlight w:val="none"/>
        </w:rPr>
      </w:pPr>
    </w:p>
    <w:p w14:paraId="520A3899">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杭州市城市水设施和河道保护管理中心、浙江豪圣建设项目管理有限公司</w:t>
      </w:r>
      <w:r>
        <w:rPr>
          <w:rFonts w:hint="eastAsia" w:ascii="宋体" w:hAnsi="宋体" w:cs="宋体"/>
          <w:color w:val="auto"/>
          <w:kern w:val="0"/>
          <w:sz w:val="24"/>
          <w:highlight w:val="none"/>
          <w:lang w:val="zh-CN"/>
        </w:rPr>
        <w:t>：</w:t>
      </w:r>
    </w:p>
    <w:p w14:paraId="6D2A171A">
      <w:pPr>
        <w:autoSpaceDE w:val="0"/>
        <w:autoSpaceDN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单位西塘河（湖州街-京杭运河）生态清淤工程</w:t>
      </w:r>
      <w:r>
        <w:rPr>
          <w:rFonts w:hint="eastAsia" w:ascii="宋体" w:hAnsi="宋体" w:cs="宋体"/>
          <w:color w:val="auto"/>
          <w:kern w:val="0"/>
          <w:sz w:val="24"/>
          <w:highlight w:val="none"/>
          <w:lang w:val="zh-CN"/>
        </w:rPr>
        <w:t>项目招标要求参加投标，依据招标文件采购需求，</w:t>
      </w:r>
      <w:r>
        <w:rPr>
          <w:rFonts w:hint="eastAsia" w:ascii="宋体" w:hAnsi="宋体" w:cs="宋体"/>
          <w:color w:val="auto"/>
          <w:kern w:val="0"/>
          <w:sz w:val="24"/>
          <w:highlight w:val="none"/>
        </w:rPr>
        <w:t>承诺如下：</w:t>
      </w:r>
    </w:p>
    <w:p w14:paraId="06600CD8">
      <w:pPr>
        <w:autoSpaceDE w:val="0"/>
        <w:autoSpaceDN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我单位</w:t>
      </w:r>
      <w:r>
        <w:rPr>
          <w:rFonts w:hint="eastAsia" w:ascii="宋体" w:hAnsi="宋体" w:cs="宋体"/>
          <w:color w:val="auto"/>
          <w:kern w:val="0"/>
          <w:sz w:val="24"/>
          <w:highlight w:val="none"/>
        </w:rPr>
        <w:t>承诺本工程作业产生的淤泥均采用脱水干化方式处理后再进行车载外运，按资源化利用方式</w:t>
      </w:r>
      <w:r>
        <w:rPr>
          <w:rFonts w:hint="eastAsia" w:ascii="宋体" w:hAnsi="宋体" w:cs="宋体"/>
          <w:color w:val="auto"/>
          <w:kern w:val="0"/>
          <w:sz w:val="24"/>
          <w:highlight w:val="none"/>
          <w:lang w:val="en-US" w:eastAsia="zh-CN"/>
        </w:rPr>
        <w:t xml:space="preserve">  </w:t>
      </w:r>
      <w:r>
        <w:rPr>
          <w:rFonts w:hint="eastAsia" w:ascii="宋体" w:hAnsi="宋体" w:cs="宋体"/>
          <w:b/>
          <w:bCs/>
          <w:color w:val="auto"/>
          <w:kern w:val="0"/>
          <w:sz w:val="24"/>
          <w:highlight w:val="none"/>
          <w:u w:val="single"/>
          <w:lang w:eastAsia="zh-CN"/>
        </w:rPr>
        <w:t>（</w:t>
      </w:r>
      <w:r>
        <w:rPr>
          <w:rFonts w:hint="eastAsia" w:ascii="宋体" w:hAnsi="宋体" w:cs="宋体"/>
          <w:b/>
          <w:bCs/>
          <w:color w:val="auto"/>
          <w:kern w:val="0"/>
          <w:sz w:val="24"/>
          <w:highlight w:val="none"/>
          <w:u w:val="single"/>
          <w:lang w:val="en-US" w:eastAsia="zh-CN"/>
        </w:rPr>
        <w:t>需填写那种处置方式</w:t>
      </w:r>
      <w:r>
        <w:rPr>
          <w:rFonts w:hint="eastAsia" w:ascii="宋体" w:hAnsi="宋体" w:cs="宋体"/>
          <w:b/>
          <w:bCs/>
          <w:color w:val="auto"/>
          <w:kern w:val="0"/>
          <w:sz w:val="24"/>
          <w:highlight w:val="none"/>
          <w:u w:val="single"/>
          <w:lang w:eastAsia="zh-CN"/>
        </w:rPr>
        <w:t>）</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处理淤泥量(</w:t>
      </w:r>
      <w:r>
        <w:rPr>
          <w:rFonts w:hint="eastAsia" w:ascii="宋体" w:hAnsi="宋体" w:cs="宋体"/>
          <w:color w:val="auto"/>
          <w:kern w:val="0"/>
          <w:sz w:val="24"/>
          <w:highlight w:val="none"/>
          <w:lang w:val="en-US" w:eastAsia="zh-CN"/>
        </w:rPr>
        <w:t>干</w:t>
      </w:r>
      <w:r>
        <w:rPr>
          <w:rFonts w:hint="eastAsia" w:ascii="宋体" w:hAnsi="宋体" w:cs="宋体"/>
          <w:color w:val="auto"/>
          <w:kern w:val="0"/>
          <w:sz w:val="24"/>
          <w:highlight w:val="none"/>
        </w:rPr>
        <w:t>泥量)</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rPr>
        <w:t>方及以上。</w:t>
      </w:r>
    </w:p>
    <w:p w14:paraId="410D90F8">
      <w:pPr>
        <w:autoSpaceDE w:val="0"/>
        <w:autoSpaceDN w:val="0"/>
        <w:spacing w:line="360" w:lineRule="auto"/>
        <w:ind w:left="0" w:firstLine="480" w:firstLineChars="200"/>
        <w:jc w:val="left"/>
        <w:rPr>
          <w:rFonts w:hint="eastAsia" w:ascii="宋体" w:hAnsi="宋体" w:cs="宋体"/>
          <w:color w:val="auto"/>
          <w:kern w:val="0"/>
          <w:sz w:val="24"/>
          <w:highlight w:val="none"/>
          <w:lang w:val="zh-CN"/>
        </w:rPr>
      </w:pPr>
    </w:p>
    <w:p w14:paraId="067F1F9A">
      <w:pPr>
        <w:jc w:val="center"/>
        <w:rPr>
          <w:rFonts w:hint="eastAsia" w:hAnsi="宋体" w:cs="宋体"/>
          <w:b/>
          <w:color w:val="auto"/>
          <w:kern w:val="0"/>
          <w:sz w:val="32"/>
          <w:szCs w:val="32"/>
          <w:highlight w:val="none"/>
        </w:rPr>
      </w:pPr>
    </w:p>
    <w:p w14:paraId="38D7DC8B">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2282CD3">
      <w:pPr>
        <w:jc w:val="center"/>
        <w:rPr>
          <w:rFonts w:hint="eastAsia" w:hAnsi="宋体" w:cs="宋体"/>
          <w:b/>
          <w:color w:val="auto"/>
          <w:kern w:val="0"/>
          <w:sz w:val="32"/>
          <w:szCs w:val="32"/>
          <w:highlight w:val="none"/>
        </w:rPr>
      </w:pP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          </w:t>
      </w:r>
    </w:p>
    <w:p w14:paraId="5773F4AA">
      <w:pPr>
        <w:jc w:val="center"/>
        <w:rPr>
          <w:rFonts w:hint="eastAsia" w:hAnsi="宋体" w:cs="宋体"/>
          <w:b/>
          <w:color w:val="auto"/>
          <w:kern w:val="0"/>
          <w:sz w:val="32"/>
          <w:szCs w:val="32"/>
          <w:highlight w:val="none"/>
        </w:rPr>
      </w:pPr>
    </w:p>
    <w:p w14:paraId="4367D744">
      <w:pPr>
        <w:jc w:val="center"/>
        <w:rPr>
          <w:rFonts w:hint="eastAsia" w:hAnsi="宋体" w:cs="宋体"/>
          <w:b/>
          <w:color w:val="auto"/>
          <w:kern w:val="0"/>
          <w:sz w:val="32"/>
          <w:szCs w:val="32"/>
          <w:highlight w:val="none"/>
        </w:rPr>
      </w:pPr>
    </w:p>
    <w:p w14:paraId="2F3E40B7">
      <w:pPr>
        <w:jc w:val="center"/>
        <w:rPr>
          <w:rFonts w:hint="eastAsia" w:hAnsi="宋体" w:cs="宋体"/>
          <w:b/>
          <w:color w:val="auto"/>
          <w:kern w:val="0"/>
          <w:sz w:val="32"/>
          <w:szCs w:val="32"/>
          <w:highlight w:val="none"/>
        </w:rPr>
      </w:pPr>
    </w:p>
    <w:p w14:paraId="09D4B32A">
      <w:pPr>
        <w:jc w:val="center"/>
        <w:rPr>
          <w:rFonts w:hint="eastAsia" w:hAnsi="宋体" w:cs="宋体"/>
          <w:b/>
          <w:color w:val="auto"/>
          <w:kern w:val="0"/>
          <w:sz w:val="32"/>
          <w:szCs w:val="32"/>
          <w:highlight w:val="none"/>
        </w:rPr>
      </w:pPr>
    </w:p>
    <w:p w14:paraId="1334724E">
      <w:pPr>
        <w:jc w:val="center"/>
        <w:rPr>
          <w:rFonts w:hint="eastAsia" w:hAnsi="宋体" w:cs="宋体"/>
          <w:b/>
          <w:color w:val="auto"/>
          <w:kern w:val="0"/>
          <w:sz w:val="32"/>
          <w:szCs w:val="32"/>
          <w:highlight w:val="none"/>
        </w:rPr>
      </w:pPr>
    </w:p>
    <w:p w14:paraId="2E9EC25E">
      <w:pPr>
        <w:jc w:val="center"/>
        <w:rPr>
          <w:rFonts w:hint="eastAsia" w:hAnsi="宋体" w:cs="宋体"/>
          <w:b/>
          <w:color w:val="auto"/>
          <w:kern w:val="0"/>
          <w:sz w:val="32"/>
          <w:szCs w:val="32"/>
          <w:highlight w:val="none"/>
        </w:rPr>
      </w:pPr>
    </w:p>
    <w:p w14:paraId="4CE738EA">
      <w:pPr>
        <w:jc w:val="center"/>
        <w:rPr>
          <w:rFonts w:hint="eastAsia" w:hAnsi="宋体" w:cs="宋体"/>
          <w:b/>
          <w:color w:val="auto"/>
          <w:kern w:val="0"/>
          <w:sz w:val="32"/>
          <w:szCs w:val="32"/>
          <w:highlight w:val="none"/>
        </w:rPr>
      </w:pPr>
    </w:p>
    <w:p w14:paraId="078BAF30">
      <w:pPr>
        <w:jc w:val="center"/>
        <w:rPr>
          <w:rFonts w:hint="eastAsia" w:hAnsi="宋体" w:cs="宋体"/>
          <w:b/>
          <w:color w:val="auto"/>
          <w:kern w:val="0"/>
          <w:sz w:val="32"/>
          <w:szCs w:val="32"/>
          <w:highlight w:val="none"/>
        </w:rPr>
      </w:pPr>
    </w:p>
    <w:p w14:paraId="52DE77CE">
      <w:pPr>
        <w:jc w:val="center"/>
        <w:rPr>
          <w:rFonts w:hint="eastAsia" w:hAnsi="宋体" w:cs="宋体"/>
          <w:b/>
          <w:color w:val="auto"/>
          <w:kern w:val="0"/>
          <w:sz w:val="32"/>
          <w:szCs w:val="32"/>
          <w:highlight w:val="none"/>
        </w:rPr>
      </w:pPr>
    </w:p>
    <w:p w14:paraId="6C783F37">
      <w:pPr>
        <w:jc w:val="center"/>
        <w:rPr>
          <w:rFonts w:hint="eastAsia" w:hAnsi="宋体" w:cs="宋体"/>
          <w:b/>
          <w:color w:val="auto"/>
          <w:kern w:val="0"/>
          <w:sz w:val="32"/>
          <w:szCs w:val="32"/>
          <w:highlight w:val="none"/>
        </w:rPr>
      </w:pPr>
    </w:p>
    <w:p w14:paraId="7E80D1BA">
      <w:pPr>
        <w:jc w:val="center"/>
        <w:rPr>
          <w:rFonts w:hint="eastAsia" w:hAnsi="宋体" w:cs="宋体"/>
          <w:b/>
          <w:color w:val="auto"/>
          <w:kern w:val="0"/>
          <w:sz w:val="32"/>
          <w:szCs w:val="32"/>
          <w:highlight w:val="none"/>
        </w:rPr>
      </w:pPr>
    </w:p>
    <w:p w14:paraId="4B1E0794">
      <w:pPr>
        <w:jc w:val="center"/>
        <w:rPr>
          <w:rFonts w:hint="eastAsia" w:hAnsi="宋体" w:cs="宋体"/>
          <w:b/>
          <w:color w:val="auto"/>
          <w:kern w:val="0"/>
          <w:sz w:val="32"/>
          <w:szCs w:val="32"/>
          <w:highlight w:val="none"/>
        </w:rPr>
      </w:pPr>
    </w:p>
    <w:p w14:paraId="5B1B71D4">
      <w:pPr>
        <w:jc w:val="center"/>
        <w:rPr>
          <w:rFonts w:hint="eastAsia" w:hAnsi="宋体" w:cs="宋体"/>
          <w:b/>
          <w:color w:val="auto"/>
          <w:kern w:val="0"/>
          <w:sz w:val="32"/>
          <w:szCs w:val="32"/>
          <w:highlight w:val="none"/>
        </w:rPr>
      </w:pPr>
    </w:p>
    <w:p w14:paraId="7C5925DA">
      <w:pPr>
        <w:jc w:val="center"/>
        <w:rPr>
          <w:rFonts w:hint="eastAsia" w:hAnsi="宋体" w:cs="宋体"/>
          <w:b/>
          <w:color w:val="auto"/>
          <w:kern w:val="0"/>
          <w:sz w:val="32"/>
          <w:szCs w:val="32"/>
          <w:highlight w:val="none"/>
        </w:rPr>
      </w:pPr>
    </w:p>
    <w:p w14:paraId="08321E7A">
      <w:pPr>
        <w:jc w:val="center"/>
        <w:rPr>
          <w:rFonts w:hint="eastAsia" w:hAnsi="宋体" w:cs="宋体"/>
          <w:b/>
          <w:color w:val="auto"/>
          <w:kern w:val="0"/>
          <w:sz w:val="32"/>
          <w:szCs w:val="32"/>
          <w:highlight w:val="none"/>
        </w:rPr>
      </w:pPr>
    </w:p>
    <w:p w14:paraId="324B3205">
      <w:pPr>
        <w:jc w:val="center"/>
        <w:rPr>
          <w:rFonts w:hint="eastAsia" w:hAnsi="宋体" w:cs="宋体"/>
          <w:b/>
          <w:color w:val="auto"/>
          <w:kern w:val="0"/>
          <w:sz w:val="32"/>
          <w:szCs w:val="32"/>
          <w:highlight w:val="none"/>
        </w:rPr>
      </w:pPr>
    </w:p>
    <w:p w14:paraId="3120BFC3">
      <w:pPr>
        <w:jc w:val="center"/>
        <w:rPr>
          <w:rFonts w:hint="eastAsia" w:hAnsi="宋体" w:cs="宋体"/>
          <w:b/>
          <w:color w:val="auto"/>
          <w:kern w:val="0"/>
          <w:sz w:val="32"/>
          <w:szCs w:val="32"/>
          <w:highlight w:val="none"/>
        </w:rPr>
      </w:pPr>
    </w:p>
    <w:p w14:paraId="61A555AB">
      <w:pPr>
        <w:jc w:val="center"/>
        <w:rPr>
          <w:rFonts w:hint="eastAsia" w:hAnsi="宋体" w:cs="宋体"/>
          <w:b/>
          <w:color w:val="auto"/>
          <w:kern w:val="0"/>
          <w:sz w:val="32"/>
          <w:szCs w:val="32"/>
          <w:highlight w:val="none"/>
        </w:rPr>
      </w:pPr>
    </w:p>
    <w:p w14:paraId="1704F1A4">
      <w:pPr>
        <w:jc w:val="center"/>
        <w:rPr>
          <w:rFonts w:hint="eastAsia" w:hAnsi="宋体" w:cs="宋体"/>
          <w:b/>
          <w:color w:val="auto"/>
          <w:kern w:val="0"/>
          <w:sz w:val="32"/>
          <w:szCs w:val="32"/>
          <w:highlight w:val="none"/>
        </w:rPr>
      </w:pPr>
    </w:p>
    <w:p w14:paraId="2354070E">
      <w:pPr>
        <w:jc w:val="center"/>
        <w:rPr>
          <w:rFonts w:hint="eastAsia" w:hAnsi="宋体" w:cs="宋体"/>
          <w:b/>
          <w:color w:val="auto"/>
          <w:kern w:val="0"/>
          <w:sz w:val="32"/>
          <w:szCs w:val="32"/>
          <w:highlight w:val="none"/>
        </w:rPr>
      </w:pPr>
    </w:p>
    <w:p w14:paraId="06D8BC99">
      <w:pPr>
        <w:jc w:val="center"/>
        <w:rPr>
          <w:rFonts w:hint="eastAsia" w:hAnsi="宋体" w:cs="宋体"/>
          <w:b/>
          <w:color w:val="auto"/>
          <w:kern w:val="0"/>
          <w:sz w:val="32"/>
          <w:szCs w:val="32"/>
          <w:highlight w:val="none"/>
        </w:rPr>
      </w:pPr>
    </w:p>
    <w:p w14:paraId="7901023A">
      <w:pPr>
        <w:jc w:val="center"/>
        <w:rPr>
          <w:rFonts w:hint="eastAsia" w:hAnsi="宋体" w:cs="宋体"/>
          <w:b/>
          <w:color w:val="auto"/>
          <w:kern w:val="0"/>
          <w:sz w:val="32"/>
          <w:szCs w:val="32"/>
          <w:highlight w:val="none"/>
        </w:rPr>
      </w:pPr>
    </w:p>
    <w:p w14:paraId="34D6747C">
      <w:pPr>
        <w:rPr>
          <w:rFonts w:hint="eastAsia" w:ascii="宋体" w:hAnsi="宋体" w:cs="宋体"/>
          <w:b/>
          <w:color w:val="auto"/>
          <w:kern w:val="0"/>
          <w:sz w:val="32"/>
          <w:szCs w:val="32"/>
          <w:highlight w:val="none"/>
        </w:rPr>
      </w:pPr>
    </w:p>
    <w:p w14:paraId="0E8EEA35">
      <w:pPr>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1EB02A72">
      <w:pPr>
        <w:jc w:val="center"/>
        <w:rPr>
          <w:rFonts w:hint="eastAsia" w:ascii="宋体" w:hAnsi="宋体" w:cs="宋体"/>
          <w:color w:val="auto"/>
          <w:highlight w:val="none"/>
        </w:rPr>
      </w:pPr>
      <w:r>
        <w:rPr>
          <w:rFonts w:hint="eastAsia" w:ascii="宋体" w:hAnsi="宋体" w:cs="宋体"/>
          <w:b/>
          <w:color w:val="auto"/>
          <w:kern w:val="0"/>
          <w:sz w:val="32"/>
          <w:szCs w:val="32"/>
          <w:highlight w:val="none"/>
        </w:rPr>
        <w:t>六、评标标准相应的商务技术资料</w:t>
      </w:r>
    </w:p>
    <w:p w14:paraId="70EF6AC5">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E7CE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4" w:type="dxa"/>
          </w:tcPr>
          <w:p w14:paraId="0843D2DD">
            <w:pPr>
              <w:snapToGrid w:val="0"/>
              <w:spacing w:line="360" w:lineRule="auto"/>
              <w:jc w:val="center"/>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序号</w:t>
            </w:r>
          </w:p>
        </w:tc>
        <w:tc>
          <w:tcPr>
            <w:tcW w:w="5465" w:type="dxa"/>
          </w:tcPr>
          <w:p w14:paraId="5A0EAEA6">
            <w:pPr>
              <w:snapToGrid w:val="0"/>
              <w:spacing w:line="360" w:lineRule="auto"/>
              <w:jc w:val="center"/>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c>
          <w:tcPr>
            <w:tcW w:w="3046" w:type="dxa"/>
          </w:tcPr>
          <w:p w14:paraId="724C5323">
            <w:pPr>
              <w:snapToGrid w:val="0"/>
              <w:spacing w:line="240" w:lineRule="atLeast"/>
              <w:jc w:val="center"/>
              <w:rPr>
                <w:rFonts w:hint="eastAsia" w:ascii="宋体" w:hAnsi="宋体" w:cs="宋体"/>
                <w:bCs/>
                <w:color w:val="auto"/>
                <w:sz w:val="24"/>
                <w:highlight w:val="none"/>
              </w:rPr>
            </w:pPr>
            <w:r>
              <w:rPr>
                <w:rFonts w:hint="eastAsia" w:ascii="宋体" w:hAnsi="宋体" w:cs="宋体"/>
                <w:bCs/>
                <w:color w:val="auto"/>
                <w:sz w:val="24"/>
                <w:highlight w:val="none"/>
              </w:rPr>
              <w:t>投标文件中的页码位置</w:t>
            </w:r>
          </w:p>
        </w:tc>
      </w:tr>
      <w:tr w14:paraId="77600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19DA377">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5465" w:type="dxa"/>
          </w:tcPr>
          <w:p w14:paraId="27758227">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0001E4DF">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2EB12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A6D3BC6">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2</w:t>
            </w:r>
          </w:p>
        </w:tc>
        <w:tc>
          <w:tcPr>
            <w:tcW w:w="5465" w:type="dxa"/>
          </w:tcPr>
          <w:p w14:paraId="466F9C9B">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2517A5FA">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4657D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4AD451E">
            <w:pPr>
              <w:snapToGrid w:val="0"/>
              <w:spacing w:line="360" w:lineRule="auto"/>
              <w:jc w:val="center"/>
              <w:rPr>
                <w:rFonts w:hint="eastAsia" w:ascii="宋体" w:hAnsi="宋体" w:cs="宋体"/>
                <w:bCs/>
                <w:color w:val="auto"/>
                <w:sz w:val="24"/>
                <w:highlight w:val="none"/>
              </w:rPr>
            </w:pPr>
            <w:r>
              <w:rPr>
                <w:rFonts w:hint="eastAsia" w:ascii="宋体" w:hAnsi="宋体" w:cs="宋体"/>
                <w:color w:val="auto"/>
                <w:kern w:val="0"/>
                <w:sz w:val="24"/>
                <w:highlight w:val="none"/>
              </w:rPr>
              <w:t>……</w:t>
            </w:r>
          </w:p>
        </w:tc>
        <w:tc>
          <w:tcPr>
            <w:tcW w:w="5465" w:type="dxa"/>
          </w:tcPr>
          <w:p w14:paraId="104C773A">
            <w:pPr>
              <w:snapToGrid w:val="0"/>
              <w:spacing w:line="360" w:lineRule="auto"/>
              <w:jc w:val="center"/>
              <w:rPr>
                <w:rFonts w:hint="eastAsia" w:ascii="宋体" w:hAnsi="宋体" w:cs="宋体"/>
                <w:bCs/>
                <w:color w:val="auto"/>
                <w:sz w:val="24"/>
                <w:highlight w:val="none"/>
              </w:rPr>
            </w:pPr>
          </w:p>
        </w:tc>
        <w:tc>
          <w:tcPr>
            <w:tcW w:w="3046" w:type="dxa"/>
          </w:tcPr>
          <w:p w14:paraId="3A6C8556">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bl>
    <w:p w14:paraId="66DEFF82">
      <w:pPr>
        <w:pStyle w:val="80"/>
        <w:rPr>
          <w:rFonts w:hint="eastAsia"/>
          <w:color w:val="auto"/>
          <w:highlight w:val="none"/>
        </w:rPr>
      </w:pPr>
    </w:p>
    <w:p w14:paraId="2DEE9DC9">
      <w:pPr>
        <w:jc w:val="center"/>
        <w:rPr>
          <w:rFonts w:hint="eastAsia" w:ascii="宋体" w:hAnsi="宋体" w:cs="宋体"/>
          <w:b/>
          <w:color w:val="auto"/>
          <w:kern w:val="0"/>
          <w:sz w:val="32"/>
          <w:szCs w:val="32"/>
          <w:highlight w:val="none"/>
        </w:rPr>
      </w:pPr>
    </w:p>
    <w:p w14:paraId="78E5193E">
      <w:pPr>
        <w:jc w:val="center"/>
        <w:rPr>
          <w:rFonts w:hint="eastAsia" w:ascii="宋体" w:hAnsi="宋体" w:cs="宋体"/>
          <w:b/>
          <w:color w:val="auto"/>
          <w:kern w:val="0"/>
          <w:sz w:val="32"/>
          <w:szCs w:val="32"/>
          <w:highlight w:val="none"/>
        </w:rPr>
      </w:pPr>
    </w:p>
    <w:p w14:paraId="4552EE99">
      <w:pPr>
        <w:jc w:val="center"/>
        <w:rPr>
          <w:rFonts w:hint="eastAsia" w:ascii="宋体" w:hAnsi="宋体" w:cs="宋体"/>
          <w:b/>
          <w:color w:val="auto"/>
          <w:kern w:val="0"/>
          <w:sz w:val="32"/>
          <w:szCs w:val="32"/>
          <w:highlight w:val="none"/>
        </w:rPr>
      </w:pPr>
    </w:p>
    <w:p w14:paraId="7A1AB015">
      <w:pPr>
        <w:ind w:firstLine="2891" w:firstLineChars="9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七、投标标的清单</w:t>
      </w:r>
    </w:p>
    <w:tbl>
      <w:tblPr>
        <w:tblStyle w:val="63"/>
        <w:tblW w:w="9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1275"/>
        <w:gridCol w:w="1634"/>
        <w:gridCol w:w="1433"/>
        <w:gridCol w:w="1617"/>
        <w:gridCol w:w="1541"/>
        <w:gridCol w:w="1423"/>
      </w:tblGrid>
      <w:tr w14:paraId="1AB3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26" w:type="dxa"/>
            <w:tcBorders>
              <w:top w:val="single" w:color="auto" w:sz="4" w:space="0"/>
              <w:left w:val="single" w:color="auto" w:sz="4" w:space="0"/>
              <w:bottom w:val="single" w:color="auto" w:sz="4" w:space="0"/>
              <w:right w:val="single" w:color="auto" w:sz="4" w:space="0"/>
            </w:tcBorders>
            <w:vAlign w:val="center"/>
          </w:tcPr>
          <w:p w14:paraId="2D40276F">
            <w:pPr>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275" w:type="dxa"/>
            <w:tcBorders>
              <w:top w:val="single" w:color="auto" w:sz="4" w:space="0"/>
              <w:left w:val="single" w:color="auto" w:sz="4" w:space="0"/>
              <w:bottom w:val="single" w:color="auto" w:sz="4" w:space="0"/>
              <w:right w:val="single" w:color="auto" w:sz="4" w:space="0"/>
            </w:tcBorders>
            <w:vAlign w:val="center"/>
          </w:tcPr>
          <w:p w14:paraId="3FC75CC1">
            <w:pPr>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634" w:type="dxa"/>
            <w:tcBorders>
              <w:top w:val="single" w:color="auto" w:sz="4" w:space="0"/>
              <w:left w:val="single" w:color="auto" w:sz="4" w:space="0"/>
              <w:bottom w:val="single" w:color="auto" w:sz="4" w:space="0"/>
              <w:right w:val="single" w:color="auto" w:sz="4" w:space="0"/>
            </w:tcBorders>
            <w:vAlign w:val="center"/>
          </w:tcPr>
          <w:p w14:paraId="2FD00B26">
            <w:pPr>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1433" w:type="dxa"/>
            <w:tcBorders>
              <w:top w:val="single" w:color="auto" w:sz="4" w:space="0"/>
              <w:left w:val="single" w:color="auto" w:sz="4" w:space="0"/>
              <w:bottom w:val="single" w:color="auto" w:sz="4" w:space="0"/>
              <w:right w:val="single" w:color="auto" w:sz="4" w:space="0"/>
            </w:tcBorders>
            <w:vAlign w:val="center"/>
          </w:tcPr>
          <w:p w14:paraId="012200CF">
            <w:pPr>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1617" w:type="dxa"/>
            <w:tcBorders>
              <w:top w:val="single" w:color="auto" w:sz="4" w:space="0"/>
              <w:left w:val="single" w:color="auto" w:sz="4" w:space="0"/>
              <w:bottom w:val="single" w:color="auto" w:sz="4" w:space="0"/>
              <w:right w:val="single" w:color="auto" w:sz="4" w:space="0"/>
            </w:tcBorders>
            <w:vAlign w:val="center"/>
          </w:tcPr>
          <w:p w14:paraId="710F00B0">
            <w:pPr>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tc>
        <w:tc>
          <w:tcPr>
            <w:tcW w:w="1541" w:type="dxa"/>
            <w:tcBorders>
              <w:top w:val="single" w:color="auto" w:sz="4" w:space="0"/>
              <w:left w:val="single" w:color="auto" w:sz="4" w:space="0"/>
              <w:bottom w:val="single" w:color="auto" w:sz="4" w:space="0"/>
              <w:right w:val="single" w:color="auto" w:sz="4" w:space="0"/>
            </w:tcBorders>
            <w:vAlign w:val="center"/>
          </w:tcPr>
          <w:p w14:paraId="4520E379">
            <w:pPr>
              <w:jc w:val="center"/>
              <w:rPr>
                <w:rFonts w:hint="eastAsia" w:ascii="宋体" w:hAnsi="宋体" w:cs="宋体"/>
                <w:b/>
                <w:color w:val="auto"/>
                <w:sz w:val="24"/>
                <w:highlight w:val="none"/>
              </w:rPr>
            </w:pPr>
            <w:r>
              <w:rPr>
                <w:rFonts w:hint="eastAsia" w:ascii="宋体" w:hAnsi="宋体" w:cs="宋体"/>
                <w:b/>
                <w:color w:val="auto"/>
                <w:sz w:val="24"/>
                <w:highlight w:val="none"/>
              </w:rPr>
              <w:t>服务标准</w:t>
            </w:r>
          </w:p>
        </w:tc>
        <w:tc>
          <w:tcPr>
            <w:tcW w:w="1423" w:type="dxa"/>
            <w:tcBorders>
              <w:top w:val="single" w:color="auto" w:sz="4" w:space="0"/>
              <w:left w:val="single" w:color="auto" w:sz="4" w:space="0"/>
              <w:bottom w:val="single" w:color="auto" w:sz="4" w:space="0"/>
              <w:right w:val="single" w:color="auto" w:sz="4" w:space="0"/>
            </w:tcBorders>
            <w:vAlign w:val="center"/>
          </w:tcPr>
          <w:p w14:paraId="3EBAF129">
            <w:pPr>
              <w:jc w:val="center"/>
              <w:rPr>
                <w:rFonts w:hint="eastAsia" w:ascii="宋体" w:hAnsi="宋体" w:cs="宋体"/>
                <w:b/>
                <w:color w:val="auto"/>
                <w:sz w:val="24"/>
                <w:highlight w:val="none"/>
              </w:rPr>
            </w:pPr>
          </w:p>
          <w:p w14:paraId="3F9C5878">
            <w:pPr>
              <w:jc w:val="center"/>
              <w:rPr>
                <w:rFonts w:hint="eastAsia" w:ascii="宋体" w:hAnsi="宋体" w:cs="宋体"/>
                <w:b/>
                <w:color w:val="auto"/>
                <w:sz w:val="24"/>
                <w:highlight w:val="none"/>
              </w:rPr>
            </w:pPr>
            <w:r>
              <w:rPr>
                <w:rFonts w:hint="eastAsia" w:ascii="宋体" w:hAnsi="宋体" w:cs="宋体"/>
                <w:b/>
                <w:color w:val="auto"/>
                <w:sz w:val="24"/>
                <w:highlight w:val="none"/>
              </w:rPr>
              <w:t>备注</w:t>
            </w:r>
          </w:p>
          <w:p w14:paraId="6F31394F">
            <w:pPr>
              <w:jc w:val="center"/>
              <w:rPr>
                <w:rFonts w:hint="eastAsia" w:ascii="宋体" w:hAnsi="宋体" w:cs="宋体"/>
                <w:b/>
                <w:color w:val="auto"/>
                <w:sz w:val="24"/>
                <w:highlight w:val="none"/>
              </w:rPr>
            </w:pPr>
            <w:r>
              <w:rPr>
                <w:rFonts w:hint="eastAsia" w:ascii="宋体" w:hAnsi="宋体" w:cs="宋体"/>
                <w:b/>
                <w:color w:val="auto"/>
                <w:sz w:val="24"/>
                <w:highlight w:val="none"/>
              </w:rPr>
              <w:t>（如果有）</w:t>
            </w:r>
          </w:p>
          <w:p w14:paraId="074E9958">
            <w:pPr>
              <w:jc w:val="center"/>
              <w:rPr>
                <w:rFonts w:hint="eastAsia" w:ascii="宋体" w:hAnsi="宋体" w:cs="宋体"/>
                <w:b/>
                <w:color w:val="auto"/>
                <w:sz w:val="24"/>
                <w:highlight w:val="none"/>
              </w:rPr>
            </w:pPr>
          </w:p>
        </w:tc>
      </w:tr>
      <w:tr w14:paraId="72BEB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26" w:type="dxa"/>
            <w:tcBorders>
              <w:top w:val="single" w:color="auto" w:sz="4" w:space="0"/>
              <w:left w:val="single" w:color="auto" w:sz="4" w:space="0"/>
              <w:bottom w:val="single" w:color="auto" w:sz="4" w:space="0"/>
              <w:right w:val="single" w:color="auto" w:sz="4" w:space="0"/>
            </w:tcBorders>
            <w:vAlign w:val="center"/>
          </w:tcPr>
          <w:p w14:paraId="6EF9EA9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275" w:type="dxa"/>
            <w:tcBorders>
              <w:top w:val="single" w:color="auto" w:sz="4" w:space="0"/>
              <w:left w:val="single" w:color="auto" w:sz="4" w:space="0"/>
              <w:bottom w:val="single" w:color="auto" w:sz="4" w:space="0"/>
              <w:right w:val="single" w:color="auto" w:sz="4" w:space="0"/>
            </w:tcBorders>
            <w:vAlign w:val="center"/>
          </w:tcPr>
          <w:p w14:paraId="1D6A557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XXX</w:t>
            </w:r>
          </w:p>
        </w:tc>
        <w:tc>
          <w:tcPr>
            <w:tcW w:w="1634" w:type="dxa"/>
            <w:tcBorders>
              <w:top w:val="single" w:color="auto" w:sz="4" w:space="0"/>
              <w:left w:val="single" w:color="auto" w:sz="4" w:space="0"/>
              <w:bottom w:val="single" w:color="auto" w:sz="4" w:space="0"/>
              <w:right w:val="single" w:color="auto" w:sz="4" w:space="0"/>
            </w:tcBorders>
            <w:vAlign w:val="center"/>
          </w:tcPr>
          <w:p w14:paraId="408F3D92">
            <w:pPr>
              <w:snapToGrid w:val="0"/>
              <w:spacing w:line="360" w:lineRule="auto"/>
              <w:jc w:val="center"/>
              <w:rPr>
                <w:rFonts w:hint="eastAsia" w:ascii="宋体" w:hAnsi="宋体" w:cs="宋体"/>
                <w:color w:val="auto"/>
                <w:sz w:val="24"/>
                <w:highlight w:val="none"/>
              </w:rPr>
            </w:pPr>
          </w:p>
        </w:tc>
        <w:tc>
          <w:tcPr>
            <w:tcW w:w="1433" w:type="dxa"/>
            <w:tcBorders>
              <w:top w:val="single" w:color="auto" w:sz="4" w:space="0"/>
              <w:left w:val="single" w:color="auto" w:sz="4" w:space="0"/>
              <w:bottom w:val="single" w:color="auto" w:sz="4" w:space="0"/>
              <w:right w:val="single" w:color="auto" w:sz="4" w:space="0"/>
            </w:tcBorders>
            <w:vAlign w:val="center"/>
          </w:tcPr>
          <w:p w14:paraId="3C51E7AA">
            <w:pPr>
              <w:snapToGrid w:val="0"/>
              <w:spacing w:line="360" w:lineRule="auto"/>
              <w:jc w:val="center"/>
              <w:rPr>
                <w:rFonts w:hint="eastAsia" w:ascii="宋体" w:hAnsi="宋体" w:cs="宋体"/>
                <w:color w:val="auto"/>
                <w:sz w:val="24"/>
                <w:highlight w:val="none"/>
              </w:rPr>
            </w:pPr>
          </w:p>
        </w:tc>
        <w:tc>
          <w:tcPr>
            <w:tcW w:w="1617" w:type="dxa"/>
            <w:tcBorders>
              <w:top w:val="single" w:color="auto" w:sz="4" w:space="0"/>
              <w:left w:val="single" w:color="auto" w:sz="4" w:space="0"/>
              <w:bottom w:val="single" w:color="auto" w:sz="4" w:space="0"/>
              <w:right w:val="single" w:color="auto" w:sz="4" w:space="0"/>
            </w:tcBorders>
            <w:vAlign w:val="center"/>
          </w:tcPr>
          <w:p w14:paraId="24B4EC13">
            <w:pPr>
              <w:spacing w:line="360" w:lineRule="auto"/>
              <w:jc w:val="center"/>
              <w:rPr>
                <w:rFonts w:hint="eastAsia" w:ascii="宋体" w:hAnsi="宋体" w:cs="宋体"/>
                <w:color w:val="auto"/>
                <w:sz w:val="24"/>
                <w:highlight w:val="none"/>
              </w:rPr>
            </w:pPr>
          </w:p>
        </w:tc>
        <w:tc>
          <w:tcPr>
            <w:tcW w:w="1541" w:type="dxa"/>
            <w:tcBorders>
              <w:top w:val="single" w:color="auto" w:sz="4" w:space="0"/>
              <w:left w:val="single" w:color="auto" w:sz="4" w:space="0"/>
              <w:bottom w:val="single" w:color="auto" w:sz="4" w:space="0"/>
              <w:right w:val="single" w:color="auto" w:sz="4" w:space="0"/>
            </w:tcBorders>
            <w:vAlign w:val="center"/>
          </w:tcPr>
          <w:p w14:paraId="4FD14B75">
            <w:pPr>
              <w:spacing w:line="360" w:lineRule="auto"/>
              <w:jc w:val="center"/>
              <w:rPr>
                <w:rFonts w:hint="eastAsia" w:ascii="宋体" w:hAnsi="宋体" w:cs="宋体"/>
                <w:color w:val="auto"/>
                <w:sz w:val="24"/>
                <w:highlight w:val="none"/>
              </w:rPr>
            </w:pPr>
          </w:p>
        </w:tc>
        <w:tc>
          <w:tcPr>
            <w:tcW w:w="1423" w:type="dxa"/>
            <w:tcBorders>
              <w:top w:val="single" w:color="auto" w:sz="4" w:space="0"/>
              <w:left w:val="single" w:color="auto" w:sz="4" w:space="0"/>
              <w:bottom w:val="single" w:color="auto" w:sz="4" w:space="0"/>
              <w:right w:val="single" w:color="auto" w:sz="4" w:space="0"/>
            </w:tcBorders>
            <w:vAlign w:val="center"/>
          </w:tcPr>
          <w:p w14:paraId="7FD517C4">
            <w:pPr>
              <w:spacing w:line="360" w:lineRule="auto"/>
              <w:jc w:val="center"/>
              <w:rPr>
                <w:rFonts w:hint="eastAsia" w:ascii="宋体" w:hAnsi="宋体" w:cs="宋体"/>
                <w:color w:val="auto"/>
                <w:sz w:val="24"/>
                <w:highlight w:val="none"/>
              </w:rPr>
            </w:pPr>
          </w:p>
        </w:tc>
      </w:tr>
      <w:tr w14:paraId="2CB21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26" w:type="dxa"/>
            <w:tcBorders>
              <w:top w:val="single" w:color="auto" w:sz="4" w:space="0"/>
              <w:left w:val="single" w:color="auto" w:sz="4" w:space="0"/>
              <w:bottom w:val="single" w:color="auto" w:sz="4" w:space="0"/>
              <w:right w:val="single" w:color="auto" w:sz="4" w:space="0"/>
            </w:tcBorders>
            <w:vAlign w:val="center"/>
          </w:tcPr>
          <w:p w14:paraId="7CE75C4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275" w:type="dxa"/>
            <w:tcBorders>
              <w:top w:val="single" w:color="auto" w:sz="4" w:space="0"/>
              <w:left w:val="single" w:color="auto" w:sz="4" w:space="0"/>
              <w:bottom w:val="single" w:color="auto" w:sz="4" w:space="0"/>
              <w:right w:val="single" w:color="auto" w:sz="4" w:space="0"/>
            </w:tcBorders>
            <w:vAlign w:val="center"/>
          </w:tcPr>
          <w:p w14:paraId="0FD6381D">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XXX</w:t>
            </w:r>
          </w:p>
        </w:tc>
        <w:tc>
          <w:tcPr>
            <w:tcW w:w="1634" w:type="dxa"/>
            <w:tcBorders>
              <w:top w:val="single" w:color="auto" w:sz="4" w:space="0"/>
              <w:left w:val="single" w:color="auto" w:sz="4" w:space="0"/>
              <w:bottom w:val="single" w:color="auto" w:sz="4" w:space="0"/>
              <w:right w:val="single" w:color="auto" w:sz="4" w:space="0"/>
            </w:tcBorders>
            <w:vAlign w:val="center"/>
          </w:tcPr>
          <w:p w14:paraId="5C9586DB">
            <w:pPr>
              <w:snapToGrid w:val="0"/>
              <w:spacing w:line="360" w:lineRule="auto"/>
              <w:jc w:val="center"/>
              <w:rPr>
                <w:rFonts w:hint="eastAsia" w:ascii="宋体" w:hAnsi="宋体" w:cs="宋体"/>
                <w:color w:val="auto"/>
                <w:sz w:val="24"/>
                <w:highlight w:val="none"/>
              </w:rPr>
            </w:pPr>
          </w:p>
        </w:tc>
        <w:tc>
          <w:tcPr>
            <w:tcW w:w="1433" w:type="dxa"/>
            <w:tcBorders>
              <w:top w:val="single" w:color="auto" w:sz="4" w:space="0"/>
              <w:left w:val="single" w:color="auto" w:sz="4" w:space="0"/>
              <w:bottom w:val="single" w:color="auto" w:sz="4" w:space="0"/>
              <w:right w:val="single" w:color="auto" w:sz="4" w:space="0"/>
            </w:tcBorders>
            <w:vAlign w:val="center"/>
          </w:tcPr>
          <w:p w14:paraId="39E2D640">
            <w:pPr>
              <w:snapToGrid w:val="0"/>
              <w:spacing w:line="360" w:lineRule="auto"/>
              <w:jc w:val="center"/>
              <w:rPr>
                <w:rFonts w:hint="eastAsia" w:ascii="宋体" w:hAnsi="宋体" w:cs="宋体"/>
                <w:color w:val="auto"/>
                <w:sz w:val="24"/>
                <w:highlight w:val="none"/>
              </w:rPr>
            </w:pPr>
          </w:p>
        </w:tc>
        <w:tc>
          <w:tcPr>
            <w:tcW w:w="1617" w:type="dxa"/>
            <w:tcBorders>
              <w:top w:val="single" w:color="auto" w:sz="4" w:space="0"/>
              <w:left w:val="single" w:color="auto" w:sz="4" w:space="0"/>
              <w:bottom w:val="single" w:color="auto" w:sz="4" w:space="0"/>
              <w:right w:val="single" w:color="auto" w:sz="4" w:space="0"/>
            </w:tcBorders>
            <w:vAlign w:val="center"/>
          </w:tcPr>
          <w:p w14:paraId="2CDD5CA1">
            <w:pPr>
              <w:spacing w:line="360" w:lineRule="auto"/>
              <w:jc w:val="center"/>
              <w:rPr>
                <w:rFonts w:hint="eastAsia" w:ascii="宋体" w:hAnsi="宋体" w:cs="宋体"/>
                <w:color w:val="auto"/>
                <w:sz w:val="24"/>
                <w:highlight w:val="none"/>
              </w:rPr>
            </w:pPr>
          </w:p>
        </w:tc>
        <w:tc>
          <w:tcPr>
            <w:tcW w:w="1541" w:type="dxa"/>
            <w:tcBorders>
              <w:top w:val="single" w:color="auto" w:sz="4" w:space="0"/>
              <w:left w:val="single" w:color="auto" w:sz="4" w:space="0"/>
              <w:bottom w:val="single" w:color="auto" w:sz="4" w:space="0"/>
              <w:right w:val="single" w:color="auto" w:sz="4" w:space="0"/>
            </w:tcBorders>
            <w:vAlign w:val="center"/>
          </w:tcPr>
          <w:p w14:paraId="2A9BF7F6">
            <w:pPr>
              <w:spacing w:line="360" w:lineRule="auto"/>
              <w:jc w:val="center"/>
              <w:rPr>
                <w:rFonts w:hint="eastAsia" w:ascii="宋体" w:hAnsi="宋体" w:cs="宋体"/>
                <w:color w:val="auto"/>
                <w:sz w:val="24"/>
                <w:highlight w:val="none"/>
              </w:rPr>
            </w:pPr>
          </w:p>
        </w:tc>
        <w:tc>
          <w:tcPr>
            <w:tcW w:w="1423" w:type="dxa"/>
            <w:tcBorders>
              <w:top w:val="single" w:color="auto" w:sz="4" w:space="0"/>
              <w:left w:val="single" w:color="auto" w:sz="4" w:space="0"/>
              <w:bottom w:val="single" w:color="auto" w:sz="4" w:space="0"/>
              <w:right w:val="single" w:color="auto" w:sz="4" w:space="0"/>
            </w:tcBorders>
            <w:vAlign w:val="center"/>
          </w:tcPr>
          <w:p w14:paraId="1E1CAD67">
            <w:pPr>
              <w:spacing w:line="360" w:lineRule="auto"/>
              <w:jc w:val="center"/>
              <w:rPr>
                <w:rFonts w:hint="eastAsia" w:ascii="宋体" w:hAnsi="宋体" w:cs="宋体"/>
                <w:color w:val="auto"/>
                <w:sz w:val="24"/>
                <w:highlight w:val="none"/>
              </w:rPr>
            </w:pPr>
          </w:p>
        </w:tc>
      </w:tr>
      <w:tr w14:paraId="2DDA6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26" w:type="dxa"/>
            <w:tcBorders>
              <w:top w:val="single" w:color="auto" w:sz="4" w:space="0"/>
              <w:left w:val="single" w:color="auto" w:sz="4" w:space="0"/>
              <w:bottom w:val="single" w:color="auto" w:sz="4" w:space="0"/>
              <w:right w:val="single" w:color="auto" w:sz="4" w:space="0"/>
            </w:tcBorders>
            <w:vAlign w:val="center"/>
          </w:tcPr>
          <w:p w14:paraId="0F4D8C58">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275" w:type="dxa"/>
            <w:tcBorders>
              <w:top w:val="single" w:color="auto" w:sz="4" w:space="0"/>
              <w:left w:val="single" w:color="auto" w:sz="4" w:space="0"/>
              <w:bottom w:val="single" w:color="auto" w:sz="4" w:space="0"/>
              <w:right w:val="single" w:color="auto" w:sz="4" w:space="0"/>
            </w:tcBorders>
            <w:vAlign w:val="center"/>
          </w:tcPr>
          <w:p w14:paraId="678591CF">
            <w:pPr>
              <w:snapToGrid w:val="0"/>
              <w:spacing w:line="360" w:lineRule="auto"/>
              <w:jc w:val="center"/>
              <w:rPr>
                <w:rFonts w:hint="eastAsia" w:ascii="宋体" w:hAnsi="宋体" w:cs="宋体"/>
                <w:color w:val="auto"/>
                <w:sz w:val="24"/>
                <w:highlight w:val="none"/>
              </w:rPr>
            </w:pPr>
          </w:p>
        </w:tc>
        <w:tc>
          <w:tcPr>
            <w:tcW w:w="1634" w:type="dxa"/>
            <w:tcBorders>
              <w:top w:val="single" w:color="auto" w:sz="4" w:space="0"/>
              <w:left w:val="single" w:color="auto" w:sz="4" w:space="0"/>
              <w:bottom w:val="single" w:color="auto" w:sz="4" w:space="0"/>
              <w:right w:val="single" w:color="auto" w:sz="4" w:space="0"/>
            </w:tcBorders>
            <w:vAlign w:val="center"/>
          </w:tcPr>
          <w:p w14:paraId="236B27D0">
            <w:pPr>
              <w:snapToGrid w:val="0"/>
              <w:spacing w:line="360" w:lineRule="auto"/>
              <w:jc w:val="center"/>
              <w:rPr>
                <w:rFonts w:hint="eastAsia" w:ascii="宋体" w:hAnsi="宋体" w:cs="宋体"/>
                <w:color w:val="auto"/>
                <w:sz w:val="24"/>
                <w:highlight w:val="none"/>
              </w:rPr>
            </w:pPr>
          </w:p>
        </w:tc>
        <w:tc>
          <w:tcPr>
            <w:tcW w:w="1433" w:type="dxa"/>
            <w:tcBorders>
              <w:top w:val="single" w:color="auto" w:sz="4" w:space="0"/>
              <w:left w:val="single" w:color="auto" w:sz="4" w:space="0"/>
              <w:bottom w:val="single" w:color="auto" w:sz="4" w:space="0"/>
              <w:right w:val="single" w:color="auto" w:sz="4" w:space="0"/>
            </w:tcBorders>
            <w:vAlign w:val="center"/>
          </w:tcPr>
          <w:p w14:paraId="0BA4AD5B">
            <w:pPr>
              <w:snapToGrid w:val="0"/>
              <w:spacing w:line="360" w:lineRule="auto"/>
              <w:jc w:val="center"/>
              <w:rPr>
                <w:rFonts w:hint="eastAsia" w:ascii="宋体" w:hAnsi="宋体" w:cs="宋体"/>
                <w:color w:val="auto"/>
                <w:sz w:val="24"/>
                <w:highlight w:val="none"/>
              </w:rPr>
            </w:pPr>
          </w:p>
        </w:tc>
        <w:tc>
          <w:tcPr>
            <w:tcW w:w="1617" w:type="dxa"/>
            <w:tcBorders>
              <w:top w:val="single" w:color="auto" w:sz="4" w:space="0"/>
              <w:left w:val="single" w:color="auto" w:sz="4" w:space="0"/>
              <w:bottom w:val="single" w:color="auto" w:sz="4" w:space="0"/>
              <w:right w:val="single" w:color="auto" w:sz="4" w:space="0"/>
            </w:tcBorders>
            <w:vAlign w:val="center"/>
          </w:tcPr>
          <w:p w14:paraId="60F53EFD">
            <w:pPr>
              <w:spacing w:line="360" w:lineRule="auto"/>
              <w:jc w:val="center"/>
              <w:rPr>
                <w:rFonts w:hint="eastAsia" w:ascii="宋体" w:hAnsi="宋体" w:cs="宋体"/>
                <w:color w:val="auto"/>
                <w:sz w:val="24"/>
                <w:highlight w:val="none"/>
              </w:rPr>
            </w:pPr>
          </w:p>
        </w:tc>
        <w:tc>
          <w:tcPr>
            <w:tcW w:w="1541" w:type="dxa"/>
            <w:tcBorders>
              <w:top w:val="single" w:color="auto" w:sz="4" w:space="0"/>
              <w:left w:val="single" w:color="auto" w:sz="4" w:space="0"/>
              <w:bottom w:val="single" w:color="auto" w:sz="4" w:space="0"/>
              <w:right w:val="single" w:color="auto" w:sz="4" w:space="0"/>
            </w:tcBorders>
            <w:vAlign w:val="center"/>
          </w:tcPr>
          <w:p w14:paraId="3CAD0009">
            <w:pPr>
              <w:spacing w:line="360" w:lineRule="auto"/>
              <w:jc w:val="center"/>
              <w:rPr>
                <w:rFonts w:hint="eastAsia" w:ascii="宋体" w:hAnsi="宋体" w:cs="宋体"/>
                <w:color w:val="auto"/>
                <w:sz w:val="24"/>
                <w:highlight w:val="none"/>
              </w:rPr>
            </w:pPr>
          </w:p>
        </w:tc>
        <w:tc>
          <w:tcPr>
            <w:tcW w:w="1423" w:type="dxa"/>
            <w:tcBorders>
              <w:top w:val="single" w:color="auto" w:sz="4" w:space="0"/>
              <w:left w:val="single" w:color="auto" w:sz="4" w:space="0"/>
              <w:bottom w:val="single" w:color="auto" w:sz="4" w:space="0"/>
              <w:right w:val="single" w:color="auto" w:sz="4" w:space="0"/>
            </w:tcBorders>
            <w:vAlign w:val="center"/>
          </w:tcPr>
          <w:p w14:paraId="46677C9E">
            <w:pPr>
              <w:spacing w:line="360" w:lineRule="auto"/>
              <w:jc w:val="center"/>
              <w:rPr>
                <w:rFonts w:hint="eastAsia" w:ascii="宋体" w:hAnsi="宋体" w:cs="宋体"/>
                <w:color w:val="auto"/>
                <w:sz w:val="24"/>
                <w:highlight w:val="none"/>
              </w:rPr>
            </w:pPr>
          </w:p>
        </w:tc>
      </w:tr>
    </w:tbl>
    <w:p w14:paraId="30921270">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FB7A111">
      <w:pPr>
        <w:jc w:val="center"/>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八、商务技术偏离表</w:t>
      </w:r>
    </w:p>
    <w:tbl>
      <w:tblPr>
        <w:tblStyle w:val="64"/>
        <w:tblW w:w="89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900"/>
      </w:tblGrid>
      <w:tr w14:paraId="78184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332B711">
            <w:pPr>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55A32A0C">
            <w:pPr>
              <w:jc w:val="center"/>
              <w:rPr>
                <w:rFonts w:hint="eastAsia"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4D35462C">
            <w:pPr>
              <w:jc w:val="center"/>
              <w:rPr>
                <w:rFonts w:hint="eastAsia"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900" w:type="dxa"/>
          </w:tcPr>
          <w:p w14:paraId="430A7B78">
            <w:pPr>
              <w:jc w:val="center"/>
              <w:rPr>
                <w:rFonts w:hint="eastAsia" w:ascii="宋体" w:hAnsi="宋体" w:cs="宋体"/>
                <w:b/>
                <w:bCs/>
                <w:color w:val="auto"/>
                <w:sz w:val="24"/>
                <w:highlight w:val="none"/>
              </w:rPr>
            </w:pPr>
            <w:r>
              <w:rPr>
                <w:rFonts w:hint="eastAsia" w:ascii="宋体" w:hAnsi="宋体" w:cs="宋体"/>
                <w:b/>
                <w:bCs/>
                <w:color w:val="auto"/>
                <w:sz w:val="24"/>
                <w:highlight w:val="none"/>
              </w:rPr>
              <w:t>偏离说明</w:t>
            </w:r>
          </w:p>
        </w:tc>
      </w:tr>
      <w:tr w14:paraId="4D8C0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0549688">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C18C292">
            <w:pPr>
              <w:jc w:val="center"/>
              <w:rPr>
                <w:rFonts w:hint="eastAsia" w:ascii="宋体" w:hAnsi="宋体" w:cs="宋体"/>
                <w:b/>
                <w:color w:val="auto"/>
                <w:kern w:val="0"/>
                <w:sz w:val="32"/>
                <w:szCs w:val="32"/>
                <w:highlight w:val="none"/>
              </w:rPr>
            </w:pPr>
          </w:p>
        </w:tc>
        <w:tc>
          <w:tcPr>
            <w:tcW w:w="3062" w:type="dxa"/>
          </w:tcPr>
          <w:p w14:paraId="2D3701D0">
            <w:pPr>
              <w:jc w:val="center"/>
              <w:rPr>
                <w:rFonts w:hint="eastAsia" w:ascii="宋体" w:hAnsi="宋体" w:cs="宋体"/>
                <w:b/>
                <w:color w:val="auto"/>
                <w:kern w:val="0"/>
                <w:sz w:val="32"/>
                <w:szCs w:val="32"/>
                <w:highlight w:val="none"/>
              </w:rPr>
            </w:pPr>
          </w:p>
        </w:tc>
        <w:tc>
          <w:tcPr>
            <w:tcW w:w="1900" w:type="dxa"/>
          </w:tcPr>
          <w:p w14:paraId="17DEF760">
            <w:pPr>
              <w:jc w:val="center"/>
              <w:rPr>
                <w:rFonts w:hint="eastAsia" w:ascii="宋体" w:hAnsi="宋体" w:cs="宋体"/>
                <w:b/>
                <w:color w:val="auto"/>
                <w:kern w:val="0"/>
                <w:sz w:val="32"/>
                <w:szCs w:val="32"/>
                <w:highlight w:val="none"/>
              </w:rPr>
            </w:pPr>
          </w:p>
        </w:tc>
      </w:tr>
      <w:tr w14:paraId="24F10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9947504">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0D42C5A7">
            <w:pPr>
              <w:jc w:val="center"/>
              <w:rPr>
                <w:rFonts w:hint="eastAsia" w:ascii="宋体" w:hAnsi="宋体" w:cs="宋体"/>
                <w:b/>
                <w:color w:val="auto"/>
                <w:kern w:val="0"/>
                <w:sz w:val="32"/>
                <w:szCs w:val="32"/>
                <w:highlight w:val="none"/>
              </w:rPr>
            </w:pPr>
          </w:p>
        </w:tc>
        <w:tc>
          <w:tcPr>
            <w:tcW w:w="3062" w:type="dxa"/>
          </w:tcPr>
          <w:p w14:paraId="301B7F1C">
            <w:pPr>
              <w:jc w:val="center"/>
              <w:rPr>
                <w:rFonts w:hint="eastAsia" w:ascii="宋体" w:hAnsi="宋体" w:cs="宋体"/>
                <w:b/>
                <w:color w:val="auto"/>
                <w:kern w:val="0"/>
                <w:sz w:val="32"/>
                <w:szCs w:val="32"/>
                <w:highlight w:val="none"/>
              </w:rPr>
            </w:pPr>
          </w:p>
        </w:tc>
        <w:tc>
          <w:tcPr>
            <w:tcW w:w="1900" w:type="dxa"/>
          </w:tcPr>
          <w:p w14:paraId="37098F62">
            <w:pPr>
              <w:jc w:val="center"/>
              <w:rPr>
                <w:rFonts w:hint="eastAsia" w:ascii="宋体" w:hAnsi="宋体" w:cs="宋体"/>
                <w:b/>
                <w:color w:val="auto"/>
                <w:kern w:val="0"/>
                <w:sz w:val="32"/>
                <w:szCs w:val="32"/>
                <w:highlight w:val="none"/>
              </w:rPr>
            </w:pPr>
          </w:p>
        </w:tc>
      </w:tr>
      <w:tr w14:paraId="54BBC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E965A56">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35B1D14D">
            <w:pPr>
              <w:jc w:val="center"/>
              <w:rPr>
                <w:rFonts w:hint="eastAsia" w:ascii="宋体" w:hAnsi="宋体" w:cs="宋体"/>
                <w:b/>
                <w:color w:val="auto"/>
                <w:kern w:val="0"/>
                <w:sz w:val="32"/>
                <w:szCs w:val="32"/>
                <w:highlight w:val="none"/>
              </w:rPr>
            </w:pPr>
          </w:p>
        </w:tc>
        <w:tc>
          <w:tcPr>
            <w:tcW w:w="3062" w:type="dxa"/>
          </w:tcPr>
          <w:p w14:paraId="3C02F92B">
            <w:pPr>
              <w:jc w:val="center"/>
              <w:rPr>
                <w:rFonts w:hint="eastAsia" w:ascii="宋体" w:hAnsi="宋体" w:cs="宋体"/>
                <w:b/>
                <w:color w:val="auto"/>
                <w:kern w:val="0"/>
                <w:sz w:val="32"/>
                <w:szCs w:val="32"/>
                <w:highlight w:val="none"/>
              </w:rPr>
            </w:pPr>
          </w:p>
        </w:tc>
        <w:tc>
          <w:tcPr>
            <w:tcW w:w="1900" w:type="dxa"/>
          </w:tcPr>
          <w:p w14:paraId="7F2C11DC">
            <w:pPr>
              <w:jc w:val="center"/>
              <w:rPr>
                <w:rFonts w:hint="eastAsia" w:ascii="宋体" w:hAnsi="宋体" w:cs="宋体"/>
                <w:b/>
                <w:color w:val="auto"/>
                <w:kern w:val="0"/>
                <w:sz w:val="32"/>
                <w:szCs w:val="32"/>
                <w:highlight w:val="none"/>
              </w:rPr>
            </w:pPr>
          </w:p>
        </w:tc>
      </w:tr>
    </w:tbl>
    <w:p w14:paraId="38A19CA3">
      <w:pPr>
        <w:jc w:val="left"/>
        <w:rPr>
          <w:rFonts w:hint="eastAsia"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099C704D">
      <w:pPr>
        <w:jc w:val="center"/>
        <w:rPr>
          <w:rFonts w:hint="eastAsia" w:ascii="宋体" w:hAnsi="宋体" w:cs="宋体"/>
          <w:b/>
          <w:color w:val="auto"/>
          <w:kern w:val="0"/>
          <w:sz w:val="32"/>
          <w:szCs w:val="32"/>
          <w:highlight w:val="none"/>
        </w:rPr>
      </w:pPr>
    </w:p>
    <w:p w14:paraId="2A81D10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2F80830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2.本表格所反映的偏离情况与“符合性审查资料”、“评标标准相应的商务技术资料”不一致的，以“符合性审查资料”、“评标标准相应的商务技术资料”为准。</w:t>
      </w:r>
    </w:p>
    <w:p w14:paraId="5644DC3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3.投标人须保证：除商务技术偏离表列出的偏离外，投标人响应招标文件的全部非实质性要求。</w:t>
      </w:r>
    </w:p>
    <w:p w14:paraId="045A7555">
      <w:pPr>
        <w:ind w:firstLine="1911" w:firstLineChars="595"/>
        <w:rPr>
          <w:rFonts w:hint="eastAsia" w:ascii="宋体" w:hAnsi="宋体" w:cs="宋体"/>
          <w:b/>
          <w:bCs/>
          <w:color w:val="auto"/>
          <w:sz w:val="32"/>
          <w:szCs w:val="32"/>
          <w:highlight w:val="none"/>
        </w:rPr>
      </w:pPr>
    </w:p>
    <w:p w14:paraId="5ACB1EDA">
      <w:pPr>
        <w:ind w:firstLine="1911" w:firstLineChars="595"/>
        <w:rPr>
          <w:rFonts w:hint="eastAsia" w:ascii="宋体" w:hAnsi="宋体" w:cs="宋体"/>
          <w:b/>
          <w:bCs/>
          <w:color w:val="auto"/>
          <w:sz w:val="32"/>
          <w:szCs w:val="32"/>
          <w:highlight w:val="none"/>
        </w:rPr>
      </w:pPr>
    </w:p>
    <w:p w14:paraId="2EE8FF13">
      <w:pPr>
        <w:ind w:firstLine="1911" w:firstLineChars="595"/>
        <w:rPr>
          <w:rFonts w:hint="eastAsia" w:ascii="宋体" w:hAnsi="宋体" w:cs="宋体"/>
          <w:b/>
          <w:bCs/>
          <w:color w:val="auto"/>
          <w:sz w:val="32"/>
          <w:szCs w:val="32"/>
          <w:highlight w:val="none"/>
        </w:rPr>
      </w:pPr>
    </w:p>
    <w:p w14:paraId="7392DAC5">
      <w:pPr>
        <w:widowControl/>
        <w:adjustRightInd/>
        <w:jc w:val="left"/>
        <w:rPr>
          <w:rFonts w:hint="eastAsia" w:ascii="宋体" w:hAnsi="宋体" w:cs="宋体"/>
          <w:b/>
          <w:bCs/>
          <w:color w:val="auto"/>
          <w:sz w:val="32"/>
          <w:szCs w:val="32"/>
          <w:highlight w:val="none"/>
        </w:rPr>
      </w:pPr>
      <w:r>
        <w:rPr>
          <w:rFonts w:ascii="宋体" w:hAnsi="宋体" w:cs="宋体"/>
          <w:b/>
          <w:bCs/>
          <w:color w:val="auto"/>
          <w:sz w:val="32"/>
          <w:szCs w:val="32"/>
          <w:highlight w:val="none"/>
        </w:rPr>
        <w:br w:type="page"/>
      </w:r>
    </w:p>
    <w:p w14:paraId="2D6C48B2">
      <w:pPr>
        <w:ind w:firstLine="1911" w:firstLineChars="595"/>
        <w:rPr>
          <w:rFonts w:hint="eastAsia" w:ascii="宋体" w:hAnsi="宋体" w:cs="宋体"/>
          <w:b/>
          <w:color w:val="auto"/>
          <w:kern w:val="0"/>
          <w:sz w:val="32"/>
          <w:szCs w:val="32"/>
          <w:highlight w:val="none"/>
        </w:rPr>
      </w:pPr>
      <w:r>
        <w:rPr>
          <w:rFonts w:hint="eastAsia" w:ascii="宋体" w:hAnsi="宋体" w:cs="宋体"/>
          <w:b/>
          <w:bCs/>
          <w:color w:val="auto"/>
          <w:sz w:val="32"/>
          <w:szCs w:val="32"/>
          <w:highlight w:val="none"/>
        </w:rPr>
        <w:t>九</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14724D73">
      <w:pPr>
        <w:snapToGrid w:val="0"/>
        <w:spacing w:line="360" w:lineRule="auto"/>
        <w:rPr>
          <w:rFonts w:hint="eastAsia" w:ascii="宋体" w:hAnsi="宋体" w:cs="宋体"/>
          <w:color w:val="auto"/>
          <w:sz w:val="24"/>
          <w:highlight w:val="none"/>
        </w:rPr>
      </w:pPr>
    </w:p>
    <w:p w14:paraId="0D159971">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杭州市城市水设施和河道保护管理中心、浙江豪圣建设项目管理有限公司</w:t>
      </w:r>
      <w:r>
        <w:rPr>
          <w:rFonts w:hint="eastAsia" w:ascii="宋体" w:hAnsi="宋体" w:cs="宋体"/>
          <w:color w:val="auto"/>
          <w:kern w:val="0"/>
          <w:sz w:val="24"/>
          <w:highlight w:val="none"/>
          <w:lang w:val="zh-CN"/>
        </w:rPr>
        <w:t>：</w:t>
      </w:r>
    </w:p>
    <w:p w14:paraId="232CCCCE">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CD4524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B83B43B">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2E18D8EE">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0D7FBAC">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86485D1">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409E40AB">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2988768E">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BF0BA01">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5C7932B4">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C6195B6">
      <w:pPr>
        <w:autoSpaceDE w:val="0"/>
        <w:autoSpaceDN w:val="0"/>
        <w:spacing w:line="360" w:lineRule="auto"/>
        <w:ind w:left="2"/>
        <w:jc w:val="left"/>
        <w:rPr>
          <w:rFonts w:hint="eastAsia" w:ascii="宋体" w:hAnsi="宋体" w:cs="宋体"/>
          <w:color w:val="auto"/>
          <w:kern w:val="0"/>
          <w:sz w:val="24"/>
          <w:highlight w:val="none"/>
          <w:lang w:val="zh-CN"/>
        </w:rPr>
      </w:pPr>
    </w:p>
    <w:p w14:paraId="7CF81C1D">
      <w:pPr>
        <w:autoSpaceDE w:val="0"/>
        <w:autoSpaceDN w:val="0"/>
        <w:spacing w:line="360" w:lineRule="auto"/>
        <w:ind w:left="2"/>
        <w:jc w:val="left"/>
        <w:rPr>
          <w:rFonts w:hint="eastAsia" w:ascii="宋体" w:hAnsi="宋体" w:cs="宋体"/>
          <w:color w:val="auto"/>
          <w:kern w:val="0"/>
          <w:sz w:val="24"/>
          <w:highlight w:val="none"/>
          <w:lang w:val="zh-CN"/>
        </w:rPr>
      </w:pPr>
    </w:p>
    <w:p w14:paraId="30A64136">
      <w:pPr>
        <w:autoSpaceDE w:val="0"/>
        <w:autoSpaceDN w:val="0"/>
        <w:spacing w:line="360" w:lineRule="auto"/>
        <w:ind w:left="2"/>
        <w:jc w:val="left"/>
        <w:rPr>
          <w:rFonts w:hint="eastAsia" w:ascii="宋体" w:hAnsi="宋体" w:cs="宋体"/>
          <w:color w:val="auto"/>
          <w:kern w:val="0"/>
          <w:sz w:val="24"/>
          <w:highlight w:val="none"/>
          <w:lang w:val="zh-CN"/>
        </w:rPr>
      </w:pPr>
    </w:p>
    <w:p w14:paraId="2D19123D">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D976893">
      <w:pPr>
        <w:spacing w:line="360" w:lineRule="auto"/>
        <w:ind w:left="4620" w:leftChars="2200"/>
        <w:rPr>
          <w:rFonts w:hint="eastAsia"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49B600F">
      <w:pPr>
        <w:spacing w:line="360" w:lineRule="auto"/>
        <w:jc w:val="center"/>
        <w:rPr>
          <w:rFonts w:hint="eastAsia" w:ascii="宋体" w:hAnsi="宋体" w:cs="宋体"/>
          <w:b/>
          <w:bCs/>
          <w:color w:val="auto"/>
          <w:sz w:val="24"/>
          <w:highlight w:val="none"/>
        </w:rPr>
      </w:pPr>
    </w:p>
    <w:p w14:paraId="67F66B5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406E36B6">
      <w:pPr>
        <w:spacing w:line="360" w:lineRule="auto"/>
        <w:jc w:val="center"/>
        <w:rPr>
          <w:rFonts w:hint="eastAsia" w:ascii="宋体" w:hAnsi="宋体" w:cs="宋体"/>
          <w:b/>
          <w:bCs/>
          <w:color w:val="auto"/>
          <w:sz w:val="24"/>
          <w:highlight w:val="none"/>
        </w:rPr>
        <w:sectPr>
          <w:headerReference r:id="rId13" w:type="first"/>
          <w:footerReference r:id="rId15" w:type="first"/>
          <w:headerReference r:id="rId12" w:type="default"/>
          <w:footerReference r:id="rId14" w:type="default"/>
          <w:pgSz w:w="11905" w:h="16838"/>
          <w:pgMar w:top="1247" w:right="1417" w:bottom="1247" w:left="1417" w:header="851" w:footer="850" w:gutter="0"/>
          <w:cols w:space="0" w:num="1"/>
          <w:docGrid w:linePitch="312" w:charSpace="0"/>
        </w:sectPr>
      </w:pPr>
    </w:p>
    <w:p w14:paraId="541486FB">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33FDCA50">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3BABAF8">
      <w:pPr>
        <w:spacing w:line="360" w:lineRule="auto"/>
        <w:jc w:val="center"/>
        <w:outlineLvl w:val="0"/>
        <w:rPr>
          <w:rFonts w:hint="eastAsia" w:ascii="宋体" w:hAnsi="宋体" w:cs="宋体"/>
          <w:b/>
          <w:color w:val="auto"/>
          <w:kern w:val="0"/>
          <w:sz w:val="36"/>
          <w:szCs w:val="36"/>
          <w:highlight w:val="none"/>
        </w:rPr>
      </w:pPr>
    </w:p>
    <w:p w14:paraId="0410C58E">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4D3AFD7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（2）中小企业声明函………………………………………………………………（页码）</w:t>
      </w:r>
    </w:p>
    <w:p w14:paraId="78119E2A">
      <w:pPr>
        <w:pStyle w:val="81"/>
        <w:rPr>
          <w:rFonts w:hint="eastAsia"/>
          <w:color w:val="auto"/>
          <w:highlight w:val="none"/>
        </w:rPr>
      </w:pPr>
    </w:p>
    <w:p w14:paraId="74BB3193">
      <w:pPr>
        <w:pStyle w:val="81"/>
        <w:rPr>
          <w:rFonts w:hint="eastAsia"/>
          <w:color w:val="auto"/>
          <w:highlight w:val="none"/>
        </w:rPr>
      </w:pPr>
    </w:p>
    <w:p w14:paraId="334A477B">
      <w:pPr>
        <w:snapToGrid w:val="0"/>
        <w:spacing w:line="360" w:lineRule="auto"/>
        <w:ind w:right="480"/>
        <w:jc w:val="center"/>
        <w:rPr>
          <w:rFonts w:hint="eastAsia" w:ascii="宋体" w:hAnsi="宋体" w:cs="宋体"/>
          <w:b/>
          <w:color w:val="auto"/>
          <w:kern w:val="0"/>
          <w:sz w:val="32"/>
          <w:szCs w:val="32"/>
          <w:highlight w:val="none"/>
        </w:rPr>
      </w:pPr>
    </w:p>
    <w:p w14:paraId="02F309F6">
      <w:pPr>
        <w:snapToGrid w:val="0"/>
        <w:spacing w:line="360" w:lineRule="auto"/>
        <w:ind w:right="480"/>
        <w:jc w:val="center"/>
        <w:rPr>
          <w:rFonts w:hint="eastAsia" w:ascii="宋体" w:hAnsi="宋体" w:cs="宋体"/>
          <w:b/>
          <w:color w:val="auto"/>
          <w:kern w:val="0"/>
          <w:sz w:val="32"/>
          <w:szCs w:val="32"/>
          <w:highlight w:val="none"/>
        </w:rPr>
      </w:pPr>
    </w:p>
    <w:p w14:paraId="32139522">
      <w:pPr>
        <w:snapToGrid w:val="0"/>
        <w:spacing w:line="360" w:lineRule="auto"/>
        <w:ind w:right="480"/>
        <w:jc w:val="center"/>
        <w:rPr>
          <w:rFonts w:hint="eastAsia" w:ascii="宋体" w:hAnsi="宋体" w:cs="宋体"/>
          <w:b/>
          <w:color w:val="auto"/>
          <w:kern w:val="0"/>
          <w:sz w:val="32"/>
          <w:szCs w:val="32"/>
          <w:highlight w:val="none"/>
        </w:rPr>
      </w:pPr>
    </w:p>
    <w:p w14:paraId="5F6AAA2F">
      <w:pPr>
        <w:snapToGrid w:val="0"/>
        <w:spacing w:line="360" w:lineRule="auto"/>
        <w:ind w:right="480"/>
        <w:jc w:val="center"/>
        <w:rPr>
          <w:rFonts w:hint="eastAsia" w:ascii="宋体" w:hAnsi="宋体" w:cs="宋体"/>
          <w:b/>
          <w:color w:val="auto"/>
          <w:kern w:val="0"/>
          <w:sz w:val="32"/>
          <w:szCs w:val="32"/>
          <w:highlight w:val="none"/>
        </w:rPr>
      </w:pPr>
    </w:p>
    <w:p w14:paraId="296F564B">
      <w:pPr>
        <w:snapToGrid w:val="0"/>
        <w:spacing w:line="360" w:lineRule="auto"/>
        <w:ind w:right="480"/>
        <w:jc w:val="center"/>
        <w:rPr>
          <w:rFonts w:hint="eastAsia" w:ascii="宋体" w:hAnsi="宋体" w:cs="宋体"/>
          <w:b/>
          <w:color w:val="auto"/>
          <w:kern w:val="0"/>
          <w:sz w:val="32"/>
          <w:szCs w:val="32"/>
          <w:highlight w:val="none"/>
        </w:rPr>
      </w:pPr>
    </w:p>
    <w:p w14:paraId="3B3322A1">
      <w:pPr>
        <w:snapToGrid w:val="0"/>
        <w:spacing w:line="360" w:lineRule="auto"/>
        <w:ind w:right="480"/>
        <w:jc w:val="center"/>
        <w:rPr>
          <w:rFonts w:hint="eastAsia" w:ascii="宋体" w:hAnsi="宋体" w:cs="宋体"/>
          <w:b/>
          <w:color w:val="auto"/>
          <w:kern w:val="0"/>
          <w:sz w:val="32"/>
          <w:szCs w:val="32"/>
          <w:highlight w:val="none"/>
        </w:rPr>
      </w:pPr>
    </w:p>
    <w:p w14:paraId="685ED8F0">
      <w:pPr>
        <w:snapToGrid w:val="0"/>
        <w:spacing w:line="360" w:lineRule="auto"/>
        <w:ind w:right="480"/>
        <w:jc w:val="center"/>
        <w:rPr>
          <w:rFonts w:hint="eastAsia" w:ascii="宋体" w:hAnsi="宋体" w:cs="宋体"/>
          <w:b/>
          <w:color w:val="auto"/>
          <w:kern w:val="0"/>
          <w:sz w:val="32"/>
          <w:szCs w:val="32"/>
          <w:highlight w:val="none"/>
        </w:rPr>
      </w:pPr>
    </w:p>
    <w:p w14:paraId="71B4436E">
      <w:pPr>
        <w:snapToGrid w:val="0"/>
        <w:spacing w:line="360" w:lineRule="auto"/>
        <w:ind w:right="480"/>
        <w:jc w:val="center"/>
        <w:rPr>
          <w:rFonts w:hint="eastAsia" w:ascii="宋体" w:hAnsi="宋体" w:cs="宋体"/>
          <w:b/>
          <w:color w:val="auto"/>
          <w:kern w:val="0"/>
          <w:sz w:val="32"/>
          <w:szCs w:val="32"/>
          <w:highlight w:val="none"/>
        </w:rPr>
      </w:pPr>
    </w:p>
    <w:p w14:paraId="1E46FDF8">
      <w:pPr>
        <w:snapToGrid w:val="0"/>
        <w:spacing w:line="360" w:lineRule="auto"/>
        <w:ind w:right="480"/>
        <w:jc w:val="center"/>
        <w:rPr>
          <w:rFonts w:hint="eastAsia" w:ascii="宋体" w:hAnsi="宋体" w:cs="宋体"/>
          <w:b/>
          <w:color w:val="auto"/>
          <w:kern w:val="0"/>
          <w:sz w:val="32"/>
          <w:szCs w:val="32"/>
          <w:highlight w:val="none"/>
        </w:rPr>
      </w:pPr>
    </w:p>
    <w:p w14:paraId="3F1DFB77">
      <w:pPr>
        <w:snapToGrid w:val="0"/>
        <w:spacing w:line="360" w:lineRule="auto"/>
        <w:ind w:right="480"/>
        <w:jc w:val="center"/>
        <w:rPr>
          <w:rFonts w:hint="eastAsia" w:ascii="宋体" w:hAnsi="宋体" w:cs="宋体"/>
          <w:b/>
          <w:color w:val="auto"/>
          <w:kern w:val="0"/>
          <w:sz w:val="32"/>
          <w:szCs w:val="32"/>
          <w:highlight w:val="none"/>
        </w:rPr>
      </w:pPr>
    </w:p>
    <w:p w14:paraId="367C6C22">
      <w:pPr>
        <w:snapToGrid w:val="0"/>
        <w:spacing w:line="360" w:lineRule="auto"/>
        <w:ind w:right="480"/>
        <w:jc w:val="center"/>
        <w:rPr>
          <w:rFonts w:hint="eastAsia" w:ascii="宋体" w:hAnsi="宋体" w:cs="宋体"/>
          <w:b/>
          <w:color w:val="auto"/>
          <w:kern w:val="0"/>
          <w:sz w:val="32"/>
          <w:szCs w:val="32"/>
          <w:highlight w:val="none"/>
        </w:rPr>
      </w:pPr>
    </w:p>
    <w:p w14:paraId="5C530EA3">
      <w:pPr>
        <w:snapToGrid w:val="0"/>
        <w:spacing w:line="360" w:lineRule="auto"/>
        <w:ind w:right="480"/>
        <w:jc w:val="center"/>
        <w:rPr>
          <w:rFonts w:hint="eastAsia" w:ascii="宋体" w:hAnsi="宋体" w:cs="宋体"/>
          <w:b/>
          <w:color w:val="auto"/>
          <w:kern w:val="0"/>
          <w:sz w:val="32"/>
          <w:szCs w:val="32"/>
          <w:highlight w:val="none"/>
        </w:rPr>
      </w:pPr>
    </w:p>
    <w:p w14:paraId="6C5FF19B">
      <w:pPr>
        <w:snapToGrid w:val="0"/>
        <w:spacing w:line="360" w:lineRule="auto"/>
        <w:ind w:right="480"/>
        <w:jc w:val="center"/>
        <w:rPr>
          <w:rFonts w:hint="eastAsia" w:ascii="宋体" w:hAnsi="宋体" w:cs="宋体"/>
          <w:b/>
          <w:color w:val="auto"/>
          <w:kern w:val="0"/>
          <w:sz w:val="32"/>
          <w:szCs w:val="32"/>
          <w:highlight w:val="none"/>
        </w:rPr>
      </w:pPr>
    </w:p>
    <w:p w14:paraId="00158E19">
      <w:pPr>
        <w:snapToGrid w:val="0"/>
        <w:spacing w:line="360" w:lineRule="auto"/>
        <w:ind w:right="480"/>
        <w:jc w:val="center"/>
        <w:rPr>
          <w:rFonts w:hint="eastAsia" w:ascii="宋体" w:hAnsi="宋体" w:cs="宋体"/>
          <w:b/>
          <w:color w:val="auto"/>
          <w:kern w:val="0"/>
          <w:sz w:val="32"/>
          <w:szCs w:val="32"/>
          <w:highlight w:val="none"/>
        </w:rPr>
      </w:pPr>
    </w:p>
    <w:p w14:paraId="3D9F74AE">
      <w:pPr>
        <w:snapToGrid w:val="0"/>
        <w:spacing w:line="360" w:lineRule="auto"/>
        <w:ind w:right="480"/>
        <w:jc w:val="center"/>
        <w:rPr>
          <w:rFonts w:hint="eastAsia" w:ascii="宋体" w:hAnsi="宋体" w:cs="宋体"/>
          <w:b/>
          <w:color w:val="auto"/>
          <w:kern w:val="0"/>
          <w:sz w:val="32"/>
          <w:szCs w:val="32"/>
          <w:highlight w:val="none"/>
        </w:rPr>
      </w:pPr>
    </w:p>
    <w:p w14:paraId="1DD4F026">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5" w:h="16838"/>
          <w:pgMar w:top="1247" w:right="1417" w:bottom="1247" w:left="1417" w:header="851" w:footer="850" w:gutter="0"/>
          <w:cols w:space="0" w:num="1"/>
          <w:docGrid w:linePitch="312" w:charSpace="0"/>
        </w:sectPr>
      </w:pPr>
    </w:p>
    <w:p w14:paraId="0A2E252C">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7AA4080">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杭州市城市水设施和河道保护管理中心、浙江豪圣建设项目管理有限公司</w:t>
      </w:r>
      <w:r>
        <w:rPr>
          <w:rFonts w:hint="eastAsia" w:ascii="宋体" w:hAnsi="宋体" w:cs="宋体"/>
          <w:color w:val="auto"/>
          <w:kern w:val="0"/>
          <w:sz w:val="24"/>
          <w:highlight w:val="none"/>
          <w:lang w:val="zh-CN"/>
        </w:rPr>
        <w:t>：</w:t>
      </w:r>
    </w:p>
    <w:p w14:paraId="7BE2D262">
      <w:pPr>
        <w:snapToGrid w:val="0"/>
        <w:spacing w:line="360" w:lineRule="auto"/>
        <w:ind w:firstLine="482"/>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西塘河（湖州街-京杭运河）生态清淤工程</w:t>
      </w:r>
      <w:r>
        <w:rPr>
          <w:rFonts w:hint="eastAsia" w:ascii="宋体" w:hAnsi="宋体" w:cs="宋体"/>
          <w:color w:val="auto"/>
          <w:kern w:val="0"/>
          <w:sz w:val="24"/>
          <w:highlight w:val="none"/>
          <w:lang w:val="zh-CN"/>
        </w:rPr>
        <w:t>【项目编号：</w:t>
      </w:r>
      <w:r>
        <w:rPr>
          <w:rFonts w:hint="eastAsia" w:ascii="宋体" w:hAnsi="宋体" w:cs="宋体"/>
          <w:color w:val="auto"/>
          <w:sz w:val="24"/>
          <w:highlight w:val="none"/>
        </w:rPr>
        <w:t>HSZB-2024-1480】的实施</w:t>
      </w:r>
      <w:r>
        <w:rPr>
          <w:rFonts w:hint="eastAsia" w:ascii="宋体" w:hAnsi="宋体" w:cs="宋体"/>
          <w:color w:val="auto"/>
          <w:kern w:val="0"/>
          <w:sz w:val="24"/>
          <w:highlight w:val="none"/>
          <w:lang w:val="zh-CN"/>
        </w:rPr>
        <w:t>。</w:t>
      </w:r>
    </w:p>
    <w:p w14:paraId="2CE0FDE3">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94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3195"/>
        <w:gridCol w:w="871"/>
        <w:gridCol w:w="1378"/>
        <w:gridCol w:w="1597"/>
        <w:gridCol w:w="1597"/>
      </w:tblGrid>
      <w:tr w14:paraId="725DE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839" w:type="dxa"/>
            <w:vAlign w:val="center"/>
          </w:tcPr>
          <w:p w14:paraId="125CC788">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序号</w:t>
            </w:r>
          </w:p>
        </w:tc>
        <w:tc>
          <w:tcPr>
            <w:tcW w:w="3195" w:type="dxa"/>
            <w:vAlign w:val="center"/>
          </w:tcPr>
          <w:p w14:paraId="4F50802E">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内容</w:t>
            </w:r>
          </w:p>
        </w:tc>
        <w:tc>
          <w:tcPr>
            <w:tcW w:w="871" w:type="dxa"/>
            <w:vAlign w:val="center"/>
          </w:tcPr>
          <w:p w14:paraId="3D082156">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单位</w:t>
            </w:r>
          </w:p>
        </w:tc>
        <w:tc>
          <w:tcPr>
            <w:tcW w:w="1378" w:type="dxa"/>
            <w:vAlign w:val="center"/>
          </w:tcPr>
          <w:p w14:paraId="25D514D7">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数量</w:t>
            </w:r>
          </w:p>
        </w:tc>
        <w:tc>
          <w:tcPr>
            <w:tcW w:w="1597" w:type="dxa"/>
            <w:vAlign w:val="center"/>
          </w:tcPr>
          <w:p w14:paraId="00916338">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综合单价（元）</w:t>
            </w:r>
          </w:p>
        </w:tc>
        <w:tc>
          <w:tcPr>
            <w:tcW w:w="1597" w:type="dxa"/>
            <w:vAlign w:val="center"/>
          </w:tcPr>
          <w:p w14:paraId="0AA16247">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合</w:t>
            </w:r>
            <w:r>
              <w:rPr>
                <w:rFonts w:hint="eastAsia" w:ascii="宋体" w:hAnsi="宋体" w:cs="宋体"/>
                <w:color w:val="auto"/>
                <w:sz w:val="24"/>
                <w:highlight w:val="none"/>
              </w:rPr>
              <w:t>计</w:t>
            </w:r>
            <w:r>
              <w:rPr>
                <w:rFonts w:hint="eastAsia" w:ascii="宋体" w:hAnsi="宋体" w:cs="宋体"/>
                <w:color w:val="auto"/>
                <w:sz w:val="24"/>
                <w:highlight w:val="none"/>
                <w:lang w:val="zh-CN"/>
              </w:rPr>
              <w:t>（元）</w:t>
            </w:r>
          </w:p>
        </w:tc>
      </w:tr>
      <w:tr w14:paraId="5595C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839" w:type="dxa"/>
            <w:vAlign w:val="center"/>
          </w:tcPr>
          <w:p w14:paraId="07A82ACD">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一</w:t>
            </w:r>
          </w:p>
        </w:tc>
        <w:tc>
          <w:tcPr>
            <w:tcW w:w="3195" w:type="dxa"/>
            <w:vAlign w:val="center"/>
          </w:tcPr>
          <w:p w14:paraId="77468654">
            <w:pPr>
              <w:wordWrap w:val="0"/>
              <w:autoSpaceDE w:val="0"/>
              <w:autoSpaceDN w:val="0"/>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西塘河（湖州街-京杭运河）生态清淤工程</w:t>
            </w:r>
          </w:p>
        </w:tc>
        <w:tc>
          <w:tcPr>
            <w:tcW w:w="871" w:type="dxa"/>
            <w:vAlign w:val="center"/>
          </w:tcPr>
          <w:p w14:paraId="162AE9D6">
            <w:pPr>
              <w:wordWrap w:val="0"/>
              <w:autoSpaceDE w:val="0"/>
              <w:autoSpaceDN w:val="0"/>
              <w:jc w:val="center"/>
              <w:rPr>
                <w:rFonts w:hint="eastAsia" w:ascii="宋体" w:hAnsi="宋体" w:cs="宋体"/>
                <w:color w:val="auto"/>
                <w:sz w:val="24"/>
                <w:highlight w:val="none"/>
              </w:rPr>
            </w:pPr>
            <w:r>
              <w:rPr>
                <w:rFonts w:hint="eastAsia" w:ascii="宋体" w:hAnsi="宋体" w:cs="宋体"/>
                <w:color w:val="auto"/>
                <w:sz w:val="24"/>
                <w:highlight w:val="none"/>
              </w:rPr>
              <w:t>m</w:t>
            </w:r>
            <w:r>
              <w:rPr>
                <w:rFonts w:hint="eastAsia" w:ascii="宋体" w:hAnsi="宋体" w:cs="宋体"/>
                <w:color w:val="auto"/>
                <w:sz w:val="24"/>
                <w:highlight w:val="none"/>
                <w:vertAlign w:val="superscript"/>
              </w:rPr>
              <w:t>3</w:t>
            </w:r>
          </w:p>
        </w:tc>
        <w:tc>
          <w:tcPr>
            <w:tcW w:w="1378" w:type="dxa"/>
            <w:vAlign w:val="center"/>
          </w:tcPr>
          <w:p w14:paraId="4589FB93">
            <w:pPr>
              <w:wordWrap w:val="0"/>
              <w:autoSpaceDE w:val="0"/>
              <w:autoSpaceDN w:val="0"/>
              <w:jc w:val="center"/>
              <w:rPr>
                <w:rFonts w:hint="eastAsia" w:ascii="宋体" w:hAnsi="宋体" w:cs="宋体"/>
                <w:color w:val="auto"/>
                <w:sz w:val="24"/>
                <w:highlight w:val="none"/>
              </w:rPr>
            </w:pPr>
            <w:r>
              <w:rPr>
                <w:rFonts w:hint="eastAsia" w:ascii="宋体" w:hAnsi="宋体" w:cs="宋体"/>
                <w:color w:val="auto"/>
                <w:kern w:val="0"/>
                <w:sz w:val="24"/>
                <w:highlight w:val="none"/>
                <w:lang w:bidi="ar"/>
              </w:rPr>
              <w:t>41000m³</w:t>
            </w:r>
          </w:p>
        </w:tc>
        <w:tc>
          <w:tcPr>
            <w:tcW w:w="1597" w:type="dxa"/>
            <w:vAlign w:val="center"/>
          </w:tcPr>
          <w:p w14:paraId="746DF59B">
            <w:pPr>
              <w:wordWrap w:val="0"/>
              <w:autoSpaceDE w:val="0"/>
              <w:autoSpaceDN w:val="0"/>
              <w:jc w:val="center"/>
              <w:rPr>
                <w:rFonts w:hint="eastAsia" w:ascii="宋体" w:hAnsi="宋体" w:cs="宋体"/>
                <w:color w:val="auto"/>
                <w:sz w:val="24"/>
                <w:highlight w:val="none"/>
                <w:lang w:val="zh-CN"/>
              </w:rPr>
            </w:pPr>
          </w:p>
        </w:tc>
        <w:tc>
          <w:tcPr>
            <w:tcW w:w="1597" w:type="dxa"/>
            <w:vAlign w:val="center"/>
          </w:tcPr>
          <w:p w14:paraId="2F0095C8">
            <w:pPr>
              <w:wordWrap w:val="0"/>
              <w:autoSpaceDE w:val="0"/>
              <w:autoSpaceDN w:val="0"/>
              <w:jc w:val="center"/>
              <w:rPr>
                <w:rFonts w:hint="eastAsia" w:ascii="宋体" w:hAnsi="宋体" w:cs="宋体"/>
                <w:color w:val="auto"/>
                <w:sz w:val="24"/>
                <w:highlight w:val="none"/>
                <w:lang w:val="zh-CN"/>
              </w:rPr>
            </w:pPr>
          </w:p>
        </w:tc>
      </w:tr>
      <w:tr w14:paraId="51B92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6283" w:type="dxa"/>
            <w:gridSpan w:val="4"/>
            <w:vAlign w:val="center"/>
          </w:tcPr>
          <w:p w14:paraId="479CA467">
            <w:pPr>
              <w:jc w:val="center"/>
              <w:rPr>
                <w:rFonts w:hint="eastAsia" w:ascii="宋体" w:hAnsi="宋体" w:cs="宋体"/>
                <w:color w:val="auto"/>
                <w:sz w:val="24"/>
                <w:highlight w:val="none"/>
              </w:rPr>
            </w:pPr>
            <w:r>
              <w:rPr>
                <w:rFonts w:hint="eastAsia" w:ascii="宋体" w:hAnsi="宋体" w:cs="宋体"/>
                <w:b/>
                <w:color w:val="auto"/>
                <w:sz w:val="24"/>
                <w:highlight w:val="none"/>
              </w:rPr>
              <w:t>投标报价（合计）（小写）</w:t>
            </w:r>
          </w:p>
        </w:tc>
        <w:tc>
          <w:tcPr>
            <w:tcW w:w="3194" w:type="dxa"/>
            <w:gridSpan w:val="2"/>
          </w:tcPr>
          <w:p w14:paraId="4371F911">
            <w:pPr>
              <w:wordWrap w:val="0"/>
              <w:autoSpaceDE w:val="0"/>
              <w:autoSpaceDN w:val="0"/>
              <w:spacing w:line="360" w:lineRule="auto"/>
              <w:rPr>
                <w:rFonts w:hint="eastAsia" w:ascii="宋体" w:hAnsi="宋体" w:cs="宋体"/>
                <w:color w:val="auto"/>
                <w:sz w:val="24"/>
                <w:highlight w:val="none"/>
                <w:lang w:val="zh-CN"/>
              </w:rPr>
            </w:pPr>
          </w:p>
        </w:tc>
      </w:tr>
      <w:tr w14:paraId="26014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6283" w:type="dxa"/>
            <w:gridSpan w:val="4"/>
            <w:vAlign w:val="center"/>
          </w:tcPr>
          <w:p w14:paraId="54916121">
            <w:pPr>
              <w:jc w:val="center"/>
              <w:rPr>
                <w:rFonts w:hint="eastAsia" w:ascii="宋体" w:hAnsi="宋体" w:cs="宋体"/>
                <w:color w:val="auto"/>
                <w:sz w:val="24"/>
                <w:highlight w:val="none"/>
              </w:rPr>
            </w:pPr>
            <w:r>
              <w:rPr>
                <w:rFonts w:hint="eastAsia" w:ascii="宋体" w:hAnsi="宋体" w:cs="宋体"/>
                <w:b/>
                <w:color w:val="auto"/>
                <w:sz w:val="24"/>
                <w:highlight w:val="none"/>
              </w:rPr>
              <w:t>投标报价（合计）（大写）</w:t>
            </w:r>
          </w:p>
        </w:tc>
        <w:tc>
          <w:tcPr>
            <w:tcW w:w="3194" w:type="dxa"/>
            <w:gridSpan w:val="2"/>
          </w:tcPr>
          <w:p w14:paraId="087C168D">
            <w:pPr>
              <w:wordWrap w:val="0"/>
              <w:autoSpaceDE w:val="0"/>
              <w:autoSpaceDN w:val="0"/>
              <w:spacing w:line="360" w:lineRule="auto"/>
              <w:rPr>
                <w:rFonts w:hint="eastAsia" w:ascii="宋体" w:hAnsi="宋体" w:cs="宋体"/>
                <w:color w:val="auto"/>
                <w:sz w:val="24"/>
                <w:highlight w:val="none"/>
                <w:lang w:val="zh-CN"/>
              </w:rPr>
            </w:pPr>
          </w:p>
        </w:tc>
      </w:tr>
    </w:tbl>
    <w:p w14:paraId="79E38B6E">
      <w:pPr>
        <w:snapToGrid w:val="0"/>
        <w:spacing w:line="360" w:lineRule="auto"/>
        <w:ind w:left="480"/>
        <w:rPr>
          <w:rFonts w:hint="eastAsia" w:ascii="宋体" w:hAnsi="宋体" w:cs="宋体"/>
          <w:b/>
          <w:color w:val="auto"/>
          <w:kern w:val="0"/>
          <w:sz w:val="24"/>
          <w:highlight w:val="none"/>
          <w:lang w:val="zh-CN"/>
        </w:rPr>
      </w:pPr>
    </w:p>
    <w:p w14:paraId="0C9C2723">
      <w:pPr>
        <w:snapToGrid w:val="0"/>
        <w:spacing w:line="360" w:lineRule="auto"/>
        <w:ind w:left="480"/>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046E7574">
      <w:pPr>
        <w:spacing w:line="360" w:lineRule="auto"/>
        <w:ind w:left="-2" w:leftChars="-1"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02ED145C">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27680B1F">
      <w:pPr>
        <w:snapToGrid w:val="0"/>
        <w:spacing w:line="360" w:lineRule="auto"/>
        <w:ind w:firstLine="480" w:firstLineChars="200"/>
        <w:jc w:val="left"/>
        <w:rPr>
          <w:rFonts w:hint="eastAsia"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60851DA9">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17E4683A">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1905" w:h="16838"/>
          <w:pgMar w:top="1247" w:right="1417" w:bottom="1247" w:left="1417" w:header="851" w:footer="850" w:gutter="0"/>
          <w:cols w:space="0" w:num="1"/>
          <w:docGrid w:linePitch="312" w:charSpace="0"/>
        </w:sectPr>
      </w:pPr>
    </w:p>
    <w:p w14:paraId="79490D71">
      <w:pPr>
        <w:pStyle w:val="694"/>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2D0C15CA">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6735B0BE">
      <w:pPr>
        <w:pStyle w:val="81"/>
        <w:ind w:firstLine="482"/>
        <w:rPr>
          <w:rFonts w:hint="eastAsia" w:ascii="宋体" w:hAnsi="宋体" w:cs="宋体"/>
          <w:b/>
          <w:color w:val="auto"/>
          <w:sz w:val="24"/>
          <w:highlight w:val="none"/>
        </w:rPr>
      </w:pPr>
    </w:p>
    <w:p w14:paraId="07EDE077">
      <w:pPr>
        <w:pStyle w:val="81"/>
        <w:ind w:firstLine="482"/>
        <w:rPr>
          <w:rFonts w:hint="eastAsia" w:ascii="宋体" w:hAnsi="宋体" w:cs="宋体"/>
          <w:b/>
          <w:color w:val="auto"/>
          <w:sz w:val="24"/>
          <w:highlight w:val="none"/>
        </w:rPr>
      </w:pPr>
    </w:p>
    <w:p w14:paraId="225F9178">
      <w:pPr>
        <w:pStyle w:val="694"/>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14:paraId="2A35F6BA">
      <w:pPr>
        <w:spacing w:line="360" w:lineRule="auto"/>
        <w:ind w:right="420" w:firstLine="3614" w:firstLineChars="1000"/>
        <w:rPr>
          <w:rFonts w:hint="eastAsia" w:ascii="宋体" w:hAnsi="宋体" w:cs="宋体"/>
          <w:b/>
          <w:color w:val="auto"/>
          <w:kern w:val="0"/>
          <w:sz w:val="36"/>
          <w:szCs w:val="36"/>
          <w:highlight w:val="none"/>
        </w:rPr>
      </w:pPr>
    </w:p>
    <w:p w14:paraId="4E2CB96F">
      <w:pPr>
        <w:spacing w:line="360" w:lineRule="auto"/>
        <w:ind w:right="420" w:firstLine="3614" w:firstLineChars="1000"/>
        <w:rPr>
          <w:rFonts w:hint="eastAsia" w:ascii="宋体" w:hAnsi="宋体" w:cs="宋体"/>
          <w:b/>
          <w:color w:val="auto"/>
          <w:kern w:val="0"/>
          <w:sz w:val="36"/>
          <w:szCs w:val="36"/>
          <w:highlight w:val="none"/>
        </w:rPr>
      </w:pPr>
    </w:p>
    <w:p w14:paraId="70A406AF">
      <w:pPr>
        <w:spacing w:line="360" w:lineRule="auto"/>
        <w:ind w:right="420" w:firstLine="3614" w:firstLineChars="1000"/>
        <w:rPr>
          <w:rFonts w:hint="eastAsia" w:ascii="宋体" w:hAnsi="宋体" w:cs="宋体"/>
          <w:b/>
          <w:color w:val="auto"/>
          <w:kern w:val="0"/>
          <w:sz w:val="36"/>
          <w:szCs w:val="36"/>
          <w:highlight w:val="none"/>
        </w:rPr>
      </w:pPr>
    </w:p>
    <w:p w14:paraId="08737545">
      <w:pPr>
        <w:spacing w:line="360" w:lineRule="auto"/>
        <w:ind w:right="420" w:firstLine="3614" w:firstLineChars="1000"/>
        <w:rPr>
          <w:rFonts w:hint="eastAsia" w:ascii="宋体" w:hAnsi="宋体" w:cs="宋体"/>
          <w:b/>
          <w:color w:val="auto"/>
          <w:kern w:val="0"/>
          <w:sz w:val="36"/>
          <w:szCs w:val="36"/>
          <w:highlight w:val="none"/>
        </w:rPr>
      </w:pPr>
    </w:p>
    <w:p w14:paraId="1AA7AF15">
      <w:pPr>
        <w:spacing w:line="360" w:lineRule="auto"/>
        <w:ind w:right="420" w:firstLine="3614" w:firstLineChars="1000"/>
        <w:rPr>
          <w:rFonts w:hint="eastAsia" w:ascii="宋体" w:hAnsi="宋体" w:cs="宋体"/>
          <w:b/>
          <w:color w:val="auto"/>
          <w:kern w:val="0"/>
          <w:sz w:val="36"/>
          <w:szCs w:val="36"/>
          <w:highlight w:val="none"/>
        </w:rPr>
      </w:pPr>
    </w:p>
    <w:p w14:paraId="4FDBA160">
      <w:pPr>
        <w:spacing w:line="360" w:lineRule="auto"/>
        <w:ind w:right="420" w:firstLine="3614" w:firstLineChars="1000"/>
        <w:rPr>
          <w:rFonts w:hint="eastAsia" w:ascii="宋体" w:hAnsi="宋体" w:cs="宋体"/>
          <w:b/>
          <w:color w:val="auto"/>
          <w:kern w:val="0"/>
          <w:sz w:val="36"/>
          <w:szCs w:val="36"/>
          <w:highlight w:val="none"/>
        </w:rPr>
      </w:pPr>
    </w:p>
    <w:p w14:paraId="054F50A3">
      <w:pPr>
        <w:spacing w:line="360" w:lineRule="auto"/>
        <w:ind w:right="420" w:firstLine="3614" w:firstLineChars="1000"/>
        <w:rPr>
          <w:rFonts w:hint="eastAsia" w:ascii="宋体" w:hAnsi="宋体" w:cs="宋体"/>
          <w:b/>
          <w:color w:val="auto"/>
          <w:kern w:val="0"/>
          <w:sz w:val="36"/>
          <w:szCs w:val="36"/>
          <w:highlight w:val="none"/>
        </w:rPr>
      </w:pPr>
    </w:p>
    <w:p w14:paraId="3A958377">
      <w:pPr>
        <w:spacing w:line="360" w:lineRule="auto"/>
        <w:ind w:right="420" w:firstLine="3614" w:firstLineChars="1000"/>
        <w:rPr>
          <w:rFonts w:hint="eastAsia" w:ascii="宋体" w:hAnsi="宋体" w:cs="宋体"/>
          <w:b/>
          <w:color w:val="auto"/>
          <w:kern w:val="0"/>
          <w:sz w:val="36"/>
          <w:szCs w:val="36"/>
          <w:highlight w:val="none"/>
        </w:rPr>
      </w:pPr>
    </w:p>
    <w:p w14:paraId="6192673D">
      <w:pPr>
        <w:spacing w:line="360" w:lineRule="auto"/>
        <w:ind w:right="420" w:firstLine="3614" w:firstLineChars="1000"/>
        <w:rPr>
          <w:rFonts w:hint="eastAsia" w:ascii="宋体" w:hAnsi="宋体" w:cs="宋体"/>
          <w:b/>
          <w:color w:val="auto"/>
          <w:kern w:val="0"/>
          <w:sz w:val="36"/>
          <w:szCs w:val="36"/>
          <w:highlight w:val="none"/>
        </w:rPr>
      </w:pPr>
    </w:p>
    <w:p w14:paraId="68762AEC">
      <w:pPr>
        <w:spacing w:line="360" w:lineRule="auto"/>
        <w:ind w:right="420" w:firstLine="3614" w:firstLineChars="1000"/>
        <w:rPr>
          <w:rFonts w:hint="eastAsia" w:ascii="宋体" w:hAnsi="宋体" w:cs="宋体"/>
          <w:b/>
          <w:color w:val="auto"/>
          <w:kern w:val="0"/>
          <w:sz w:val="36"/>
          <w:szCs w:val="36"/>
          <w:highlight w:val="none"/>
        </w:rPr>
      </w:pPr>
    </w:p>
    <w:p w14:paraId="76A6DEED">
      <w:pPr>
        <w:spacing w:line="360" w:lineRule="auto"/>
        <w:ind w:right="420" w:firstLine="3614" w:firstLineChars="1000"/>
        <w:rPr>
          <w:rFonts w:hint="eastAsia" w:ascii="宋体" w:hAnsi="宋体" w:cs="宋体"/>
          <w:b/>
          <w:color w:val="auto"/>
          <w:kern w:val="0"/>
          <w:sz w:val="36"/>
          <w:szCs w:val="36"/>
          <w:highlight w:val="none"/>
        </w:rPr>
      </w:pPr>
    </w:p>
    <w:p w14:paraId="18F5002B">
      <w:pPr>
        <w:spacing w:line="360" w:lineRule="auto"/>
        <w:ind w:right="420" w:firstLine="3614" w:firstLineChars="1000"/>
        <w:rPr>
          <w:rFonts w:hint="eastAsia" w:ascii="宋体" w:hAnsi="宋体" w:cs="宋体"/>
          <w:b/>
          <w:color w:val="auto"/>
          <w:kern w:val="0"/>
          <w:sz w:val="36"/>
          <w:szCs w:val="36"/>
          <w:highlight w:val="none"/>
        </w:rPr>
      </w:pPr>
    </w:p>
    <w:p w14:paraId="1F009D55">
      <w:pPr>
        <w:pStyle w:val="2"/>
        <w:keepNext w:val="0"/>
        <w:keepLines w:val="0"/>
        <w:pageBreakBefore/>
        <w:widowControl/>
        <w:spacing w:before="100" w:beforeAutospacing="1" w:after="100" w:afterAutospacing="1" w:line="360" w:lineRule="auto"/>
        <w:ind w:left="1290" w:firstLine="3092" w:firstLineChars="700"/>
        <w:rPr>
          <w:rFonts w:hint="eastAsia" w:ascii="宋体" w:hAnsi="宋体" w:cs="宋体"/>
          <w:color w:val="auto"/>
          <w:highlight w:val="none"/>
        </w:rPr>
      </w:pPr>
      <w:r>
        <w:rPr>
          <w:rFonts w:hint="eastAsia" w:ascii="宋体" w:hAnsi="宋体" w:cs="宋体"/>
          <w:color w:val="auto"/>
          <w:highlight w:val="none"/>
        </w:rPr>
        <w:t>附件</w:t>
      </w:r>
    </w:p>
    <w:p w14:paraId="4CAA8CB8">
      <w:pPr>
        <w:spacing w:line="360" w:lineRule="auto"/>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18D70942">
      <w:pPr>
        <w:spacing w:line="360" w:lineRule="auto"/>
        <w:rPr>
          <w:rFonts w:hint="eastAsia" w:ascii="宋体" w:hAnsi="宋体" w:cs="宋体"/>
          <w:b/>
          <w:color w:val="auto"/>
          <w:spacing w:val="6"/>
          <w:sz w:val="32"/>
          <w:szCs w:val="32"/>
          <w:highlight w:val="none"/>
        </w:rPr>
      </w:pPr>
    </w:p>
    <w:p w14:paraId="1BF7E789">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审查申请单</w:t>
      </w:r>
    </w:p>
    <w:p w14:paraId="245E40E3">
      <w:pPr>
        <w:widowControl/>
        <w:spacing w:line="360" w:lineRule="auto"/>
        <w:jc w:val="left"/>
        <w:rPr>
          <w:rFonts w:hint="eastAsia" w:ascii="宋体" w:hAnsi="宋体" w:cs="宋体"/>
          <w:color w:val="auto"/>
          <w:kern w:val="0"/>
          <w:sz w:val="24"/>
          <w:highlight w:val="none"/>
          <w:lang w:bidi="ar"/>
        </w:rPr>
      </w:pPr>
    </w:p>
    <w:p w14:paraId="55658C5F">
      <w:pPr>
        <w:widowControl/>
        <w:spacing w:line="360" w:lineRule="auto"/>
        <w:jc w:val="left"/>
        <w:rPr>
          <w:color w:val="auto"/>
          <w:highlight w:val="none"/>
        </w:rPr>
      </w:pPr>
      <w:r>
        <w:rPr>
          <w:rFonts w:ascii="宋体" w:hAnsi="宋体" w:cs="宋体"/>
          <w:color w:val="auto"/>
          <w:kern w:val="0"/>
          <w:sz w:val="24"/>
          <w:highlight w:val="none"/>
          <w:lang w:bidi="ar"/>
        </w:rPr>
        <w:t>致杭州市城市水设施和河道保护管理中心：</w:t>
      </w:r>
    </w:p>
    <w:p w14:paraId="45F93E21">
      <w:pPr>
        <w:widowControl/>
        <w:spacing w:line="360" w:lineRule="auto"/>
        <w:ind w:firstLine="480" w:firstLineChars="200"/>
        <w:jc w:val="left"/>
        <w:rPr>
          <w:rFonts w:hint="eastAsia" w:ascii="宋体" w:hAnsi="宋体" w:cs="宋体"/>
          <w:color w:val="auto"/>
          <w:sz w:val="24"/>
          <w:highlight w:val="none"/>
        </w:rPr>
      </w:pPr>
      <w:r>
        <w:rPr>
          <w:rFonts w:ascii="宋体" w:hAnsi="宋体" w:cs="宋体"/>
          <w:color w:val="auto"/>
          <w:kern w:val="0"/>
          <w:sz w:val="24"/>
          <w:highlight w:val="none"/>
          <w:lang w:bidi="ar"/>
        </w:rPr>
        <w:t>我单位 [单位全称] 荣幸中标西塘河（湖州街 - 京杭运河）生态清淤工程项目。中标后，积极推进项目筹备工作，已将项目所需的所有清淤设施设备全部运送至西塘河河边指定位置。在完成设备的安装调试后，我单位严格按照项目招标文件 “配置方案” 的要求进行了全面自评，确认各项设施设备</w:t>
      </w:r>
      <w:r>
        <w:rPr>
          <w:rFonts w:hint="eastAsia" w:ascii="宋体" w:hAnsi="宋体" w:cs="宋体"/>
          <w:color w:val="auto"/>
          <w:sz w:val="24"/>
          <w:highlight w:val="none"/>
        </w:rPr>
        <w:t>符合项目招标文件“配置方案”中的5点要求，且招标文件“配置方案”中要求的设施设备与投标文件中的完全一致。</w:t>
      </w:r>
    </w:p>
    <w:p w14:paraId="4D33746E">
      <w:pPr>
        <w:widowControl/>
        <w:spacing w:line="360" w:lineRule="auto"/>
        <w:ind w:firstLine="480" w:firstLineChars="200"/>
        <w:jc w:val="left"/>
        <w:rPr>
          <w:color w:val="auto"/>
          <w:highlight w:val="none"/>
        </w:rPr>
      </w:pPr>
      <w:r>
        <w:rPr>
          <w:rFonts w:ascii="宋体" w:hAnsi="宋体" w:cs="宋体"/>
          <w:color w:val="auto"/>
          <w:kern w:val="0"/>
          <w:sz w:val="24"/>
          <w:highlight w:val="none"/>
          <w:lang w:bidi="ar"/>
        </w:rPr>
        <w:t>在此，我单位郑重承诺：若贵中心在后续审查过程中发现现场设备与投标文件不一致、配置不达标、生产运行不达标等任何问题，我单位自愿放弃本项目中标资格，并承担由此产生的一切后果。</w:t>
      </w:r>
    </w:p>
    <w:p w14:paraId="2F4D5EE4">
      <w:pPr>
        <w:widowControl/>
        <w:spacing w:line="360" w:lineRule="auto"/>
        <w:ind w:firstLine="480" w:firstLineChars="200"/>
        <w:jc w:val="left"/>
        <w:rPr>
          <w:color w:val="auto"/>
          <w:highlight w:val="none"/>
        </w:rPr>
      </w:pPr>
      <w:r>
        <w:rPr>
          <w:rFonts w:ascii="宋体" w:hAnsi="宋体" w:cs="宋体"/>
          <w:color w:val="auto"/>
          <w:kern w:val="0"/>
          <w:sz w:val="24"/>
          <w:highlight w:val="none"/>
          <w:lang w:bidi="ar"/>
        </w:rPr>
        <w:t>现特向贵中心提交审查申请，恳请贵中心组织</w:t>
      </w:r>
      <w:r>
        <w:rPr>
          <w:rFonts w:hint="eastAsia" w:ascii="宋体" w:hAnsi="宋体" w:cs="宋体"/>
          <w:color w:val="auto"/>
          <w:kern w:val="0"/>
          <w:sz w:val="24"/>
          <w:highlight w:val="none"/>
          <w:lang w:bidi="ar"/>
        </w:rPr>
        <w:t>相关</w:t>
      </w:r>
      <w:r>
        <w:rPr>
          <w:rFonts w:ascii="宋体" w:hAnsi="宋体" w:cs="宋体"/>
          <w:color w:val="auto"/>
          <w:kern w:val="0"/>
          <w:sz w:val="24"/>
          <w:highlight w:val="none"/>
          <w:lang w:bidi="ar"/>
        </w:rPr>
        <w:t>专业人员对现场设施设备进行全面审查，以便项目能够顺利进入下一阶段实施。随本申请单后附本项目</w:t>
      </w:r>
      <w:r>
        <w:rPr>
          <w:rFonts w:hint="eastAsia" w:ascii="宋体" w:hAnsi="宋体" w:cs="宋体"/>
          <w:color w:val="auto"/>
          <w:kern w:val="0"/>
          <w:sz w:val="24"/>
          <w:highlight w:val="none"/>
          <w:lang w:bidi="ar"/>
        </w:rPr>
        <w:t>设备</w:t>
      </w:r>
      <w:r>
        <w:rPr>
          <w:rFonts w:ascii="宋体" w:hAnsi="宋体" w:cs="宋体"/>
          <w:color w:val="auto"/>
          <w:kern w:val="0"/>
          <w:sz w:val="24"/>
          <w:highlight w:val="none"/>
          <w:lang w:bidi="ar"/>
        </w:rPr>
        <w:t>自评</w:t>
      </w:r>
      <w:r>
        <w:rPr>
          <w:rFonts w:hint="eastAsia" w:ascii="宋体" w:hAnsi="宋体" w:cs="宋体"/>
          <w:color w:val="auto"/>
          <w:kern w:val="0"/>
          <w:sz w:val="24"/>
          <w:highlight w:val="none"/>
          <w:lang w:bidi="ar"/>
        </w:rPr>
        <w:t>表（格式如下）、检测报告、</w:t>
      </w:r>
      <w:r>
        <w:rPr>
          <w:rFonts w:ascii="宋体" w:hAnsi="宋体" w:cs="宋体"/>
          <w:color w:val="auto"/>
          <w:kern w:val="0"/>
          <w:sz w:val="24"/>
          <w:highlight w:val="none"/>
          <w:lang w:bidi="ar"/>
        </w:rPr>
        <w:t>设备调试报告</w:t>
      </w:r>
      <w:r>
        <w:rPr>
          <w:rFonts w:hint="eastAsia" w:ascii="宋体" w:hAnsi="宋体" w:cs="宋体"/>
          <w:color w:val="auto"/>
          <w:kern w:val="0"/>
          <w:sz w:val="24"/>
          <w:highlight w:val="none"/>
          <w:lang w:bidi="ar"/>
        </w:rPr>
        <w:t>、照片</w:t>
      </w:r>
      <w:r>
        <w:rPr>
          <w:rFonts w:ascii="宋体" w:hAnsi="宋体" w:cs="宋体"/>
          <w:color w:val="auto"/>
          <w:kern w:val="0"/>
          <w:sz w:val="24"/>
          <w:highlight w:val="none"/>
          <w:lang w:bidi="ar"/>
        </w:rPr>
        <w:t>等相关材料，供贵中心审核查阅。</w:t>
      </w:r>
    </w:p>
    <w:p w14:paraId="57808A3F">
      <w:pPr>
        <w:widowControl/>
        <w:spacing w:line="360" w:lineRule="auto"/>
        <w:jc w:val="right"/>
        <w:rPr>
          <w:color w:val="auto"/>
          <w:highlight w:val="none"/>
        </w:rPr>
      </w:pPr>
      <w:r>
        <w:rPr>
          <w:rFonts w:ascii="宋体" w:hAnsi="宋体" w:cs="宋体"/>
          <w:color w:val="auto"/>
          <w:kern w:val="0"/>
          <w:sz w:val="24"/>
          <w:highlight w:val="none"/>
          <w:lang w:bidi="ar"/>
        </w:rPr>
        <w:t>[中标单位（盖章）]</w:t>
      </w:r>
    </w:p>
    <w:p w14:paraId="4C93464E">
      <w:pPr>
        <w:widowControl/>
        <w:spacing w:line="360" w:lineRule="auto"/>
        <w:jc w:val="right"/>
        <w:rPr>
          <w:color w:val="auto"/>
          <w:highlight w:val="none"/>
        </w:rPr>
      </w:pPr>
      <w:r>
        <w:rPr>
          <w:rFonts w:ascii="宋体" w:hAnsi="宋体" w:cs="宋体"/>
          <w:color w:val="auto"/>
          <w:kern w:val="0"/>
          <w:sz w:val="24"/>
          <w:highlight w:val="none"/>
          <w:lang w:bidi="ar"/>
        </w:rPr>
        <w:t>[日期：2025 年 X 月 X 日]</w:t>
      </w:r>
    </w:p>
    <w:p w14:paraId="73C79B68">
      <w:pPr>
        <w:rPr>
          <w:color w:val="auto"/>
          <w:highlight w:val="none"/>
        </w:rPr>
      </w:pPr>
    </w:p>
    <w:p w14:paraId="60A86E91">
      <w:pPr>
        <w:spacing w:line="360" w:lineRule="auto"/>
        <w:jc w:val="center"/>
        <w:rPr>
          <w:rFonts w:hint="eastAsia" w:ascii="宋体" w:hAnsi="宋体" w:cs="宋体"/>
          <w:b/>
          <w:color w:val="auto"/>
          <w:sz w:val="32"/>
          <w:szCs w:val="32"/>
          <w:highlight w:val="none"/>
        </w:rPr>
      </w:pPr>
    </w:p>
    <w:p w14:paraId="04C4F5B4">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255E7891">
      <w:pPr>
        <w:jc w:val="center"/>
        <w:rPr>
          <w:color w:val="auto"/>
          <w:sz w:val="30"/>
          <w:szCs w:val="30"/>
          <w:highlight w:val="none"/>
        </w:rPr>
        <w:sectPr>
          <w:headerReference r:id="rId21" w:type="first"/>
          <w:footerReference r:id="rId24" w:type="first"/>
          <w:headerReference r:id="rId20" w:type="default"/>
          <w:footerReference r:id="rId22" w:type="default"/>
          <w:footerReference r:id="rId23" w:type="even"/>
          <w:pgSz w:w="11905" w:h="16838"/>
          <w:pgMar w:top="1247" w:right="1417" w:bottom="1247" w:left="1417" w:header="851" w:footer="850" w:gutter="0"/>
          <w:cols w:space="0" w:num="1"/>
          <w:docGrid w:linePitch="312" w:charSpace="0"/>
        </w:sectPr>
      </w:pPr>
    </w:p>
    <w:p w14:paraId="03846A5B">
      <w:pPr>
        <w:jc w:val="center"/>
        <w:rPr>
          <w:color w:val="auto"/>
          <w:sz w:val="30"/>
          <w:szCs w:val="30"/>
          <w:highlight w:val="none"/>
        </w:rPr>
      </w:pPr>
      <w:r>
        <w:rPr>
          <w:rFonts w:hint="eastAsia"/>
          <w:color w:val="auto"/>
          <w:sz w:val="30"/>
          <w:szCs w:val="30"/>
          <w:highlight w:val="none"/>
        </w:rPr>
        <w:t>设备自评表</w:t>
      </w:r>
    </w:p>
    <w:tbl>
      <w:tblPr>
        <w:tblStyle w:val="63"/>
        <w:tblW w:w="14546" w:type="dxa"/>
        <w:jc w:val="center"/>
        <w:tblLayout w:type="autofit"/>
        <w:tblCellMar>
          <w:top w:w="0" w:type="dxa"/>
          <w:left w:w="108" w:type="dxa"/>
          <w:bottom w:w="0" w:type="dxa"/>
          <w:right w:w="108" w:type="dxa"/>
        </w:tblCellMar>
      </w:tblPr>
      <w:tblGrid>
        <w:gridCol w:w="946"/>
        <w:gridCol w:w="1287"/>
        <w:gridCol w:w="950"/>
        <w:gridCol w:w="730"/>
        <w:gridCol w:w="1545"/>
        <w:gridCol w:w="1300"/>
        <w:gridCol w:w="1800"/>
        <w:gridCol w:w="1900"/>
        <w:gridCol w:w="2375"/>
        <w:gridCol w:w="1713"/>
      </w:tblGrid>
      <w:tr w14:paraId="6DBFB80D">
        <w:tblPrEx>
          <w:tblCellMar>
            <w:top w:w="0" w:type="dxa"/>
            <w:left w:w="108" w:type="dxa"/>
            <w:bottom w:w="0" w:type="dxa"/>
            <w:right w:w="108" w:type="dxa"/>
          </w:tblCellMar>
        </w:tblPrEx>
        <w:trPr>
          <w:trHeight w:val="594" w:hRule="atLeast"/>
          <w:jc w:val="center"/>
        </w:trPr>
        <w:tc>
          <w:tcPr>
            <w:tcW w:w="22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E93101">
            <w:pPr>
              <w:widowControl/>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项目名称</w:t>
            </w:r>
          </w:p>
        </w:tc>
        <w:tc>
          <w:tcPr>
            <w:tcW w:w="12313"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AC1B076">
            <w:pPr>
              <w:widowControl/>
              <w:jc w:val="left"/>
              <w:rPr>
                <w:rFonts w:hint="eastAsia" w:ascii="宋体" w:hAnsi="宋体" w:cs="宋体"/>
                <w:color w:val="auto"/>
                <w:kern w:val="0"/>
                <w:szCs w:val="21"/>
                <w:highlight w:val="none"/>
              </w:rPr>
            </w:pPr>
          </w:p>
        </w:tc>
      </w:tr>
      <w:tr w14:paraId="4BD8D0E5">
        <w:tblPrEx>
          <w:tblCellMar>
            <w:top w:w="0" w:type="dxa"/>
            <w:left w:w="108" w:type="dxa"/>
            <w:bottom w:w="0" w:type="dxa"/>
            <w:right w:w="108" w:type="dxa"/>
          </w:tblCellMar>
        </w:tblPrEx>
        <w:trPr>
          <w:trHeight w:val="594" w:hRule="atLeast"/>
          <w:jc w:val="center"/>
        </w:trPr>
        <w:tc>
          <w:tcPr>
            <w:tcW w:w="22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A3266B">
            <w:pPr>
              <w:widowControl/>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项目编号</w:t>
            </w:r>
          </w:p>
        </w:tc>
        <w:tc>
          <w:tcPr>
            <w:tcW w:w="12313"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6F81D5BA">
            <w:pPr>
              <w:widowControl/>
              <w:jc w:val="left"/>
              <w:rPr>
                <w:rFonts w:hint="eastAsia" w:ascii="宋体" w:hAnsi="宋体" w:cs="宋体"/>
                <w:color w:val="auto"/>
                <w:kern w:val="0"/>
                <w:szCs w:val="21"/>
                <w:highlight w:val="none"/>
              </w:rPr>
            </w:pPr>
          </w:p>
        </w:tc>
      </w:tr>
      <w:tr w14:paraId="6665AA10">
        <w:tblPrEx>
          <w:tblCellMar>
            <w:top w:w="0" w:type="dxa"/>
            <w:left w:w="108" w:type="dxa"/>
            <w:bottom w:w="0" w:type="dxa"/>
            <w:right w:w="108" w:type="dxa"/>
          </w:tblCellMar>
        </w:tblPrEx>
        <w:trPr>
          <w:trHeight w:val="654" w:hRule="atLeast"/>
          <w:jc w:val="center"/>
        </w:trPr>
        <w:tc>
          <w:tcPr>
            <w:tcW w:w="946" w:type="dxa"/>
            <w:tcBorders>
              <w:top w:val="single" w:color="000000" w:sz="4" w:space="0"/>
              <w:left w:val="single" w:color="000000" w:sz="4" w:space="0"/>
              <w:bottom w:val="single" w:color="000000" w:sz="4" w:space="0"/>
              <w:right w:val="single" w:color="auto" w:sz="4" w:space="0"/>
            </w:tcBorders>
            <w:vAlign w:val="center"/>
          </w:tcPr>
          <w:p w14:paraId="55917556">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1287" w:type="dxa"/>
            <w:tcBorders>
              <w:top w:val="single" w:color="000000" w:sz="4" w:space="0"/>
              <w:left w:val="single" w:color="auto" w:sz="4" w:space="0"/>
              <w:bottom w:val="single" w:color="000000" w:sz="4" w:space="0"/>
              <w:right w:val="single" w:color="000000" w:sz="4" w:space="0"/>
            </w:tcBorders>
            <w:vAlign w:val="center"/>
          </w:tcPr>
          <w:p w14:paraId="3E0EAD0F">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设备名称</w:t>
            </w:r>
          </w:p>
        </w:tc>
        <w:tc>
          <w:tcPr>
            <w:tcW w:w="950" w:type="dxa"/>
            <w:tcBorders>
              <w:top w:val="single" w:color="000000" w:sz="4" w:space="0"/>
              <w:left w:val="single" w:color="000000" w:sz="4" w:space="0"/>
              <w:bottom w:val="single" w:color="000000" w:sz="4" w:space="0"/>
              <w:right w:val="single" w:color="auto" w:sz="4" w:space="0"/>
            </w:tcBorders>
            <w:shd w:val="clear" w:color="auto" w:fill="auto"/>
            <w:vAlign w:val="center"/>
          </w:tcPr>
          <w:p w14:paraId="75466487">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数量</w:t>
            </w:r>
          </w:p>
        </w:tc>
        <w:tc>
          <w:tcPr>
            <w:tcW w:w="730" w:type="dxa"/>
            <w:tcBorders>
              <w:top w:val="single" w:color="000000" w:sz="4" w:space="0"/>
              <w:left w:val="single" w:color="auto" w:sz="4" w:space="0"/>
              <w:bottom w:val="single" w:color="000000" w:sz="4" w:space="0"/>
              <w:right w:val="single" w:color="auto" w:sz="4" w:space="0"/>
            </w:tcBorders>
            <w:shd w:val="clear" w:color="auto" w:fill="auto"/>
            <w:vAlign w:val="center"/>
          </w:tcPr>
          <w:p w14:paraId="444488EB">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品牌</w:t>
            </w:r>
          </w:p>
        </w:tc>
        <w:tc>
          <w:tcPr>
            <w:tcW w:w="1545" w:type="dxa"/>
            <w:tcBorders>
              <w:top w:val="single" w:color="000000" w:sz="4" w:space="0"/>
              <w:left w:val="single" w:color="auto" w:sz="4" w:space="0"/>
              <w:bottom w:val="single" w:color="auto" w:sz="4" w:space="0"/>
              <w:right w:val="single" w:color="000000" w:sz="4" w:space="0"/>
            </w:tcBorders>
            <w:shd w:val="clear" w:color="auto" w:fill="auto"/>
            <w:vAlign w:val="center"/>
          </w:tcPr>
          <w:p w14:paraId="7CD08D9B">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型号 / 规格</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DC03C">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实际配置</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D3481">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招标文件要求</w:t>
            </w:r>
          </w:p>
        </w:tc>
        <w:tc>
          <w:tcPr>
            <w:tcW w:w="1900" w:type="dxa"/>
            <w:tcBorders>
              <w:top w:val="single" w:color="000000" w:sz="4" w:space="0"/>
              <w:left w:val="single" w:color="000000" w:sz="4" w:space="0"/>
              <w:bottom w:val="single" w:color="000000" w:sz="4" w:space="0"/>
              <w:right w:val="single" w:color="000000" w:sz="4" w:space="0"/>
            </w:tcBorders>
            <w:vAlign w:val="center"/>
          </w:tcPr>
          <w:p w14:paraId="0A734A51">
            <w:pPr>
              <w:widowControl/>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投标响应情况</w:t>
            </w:r>
          </w:p>
        </w:tc>
        <w:tc>
          <w:tcPr>
            <w:tcW w:w="2375" w:type="dxa"/>
            <w:tcBorders>
              <w:top w:val="single" w:color="000000" w:sz="4" w:space="0"/>
              <w:left w:val="single" w:color="000000" w:sz="4" w:space="0"/>
              <w:bottom w:val="single" w:color="000000" w:sz="4" w:space="0"/>
              <w:right w:val="single" w:color="auto" w:sz="4" w:space="0"/>
            </w:tcBorders>
            <w:vAlign w:val="center"/>
          </w:tcPr>
          <w:p w14:paraId="4F3CB3BA">
            <w:pPr>
              <w:widowControl/>
              <w:jc w:val="center"/>
              <w:rPr>
                <w:rFonts w:hint="eastAsia" w:ascii="宋体" w:hAnsi="宋体" w:cs="宋体"/>
                <w:b/>
                <w:bCs/>
                <w:color w:val="auto"/>
                <w:kern w:val="0"/>
                <w:sz w:val="24"/>
                <w:highlight w:val="none"/>
              </w:rPr>
            </w:pPr>
            <w:r>
              <w:rPr>
                <w:rStyle w:val="71"/>
                <w:rFonts w:hint="eastAsia" w:ascii="宋体" w:hAnsi="宋体" w:cs="宋体"/>
                <w:color w:val="auto"/>
                <w:kern w:val="0"/>
                <w:sz w:val="24"/>
                <w:highlight w:val="none"/>
                <w:lang w:bidi="ar"/>
              </w:rPr>
              <w:t>自评说明</w:t>
            </w:r>
          </w:p>
        </w:tc>
        <w:tc>
          <w:tcPr>
            <w:tcW w:w="1713" w:type="dxa"/>
            <w:tcBorders>
              <w:top w:val="single" w:color="000000" w:sz="4" w:space="0"/>
              <w:left w:val="single" w:color="auto" w:sz="4" w:space="0"/>
              <w:bottom w:val="single" w:color="000000" w:sz="4" w:space="0"/>
              <w:right w:val="single" w:color="000000" w:sz="4" w:space="0"/>
            </w:tcBorders>
            <w:vAlign w:val="center"/>
          </w:tcPr>
          <w:p w14:paraId="371817E4">
            <w:pPr>
              <w:widowControl/>
              <w:jc w:val="center"/>
              <w:rPr>
                <w:rStyle w:val="71"/>
                <w:rFonts w:hint="eastAsia" w:ascii="宋体" w:hAnsi="宋体" w:cs="宋体"/>
                <w:color w:val="auto"/>
                <w:kern w:val="0"/>
                <w:sz w:val="24"/>
                <w:highlight w:val="none"/>
                <w:lang w:bidi="ar"/>
              </w:rPr>
            </w:pPr>
            <w:r>
              <w:rPr>
                <w:rStyle w:val="71"/>
                <w:rFonts w:hint="eastAsia" w:ascii="宋体" w:hAnsi="宋体" w:cs="宋体"/>
                <w:color w:val="auto"/>
                <w:kern w:val="0"/>
                <w:sz w:val="24"/>
                <w:highlight w:val="none"/>
                <w:lang w:bidi="ar"/>
              </w:rPr>
              <w:t>备注</w:t>
            </w:r>
          </w:p>
        </w:tc>
      </w:tr>
      <w:tr w14:paraId="600FD367">
        <w:tblPrEx>
          <w:tblCellMar>
            <w:top w:w="0" w:type="dxa"/>
            <w:left w:w="108" w:type="dxa"/>
            <w:bottom w:w="0" w:type="dxa"/>
            <w:right w:w="108" w:type="dxa"/>
          </w:tblCellMar>
        </w:tblPrEx>
        <w:trPr>
          <w:trHeight w:val="654" w:hRule="atLeast"/>
          <w:jc w:val="center"/>
        </w:trPr>
        <w:tc>
          <w:tcPr>
            <w:tcW w:w="946" w:type="dxa"/>
            <w:tcBorders>
              <w:top w:val="single" w:color="000000" w:sz="4" w:space="0"/>
              <w:left w:val="single" w:color="000000" w:sz="4" w:space="0"/>
              <w:bottom w:val="single" w:color="000000" w:sz="4" w:space="0"/>
              <w:right w:val="single" w:color="auto" w:sz="4" w:space="0"/>
            </w:tcBorders>
            <w:shd w:val="clear" w:color="auto" w:fill="auto"/>
            <w:vAlign w:val="center"/>
          </w:tcPr>
          <w:p w14:paraId="57EF470C">
            <w:pPr>
              <w:widowControl/>
              <w:jc w:val="center"/>
              <w:rPr>
                <w:rFonts w:hint="eastAsia" w:ascii="宋体" w:hAnsi="宋体" w:cs="宋体"/>
                <w:color w:val="auto"/>
                <w:kern w:val="0"/>
                <w:szCs w:val="21"/>
                <w:highlight w:val="none"/>
              </w:rPr>
            </w:pPr>
          </w:p>
        </w:tc>
        <w:tc>
          <w:tcPr>
            <w:tcW w:w="1287" w:type="dxa"/>
            <w:tcBorders>
              <w:top w:val="single" w:color="000000" w:sz="4" w:space="0"/>
              <w:left w:val="single" w:color="auto" w:sz="4" w:space="0"/>
              <w:bottom w:val="single" w:color="000000" w:sz="4" w:space="0"/>
              <w:right w:val="single" w:color="000000" w:sz="4" w:space="0"/>
            </w:tcBorders>
            <w:shd w:val="clear" w:color="auto" w:fill="auto"/>
            <w:vAlign w:val="center"/>
          </w:tcPr>
          <w:p w14:paraId="35ABB809">
            <w:pPr>
              <w:widowControl/>
              <w:jc w:val="center"/>
              <w:rPr>
                <w:rFonts w:hint="eastAsia" w:ascii="宋体" w:hAnsi="宋体" w:cs="宋体"/>
                <w:color w:val="auto"/>
                <w:kern w:val="0"/>
                <w:szCs w:val="21"/>
                <w:highlight w:val="none"/>
              </w:rPr>
            </w:pPr>
          </w:p>
        </w:tc>
        <w:tc>
          <w:tcPr>
            <w:tcW w:w="950" w:type="dxa"/>
            <w:tcBorders>
              <w:top w:val="single" w:color="000000" w:sz="4" w:space="0"/>
              <w:left w:val="single" w:color="000000" w:sz="4" w:space="0"/>
              <w:bottom w:val="single" w:color="000000" w:sz="4" w:space="0"/>
              <w:right w:val="single" w:color="auto" w:sz="4" w:space="0"/>
            </w:tcBorders>
            <w:shd w:val="clear" w:color="auto" w:fill="auto"/>
            <w:vAlign w:val="center"/>
          </w:tcPr>
          <w:p w14:paraId="209E79D5">
            <w:pPr>
              <w:widowControl/>
              <w:jc w:val="center"/>
              <w:rPr>
                <w:rFonts w:hint="eastAsia" w:ascii="宋体" w:hAnsi="宋体" w:cs="宋体"/>
                <w:color w:val="auto"/>
                <w:kern w:val="0"/>
                <w:szCs w:val="21"/>
                <w:highlight w:val="none"/>
              </w:rPr>
            </w:pPr>
          </w:p>
        </w:tc>
        <w:tc>
          <w:tcPr>
            <w:tcW w:w="730" w:type="dxa"/>
            <w:tcBorders>
              <w:top w:val="single" w:color="000000" w:sz="4" w:space="0"/>
              <w:left w:val="single" w:color="auto" w:sz="4" w:space="0"/>
              <w:bottom w:val="single" w:color="000000" w:sz="4" w:space="0"/>
              <w:right w:val="single" w:color="auto" w:sz="4" w:space="0"/>
            </w:tcBorders>
            <w:shd w:val="clear" w:color="auto" w:fill="auto"/>
            <w:vAlign w:val="center"/>
          </w:tcPr>
          <w:p w14:paraId="77C73D16">
            <w:pPr>
              <w:widowControl/>
              <w:jc w:val="center"/>
              <w:rPr>
                <w:rFonts w:hint="eastAsia" w:ascii="宋体" w:hAnsi="宋体" w:cs="宋体"/>
                <w:color w:val="auto"/>
                <w:kern w:val="0"/>
                <w:szCs w:val="21"/>
                <w:highlight w:val="none"/>
              </w:rPr>
            </w:pPr>
          </w:p>
        </w:tc>
        <w:tc>
          <w:tcPr>
            <w:tcW w:w="1545" w:type="dxa"/>
            <w:tcBorders>
              <w:top w:val="single" w:color="auto" w:sz="4" w:space="0"/>
              <w:left w:val="single" w:color="auto" w:sz="4" w:space="0"/>
              <w:bottom w:val="single" w:color="000000" w:sz="4" w:space="0"/>
              <w:right w:val="single" w:color="000000" w:sz="4" w:space="0"/>
            </w:tcBorders>
            <w:shd w:val="clear" w:color="auto" w:fill="auto"/>
            <w:vAlign w:val="center"/>
          </w:tcPr>
          <w:p w14:paraId="6D222970">
            <w:pPr>
              <w:widowControl/>
              <w:jc w:val="center"/>
              <w:rPr>
                <w:rFonts w:hint="eastAsia" w:ascii="宋体" w:hAnsi="宋体" w:cs="宋体"/>
                <w:color w:val="auto"/>
                <w:kern w:val="0"/>
                <w:szCs w:val="21"/>
                <w:highlight w:val="none"/>
              </w:rPr>
            </w:pP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C2D00">
            <w:pPr>
              <w:widowControl/>
              <w:jc w:val="center"/>
              <w:rPr>
                <w:rFonts w:eastAsia="Times New Roman"/>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CE1BD">
            <w:pPr>
              <w:widowControl/>
              <w:jc w:val="center"/>
              <w:rPr>
                <w:rFonts w:eastAsia="Times New Roman"/>
                <w:color w:val="auto"/>
                <w:kern w:val="0"/>
                <w:szCs w:val="21"/>
                <w:highlight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DAF4E">
            <w:pPr>
              <w:widowControl/>
              <w:jc w:val="center"/>
              <w:rPr>
                <w:rFonts w:hint="eastAsia" w:ascii="Wingdings 2" w:hAnsi="Wingdings 2" w:cs="宋体"/>
                <w:color w:val="auto"/>
                <w:kern w:val="0"/>
                <w:szCs w:val="21"/>
                <w:highlight w:val="none"/>
              </w:rPr>
            </w:pPr>
          </w:p>
          <w:p w14:paraId="20FFC196">
            <w:pPr>
              <w:pStyle w:val="32"/>
              <w:rPr>
                <w:color w:val="auto"/>
                <w:highlight w:val="none"/>
              </w:rPr>
            </w:pPr>
          </w:p>
        </w:tc>
        <w:tc>
          <w:tcPr>
            <w:tcW w:w="2375" w:type="dxa"/>
            <w:tcBorders>
              <w:top w:val="single" w:color="000000" w:sz="4" w:space="0"/>
              <w:left w:val="single" w:color="000000" w:sz="4" w:space="0"/>
              <w:bottom w:val="single" w:color="000000" w:sz="4" w:space="0"/>
              <w:right w:val="single" w:color="auto" w:sz="4" w:space="0"/>
            </w:tcBorders>
            <w:shd w:val="clear" w:color="auto" w:fill="auto"/>
            <w:vAlign w:val="center"/>
          </w:tcPr>
          <w:p w14:paraId="427E4054">
            <w:pPr>
              <w:widowControl/>
              <w:jc w:val="center"/>
              <w:rPr>
                <w:rFonts w:hint="eastAsia" w:ascii="Wingdings 2" w:hAnsi="Wingdings 2" w:cs="宋体"/>
                <w:color w:val="auto"/>
                <w:kern w:val="0"/>
                <w:szCs w:val="21"/>
                <w:highlight w:val="none"/>
              </w:rPr>
            </w:pPr>
          </w:p>
        </w:tc>
        <w:tc>
          <w:tcPr>
            <w:tcW w:w="1713" w:type="dxa"/>
            <w:tcBorders>
              <w:top w:val="single" w:color="000000" w:sz="4" w:space="0"/>
              <w:left w:val="single" w:color="auto" w:sz="4" w:space="0"/>
              <w:bottom w:val="single" w:color="000000" w:sz="4" w:space="0"/>
              <w:right w:val="single" w:color="000000" w:sz="4" w:space="0"/>
            </w:tcBorders>
            <w:shd w:val="clear" w:color="auto" w:fill="auto"/>
            <w:vAlign w:val="center"/>
          </w:tcPr>
          <w:p w14:paraId="6C98BDF8">
            <w:pPr>
              <w:widowControl/>
              <w:jc w:val="center"/>
              <w:rPr>
                <w:rFonts w:hint="eastAsia" w:ascii="Wingdings 2" w:hAnsi="Wingdings 2" w:cs="宋体"/>
                <w:color w:val="auto"/>
                <w:kern w:val="0"/>
                <w:szCs w:val="21"/>
                <w:highlight w:val="none"/>
              </w:rPr>
            </w:pPr>
          </w:p>
        </w:tc>
      </w:tr>
      <w:tr w14:paraId="14F92281">
        <w:tblPrEx>
          <w:tblCellMar>
            <w:top w:w="0" w:type="dxa"/>
            <w:left w:w="108" w:type="dxa"/>
            <w:bottom w:w="0" w:type="dxa"/>
            <w:right w:w="108" w:type="dxa"/>
          </w:tblCellMar>
        </w:tblPrEx>
        <w:trPr>
          <w:trHeight w:val="654" w:hRule="atLeast"/>
          <w:jc w:val="center"/>
        </w:trPr>
        <w:tc>
          <w:tcPr>
            <w:tcW w:w="946" w:type="dxa"/>
            <w:tcBorders>
              <w:top w:val="single" w:color="000000" w:sz="4" w:space="0"/>
              <w:left w:val="single" w:color="000000" w:sz="4" w:space="0"/>
              <w:bottom w:val="single" w:color="000000" w:sz="4" w:space="0"/>
              <w:right w:val="single" w:color="auto" w:sz="4" w:space="0"/>
            </w:tcBorders>
            <w:shd w:val="clear" w:color="auto" w:fill="auto"/>
            <w:vAlign w:val="center"/>
          </w:tcPr>
          <w:p w14:paraId="20307EE1">
            <w:pPr>
              <w:widowControl/>
              <w:jc w:val="center"/>
              <w:rPr>
                <w:rFonts w:hint="eastAsia" w:ascii="宋体" w:hAnsi="宋体" w:cs="宋体"/>
                <w:color w:val="auto"/>
                <w:kern w:val="0"/>
                <w:szCs w:val="21"/>
                <w:highlight w:val="none"/>
              </w:rPr>
            </w:pPr>
          </w:p>
        </w:tc>
        <w:tc>
          <w:tcPr>
            <w:tcW w:w="1287" w:type="dxa"/>
            <w:tcBorders>
              <w:top w:val="single" w:color="000000" w:sz="4" w:space="0"/>
              <w:left w:val="single" w:color="auto" w:sz="4" w:space="0"/>
              <w:bottom w:val="single" w:color="000000" w:sz="4" w:space="0"/>
              <w:right w:val="single" w:color="000000" w:sz="4" w:space="0"/>
            </w:tcBorders>
            <w:shd w:val="clear" w:color="auto" w:fill="auto"/>
            <w:vAlign w:val="center"/>
          </w:tcPr>
          <w:p w14:paraId="0618E029">
            <w:pPr>
              <w:widowControl/>
              <w:jc w:val="center"/>
              <w:rPr>
                <w:rFonts w:hint="eastAsia" w:ascii="宋体" w:hAnsi="宋体" w:cs="宋体"/>
                <w:color w:val="auto"/>
                <w:kern w:val="0"/>
                <w:szCs w:val="21"/>
                <w:highlight w:val="none"/>
              </w:rPr>
            </w:pPr>
          </w:p>
        </w:tc>
        <w:tc>
          <w:tcPr>
            <w:tcW w:w="950" w:type="dxa"/>
            <w:tcBorders>
              <w:top w:val="single" w:color="000000" w:sz="4" w:space="0"/>
              <w:left w:val="single" w:color="000000" w:sz="4" w:space="0"/>
              <w:bottom w:val="single" w:color="000000" w:sz="4" w:space="0"/>
              <w:right w:val="single" w:color="auto" w:sz="4" w:space="0"/>
            </w:tcBorders>
            <w:shd w:val="clear" w:color="auto" w:fill="auto"/>
            <w:vAlign w:val="center"/>
          </w:tcPr>
          <w:p w14:paraId="1AECA3A2">
            <w:pPr>
              <w:widowControl/>
              <w:jc w:val="center"/>
              <w:rPr>
                <w:rFonts w:hint="eastAsia" w:ascii="宋体" w:hAnsi="宋体" w:cs="宋体"/>
                <w:color w:val="auto"/>
                <w:kern w:val="0"/>
                <w:szCs w:val="21"/>
                <w:highlight w:val="none"/>
              </w:rPr>
            </w:pPr>
          </w:p>
        </w:tc>
        <w:tc>
          <w:tcPr>
            <w:tcW w:w="730" w:type="dxa"/>
            <w:tcBorders>
              <w:top w:val="single" w:color="000000" w:sz="4" w:space="0"/>
              <w:left w:val="single" w:color="auto" w:sz="4" w:space="0"/>
              <w:bottom w:val="single" w:color="000000" w:sz="4" w:space="0"/>
              <w:right w:val="single" w:color="auto" w:sz="4" w:space="0"/>
            </w:tcBorders>
            <w:shd w:val="clear" w:color="auto" w:fill="auto"/>
            <w:vAlign w:val="center"/>
          </w:tcPr>
          <w:p w14:paraId="456104B6">
            <w:pPr>
              <w:widowControl/>
              <w:jc w:val="center"/>
              <w:rPr>
                <w:rFonts w:hint="eastAsia" w:ascii="宋体" w:hAnsi="宋体" w:cs="宋体"/>
                <w:color w:val="auto"/>
                <w:kern w:val="0"/>
                <w:szCs w:val="21"/>
                <w:highlight w:val="none"/>
              </w:rPr>
            </w:pPr>
          </w:p>
        </w:tc>
        <w:tc>
          <w:tcPr>
            <w:tcW w:w="1545" w:type="dxa"/>
            <w:tcBorders>
              <w:top w:val="single" w:color="000000" w:sz="4" w:space="0"/>
              <w:left w:val="single" w:color="auto" w:sz="4" w:space="0"/>
              <w:bottom w:val="single" w:color="000000" w:sz="4" w:space="0"/>
              <w:right w:val="single" w:color="000000" w:sz="4" w:space="0"/>
            </w:tcBorders>
            <w:shd w:val="clear" w:color="auto" w:fill="auto"/>
            <w:vAlign w:val="center"/>
          </w:tcPr>
          <w:p w14:paraId="018899A2">
            <w:pPr>
              <w:widowControl/>
              <w:jc w:val="center"/>
              <w:rPr>
                <w:rFonts w:hint="eastAsia" w:ascii="宋体" w:hAnsi="宋体" w:cs="宋体"/>
                <w:color w:val="auto"/>
                <w:kern w:val="0"/>
                <w:szCs w:val="21"/>
                <w:highlight w:val="none"/>
              </w:rPr>
            </w:pP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87DDE">
            <w:pPr>
              <w:widowControl/>
              <w:jc w:val="center"/>
              <w:rPr>
                <w:rFonts w:eastAsia="Times New Roman"/>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9C56A">
            <w:pPr>
              <w:widowControl/>
              <w:jc w:val="center"/>
              <w:rPr>
                <w:rFonts w:eastAsia="Times New Roman"/>
                <w:color w:val="auto"/>
                <w:kern w:val="0"/>
                <w:szCs w:val="21"/>
                <w:highlight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BE45F">
            <w:pPr>
              <w:widowControl/>
              <w:jc w:val="center"/>
              <w:rPr>
                <w:rFonts w:hint="eastAsia" w:ascii="Wingdings 2" w:hAnsi="Wingdings 2" w:cs="宋体"/>
                <w:color w:val="auto"/>
                <w:kern w:val="0"/>
                <w:szCs w:val="21"/>
                <w:highlight w:val="none"/>
              </w:rPr>
            </w:pPr>
          </w:p>
        </w:tc>
        <w:tc>
          <w:tcPr>
            <w:tcW w:w="2375" w:type="dxa"/>
            <w:tcBorders>
              <w:top w:val="single" w:color="000000" w:sz="4" w:space="0"/>
              <w:left w:val="single" w:color="000000" w:sz="4" w:space="0"/>
              <w:bottom w:val="single" w:color="000000" w:sz="4" w:space="0"/>
              <w:right w:val="single" w:color="auto" w:sz="4" w:space="0"/>
            </w:tcBorders>
            <w:shd w:val="clear" w:color="auto" w:fill="auto"/>
            <w:vAlign w:val="center"/>
          </w:tcPr>
          <w:p w14:paraId="42483F40">
            <w:pPr>
              <w:widowControl/>
              <w:jc w:val="center"/>
              <w:rPr>
                <w:rFonts w:hint="eastAsia" w:ascii="Wingdings 2" w:hAnsi="Wingdings 2" w:cs="宋体"/>
                <w:color w:val="auto"/>
                <w:kern w:val="0"/>
                <w:szCs w:val="21"/>
                <w:highlight w:val="none"/>
              </w:rPr>
            </w:pPr>
          </w:p>
        </w:tc>
        <w:tc>
          <w:tcPr>
            <w:tcW w:w="1713" w:type="dxa"/>
            <w:tcBorders>
              <w:top w:val="single" w:color="000000" w:sz="4" w:space="0"/>
              <w:left w:val="single" w:color="auto" w:sz="4" w:space="0"/>
              <w:bottom w:val="single" w:color="000000" w:sz="4" w:space="0"/>
              <w:right w:val="single" w:color="000000" w:sz="4" w:space="0"/>
            </w:tcBorders>
            <w:shd w:val="clear" w:color="auto" w:fill="auto"/>
            <w:vAlign w:val="center"/>
          </w:tcPr>
          <w:p w14:paraId="5F8D14EB">
            <w:pPr>
              <w:widowControl/>
              <w:jc w:val="center"/>
              <w:rPr>
                <w:rFonts w:hint="eastAsia" w:ascii="Wingdings 2" w:hAnsi="Wingdings 2" w:cs="宋体"/>
                <w:color w:val="auto"/>
                <w:kern w:val="0"/>
                <w:szCs w:val="21"/>
                <w:highlight w:val="none"/>
              </w:rPr>
            </w:pPr>
          </w:p>
        </w:tc>
      </w:tr>
      <w:tr w14:paraId="6BEB1901">
        <w:tblPrEx>
          <w:tblCellMar>
            <w:top w:w="0" w:type="dxa"/>
            <w:left w:w="108" w:type="dxa"/>
            <w:bottom w:w="0" w:type="dxa"/>
            <w:right w:w="108" w:type="dxa"/>
          </w:tblCellMar>
        </w:tblPrEx>
        <w:trPr>
          <w:trHeight w:val="654" w:hRule="atLeast"/>
          <w:jc w:val="center"/>
        </w:trPr>
        <w:tc>
          <w:tcPr>
            <w:tcW w:w="946" w:type="dxa"/>
            <w:tcBorders>
              <w:top w:val="single" w:color="000000" w:sz="4" w:space="0"/>
              <w:left w:val="single" w:color="000000" w:sz="4" w:space="0"/>
              <w:bottom w:val="single" w:color="000000" w:sz="4" w:space="0"/>
              <w:right w:val="single" w:color="auto" w:sz="4" w:space="0"/>
            </w:tcBorders>
            <w:shd w:val="clear" w:color="auto" w:fill="auto"/>
            <w:vAlign w:val="center"/>
          </w:tcPr>
          <w:p w14:paraId="08C29029">
            <w:pPr>
              <w:widowControl/>
              <w:jc w:val="center"/>
              <w:rPr>
                <w:rFonts w:hint="eastAsia" w:ascii="宋体" w:hAnsi="宋体" w:cs="宋体"/>
                <w:color w:val="auto"/>
                <w:kern w:val="0"/>
                <w:szCs w:val="21"/>
                <w:highlight w:val="none"/>
              </w:rPr>
            </w:pPr>
          </w:p>
        </w:tc>
        <w:tc>
          <w:tcPr>
            <w:tcW w:w="1287" w:type="dxa"/>
            <w:tcBorders>
              <w:top w:val="single" w:color="000000" w:sz="4" w:space="0"/>
              <w:left w:val="single" w:color="auto" w:sz="4" w:space="0"/>
              <w:bottom w:val="single" w:color="000000" w:sz="4" w:space="0"/>
              <w:right w:val="single" w:color="000000" w:sz="4" w:space="0"/>
            </w:tcBorders>
            <w:shd w:val="clear" w:color="auto" w:fill="auto"/>
            <w:vAlign w:val="center"/>
          </w:tcPr>
          <w:p w14:paraId="6EE01D57">
            <w:pPr>
              <w:widowControl/>
              <w:jc w:val="center"/>
              <w:rPr>
                <w:rFonts w:hint="eastAsia" w:ascii="宋体" w:hAnsi="宋体" w:cs="宋体"/>
                <w:color w:val="auto"/>
                <w:kern w:val="0"/>
                <w:szCs w:val="21"/>
                <w:highlight w:val="none"/>
              </w:rPr>
            </w:pPr>
          </w:p>
        </w:tc>
        <w:tc>
          <w:tcPr>
            <w:tcW w:w="950" w:type="dxa"/>
            <w:tcBorders>
              <w:top w:val="single" w:color="000000" w:sz="4" w:space="0"/>
              <w:left w:val="single" w:color="000000" w:sz="4" w:space="0"/>
              <w:bottom w:val="single" w:color="000000" w:sz="4" w:space="0"/>
              <w:right w:val="single" w:color="auto" w:sz="4" w:space="0"/>
            </w:tcBorders>
            <w:shd w:val="clear" w:color="auto" w:fill="auto"/>
            <w:vAlign w:val="center"/>
          </w:tcPr>
          <w:p w14:paraId="190A18B9">
            <w:pPr>
              <w:widowControl/>
              <w:jc w:val="center"/>
              <w:rPr>
                <w:rFonts w:hint="eastAsia" w:ascii="宋体" w:hAnsi="宋体" w:cs="宋体"/>
                <w:color w:val="auto"/>
                <w:kern w:val="0"/>
                <w:szCs w:val="21"/>
                <w:highlight w:val="none"/>
              </w:rPr>
            </w:pPr>
          </w:p>
        </w:tc>
        <w:tc>
          <w:tcPr>
            <w:tcW w:w="730" w:type="dxa"/>
            <w:tcBorders>
              <w:top w:val="single" w:color="000000" w:sz="4" w:space="0"/>
              <w:left w:val="single" w:color="auto" w:sz="4" w:space="0"/>
              <w:bottom w:val="single" w:color="auto" w:sz="4" w:space="0"/>
              <w:right w:val="single" w:color="auto" w:sz="4" w:space="0"/>
            </w:tcBorders>
            <w:shd w:val="clear" w:color="auto" w:fill="auto"/>
            <w:vAlign w:val="center"/>
          </w:tcPr>
          <w:p w14:paraId="60A3BDEC">
            <w:pPr>
              <w:widowControl/>
              <w:jc w:val="center"/>
              <w:rPr>
                <w:rFonts w:hint="eastAsia" w:ascii="宋体" w:hAnsi="宋体" w:cs="宋体"/>
                <w:color w:val="auto"/>
                <w:kern w:val="0"/>
                <w:szCs w:val="21"/>
                <w:highlight w:val="none"/>
              </w:rPr>
            </w:pPr>
          </w:p>
        </w:tc>
        <w:tc>
          <w:tcPr>
            <w:tcW w:w="1545" w:type="dxa"/>
            <w:tcBorders>
              <w:top w:val="single" w:color="000000" w:sz="4" w:space="0"/>
              <w:left w:val="single" w:color="auto" w:sz="4" w:space="0"/>
              <w:bottom w:val="single" w:color="auto" w:sz="4" w:space="0"/>
              <w:right w:val="single" w:color="000000" w:sz="4" w:space="0"/>
            </w:tcBorders>
            <w:shd w:val="clear" w:color="auto" w:fill="auto"/>
            <w:vAlign w:val="center"/>
          </w:tcPr>
          <w:p w14:paraId="4FED9D91">
            <w:pPr>
              <w:widowControl/>
              <w:jc w:val="center"/>
              <w:rPr>
                <w:rFonts w:hint="eastAsia" w:ascii="宋体" w:hAnsi="宋体" w:cs="宋体"/>
                <w:color w:val="auto"/>
                <w:kern w:val="0"/>
                <w:szCs w:val="21"/>
                <w:highlight w:val="none"/>
              </w:rPr>
            </w:pP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0B95F">
            <w:pPr>
              <w:widowControl/>
              <w:jc w:val="center"/>
              <w:rPr>
                <w:rFonts w:eastAsia="Times New Roman"/>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A75CF">
            <w:pPr>
              <w:widowControl/>
              <w:jc w:val="center"/>
              <w:rPr>
                <w:rFonts w:eastAsia="Times New Roman"/>
                <w:color w:val="auto"/>
                <w:kern w:val="0"/>
                <w:szCs w:val="21"/>
                <w:highlight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F758D">
            <w:pPr>
              <w:widowControl/>
              <w:jc w:val="center"/>
              <w:rPr>
                <w:rFonts w:hint="eastAsia" w:ascii="Wingdings 2" w:hAnsi="Wingdings 2" w:cs="宋体"/>
                <w:color w:val="auto"/>
                <w:kern w:val="0"/>
                <w:szCs w:val="21"/>
                <w:highlight w:val="none"/>
              </w:rPr>
            </w:pPr>
          </w:p>
        </w:tc>
        <w:tc>
          <w:tcPr>
            <w:tcW w:w="2375" w:type="dxa"/>
            <w:tcBorders>
              <w:top w:val="single" w:color="000000" w:sz="4" w:space="0"/>
              <w:left w:val="single" w:color="000000" w:sz="4" w:space="0"/>
              <w:bottom w:val="single" w:color="000000" w:sz="4" w:space="0"/>
              <w:right w:val="single" w:color="auto" w:sz="4" w:space="0"/>
            </w:tcBorders>
            <w:shd w:val="clear" w:color="auto" w:fill="auto"/>
            <w:vAlign w:val="center"/>
          </w:tcPr>
          <w:p w14:paraId="5C5052E0">
            <w:pPr>
              <w:widowControl/>
              <w:jc w:val="center"/>
              <w:rPr>
                <w:rFonts w:hint="eastAsia" w:ascii="Wingdings 2" w:hAnsi="Wingdings 2" w:cs="宋体"/>
                <w:color w:val="auto"/>
                <w:kern w:val="0"/>
                <w:szCs w:val="21"/>
                <w:highlight w:val="none"/>
              </w:rPr>
            </w:pPr>
          </w:p>
        </w:tc>
        <w:tc>
          <w:tcPr>
            <w:tcW w:w="1713" w:type="dxa"/>
            <w:tcBorders>
              <w:top w:val="single" w:color="000000" w:sz="4" w:space="0"/>
              <w:left w:val="single" w:color="auto" w:sz="4" w:space="0"/>
              <w:bottom w:val="single" w:color="000000" w:sz="4" w:space="0"/>
              <w:right w:val="single" w:color="000000" w:sz="4" w:space="0"/>
            </w:tcBorders>
            <w:shd w:val="clear" w:color="auto" w:fill="auto"/>
            <w:vAlign w:val="center"/>
          </w:tcPr>
          <w:p w14:paraId="4FABAAAD">
            <w:pPr>
              <w:widowControl/>
              <w:jc w:val="center"/>
              <w:rPr>
                <w:rFonts w:hint="eastAsia" w:ascii="Wingdings 2" w:hAnsi="Wingdings 2" w:cs="宋体"/>
                <w:color w:val="auto"/>
                <w:kern w:val="0"/>
                <w:szCs w:val="21"/>
                <w:highlight w:val="none"/>
              </w:rPr>
            </w:pPr>
          </w:p>
        </w:tc>
      </w:tr>
      <w:tr w14:paraId="5660BC87">
        <w:tblPrEx>
          <w:tblCellMar>
            <w:top w:w="0" w:type="dxa"/>
            <w:left w:w="108" w:type="dxa"/>
            <w:bottom w:w="0" w:type="dxa"/>
            <w:right w:w="108" w:type="dxa"/>
          </w:tblCellMar>
        </w:tblPrEx>
        <w:trPr>
          <w:trHeight w:val="654" w:hRule="atLeast"/>
          <w:jc w:val="center"/>
        </w:trPr>
        <w:tc>
          <w:tcPr>
            <w:tcW w:w="946" w:type="dxa"/>
            <w:tcBorders>
              <w:top w:val="single" w:color="000000" w:sz="4" w:space="0"/>
              <w:left w:val="single" w:color="000000" w:sz="4" w:space="0"/>
              <w:bottom w:val="single" w:color="000000" w:sz="4" w:space="0"/>
              <w:right w:val="single" w:color="auto" w:sz="4" w:space="0"/>
            </w:tcBorders>
            <w:shd w:val="clear" w:color="auto" w:fill="auto"/>
            <w:vAlign w:val="center"/>
          </w:tcPr>
          <w:p w14:paraId="36521E5D">
            <w:pPr>
              <w:widowControl/>
              <w:jc w:val="center"/>
              <w:rPr>
                <w:rFonts w:hint="eastAsia" w:ascii="宋体" w:hAnsi="宋体" w:cs="宋体"/>
                <w:color w:val="auto"/>
                <w:kern w:val="0"/>
                <w:szCs w:val="21"/>
                <w:highlight w:val="none"/>
              </w:rPr>
            </w:pPr>
          </w:p>
        </w:tc>
        <w:tc>
          <w:tcPr>
            <w:tcW w:w="1287" w:type="dxa"/>
            <w:tcBorders>
              <w:top w:val="single" w:color="000000" w:sz="4" w:space="0"/>
              <w:left w:val="single" w:color="auto" w:sz="4" w:space="0"/>
              <w:bottom w:val="single" w:color="000000" w:sz="4" w:space="0"/>
              <w:right w:val="single" w:color="000000" w:sz="4" w:space="0"/>
            </w:tcBorders>
            <w:shd w:val="clear" w:color="auto" w:fill="auto"/>
            <w:vAlign w:val="center"/>
          </w:tcPr>
          <w:p w14:paraId="17A115A0">
            <w:pPr>
              <w:widowControl/>
              <w:jc w:val="center"/>
              <w:rPr>
                <w:rFonts w:hint="eastAsia" w:ascii="宋体" w:hAnsi="宋体" w:cs="宋体"/>
                <w:color w:val="auto"/>
                <w:kern w:val="0"/>
                <w:szCs w:val="21"/>
                <w:highlight w:val="none"/>
              </w:rPr>
            </w:pPr>
          </w:p>
        </w:tc>
        <w:tc>
          <w:tcPr>
            <w:tcW w:w="950" w:type="dxa"/>
            <w:tcBorders>
              <w:top w:val="single" w:color="000000" w:sz="4" w:space="0"/>
              <w:left w:val="single" w:color="000000" w:sz="4" w:space="0"/>
              <w:bottom w:val="single" w:color="000000" w:sz="4" w:space="0"/>
              <w:right w:val="single" w:color="auto" w:sz="4" w:space="0"/>
            </w:tcBorders>
            <w:shd w:val="clear" w:color="auto" w:fill="auto"/>
            <w:vAlign w:val="center"/>
          </w:tcPr>
          <w:p w14:paraId="302F07EF">
            <w:pPr>
              <w:widowControl/>
              <w:jc w:val="center"/>
              <w:rPr>
                <w:rFonts w:hint="eastAsia" w:ascii="宋体" w:hAnsi="宋体" w:cs="宋体"/>
                <w:color w:val="auto"/>
                <w:kern w:val="0"/>
                <w:szCs w:val="21"/>
                <w:highlight w:val="none"/>
              </w:rPr>
            </w:pPr>
          </w:p>
        </w:tc>
        <w:tc>
          <w:tcPr>
            <w:tcW w:w="730" w:type="dxa"/>
            <w:tcBorders>
              <w:top w:val="single" w:color="auto" w:sz="4" w:space="0"/>
              <w:left w:val="single" w:color="auto" w:sz="4" w:space="0"/>
              <w:bottom w:val="single" w:color="000000" w:sz="4" w:space="0"/>
              <w:right w:val="single" w:color="auto" w:sz="4" w:space="0"/>
            </w:tcBorders>
            <w:shd w:val="clear" w:color="auto" w:fill="auto"/>
            <w:vAlign w:val="center"/>
          </w:tcPr>
          <w:p w14:paraId="50F64438">
            <w:pPr>
              <w:widowControl/>
              <w:jc w:val="center"/>
              <w:rPr>
                <w:rFonts w:hint="eastAsia" w:ascii="宋体" w:hAnsi="宋体" w:cs="宋体"/>
                <w:color w:val="auto"/>
                <w:kern w:val="0"/>
                <w:szCs w:val="21"/>
                <w:highlight w:val="none"/>
              </w:rPr>
            </w:pPr>
          </w:p>
        </w:tc>
        <w:tc>
          <w:tcPr>
            <w:tcW w:w="1545" w:type="dxa"/>
            <w:tcBorders>
              <w:top w:val="single" w:color="auto" w:sz="4" w:space="0"/>
              <w:left w:val="single" w:color="auto" w:sz="4" w:space="0"/>
              <w:bottom w:val="single" w:color="000000" w:sz="4" w:space="0"/>
              <w:right w:val="single" w:color="000000" w:sz="4" w:space="0"/>
            </w:tcBorders>
            <w:shd w:val="clear" w:color="auto" w:fill="auto"/>
            <w:vAlign w:val="center"/>
          </w:tcPr>
          <w:p w14:paraId="38598C6E">
            <w:pPr>
              <w:widowControl/>
              <w:jc w:val="center"/>
              <w:rPr>
                <w:rFonts w:hint="eastAsia" w:ascii="宋体" w:hAnsi="宋体" w:cs="宋体"/>
                <w:color w:val="auto"/>
                <w:kern w:val="0"/>
                <w:szCs w:val="21"/>
                <w:highlight w:val="none"/>
              </w:rPr>
            </w:pP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19B0E">
            <w:pPr>
              <w:widowControl/>
              <w:jc w:val="center"/>
              <w:rPr>
                <w:rFonts w:eastAsia="Times New Roman"/>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B3633">
            <w:pPr>
              <w:widowControl/>
              <w:jc w:val="center"/>
              <w:rPr>
                <w:rFonts w:eastAsia="Times New Roman"/>
                <w:color w:val="auto"/>
                <w:kern w:val="0"/>
                <w:szCs w:val="21"/>
                <w:highlight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3EE35">
            <w:pPr>
              <w:widowControl/>
              <w:jc w:val="center"/>
              <w:rPr>
                <w:rFonts w:eastAsia="Times New Roman"/>
                <w:color w:val="auto"/>
                <w:kern w:val="0"/>
                <w:szCs w:val="21"/>
                <w:highlight w:val="none"/>
              </w:rPr>
            </w:pPr>
          </w:p>
        </w:tc>
        <w:tc>
          <w:tcPr>
            <w:tcW w:w="2375" w:type="dxa"/>
            <w:tcBorders>
              <w:top w:val="single" w:color="000000" w:sz="4" w:space="0"/>
              <w:left w:val="single" w:color="000000" w:sz="4" w:space="0"/>
              <w:bottom w:val="single" w:color="000000" w:sz="4" w:space="0"/>
              <w:right w:val="single" w:color="auto" w:sz="4" w:space="0"/>
            </w:tcBorders>
            <w:shd w:val="clear" w:color="auto" w:fill="auto"/>
            <w:vAlign w:val="center"/>
          </w:tcPr>
          <w:p w14:paraId="1CFF9936">
            <w:pPr>
              <w:widowControl/>
              <w:jc w:val="center"/>
              <w:rPr>
                <w:rFonts w:eastAsia="Times New Roman"/>
                <w:color w:val="auto"/>
                <w:kern w:val="0"/>
                <w:szCs w:val="21"/>
                <w:highlight w:val="none"/>
              </w:rPr>
            </w:pPr>
          </w:p>
        </w:tc>
        <w:tc>
          <w:tcPr>
            <w:tcW w:w="1713" w:type="dxa"/>
            <w:tcBorders>
              <w:top w:val="single" w:color="000000" w:sz="4" w:space="0"/>
              <w:left w:val="single" w:color="auto" w:sz="4" w:space="0"/>
              <w:bottom w:val="single" w:color="000000" w:sz="4" w:space="0"/>
              <w:right w:val="single" w:color="000000" w:sz="4" w:space="0"/>
            </w:tcBorders>
            <w:shd w:val="clear" w:color="auto" w:fill="auto"/>
            <w:vAlign w:val="center"/>
          </w:tcPr>
          <w:p w14:paraId="727BAF5E">
            <w:pPr>
              <w:widowControl/>
              <w:jc w:val="center"/>
              <w:rPr>
                <w:rFonts w:eastAsia="Times New Roman"/>
                <w:color w:val="auto"/>
                <w:kern w:val="0"/>
                <w:szCs w:val="21"/>
                <w:highlight w:val="none"/>
              </w:rPr>
            </w:pPr>
          </w:p>
        </w:tc>
      </w:tr>
      <w:tr w14:paraId="599F5CF3">
        <w:tblPrEx>
          <w:tblCellMar>
            <w:top w:w="0" w:type="dxa"/>
            <w:left w:w="108" w:type="dxa"/>
            <w:bottom w:w="0" w:type="dxa"/>
            <w:right w:w="108" w:type="dxa"/>
          </w:tblCellMar>
        </w:tblPrEx>
        <w:trPr>
          <w:trHeight w:val="654" w:hRule="atLeast"/>
          <w:jc w:val="center"/>
        </w:trPr>
        <w:tc>
          <w:tcPr>
            <w:tcW w:w="946" w:type="dxa"/>
            <w:tcBorders>
              <w:top w:val="single" w:color="000000" w:sz="4" w:space="0"/>
              <w:left w:val="single" w:color="000000" w:sz="4" w:space="0"/>
              <w:bottom w:val="single" w:color="000000" w:sz="4" w:space="0"/>
              <w:right w:val="single" w:color="auto" w:sz="4" w:space="0"/>
            </w:tcBorders>
            <w:shd w:val="clear" w:color="auto" w:fill="auto"/>
            <w:vAlign w:val="center"/>
          </w:tcPr>
          <w:p w14:paraId="3BC226DE">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w:t>
            </w:r>
          </w:p>
        </w:tc>
        <w:tc>
          <w:tcPr>
            <w:tcW w:w="1287" w:type="dxa"/>
            <w:tcBorders>
              <w:top w:val="single" w:color="000000" w:sz="4" w:space="0"/>
              <w:left w:val="single" w:color="auto" w:sz="4" w:space="0"/>
              <w:bottom w:val="single" w:color="000000" w:sz="4" w:space="0"/>
              <w:right w:val="single" w:color="000000" w:sz="4" w:space="0"/>
            </w:tcBorders>
            <w:shd w:val="clear" w:color="auto" w:fill="auto"/>
            <w:vAlign w:val="center"/>
          </w:tcPr>
          <w:p w14:paraId="5578D45E">
            <w:pPr>
              <w:widowControl/>
              <w:jc w:val="center"/>
              <w:rPr>
                <w:rFonts w:hint="eastAsia" w:ascii="宋体" w:hAnsi="宋体" w:cs="宋体"/>
                <w:b/>
                <w:bCs/>
                <w:color w:val="auto"/>
                <w:kern w:val="0"/>
                <w:szCs w:val="21"/>
                <w:highlight w:val="none"/>
              </w:rPr>
            </w:pPr>
          </w:p>
        </w:tc>
        <w:tc>
          <w:tcPr>
            <w:tcW w:w="950" w:type="dxa"/>
            <w:tcBorders>
              <w:top w:val="single" w:color="000000" w:sz="4" w:space="0"/>
              <w:left w:val="single" w:color="000000" w:sz="4" w:space="0"/>
              <w:bottom w:val="single" w:color="000000" w:sz="4" w:space="0"/>
              <w:right w:val="single" w:color="auto" w:sz="4" w:space="0"/>
            </w:tcBorders>
            <w:shd w:val="clear" w:color="auto" w:fill="auto"/>
            <w:vAlign w:val="center"/>
          </w:tcPr>
          <w:p w14:paraId="3FF6276C">
            <w:pPr>
              <w:widowControl/>
              <w:jc w:val="center"/>
              <w:rPr>
                <w:rFonts w:hint="eastAsia" w:ascii="宋体" w:hAnsi="宋体" w:cs="宋体"/>
                <w:b/>
                <w:bCs/>
                <w:color w:val="auto"/>
                <w:kern w:val="0"/>
                <w:szCs w:val="21"/>
                <w:highlight w:val="none"/>
              </w:rPr>
            </w:pPr>
          </w:p>
        </w:tc>
        <w:tc>
          <w:tcPr>
            <w:tcW w:w="730" w:type="dxa"/>
            <w:tcBorders>
              <w:top w:val="single" w:color="000000" w:sz="4" w:space="0"/>
              <w:left w:val="single" w:color="auto" w:sz="4" w:space="0"/>
              <w:bottom w:val="single" w:color="000000" w:sz="4" w:space="0"/>
              <w:right w:val="single" w:color="auto" w:sz="4" w:space="0"/>
            </w:tcBorders>
            <w:shd w:val="clear" w:color="auto" w:fill="auto"/>
            <w:vAlign w:val="center"/>
          </w:tcPr>
          <w:p w14:paraId="0A22A9C0">
            <w:pPr>
              <w:widowControl/>
              <w:jc w:val="center"/>
              <w:rPr>
                <w:rFonts w:hint="eastAsia" w:ascii="宋体" w:hAnsi="宋体" w:cs="宋体"/>
                <w:b/>
                <w:bCs/>
                <w:color w:val="auto"/>
                <w:kern w:val="0"/>
                <w:szCs w:val="21"/>
                <w:highlight w:val="none"/>
              </w:rPr>
            </w:pPr>
          </w:p>
        </w:tc>
        <w:tc>
          <w:tcPr>
            <w:tcW w:w="1545" w:type="dxa"/>
            <w:tcBorders>
              <w:top w:val="single" w:color="000000" w:sz="4" w:space="0"/>
              <w:left w:val="single" w:color="auto" w:sz="4" w:space="0"/>
              <w:bottom w:val="single" w:color="000000" w:sz="4" w:space="0"/>
              <w:right w:val="single" w:color="000000" w:sz="4" w:space="0"/>
            </w:tcBorders>
            <w:shd w:val="clear" w:color="auto" w:fill="auto"/>
            <w:vAlign w:val="center"/>
          </w:tcPr>
          <w:p w14:paraId="044F8212">
            <w:pPr>
              <w:widowControl/>
              <w:jc w:val="center"/>
              <w:rPr>
                <w:rFonts w:hint="eastAsia" w:ascii="宋体" w:hAnsi="宋体" w:cs="宋体"/>
                <w:b/>
                <w:bCs/>
                <w:color w:val="auto"/>
                <w:kern w:val="0"/>
                <w:szCs w:val="21"/>
                <w:highlight w:val="none"/>
              </w:rPr>
            </w:pP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E8F6E">
            <w:pPr>
              <w:widowControl/>
              <w:jc w:val="center"/>
              <w:rPr>
                <w:rFonts w:eastAsia="Times New Roman"/>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BB769">
            <w:pPr>
              <w:widowControl/>
              <w:jc w:val="center"/>
              <w:rPr>
                <w:rFonts w:eastAsia="Times New Roman"/>
                <w:color w:val="auto"/>
                <w:kern w:val="0"/>
                <w:szCs w:val="21"/>
                <w:highlight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F09B4">
            <w:pPr>
              <w:widowControl/>
              <w:jc w:val="center"/>
              <w:rPr>
                <w:rFonts w:eastAsia="Times New Roman"/>
                <w:color w:val="auto"/>
                <w:kern w:val="0"/>
                <w:szCs w:val="21"/>
                <w:highlight w:val="none"/>
              </w:rPr>
            </w:pPr>
          </w:p>
        </w:tc>
        <w:tc>
          <w:tcPr>
            <w:tcW w:w="2375" w:type="dxa"/>
            <w:tcBorders>
              <w:top w:val="single" w:color="000000" w:sz="4" w:space="0"/>
              <w:left w:val="single" w:color="000000" w:sz="4" w:space="0"/>
              <w:bottom w:val="single" w:color="000000" w:sz="4" w:space="0"/>
              <w:right w:val="single" w:color="auto" w:sz="4" w:space="0"/>
            </w:tcBorders>
            <w:shd w:val="clear" w:color="auto" w:fill="auto"/>
            <w:vAlign w:val="center"/>
          </w:tcPr>
          <w:p w14:paraId="27D43270">
            <w:pPr>
              <w:widowControl/>
              <w:jc w:val="center"/>
              <w:rPr>
                <w:rFonts w:eastAsia="Times New Roman"/>
                <w:color w:val="auto"/>
                <w:kern w:val="0"/>
                <w:szCs w:val="21"/>
                <w:highlight w:val="none"/>
              </w:rPr>
            </w:pPr>
          </w:p>
        </w:tc>
        <w:tc>
          <w:tcPr>
            <w:tcW w:w="1713" w:type="dxa"/>
            <w:tcBorders>
              <w:top w:val="single" w:color="000000" w:sz="4" w:space="0"/>
              <w:left w:val="single" w:color="auto" w:sz="4" w:space="0"/>
              <w:bottom w:val="single" w:color="000000" w:sz="4" w:space="0"/>
              <w:right w:val="single" w:color="000000" w:sz="4" w:space="0"/>
            </w:tcBorders>
            <w:shd w:val="clear" w:color="auto" w:fill="auto"/>
            <w:vAlign w:val="center"/>
          </w:tcPr>
          <w:p w14:paraId="7358B4F5">
            <w:pPr>
              <w:widowControl/>
              <w:jc w:val="center"/>
              <w:rPr>
                <w:rFonts w:eastAsia="Times New Roman"/>
                <w:color w:val="auto"/>
                <w:kern w:val="0"/>
                <w:szCs w:val="21"/>
                <w:highlight w:val="none"/>
              </w:rPr>
            </w:pPr>
          </w:p>
        </w:tc>
      </w:tr>
      <w:tr w14:paraId="59391848">
        <w:tblPrEx>
          <w:tblCellMar>
            <w:top w:w="0" w:type="dxa"/>
            <w:left w:w="108" w:type="dxa"/>
            <w:bottom w:w="0" w:type="dxa"/>
            <w:right w:w="108" w:type="dxa"/>
          </w:tblCellMar>
        </w:tblPrEx>
        <w:trPr>
          <w:trHeight w:val="654" w:hRule="atLeast"/>
          <w:jc w:val="center"/>
        </w:trPr>
        <w:tc>
          <w:tcPr>
            <w:tcW w:w="8558"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D8EDE9A">
            <w:pPr>
              <w:widowControl/>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自评结果</w:t>
            </w:r>
          </w:p>
        </w:tc>
        <w:tc>
          <w:tcPr>
            <w:tcW w:w="598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7307FBB">
            <w:pPr>
              <w:widowControl/>
              <w:jc w:val="center"/>
              <w:rPr>
                <w:rFonts w:eastAsia="Times New Roman"/>
                <w:color w:val="auto"/>
                <w:kern w:val="0"/>
                <w:szCs w:val="21"/>
                <w:highlight w:val="none"/>
              </w:rPr>
            </w:pPr>
          </w:p>
        </w:tc>
      </w:tr>
    </w:tbl>
    <w:p w14:paraId="4639C9E9">
      <w:pPr>
        <w:pStyle w:val="32"/>
        <w:spacing w:before="156" w:after="156"/>
        <w:ind w:left="630" w:leftChars="300"/>
        <w:rPr>
          <w:rFonts w:hint="eastAsia" w:asciiTheme="minorEastAsia" w:hAnsiTheme="minorEastAsia"/>
          <w:color w:val="auto"/>
          <w:highlight w:val="none"/>
        </w:rPr>
      </w:pPr>
      <w:r>
        <w:rPr>
          <w:rFonts w:hint="eastAsia" w:hAnsi="宋体" w:cs="宋体"/>
          <w:color w:val="auto"/>
          <w:kern w:val="0"/>
          <w:highlight w:val="none"/>
        </w:rPr>
        <w:t>自评</w:t>
      </w:r>
      <w:r>
        <w:rPr>
          <w:rFonts w:hint="eastAsia" w:asciiTheme="minorEastAsia" w:hAnsiTheme="minorEastAsia"/>
          <w:color w:val="auto"/>
          <w:highlight w:val="none"/>
        </w:rPr>
        <w:t>单位（盖章）                                                                                     日期：    年   月   日</w:t>
      </w:r>
      <w:r>
        <w:rPr>
          <w:rFonts w:asciiTheme="minorEastAsia" w:hAnsiTheme="minorEastAsia"/>
          <w:color w:val="auto"/>
          <w:highlight w:val="none"/>
        </w:rPr>
        <w:br w:type="textWrapping"/>
      </w:r>
    </w:p>
    <w:p w14:paraId="7E92A750">
      <w:pP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br w:type="page"/>
      </w:r>
    </w:p>
    <w:p w14:paraId="113EC313">
      <w:pPr>
        <w:spacing w:line="360" w:lineRule="auto"/>
        <w:rPr>
          <w:rFonts w:hint="eastAsia" w:ascii="宋体" w:hAnsi="宋体" w:cs="宋体"/>
          <w:b/>
          <w:color w:val="auto"/>
          <w:spacing w:val="6"/>
          <w:sz w:val="32"/>
          <w:szCs w:val="32"/>
          <w:highlight w:val="none"/>
        </w:rPr>
        <w:sectPr>
          <w:pgSz w:w="16838" w:h="11905" w:orient="landscape"/>
          <w:pgMar w:top="1417" w:right="1247" w:bottom="1417" w:left="1247" w:header="851" w:footer="850" w:gutter="0"/>
          <w:cols w:space="0" w:num="1"/>
          <w:docGrid w:linePitch="312" w:charSpace="0"/>
        </w:sectPr>
      </w:pPr>
    </w:p>
    <w:p w14:paraId="4481CE03">
      <w:pPr>
        <w:spacing w:line="360" w:lineRule="auto"/>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w:t>
      </w:r>
    </w:p>
    <w:p w14:paraId="17EFB808">
      <w:pPr>
        <w:spacing w:line="360" w:lineRule="auto"/>
        <w:jc w:val="center"/>
        <w:rPr>
          <w:rFonts w:hint="eastAsia" w:ascii="宋体" w:hAnsi="宋体" w:cs="宋体"/>
          <w:b/>
          <w:color w:val="auto"/>
          <w:spacing w:val="6"/>
          <w:sz w:val="32"/>
          <w:szCs w:val="32"/>
          <w:highlight w:val="none"/>
        </w:rPr>
      </w:pPr>
      <w:bookmarkStart w:id="465" w:name="OLE_LINK13"/>
      <w:bookmarkStart w:id="466" w:name="OLE_LINK14"/>
      <w:r>
        <w:rPr>
          <w:rFonts w:hint="eastAsia" w:ascii="宋体" w:hAnsi="宋体" w:cs="宋体"/>
          <w:b/>
          <w:color w:val="auto"/>
          <w:spacing w:val="6"/>
          <w:sz w:val="32"/>
          <w:szCs w:val="32"/>
          <w:highlight w:val="none"/>
        </w:rPr>
        <w:t>残疾人福利性单位声明函</w:t>
      </w:r>
    </w:p>
    <w:bookmarkEnd w:id="465"/>
    <w:bookmarkEnd w:id="466"/>
    <w:p w14:paraId="74FB6C9D">
      <w:pPr>
        <w:spacing w:line="360" w:lineRule="auto"/>
        <w:rPr>
          <w:rFonts w:hint="eastAsia" w:ascii="宋体" w:hAnsi="宋体" w:cs="宋体"/>
          <w:b/>
          <w:color w:val="auto"/>
          <w:spacing w:val="6"/>
          <w:sz w:val="30"/>
          <w:szCs w:val="30"/>
          <w:highlight w:val="none"/>
        </w:rPr>
      </w:pPr>
    </w:p>
    <w:p w14:paraId="66DEB17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西塘河（湖州街-京杭运河）生态清淤工程</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AC0937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61337140">
      <w:pPr>
        <w:spacing w:line="360" w:lineRule="auto"/>
        <w:ind w:firstLine="480" w:firstLineChars="200"/>
        <w:rPr>
          <w:rFonts w:hint="eastAsia" w:ascii="宋体" w:hAnsi="宋体" w:cs="宋体"/>
          <w:color w:val="auto"/>
          <w:sz w:val="24"/>
          <w:highlight w:val="none"/>
        </w:rPr>
      </w:pPr>
    </w:p>
    <w:p w14:paraId="7C934856">
      <w:pPr>
        <w:spacing w:line="360" w:lineRule="auto"/>
        <w:ind w:firstLine="480" w:firstLineChars="200"/>
        <w:rPr>
          <w:rFonts w:hint="eastAsia" w:ascii="宋体" w:hAnsi="宋体" w:cs="宋体"/>
          <w:color w:val="auto"/>
          <w:sz w:val="24"/>
          <w:highlight w:val="none"/>
        </w:rPr>
      </w:pPr>
    </w:p>
    <w:p w14:paraId="23F56641">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131F384">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日  期：</w:t>
      </w:r>
    </w:p>
    <w:p w14:paraId="19A48D49">
      <w:pPr>
        <w:spacing w:line="360" w:lineRule="auto"/>
        <w:ind w:firstLine="480" w:firstLineChars="200"/>
        <w:rPr>
          <w:rFonts w:hint="eastAsia" w:ascii="宋体" w:hAnsi="宋体" w:cs="宋体"/>
          <w:color w:val="auto"/>
          <w:sz w:val="24"/>
          <w:highlight w:val="none"/>
        </w:rPr>
      </w:pPr>
    </w:p>
    <w:p w14:paraId="03D7D34E">
      <w:pPr>
        <w:spacing w:line="360" w:lineRule="auto"/>
        <w:ind w:firstLine="420" w:firstLineChars="200"/>
        <w:rPr>
          <w:rFonts w:hint="eastAsia" w:ascii="宋体" w:hAnsi="宋体" w:cs="宋体"/>
          <w:color w:val="auto"/>
          <w:highlight w:val="none"/>
        </w:rPr>
      </w:pPr>
    </w:p>
    <w:p w14:paraId="4FE48FA9">
      <w:pPr>
        <w:spacing w:line="360" w:lineRule="auto"/>
        <w:ind w:firstLine="420" w:firstLineChars="200"/>
        <w:rPr>
          <w:rFonts w:hint="eastAsia" w:ascii="宋体" w:hAnsi="宋体" w:cs="宋体"/>
          <w:color w:val="auto"/>
          <w:highlight w:val="none"/>
        </w:rPr>
      </w:pPr>
    </w:p>
    <w:p w14:paraId="2F70D0CE">
      <w:pPr>
        <w:spacing w:line="360" w:lineRule="auto"/>
        <w:ind w:firstLine="420" w:firstLineChars="200"/>
        <w:rPr>
          <w:rFonts w:hint="eastAsia" w:ascii="宋体" w:hAnsi="宋体" w:cs="宋体"/>
          <w:color w:val="auto"/>
          <w:highlight w:val="none"/>
        </w:rPr>
      </w:pPr>
    </w:p>
    <w:p w14:paraId="7E8FC68F">
      <w:pPr>
        <w:spacing w:line="360" w:lineRule="auto"/>
        <w:ind w:firstLine="420" w:firstLineChars="200"/>
        <w:rPr>
          <w:rFonts w:hint="eastAsia" w:ascii="宋体" w:hAnsi="宋体" w:cs="宋体"/>
          <w:color w:val="auto"/>
          <w:highlight w:val="none"/>
        </w:rPr>
      </w:pPr>
    </w:p>
    <w:p w14:paraId="6FAF75FB">
      <w:pPr>
        <w:spacing w:line="360" w:lineRule="auto"/>
        <w:rPr>
          <w:rFonts w:hint="eastAsia" w:ascii="宋体" w:hAnsi="宋体" w:cs="宋体"/>
          <w:b/>
          <w:color w:val="auto"/>
          <w:sz w:val="24"/>
          <w:highlight w:val="none"/>
        </w:rPr>
      </w:pPr>
    </w:p>
    <w:p w14:paraId="1697FDB7">
      <w:pPr>
        <w:spacing w:line="360" w:lineRule="auto"/>
        <w:rPr>
          <w:rFonts w:hint="eastAsia" w:ascii="宋体" w:hAnsi="宋体" w:cs="宋体"/>
          <w:b/>
          <w:color w:val="auto"/>
          <w:sz w:val="24"/>
          <w:highlight w:val="none"/>
        </w:rPr>
      </w:pPr>
    </w:p>
    <w:p w14:paraId="3718D0FE">
      <w:pPr>
        <w:spacing w:line="360" w:lineRule="auto"/>
        <w:rPr>
          <w:rFonts w:hint="eastAsia" w:ascii="宋体" w:hAnsi="宋体" w:cs="宋体"/>
          <w:b/>
          <w:color w:val="auto"/>
          <w:sz w:val="24"/>
          <w:highlight w:val="none"/>
        </w:rPr>
      </w:pPr>
    </w:p>
    <w:p w14:paraId="5F77AC8E">
      <w:pPr>
        <w:spacing w:line="360" w:lineRule="auto"/>
        <w:rPr>
          <w:rFonts w:hint="eastAsia" w:ascii="宋体" w:hAnsi="宋体" w:cs="宋体"/>
          <w:b/>
          <w:color w:val="auto"/>
          <w:sz w:val="24"/>
          <w:highlight w:val="none"/>
        </w:rPr>
      </w:pPr>
    </w:p>
    <w:p w14:paraId="26E30313">
      <w:pPr>
        <w:spacing w:line="360" w:lineRule="auto"/>
        <w:rPr>
          <w:rFonts w:hint="eastAsia" w:ascii="宋体" w:hAnsi="宋体" w:cs="宋体"/>
          <w:b/>
          <w:color w:val="auto"/>
          <w:sz w:val="24"/>
          <w:highlight w:val="none"/>
        </w:rPr>
      </w:pPr>
    </w:p>
    <w:p w14:paraId="26A8467D">
      <w:pPr>
        <w:spacing w:line="360" w:lineRule="auto"/>
        <w:rPr>
          <w:rFonts w:hint="eastAsia" w:ascii="宋体" w:hAnsi="宋体" w:cs="宋体"/>
          <w:b/>
          <w:color w:val="auto"/>
          <w:sz w:val="24"/>
          <w:highlight w:val="none"/>
        </w:rPr>
      </w:pPr>
    </w:p>
    <w:p w14:paraId="3AD31F70">
      <w:pPr>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3DC6A5D5">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附件3：质疑函范本及制作说明</w:t>
      </w:r>
    </w:p>
    <w:p w14:paraId="404E3532">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3D416F41">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一、质疑供应商基本信息</w:t>
      </w:r>
    </w:p>
    <w:p w14:paraId="4DEAAA5C">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417F822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D57FF1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C8CFC38">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47D5B6C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71C65A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5888FBE">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二、质疑项目基本情况</w:t>
      </w:r>
    </w:p>
    <w:p w14:paraId="17D1922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072529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F0071A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51924E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7EEA6A7F">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三、质疑事项具体内容</w:t>
      </w:r>
    </w:p>
    <w:p w14:paraId="4D46B1A3">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7582707">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A0C075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7A00EC5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5794F48">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7460F0D">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质疑事项2</w:t>
      </w:r>
    </w:p>
    <w:p w14:paraId="6D8DA7F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3E9BCC3C">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5D87EBF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4DEB0FE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1E01B17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4925EF2B">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质疑函制作说明：</w:t>
      </w:r>
    </w:p>
    <w:p w14:paraId="43D3BA0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47B44BB3">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6A8BAB2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42414C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29CF0BE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384E0F9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69C1530">
      <w:pPr>
        <w:widowControl/>
        <w:spacing w:line="360" w:lineRule="auto"/>
        <w:ind w:firstLine="600" w:firstLineChars="200"/>
        <w:jc w:val="left"/>
        <w:rPr>
          <w:rFonts w:hint="eastAsia" w:ascii="宋体" w:hAnsi="宋体" w:cs="宋体"/>
          <w:color w:val="auto"/>
          <w:sz w:val="30"/>
          <w:szCs w:val="30"/>
          <w:highlight w:val="none"/>
        </w:rPr>
      </w:pPr>
    </w:p>
    <w:p w14:paraId="6E6DDB42">
      <w:pPr>
        <w:spacing w:line="360" w:lineRule="auto"/>
        <w:jc w:val="center"/>
        <w:rPr>
          <w:rFonts w:hint="eastAsia" w:ascii="宋体" w:hAnsi="宋体" w:cs="宋体"/>
          <w:b/>
          <w:color w:val="auto"/>
          <w:spacing w:val="6"/>
          <w:sz w:val="32"/>
          <w:szCs w:val="32"/>
          <w:highlight w:val="none"/>
        </w:rPr>
      </w:pPr>
    </w:p>
    <w:p w14:paraId="5B269AFE">
      <w:pPr>
        <w:spacing w:line="360" w:lineRule="auto"/>
        <w:jc w:val="center"/>
        <w:rPr>
          <w:rFonts w:hint="eastAsia" w:ascii="宋体" w:hAnsi="宋体" w:cs="宋体"/>
          <w:b/>
          <w:color w:val="auto"/>
          <w:spacing w:val="6"/>
          <w:sz w:val="32"/>
          <w:szCs w:val="32"/>
          <w:highlight w:val="none"/>
        </w:rPr>
      </w:pPr>
    </w:p>
    <w:p w14:paraId="4A716308">
      <w:pPr>
        <w:spacing w:line="360" w:lineRule="auto"/>
        <w:jc w:val="center"/>
        <w:rPr>
          <w:rFonts w:hint="eastAsia" w:ascii="宋体" w:hAnsi="宋体" w:cs="宋体"/>
          <w:b/>
          <w:color w:val="auto"/>
          <w:spacing w:val="6"/>
          <w:sz w:val="32"/>
          <w:szCs w:val="32"/>
          <w:highlight w:val="none"/>
        </w:rPr>
      </w:pPr>
    </w:p>
    <w:p w14:paraId="7CF2F590">
      <w:pPr>
        <w:spacing w:line="360" w:lineRule="auto"/>
        <w:jc w:val="center"/>
        <w:rPr>
          <w:rFonts w:hint="eastAsia" w:ascii="宋体" w:hAnsi="宋体" w:cs="宋体"/>
          <w:b/>
          <w:color w:val="auto"/>
          <w:spacing w:val="6"/>
          <w:sz w:val="32"/>
          <w:szCs w:val="32"/>
          <w:highlight w:val="none"/>
        </w:rPr>
      </w:pPr>
    </w:p>
    <w:p w14:paraId="3262BDD3">
      <w:pPr>
        <w:spacing w:line="360" w:lineRule="auto"/>
        <w:jc w:val="center"/>
        <w:rPr>
          <w:rFonts w:hint="eastAsia" w:ascii="宋体" w:hAnsi="宋体" w:cs="宋体"/>
          <w:b/>
          <w:color w:val="auto"/>
          <w:spacing w:val="6"/>
          <w:sz w:val="32"/>
          <w:szCs w:val="32"/>
          <w:highlight w:val="none"/>
        </w:rPr>
      </w:pPr>
    </w:p>
    <w:p w14:paraId="12A80F94">
      <w:pPr>
        <w:spacing w:line="360" w:lineRule="auto"/>
        <w:jc w:val="center"/>
        <w:rPr>
          <w:rFonts w:hint="eastAsia" w:ascii="宋体" w:hAnsi="宋体" w:cs="宋体"/>
          <w:b/>
          <w:color w:val="auto"/>
          <w:spacing w:val="6"/>
          <w:sz w:val="32"/>
          <w:szCs w:val="32"/>
          <w:highlight w:val="none"/>
        </w:rPr>
      </w:pPr>
    </w:p>
    <w:p w14:paraId="64C91400">
      <w:pPr>
        <w:spacing w:line="360" w:lineRule="auto"/>
        <w:jc w:val="center"/>
        <w:rPr>
          <w:rFonts w:hint="eastAsia" w:ascii="宋体" w:hAnsi="宋体" w:cs="宋体"/>
          <w:b/>
          <w:color w:val="auto"/>
          <w:spacing w:val="6"/>
          <w:sz w:val="32"/>
          <w:szCs w:val="32"/>
          <w:highlight w:val="none"/>
        </w:rPr>
      </w:pPr>
    </w:p>
    <w:p w14:paraId="1F4F2210">
      <w:pPr>
        <w:spacing w:line="360" w:lineRule="auto"/>
        <w:jc w:val="center"/>
        <w:rPr>
          <w:rFonts w:hint="eastAsia" w:ascii="宋体" w:hAnsi="宋体" w:cs="宋体"/>
          <w:b/>
          <w:color w:val="auto"/>
          <w:spacing w:val="6"/>
          <w:sz w:val="32"/>
          <w:szCs w:val="32"/>
          <w:highlight w:val="none"/>
        </w:rPr>
      </w:pPr>
    </w:p>
    <w:p w14:paraId="1D19C3C4">
      <w:pPr>
        <w:spacing w:line="360" w:lineRule="auto"/>
        <w:jc w:val="center"/>
        <w:rPr>
          <w:rFonts w:hint="eastAsia" w:ascii="宋体" w:hAnsi="宋体" w:cs="宋体"/>
          <w:b/>
          <w:color w:val="auto"/>
          <w:spacing w:val="6"/>
          <w:sz w:val="32"/>
          <w:szCs w:val="32"/>
          <w:highlight w:val="none"/>
        </w:rPr>
      </w:pPr>
    </w:p>
    <w:p w14:paraId="57FDACB4">
      <w:pPr>
        <w:spacing w:line="360" w:lineRule="auto"/>
        <w:jc w:val="left"/>
        <w:rPr>
          <w:rFonts w:hint="eastAsia" w:ascii="宋体" w:hAnsi="宋体" w:cs="宋体"/>
          <w:b/>
          <w:color w:val="auto"/>
          <w:spacing w:val="6"/>
          <w:sz w:val="32"/>
          <w:szCs w:val="32"/>
          <w:highlight w:val="none"/>
        </w:rPr>
      </w:pPr>
    </w:p>
    <w:p w14:paraId="57B65488">
      <w:pPr>
        <w:spacing w:line="360" w:lineRule="auto"/>
        <w:jc w:val="left"/>
        <w:rPr>
          <w:rFonts w:hint="eastAsia" w:ascii="宋体" w:hAnsi="宋体" w:cs="宋体"/>
          <w:b/>
          <w:color w:val="auto"/>
          <w:spacing w:val="6"/>
          <w:sz w:val="32"/>
          <w:szCs w:val="32"/>
          <w:highlight w:val="none"/>
        </w:rPr>
      </w:pPr>
    </w:p>
    <w:p w14:paraId="50B6E77A">
      <w:pPr>
        <w:spacing w:line="360" w:lineRule="auto"/>
        <w:jc w:val="left"/>
        <w:rPr>
          <w:rFonts w:hint="eastAsia" w:ascii="宋体" w:hAnsi="宋体" w:cs="宋体"/>
          <w:b/>
          <w:color w:val="auto"/>
          <w:spacing w:val="6"/>
          <w:sz w:val="32"/>
          <w:szCs w:val="32"/>
          <w:highlight w:val="none"/>
        </w:rPr>
      </w:pPr>
    </w:p>
    <w:p w14:paraId="6ABDE406">
      <w:pPr>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5580EC98">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附件4：投诉书范本及制作说明</w:t>
      </w:r>
    </w:p>
    <w:p w14:paraId="053B2B1B">
      <w:pPr>
        <w:spacing w:line="360" w:lineRule="auto"/>
        <w:jc w:val="center"/>
        <w:rPr>
          <w:rFonts w:hint="eastAsia" w:ascii="宋体" w:hAnsi="宋体" w:cs="宋体"/>
          <w:b/>
          <w:color w:val="auto"/>
          <w:sz w:val="24"/>
          <w:highlight w:val="none"/>
        </w:rPr>
      </w:pPr>
    </w:p>
    <w:p w14:paraId="2ABA7E7C">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6D59B296">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14861B80">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FD1E3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084A7D2">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C82CE16">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1CB519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1C30A1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18A4EC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1FE1B33">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11743E0">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98CFEB9">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61C63732">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6639643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C3811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D9BFF7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3A1CED2">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24573863">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2DE73C8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2826060">
      <w:pPr>
        <w:spacing w:line="360" w:lineRule="auto"/>
        <w:rPr>
          <w:rFonts w:hint="eastAsia"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D67C28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9C23467">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83FA4EB">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04E2918">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三、质疑基本情况</w:t>
      </w:r>
    </w:p>
    <w:p w14:paraId="4E77F4C8">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4339CE2D">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6F778FE">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339B8658">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2231907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52D4E64D">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9180BCD">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ADEB2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25A3550">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E61C3A4">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322C34C5">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1E44228B">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1CF924F0">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00BDD5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24D7BD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46961835">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67642ED9">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9B65055">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3DDD1A83">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14E790D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62E7C34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61B267C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7F69D7D">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08F0A392">
      <w:pPr>
        <w:autoSpaceDE w:val="0"/>
        <w:autoSpaceDN w:val="0"/>
        <w:jc w:val="center"/>
        <w:rPr>
          <w:rFonts w:hint="eastAsia" w:ascii="宋体" w:hAnsi="宋体" w:cs="宋体"/>
          <w:b/>
          <w:color w:val="auto"/>
          <w:spacing w:val="6"/>
          <w:sz w:val="32"/>
          <w:szCs w:val="32"/>
          <w:highlight w:val="none"/>
        </w:rPr>
      </w:pPr>
    </w:p>
    <w:p w14:paraId="7367909A">
      <w:pPr>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D0F5331">
      <w:pPr>
        <w:autoSpaceDE w:val="0"/>
        <w:autoSpaceDN w:val="0"/>
        <w:jc w:val="center"/>
        <w:rPr>
          <w:rFonts w:hint="eastAsia" w:ascii="宋体" w:hAnsi="宋体" w:cs="宋体"/>
          <w:b/>
          <w:bCs/>
          <w:color w:val="auto"/>
          <w:sz w:val="32"/>
          <w:szCs w:val="32"/>
          <w:highlight w:val="none"/>
        </w:rPr>
      </w:pPr>
      <w:r>
        <w:rPr>
          <w:rFonts w:hint="eastAsia" w:ascii="宋体" w:hAnsi="宋体" w:cs="宋体"/>
          <w:b/>
          <w:color w:val="auto"/>
          <w:spacing w:val="6"/>
          <w:sz w:val="32"/>
          <w:szCs w:val="32"/>
          <w:highlight w:val="none"/>
        </w:rPr>
        <w:t>附件5：</w:t>
      </w:r>
      <w:r>
        <w:rPr>
          <w:rFonts w:hint="eastAsia" w:ascii="宋体" w:hAnsi="宋体" w:cs="宋体"/>
          <w:b/>
          <w:bCs/>
          <w:color w:val="auto"/>
          <w:sz w:val="32"/>
          <w:szCs w:val="32"/>
          <w:highlight w:val="none"/>
        </w:rPr>
        <w:t>业务专用章使用说明函</w:t>
      </w:r>
    </w:p>
    <w:p w14:paraId="03E18282">
      <w:pPr>
        <w:spacing w:line="360" w:lineRule="auto"/>
        <w:rPr>
          <w:rFonts w:hint="eastAsia" w:ascii="宋体" w:hAnsi="宋体" w:cs="宋体"/>
          <w:color w:val="auto"/>
          <w:sz w:val="24"/>
          <w:highlight w:val="none"/>
          <w:u w:val="single"/>
        </w:rPr>
      </w:pPr>
    </w:p>
    <w:p w14:paraId="14B6836D">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杭州市城市水设施和河道保护管理中心、浙江豪圣建设项目管理有限公司：</w:t>
      </w:r>
    </w:p>
    <w:p w14:paraId="04EA38E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你方组织的西塘河（湖州街-京杭运河）生态清淤工程【项目编号：HSZB-2024-1480】</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2637110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2C2794AB">
      <w:pPr>
        <w:spacing w:line="360" w:lineRule="auto"/>
        <w:ind w:firstLine="494"/>
        <w:rPr>
          <w:rFonts w:hint="eastAsia" w:ascii="宋体" w:hAnsi="宋体" w:cs="宋体"/>
          <w:color w:val="auto"/>
          <w:sz w:val="24"/>
          <w:highlight w:val="none"/>
        </w:rPr>
      </w:pPr>
    </w:p>
    <w:p w14:paraId="20955A3B">
      <w:pPr>
        <w:spacing w:line="360" w:lineRule="auto"/>
        <w:ind w:firstLine="494"/>
        <w:rPr>
          <w:rFonts w:hint="eastAsia" w:ascii="宋体" w:hAnsi="宋体" w:cs="宋体"/>
          <w:color w:val="auto"/>
          <w:sz w:val="24"/>
          <w:highlight w:val="none"/>
        </w:rPr>
      </w:pPr>
    </w:p>
    <w:p w14:paraId="03AC0824">
      <w:pPr>
        <w:spacing w:line="360" w:lineRule="auto"/>
        <w:ind w:firstLine="494"/>
        <w:rPr>
          <w:rFonts w:hint="eastAsia" w:ascii="宋体" w:hAnsi="宋体" w:cs="宋体"/>
          <w:color w:val="auto"/>
          <w:sz w:val="24"/>
          <w:highlight w:val="none"/>
        </w:rPr>
      </w:pPr>
    </w:p>
    <w:p w14:paraId="0BE41E6D">
      <w:pPr>
        <w:spacing w:line="360" w:lineRule="auto"/>
        <w:ind w:firstLine="494"/>
        <w:rPr>
          <w:rFonts w:hint="eastAsia" w:ascii="宋体" w:hAnsi="宋体" w:cs="宋体"/>
          <w:color w:val="auto"/>
          <w:sz w:val="24"/>
          <w:highlight w:val="none"/>
        </w:rPr>
      </w:pPr>
    </w:p>
    <w:p w14:paraId="15244657">
      <w:pPr>
        <w:spacing w:line="360" w:lineRule="auto"/>
        <w:ind w:right="480" w:firstLine="4080" w:firstLineChars="1700"/>
        <w:rPr>
          <w:rFonts w:hint="eastAsia" w:ascii="宋体" w:hAnsi="宋体" w:cs="宋体"/>
          <w:color w:val="auto"/>
          <w:sz w:val="24"/>
          <w:highlight w:val="none"/>
        </w:rPr>
      </w:pPr>
      <w:r>
        <w:rPr>
          <w:rFonts w:hint="eastAsia" w:ascii="宋体" w:hAnsi="宋体" w:cs="宋体"/>
          <w:color w:val="auto"/>
          <w:sz w:val="24"/>
          <w:highlight w:val="none"/>
        </w:rPr>
        <w:t>投标单位（法定名称章）：</w:t>
      </w:r>
    </w:p>
    <w:p w14:paraId="333B0D42">
      <w:pPr>
        <w:ind w:right="1440" w:firstLine="494"/>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5F7B6282">
      <w:pPr>
        <w:rPr>
          <w:rFonts w:hint="eastAsia" w:ascii="宋体" w:hAnsi="宋体" w:cs="宋体"/>
          <w:color w:val="auto"/>
          <w:sz w:val="24"/>
          <w:highlight w:val="none"/>
        </w:rPr>
      </w:pPr>
      <w:r>
        <w:rPr>
          <w:rFonts w:hint="eastAsia" w:ascii="宋体" w:hAnsi="宋体" w:cs="宋体"/>
          <w:b/>
          <w:bCs/>
          <w:color w:val="auto"/>
          <w:sz w:val="24"/>
          <w:highlight w:val="none"/>
        </w:rPr>
        <w:t>附：</w:t>
      </w:r>
    </w:p>
    <w:p w14:paraId="1836E2C0">
      <w:pPr>
        <w:spacing w:line="360" w:lineRule="auto"/>
        <w:rPr>
          <w:rFonts w:hint="eastAsia"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584B9DBF">
      <w:pPr>
        <w:autoSpaceDE w:val="0"/>
        <w:autoSpaceDN w:val="0"/>
        <w:jc w:val="center"/>
        <w:rPr>
          <w:rFonts w:hint="eastAsia" w:ascii="宋体" w:hAnsi="宋体" w:cs="宋体"/>
          <w:b/>
          <w:color w:val="auto"/>
          <w:spacing w:val="6"/>
          <w:sz w:val="32"/>
          <w:szCs w:val="32"/>
          <w:highlight w:val="none"/>
        </w:rPr>
      </w:pPr>
    </w:p>
    <w:p w14:paraId="00D85C4B">
      <w:pPr>
        <w:autoSpaceDE w:val="0"/>
        <w:autoSpaceDN w:val="0"/>
        <w:jc w:val="center"/>
        <w:rPr>
          <w:rFonts w:hint="eastAsia" w:ascii="宋体" w:hAnsi="宋体" w:cs="宋体"/>
          <w:b/>
          <w:color w:val="auto"/>
          <w:spacing w:val="6"/>
          <w:sz w:val="32"/>
          <w:szCs w:val="32"/>
          <w:highlight w:val="none"/>
        </w:rPr>
      </w:pPr>
    </w:p>
    <w:p w14:paraId="3C6B1ECE">
      <w:pPr>
        <w:autoSpaceDE w:val="0"/>
        <w:autoSpaceDN w:val="0"/>
        <w:jc w:val="center"/>
        <w:rPr>
          <w:rFonts w:hint="eastAsia" w:ascii="宋体" w:hAnsi="宋体" w:cs="宋体"/>
          <w:b/>
          <w:color w:val="auto"/>
          <w:spacing w:val="6"/>
          <w:sz w:val="32"/>
          <w:szCs w:val="32"/>
          <w:highlight w:val="none"/>
        </w:rPr>
      </w:pPr>
    </w:p>
    <w:p w14:paraId="30F98DA5">
      <w:pPr>
        <w:autoSpaceDE w:val="0"/>
        <w:autoSpaceDN w:val="0"/>
        <w:jc w:val="center"/>
        <w:rPr>
          <w:rFonts w:hint="eastAsia" w:ascii="宋体" w:hAnsi="宋体" w:cs="宋体"/>
          <w:b/>
          <w:color w:val="auto"/>
          <w:spacing w:val="6"/>
          <w:sz w:val="32"/>
          <w:szCs w:val="32"/>
          <w:highlight w:val="none"/>
        </w:rPr>
      </w:pPr>
    </w:p>
    <w:p w14:paraId="0726FC29">
      <w:pPr>
        <w:autoSpaceDE w:val="0"/>
        <w:autoSpaceDN w:val="0"/>
        <w:jc w:val="center"/>
        <w:rPr>
          <w:rFonts w:hint="eastAsia" w:ascii="宋体" w:hAnsi="宋体" w:cs="宋体"/>
          <w:b/>
          <w:color w:val="auto"/>
          <w:spacing w:val="6"/>
          <w:sz w:val="32"/>
          <w:szCs w:val="32"/>
          <w:highlight w:val="none"/>
        </w:rPr>
      </w:pPr>
    </w:p>
    <w:p w14:paraId="6729B44D">
      <w:pPr>
        <w:autoSpaceDE w:val="0"/>
        <w:autoSpaceDN w:val="0"/>
        <w:jc w:val="center"/>
        <w:rPr>
          <w:rFonts w:hint="eastAsia" w:ascii="宋体" w:hAnsi="宋体" w:cs="宋体"/>
          <w:b/>
          <w:color w:val="auto"/>
          <w:spacing w:val="6"/>
          <w:sz w:val="32"/>
          <w:szCs w:val="32"/>
          <w:highlight w:val="none"/>
        </w:rPr>
      </w:pPr>
    </w:p>
    <w:p w14:paraId="4C6A798F">
      <w:pPr>
        <w:autoSpaceDE w:val="0"/>
        <w:autoSpaceDN w:val="0"/>
        <w:jc w:val="center"/>
        <w:rPr>
          <w:rFonts w:hint="eastAsia" w:ascii="宋体" w:hAnsi="宋体" w:cs="宋体"/>
          <w:b/>
          <w:color w:val="auto"/>
          <w:spacing w:val="6"/>
          <w:sz w:val="32"/>
          <w:szCs w:val="32"/>
          <w:highlight w:val="none"/>
        </w:rPr>
      </w:pPr>
    </w:p>
    <w:p w14:paraId="6B65909D">
      <w:pPr>
        <w:autoSpaceDE w:val="0"/>
        <w:autoSpaceDN w:val="0"/>
        <w:jc w:val="center"/>
        <w:rPr>
          <w:rFonts w:hint="eastAsia" w:ascii="宋体" w:hAnsi="宋体" w:cs="宋体"/>
          <w:b/>
          <w:color w:val="auto"/>
          <w:spacing w:val="6"/>
          <w:sz w:val="32"/>
          <w:szCs w:val="32"/>
          <w:highlight w:val="none"/>
        </w:rPr>
      </w:pPr>
    </w:p>
    <w:p w14:paraId="7841D3EE">
      <w:pPr>
        <w:autoSpaceDE w:val="0"/>
        <w:autoSpaceDN w:val="0"/>
        <w:jc w:val="center"/>
        <w:rPr>
          <w:rFonts w:hint="eastAsia" w:ascii="宋体" w:hAnsi="宋体" w:cs="宋体"/>
          <w:b/>
          <w:color w:val="auto"/>
          <w:spacing w:val="6"/>
          <w:sz w:val="32"/>
          <w:szCs w:val="32"/>
          <w:highlight w:val="none"/>
        </w:rPr>
      </w:pPr>
    </w:p>
    <w:p w14:paraId="09AB89D6">
      <w:pPr>
        <w:autoSpaceDE w:val="0"/>
        <w:autoSpaceDN w:val="0"/>
        <w:jc w:val="center"/>
        <w:rPr>
          <w:rFonts w:hint="eastAsia" w:ascii="宋体" w:hAnsi="宋体" w:cs="宋体"/>
          <w:b/>
          <w:color w:val="auto"/>
          <w:spacing w:val="6"/>
          <w:sz w:val="32"/>
          <w:szCs w:val="32"/>
          <w:highlight w:val="none"/>
        </w:rPr>
      </w:pPr>
    </w:p>
    <w:p w14:paraId="666AE412">
      <w:pPr>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6449864">
      <w:pPr>
        <w:autoSpaceDE w:val="0"/>
        <w:autoSpaceDN w:val="0"/>
        <w:spacing w:line="360" w:lineRule="auto"/>
        <w:jc w:val="center"/>
        <w:rPr>
          <w:rFonts w:hint="eastAsia"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附件6：</w:t>
      </w:r>
      <w:r>
        <w:rPr>
          <w:rFonts w:hint="eastAsia" w:ascii="宋体" w:hAnsi="宋体" w:cs="宋体"/>
          <w:b/>
          <w:color w:val="auto"/>
          <w:kern w:val="0"/>
          <w:sz w:val="32"/>
          <w:szCs w:val="32"/>
          <w:highlight w:val="none"/>
          <w:lang w:val="zh-CN"/>
        </w:rPr>
        <w:t>联合协议</w:t>
      </w:r>
    </w:p>
    <w:p w14:paraId="3589E221">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EA3A92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西塘河（湖州街-京杭运河）生态清淤工程【项目编号：HSZB-2024-1480】</w:t>
      </w:r>
      <w:r>
        <w:rPr>
          <w:rFonts w:hint="eastAsia" w:ascii="宋体" w:hAnsi="宋体" w:cs="宋体"/>
          <w:color w:val="auto"/>
          <w:kern w:val="0"/>
          <w:sz w:val="24"/>
          <w:highlight w:val="none"/>
          <w:lang w:val="zh-CN"/>
        </w:rPr>
        <w:t xml:space="preserve">投标。 </w:t>
      </w:r>
    </w:p>
    <w:p w14:paraId="7A9C84F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3A4F241F">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0C4DFF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7BBBA74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EB66A1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EB20C4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DA58FAF">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09652EBC">
      <w:pPr>
        <w:snapToGrid w:val="0"/>
        <w:spacing w:line="360" w:lineRule="auto"/>
        <w:ind w:firstLine="576"/>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67"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67"/>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68"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68"/>
      <w:r>
        <w:rPr>
          <w:rFonts w:hint="eastAsia" w:ascii="宋体" w:hAnsi="宋体" w:cs="宋体"/>
          <w:b/>
          <w:color w:val="auto"/>
          <w:kern w:val="0"/>
          <w:sz w:val="24"/>
          <w:highlight w:val="none"/>
          <w:lang w:val="zh-CN"/>
        </w:rPr>
        <w:t>）</w:t>
      </w:r>
    </w:p>
    <w:p w14:paraId="4CE5423F">
      <w:pPr>
        <w:spacing w:line="360" w:lineRule="auto"/>
        <w:ind w:firstLine="480" w:firstLineChars="200"/>
        <w:rPr>
          <w:rFonts w:hint="eastAsia" w:ascii="宋体" w:hAnsi="宋体" w:cs="宋体"/>
          <w:b/>
          <w:bCs/>
          <w:color w:val="auto"/>
          <w:kern w:val="0"/>
          <w:sz w:val="24"/>
          <w:highlight w:val="none"/>
          <w:lang w:val="zh-CN"/>
        </w:rPr>
      </w:pPr>
      <w:r>
        <w:rPr>
          <w:rFonts w:hint="eastAsia" w:ascii="宋体" w:hAnsi="宋体" w:cs="宋体"/>
          <w:color w:val="auto"/>
          <w:sz w:val="24"/>
          <w:highlight w:val="none"/>
        </w:rPr>
        <w:t>2、</w:t>
      </w:r>
      <w:bookmarkStart w:id="469"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69"/>
    </w:p>
    <w:p w14:paraId="4C419113">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089106B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9F3677A">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57DA249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436E33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1F03926">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F630B65">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915A891">
      <w:pPr>
        <w:snapToGrid w:val="0"/>
        <w:spacing w:line="360" w:lineRule="auto"/>
        <w:ind w:right="960"/>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03A30DA">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64D7E9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8DC6CE1">
      <w:pPr>
        <w:autoSpaceDE w:val="0"/>
        <w:autoSpaceDN w:val="0"/>
        <w:jc w:val="center"/>
        <w:rPr>
          <w:rFonts w:hint="eastAsia" w:ascii="宋体" w:hAnsi="宋体" w:cs="宋体"/>
          <w:b/>
          <w:color w:val="auto"/>
          <w:spacing w:val="6"/>
          <w:sz w:val="32"/>
          <w:szCs w:val="32"/>
          <w:highlight w:val="none"/>
        </w:rPr>
      </w:pPr>
    </w:p>
    <w:p w14:paraId="68CEB245">
      <w:pPr>
        <w:autoSpaceDE w:val="0"/>
        <w:autoSpaceDN w:val="0"/>
        <w:jc w:val="center"/>
        <w:rPr>
          <w:rFonts w:hint="eastAsia" w:ascii="宋体" w:hAnsi="宋体" w:cs="宋体"/>
          <w:b/>
          <w:color w:val="auto"/>
          <w:spacing w:val="6"/>
          <w:sz w:val="32"/>
          <w:szCs w:val="32"/>
          <w:highlight w:val="none"/>
        </w:rPr>
      </w:pPr>
    </w:p>
    <w:p w14:paraId="601DD76E">
      <w:pPr>
        <w:autoSpaceDE w:val="0"/>
        <w:autoSpaceDN w:val="0"/>
        <w:jc w:val="center"/>
        <w:rPr>
          <w:rFonts w:hint="eastAsia" w:ascii="宋体" w:hAnsi="宋体" w:cs="宋体"/>
          <w:b/>
          <w:color w:val="auto"/>
          <w:spacing w:val="6"/>
          <w:sz w:val="32"/>
          <w:szCs w:val="32"/>
          <w:highlight w:val="none"/>
        </w:rPr>
      </w:pPr>
    </w:p>
    <w:p w14:paraId="01ECE68C">
      <w:pPr>
        <w:autoSpaceDE w:val="0"/>
        <w:autoSpaceDN w:val="0"/>
        <w:jc w:val="center"/>
        <w:rPr>
          <w:rFonts w:hint="eastAsia" w:ascii="宋体" w:hAnsi="宋体" w:cs="宋体"/>
          <w:b/>
          <w:color w:val="auto"/>
          <w:spacing w:val="6"/>
          <w:sz w:val="32"/>
          <w:szCs w:val="32"/>
          <w:highlight w:val="none"/>
        </w:rPr>
      </w:pPr>
    </w:p>
    <w:p w14:paraId="50D65825">
      <w:pPr>
        <w:autoSpaceDE w:val="0"/>
        <w:autoSpaceDN w:val="0"/>
        <w:jc w:val="center"/>
        <w:rPr>
          <w:rFonts w:hint="eastAsia" w:ascii="宋体" w:hAnsi="宋体" w:cs="宋体"/>
          <w:b/>
          <w:color w:val="auto"/>
          <w:spacing w:val="6"/>
          <w:sz w:val="32"/>
          <w:szCs w:val="32"/>
          <w:highlight w:val="none"/>
        </w:rPr>
      </w:pPr>
    </w:p>
    <w:p w14:paraId="3AEED1C0">
      <w:pPr>
        <w:autoSpaceDE w:val="0"/>
        <w:autoSpaceDN w:val="0"/>
        <w:jc w:val="center"/>
        <w:rPr>
          <w:rFonts w:hint="eastAsia" w:ascii="宋体" w:hAnsi="宋体" w:cs="宋体"/>
          <w:b/>
          <w:color w:val="auto"/>
          <w:spacing w:val="6"/>
          <w:sz w:val="32"/>
          <w:szCs w:val="32"/>
          <w:highlight w:val="none"/>
        </w:rPr>
      </w:pPr>
    </w:p>
    <w:p w14:paraId="38232511">
      <w:pPr>
        <w:autoSpaceDE w:val="0"/>
        <w:autoSpaceDN w:val="0"/>
        <w:jc w:val="center"/>
        <w:rPr>
          <w:rFonts w:hint="eastAsia" w:ascii="宋体" w:hAnsi="宋体" w:cs="宋体"/>
          <w:b/>
          <w:color w:val="auto"/>
          <w:spacing w:val="6"/>
          <w:sz w:val="32"/>
          <w:szCs w:val="32"/>
          <w:highlight w:val="none"/>
        </w:rPr>
      </w:pPr>
    </w:p>
    <w:p w14:paraId="3A3522F6">
      <w:pPr>
        <w:autoSpaceDE w:val="0"/>
        <w:autoSpaceDN w:val="0"/>
        <w:jc w:val="center"/>
        <w:rPr>
          <w:rFonts w:hint="eastAsia" w:ascii="宋体" w:hAnsi="宋体" w:cs="宋体"/>
          <w:b/>
          <w:color w:val="auto"/>
          <w:spacing w:val="6"/>
          <w:sz w:val="32"/>
          <w:szCs w:val="32"/>
          <w:highlight w:val="none"/>
        </w:rPr>
      </w:pPr>
    </w:p>
    <w:p w14:paraId="59EBD590">
      <w:pPr>
        <w:autoSpaceDE w:val="0"/>
        <w:autoSpaceDN w:val="0"/>
        <w:jc w:val="center"/>
        <w:rPr>
          <w:rFonts w:hint="eastAsia" w:ascii="宋体" w:hAnsi="宋体" w:cs="宋体"/>
          <w:b/>
          <w:color w:val="auto"/>
          <w:spacing w:val="6"/>
          <w:sz w:val="32"/>
          <w:szCs w:val="32"/>
          <w:highlight w:val="none"/>
        </w:rPr>
      </w:pPr>
    </w:p>
    <w:p w14:paraId="6FD66CFB">
      <w:pPr>
        <w:autoSpaceDE w:val="0"/>
        <w:autoSpaceDN w:val="0"/>
        <w:jc w:val="center"/>
        <w:rPr>
          <w:rFonts w:hint="eastAsia" w:ascii="宋体" w:hAnsi="宋体" w:cs="宋体"/>
          <w:b/>
          <w:color w:val="auto"/>
          <w:spacing w:val="6"/>
          <w:sz w:val="32"/>
          <w:szCs w:val="32"/>
          <w:highlight w:val="none"/>
        </w:rPr>
      </w:pPr>
    </w:p>
    <w:p w14:paraId="1D2CBC13">
      <w:pPr>
        <w:autoSpaceDE w:val="0"/>
        <w:autoSpaceDN w:val="0"/>
        <w:jc w:val="center"/>
        <w:rPr>
          <w:rFonts w:hint="eastAsia" w:ascii="宋体" w:hAnsi="宋体" w:cs="宋体"/>
          <w:b/>
          <w:color w:val="auto"/>
          <w:spacing w:val="6"/>
          <w:sz w:val="32"/>
          <w:szCs w:val="32"/>
          <w:highlight w:val="none"/>
        </w:rPr>
      </w:pPr>
    </w:p>
    <w:p w14:paraId="069CBC0C">
      <w:pPr>
        <w:autoSpaceDE w:val="0"/>
        <w:autoSpaceDN w:val="0"/>
        <w:jc w:val="center"/>
        <w:rPr>
          <w:rFonts w:hint="eastAsia" w:ascii="宋体" w:hAnsi="宋体" w:cs="宋体"/>
          <w:b/>
          <w:color w:val="auto"/>
          <w:spacing w:val="6"/>
          <w:sz w:val="32"/>
          <w:szCs w:val="32"/>
          <w:highlight w:val="none"/>
        </w:rPr>
      </w:pPr>
    </w:p>
    <w:p w14:paraId="5EB65926">
      <w:pPr>
        <w:autoSpaceDE w:val="0"/>
        <w:autoSpaceDN w:val="0"/>
        <w:jc w:val="center"/>
        <w:rPr>
          <w:rFonts w:hint="eastAsia" w:ascii="宋体" w:hAnsi="宋体" w:cs="宋体"/>
          <w:b/>
          <w:color w:val="auto"/>
          <w:spacing w:val="6"/>
          <w:sz w:val="32"/>
          <w:szCs w:val="32"/>
          <w:highlight w:val="none"/>
        </w:rPr>
      </w:pPr>
    </w:p>
    <w:p w14:paraId="72D92B75">
      <w:pPr>
        <w:autoSpaceDE w:val="0"/>
        <w:autoSpaceDN w:val="0"/>
        <w:jc w:val="center"/>
        <w:rPr>
          <w:rFonts w:hint="eastAsia" w:ascii="宋体" w:hAnsi="宋体" w:cs="宋体"/>
          <w:b/>
          <w:color w:val="auto"/>
          <w:spacing w:val="6"/>
          <w:sz w:val="32"/>
          <w:szCs w:val="32"/>
          <w:highlight w:val="none"/>
        </w:rPr>
      </w:pPr>
    </w:p>
    <w:p w14:paraId="5D9FBD06">
      <w:pPr>
        <w:autoSpaceDE w:val="0"/>
        <w:autoSpaceDN w:val="0"/>
        <w:jc w:val="center"/>
        <w:rPr>
          <w:rFonts w:hint="eastAsia" w:ascii="宋体" w:hAnsi="宋体" w:cs="宋体"/>
          <w:b/>
          <w:color w:val="auto"/>
          <w:spacing w:val="6"/>
          <w:sz w:val="32"/>
          <w:szCs w:val="32"/>
          <w:highlight w:val="none"/>
        </w:rPr>
      </w:pPr>
    </w:p>
    <w:p w14:paraId="453CCAF5">
      <w:pPr>
        <w:autoSpaceDE w:val="0"/>
        <w:autoSpaceDN w:val="0"/>
        <w:jc w:val="center"/>
        <w:rPr>
          <w:rFonts w:hint="eastAsia" w:ascii="宋体" w:hAnsi="宋体" w:cs="宋体"/>
          <w:b/>
          <w:color w:val="auto"/>
          <w:spacing w:val="6"/>
          <w:sz w:val="32"/>
          <w:szCs w:val="32"/>
          <w:highlight w:val="none"/>
        </w:rPr>
      </w:pPr>
    </w:p>
    <w:p w14:paraId="0F56B359">
      <w:pPr>
        <w:autoSpaceDE w:val="0"/>
        <w:autoSpaceDN w:val="0"/>
        <w:jc w:val="center"/>
        <w:rPr>
          <w:rFonts w:hint="eastAsia" w:ascii="宋体" w:hAnsi="宋体" w:cs="宋体"/>
          <w:b/>
          <w:color w:val="auto"/>
          <w:spacing w:val="6"/>
          <w:sz w:val="32"/>
          <w:szCs w:val="32"/>
          <w:highlight w:val="none"/>
        </w:rPr>
      </w:pPr>
    </w:p>
    <w:p w14:paraId="6712D6BF">
      <w:pPr>
        <w:autoSpaceDE w:val="0"/>
        <w:autoSpaceDN w:val="0"/>
        <w:jc w:val="center"/>
        <w:rPr>
          <w:rFonts w:hint="eastAsia" w:ascii="宋体" w:hAnsi="宋体" w:cs="宋体"/>
          <w:b/>
          <w:color w:val="auto"/>
          <w:spacing w:val="6"/>
          <w:sz w:val="32"/>
          <w:szCs w:val="32"/>
          <w:highlight w:val="none"/>
        </w:rPr>
      </w:pPr>
    </w:p>
    <w:p w14:paraId="28C7367C">
      <w:pPr>
        <w:autoSpaceDE w:val="0"/>
        <w:autoSpaceDN w:val="0"/>
        <w:jc w:val="center"/>
        <w:rPr>
          <w:rFonts w:hint="eastAsia" w:ascii="宋体" w:hAnsi="宋体" w:cs="宋体"/>
          <w:b/>
          <w:color w:val="auto"/>
          <w:spacing w:val="6"/>
          <w:sz w:val="32"/>
          <w:szCs w:val="32"/>
          <w:highlight w:val="none"/>
        </w:rPr>
      </w:pPr>
    </w:p>
    <w:p w14:paraId="615DA44F">
      <w:pPr>
        <w:autoSpaceDE w:val="0"/>
        <w:autoSpaceDN w:val="0"/>
        <w:jc w:val="center"/>
        <w:rPr>
          <w:rFonts w:hint="eastAsia" w:ascii="宋体" w:hAnsi="宋体" w:cs="宋体"/>
          <w:b/>
          <w:color w:val="auto"/>
          <w:spacing w:val="6"/>
          <w:sz w:val="32"/>
          <w:szCs w:val="32"/>
          <w:highlight w:val="none"/>
        </w:rPr>
      </w:pPr>
    </w:p>
    <w:p w14:paraId="667C65DF">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53F7410C">
      <w:pPr>
        <w:snapToGrid w:val="0"/>
        <w:spacing w:line="360" w:lineRule="auto"/>
        <w:ind w:firstLine="2749" w:firstLineChars="825"/>
        <w:rPr>
          <w:rFonts w:hint="eastAsia" w:ascii="宋体" w:hAnsi="宋体" w:cs="宋体"/>
          <w:b/>
          <w:color w:val="auto"/>
          <w:kern w:val="0"/>
          <w:sz w:val="32"/>
          <w:szCs w:val="32"/>
          <w:highlight w:val="none"/>
        </w:rPr>
      </w:pPr>
      <w:r>
        <w:rPr>
          <w:rFonts w:hint="eastAsia" w:ascii="宋体" w:hAnsi="宋体" w:cs="宋体"/>
          <w:b/>
          <w:color w:val="auto"/>
          <w:spacing w:val="6"/>
          <w:sz w:val="32"/>
          <w:szCs w:val="32"/>
          <w:highlight w:val="none"/>
        </w:rPr>
        <w:t>附件7：</w:t>
      </w:r>
      <w:r>
        <w:rPr>
          <w:rFonts w:hint="eastAsia" w:ascii="宋体" w:hAnsi="宋体" w:cs="宋体"/>
          <w:b/>
          <w:color w:val="auto"/>
          <w:kern w:val="0"/>
          <w:sz w:val="32"/>
          <w:szCs w:val="32"/>
          <w:highlight w:val="none"/>
        </w:rPr>
        <w:t>分包意向协议</w:t>
      </w:r>
    </w:p>
    <w:p w14:paraId="01BE78E7">
      <w:pPr>
        <w:snapToGrid w:val="0"/>
        <w:spacing w:line="360" w:lineRule="auto"/>
        <w:jc w:val="center"/>
        <w:outlineLvl w:val="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（每个分包商单独提供）</w:t>
      </w:r>
    </w:p>
    <w:p w14:paraId="06965F8A">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2F09FD9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西塘河（湖州街-京杭运河）生态清淤工程【项目编号：HSZB-2024-1480】</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F9E6078">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72DD0A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018D6C1D">
      <w:pPr>
        <w:pStyle w:val="3"/>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CB0368F">
      <w:pPr>
        <w:rPr>
          <w:color w:val="auto"/>
          <w:highlight w:val="none"/>
        </w:rPr>
      </w:pPr>
      <w:r>
        <w:rPr>
          <w:rFonts w:hint="eastAsia"/>
          <w:color w:val="auto"/>
          <w:highlight w:val="none"/>
          <w:lang w:val="zh-CN"/>
        </w:rPr>
        <w:t xml:space="preserve"> </w:t>
      </w:r>
    </w:p>
    <w:p w14:paraId="7D4A1C8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83429AD">
      <w:pPr>
        <w:snapToGrid w:val="0"/>
        <w:spacing w:line="360" w:lineRule="auto"/>
        <w:ind w:firstLine="576"/>
        <w:rPr>
          <w:rFonts w:hint="eastAsia"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D70492D">
      <w:pPr>
        <w:spacing w:line="360" w:lineRule="auto"/>
        <w:ind w:firstLine="480" w:firstLineChars="200"/>
        <w:rPr>
          <w:rFonts w:hint="eastAsia"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7BD84EE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E4A6BD1">
      <w:pPr>
        <w:snapToGrid w:val="0"/>
        <w:spacing w:line="360" w:lineRule="auto"/>
        <w:ind w:firstLine="576"/>
        <w:rPr>
          <w:rFonts w:hint="eastAsia" w:ascii="宋体" w:hAnsi="宋体" w:cs="宋体"/>
          <w:color w:val="auto"/>
          <w:highlight w:val="none"/>
          <w:u w:val="single"/>
        </w:rPr>
      </w:pPr>
      <w:r>
        <w:rPr>
          <w:rFonts w:hint="eastAsia" w:ascii="宋体" w:hAnsi="宋体" w:cs="宋体"/>
          <w:color w:val="auto"/>
          <w:highlight w:val="none"/>
          <w:u w:val="single"/>
        </w:rPr>
        <w:t xml:space="preserve">                                                                                  </w:t>
      </w:r>
    </w:p>
    <w:p w14:paraId="3645A689">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5F82F6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ADC495F">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0A13A78">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6D27B64">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082B4F5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692DFB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B40345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470BCC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400FC05E">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B645540">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386BFCE">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690D2B85">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C48B397">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5A6A5BDC">
      <w:pPr>
        <w:autoSpaceDE w:val="0"/>
        <w:autoSpaceDN w:val="0"/>
        <w:jc w:val="center"/>
        <w:rPr>
          <w:rFonts w:hint="eastAsia" w:ascii="宋体" w:hAnsi="宋体" w:cs="宋体"/>
          <w:b/>
          <w:color w:val="auto"/>
          <w:spacing w:val="6"/>
          <w:sz w:val="32"/>
          <w:szCs w:val="32"/>
          <w:highlight w:val="none"/>
        </w:rPr>
      </w:pPr>
    </w:p>
    <w:p w14:paraId="0F829AF5">
      <w:pPr>
        <w:autoSpaceDE w:val="0"/>
        <w:autoSpaceDN w:val="0"/>
        <w:jc w:val="center"/>
        <w:rPr>
          <w:rFonts w:hint="eastAsia" w:ascii="宋体" w:hAnsi="宋体" w:cs="宋体"/>
          <w:b/>
          <w:color w:val="auto"/>
          <w:spacing w:val="6"/>
          <w:sz w:val="32"/>
          <w:szCs w:val="32"/>
          <w:highlight w:val="none"/>
        </w:rPr>
      </w:pPr>
    </w:p>
    <w:p w14:paraId="4A921367">
      <w:pPr>
        <w:autoSpaceDE w:val="0"/>
        <w:autoSpaceDN w:val="0"/>
        <w:jc w:val="center"/>
        <w:rPr>
          <w:rFonts w:hint="eastAsia" w:ascii="宋体" w:hAnsi="宋体" w:cs="宋体"/>
          <w:b/>
          <w:color w:val="auto"/>
          <w:spacing w:val="6"/>
          <w:sz w:val="32"/>
          <w:szCs w:val="32"/>
          <w:highlight w:val="none"/>
        </w:rPr>
      </w:pPr>
    </w:p>
    <w:p w14:paraId="20FDCF8F">
      <w:pPr>
        <w:autoSpaceDE w:val="0"/>
        <w:autoSpaceDN w:val="0"/>
        <w:jc w:val="center"/>
        <w:rPr>
          <w:rFonts w:hint="eastAsia" w:ascii="宋体" w:hAnsi="宋体" w:cs="宋体"/>
          <w:b/>
          <w:color w:val="auto"/>
          <w:spacing w:val="6"/>
          <w:sz w:val="32"/>
          <w:szCs w:val="32"/>
          <w:highlight w:val="none"/>
        </w:rPr>
      </w:pPr>
    </w:p>
    <w:p w14:paraId="18A1C945">
      <w:pPr>
        <w:autoSpaceDE w:val="0"/>
        <w:autoSpaceDN w:val="0"/>
        <w:jc w:val="center"/>
        <w:rPr>
          <w:rFonts w:hint="eastAsia" w:ascii="宋体" w:hAnsi="宋体" w:cs="宋体"/>
          <w:b/>
          <w:color w:val="auto"/>
          <w:spacing w:val="6"/>
          <w:sz w:val="32"/>
          <w:szCs w:val="32"/>
          <w:highlight w:val="none"/>
        </w:rPr>
      </w:pPr>
    </w:p>
    <w:p w14:paraId="30446B13">
      <w:pPr>
        <w:autoSpaceDE w:val="0"/>
        <w:autoSpaceDN w:val="0"/>
        <w:jc w:val="center"/>
        <w:rPr>
          <w:rFonts w:hint="eastAsia" w:ascii="宋体" w:hAnsi="宋体" w:cs="宋体"/>
          <w:b/>
          <w:color w:val="auto"/>
          <w:spacing w:val="6"/>
          <w:sz w:val="32"/>
          <w:szCs w:val="32"/>
          <w:highlight w:val="none"/>
        </w:rPr>
      </w:pPr>
    </w:p>
    <w:p w14:paraId="3180D974">
      <w:pPr>
        <w:autoSpaceDE w:val="0"/>
        <w:autoSpaceDN w:val="0"/>
        <w:jc w:val="center"/>
        <w:rPr>
          <w:rFonts w:hint="eastAsia" w:ascii="宋体" w:hAnsi="宋体" w:cs="宋体"/>
          <w:b/>
          <w:color w:val="auto"/>
          <w:spacing w:val="6"/>
          <w:sz w:val="32"/>
          <w:szCs w:val="32"/>
          <w:highlight w:val="none"/>
        </w:rPr>
      </w:pPr>
    </w:p>
    <w:p w14:paraId="59494BBE">
      <w:pPr>
        <w:autoSpaceDE w:val="0"/>
        <w:autoSpaceDN w:val="0"/>
        <w:jc w:val="center"/>
        <w:rPr>
          <w:rFonts w:hint="eastAsia" w:ascii="宋体" w:hAnsi="宋体" w:cs="宋体"/>
          <w:b/>
          <w:color w:val="auto"/>
          <w:spacing w:val="6"/>
          <w:sz w:val="32"/>
          <w:szCs w:val="32"/>
          <w:highlight w:val="none"/>
        </w:rPr>
      </w:pPr>
    </w:p>
    <w:p w14:paraId="0B2EDF29">
      <w:pPr>
        <w:autoSpaceDE w:val="0"/>
        <w:autoSpaceDN w:val="0"/>
        <w:jc w:val="center"/>
        <w:rPr>
          <w:rFonts w:hint="eastAsia" w:ascii="宋体" w:hAnsi="宋体" w:cs="宋体"/>
          <w:b/>
          <w:color w:val="auto"/>
          <w:spacing w:val="6"/>
          <w:sz w:val="32"/>
          <w:szCs w:val="32"/>
          <w:highlight w:val="none"/>
        </w:rPr>
      </w:pPr>
    </w:p>
    <w:p w14:paraId="43DCB92F">
      <w:pPr>
        <w:autoSpaceDE w:val="0"/>
        <w:autoSpaceDN w:val="0"/>
        <w:jc w:val="center"/>
        <w:rPr>
          <w:rFonts w:hint="eastAsia" w:ascii="宋体" w:hAnsi="宋体" w:cs="宋体"/>
          <w:b/>
          <w:color w:val="auto"/>
          <w:spacing w:val="6"/>
          <w:sz w:val="32"/>
          <w:szCs w:val="32"/>
          <w:highlight w:val="none"/>
        </w:rPr>
      </w:pPr>
    </w:p>
    <w:p w14:paraId="5D7197D2">
      <w:pPr>
        <w:autoSpaceDE w:val="0"/>
        <w:autoSpaceDN w:val="0"/>
        <w:jc w:val="center"/>
        <w:rPr>
          <w:rFonts w:hint="eastAsia" w:ascii="宋体" w:hAnsi="宋体" w:cs="宋体"/>
          <w:b/>
          <w:color w:val="auto"/>
          <w:spacing w:val="6"/>
          <w:sz w:val="32"/>
          <w:szCs w:val="32"/>
          <w:highlight w:val="none"/>
        </w:rPr>
      </w:pPr>
    </w:p>
    <w:p w14:paraId="444ABE20">
      <w:pPr>
        <w:autoSpaceDE w:val="0"/>
        <w:autoSpaceDN w:val="0"/>
        <w:jc w:val="center"/>
        <w:rPr>
          <w:rFonts w:hint="eastAsia" w:ascii="宋体" w:hAnsi="宋体" w:cs="宋体"/>
          <w:b/>
          <w:color w:val="auto"/>
          <w:spacing w:val="6"/>
          <w:sz w:val="32"/>
          <w:szCs w:val="32"/>
          <w:highlight w:val="none"/>
        </w:rPr>
      </w:pPr>
    </w:p>
    <w:p w14:paraId="148A0235">
      <w:pPr>
        <w:autoSpaceDE w:val="0"/>
        <w:autoSpaceDN w:val="0"/>
        <w:jc w:val="center"/>
        <w:rPr>
          <w:rFonts w:hint="eastAsia" w:ascii="宋体" w:hAnsi="宋体" w:cs="宋体"/>
          <w:b/>
          <w:color w:val="auto"/>
          <w:spacing w:val="6"/>
          <w:sz w:val="32"/>
          <w:szCs w:val="32"/>
          <w:highlight w:val="none"/>
        </w:rPr>
      </w:pPr>
    </w:p>
    <w:p w14:paraId="476039C5">
      <w:pPr>
        <w:autoSpaceDE w:val="0"/>
        <w:autoSpaceDN w:val="0"/>
        <w:jc w:val="center"/>
        <w:rPr>
          <w:rFonts w:hint="eastAsia" w:ascii="宋体" w:hAnsi="宋体" w:cs="宋体"/>
          <w:b/>
          <w:color w:val="auto"/>
          <w:spacing w:val="6"/>
          <w:sz w:val="32"/>
          <w:szCs w:val="32"/>
          <w:highlight w:val="none"/>
        </w:rPr>
      </w:pPr>
    </w:p>
    <w:p w14:paraId="4DAE0D65">
      <w:pPr>
        <w:autoSpaceDE w:val="0"/>
        <w:autoSpaceDN w:val="0"/>
        <w:jc w:val="center"/>
        <w:rPr>
          <w:rFonts w:hint="eastAsia" w:ascii="宋体" w:hAnsi="宋体" w:cs="宋体"/>
          <w:b/>
          <w:color w:val="auto"/>
          <w:spacing w:val="6"/>
          <w:sz w:val="32"/>
          <w:szCs w:val="32"/>
          <w:highlight w:val="none"/>
        </w:rPr>
      </w:pPr>
    </w:p>
    <w:p w14:paraId="600748E7">
      <w:pPr>
        <w:autoSpaceDE w:val="0"/>
        <w:autoSpaceDN w:val="0"/>
        <w:jc w:val="center"/>
        <w:rPr>
          <w:rFonts w:hint="eastAsia" w:ascii="宋体" w:hAnsi="宋体" w:cs="宋体"/>
          <w:b/>
          <w:color w:val="auto"/>
          <w:spacing w:val="6"/>
          <w:sz w:val="32"/>
          <w:szCs w:val="32"/>
          <w:highlight w:val="none"/>
        </w:rPr>
      </w:pPr>
    </w:p>
    <w:p w14:paraId="0C38FBE6">
      <w:pPr>
        <w:autoSpaceDE w:val="0"/>
        <w:autoSpaceDN w:val="0"/>
        <w:jc w:val="center"/>
        <w:rPr>
          <w:rFonts w:hint="eastAsia" w:ascii="宋体" w:hAnsi="宋体" w:cs="宋体"/>
          <w:b/>
          <w:color w:val="auto"/>
          <w:spacing w:val="6"/>
          <w:sz w:val="32"/>
          <w:szCs w:val="32"/>
          <w:highlight w:val="none"/>
        </w:rPr>
      </w:pPr>
    </w:p>
    <w:p w14:paraId="183EAB4E">
      <w:pPr>
        <w:autoSpaceDE w:val="0"/>
        <w:autoSpaceDN w:val="0"/>
        <w:jc w:val="center"/>
        <w:rPr>
          <w:rFonts w:hint="eastAsia" w:ascii="宋体" w:hAnsi="宋体" w:cs="宋体"/>
          <w:b/>
          <w:color w:val="auto"/>
          <w:spacing w:val="6"/>
          <w:sz w:val="32"/>
          <w:szCs w:val="32"/>
          <w:highlight w:val="none"/>
        </w:rPr>
      </w:pPr>
    </w:p>
    <w:p w14:paraId="70E53424">
      <w:pPr>
        <w:autoSpaceDE w:val="0"/>
        <w:autoSpaceDN w:val="0"/>
        <w:jc w:val="center"/>
        <w:rPr>
          <w:rFonts w:hint="eastAsia" w:ascii="宋体" w:hAnsi="宋体" w:cs="宋体"/>
          <w:b/>
          <w:color w:val="auto"/>
          <w:spacing w:val="6"/>
          <w:sz w:val="32"/>
          <w:szCs w:val="32"/>
          <w:highlight w:val="none"/>
        </w:rPr>
      </w:pPr>
    </w:p>
    <w:p w14:paraId="1D825473">
      <w:pPr>
        <w:autoSpaceDE w:val="0"/>
        <w:autoSpaceDN w:val="0"/>
        <w:jc w:val="center"/>
        <w:rPr>
          <w:rFonts w:hint="eastAsia" w:ascii="宋体" w:hAnsi="宋体" w:cs="宋体"/>
          <w:b/>
          <w:color w:val="auto"/>
          <w:spacing w:val="6"/>
          <w:sz w:val="32"/>
          <w:szCs w:val="32"/>
          <w:highlight w:val="none"/>
        </w:rPr>
      </w:pPr>
    </w:p>
    <w:p w14:paraId="527BB74A">
      <w:pPr>
        <w:jc w:val="left"/>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52067FF">
      <w:pPr>
        <w:spacing w:line="360" w:lineRule="auto"/>
        <w:jc w:val="left"/>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附件8：中小企业声明函</w:t>
      </w:r>
    </w:p>
    <w:p w14:paraId="15906238">
      <w:pPr>
        <w:spacing w:line="360" w:lineRule="auto"/>
        <w:jc w:val="center"/>
        <w:rPr>
          <w:rFonts w:hint="eastAsia" w:ascii="宋体" w:hAnsi="宋体" w:cs="宋体"/>
          <w:color w:val="auto"/>
          <w:sz w:val="24"/>
          <w:highlight w:val="none"/>
          <w:u w:val="single"/>
        </w:rPr>
      </w:pPr>
    </w:p>
    <w:p w14:paraId="76210D90">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4904F0F">
      <w:pPr>
        <w:spacing w:line="360" w:lineRule="auto"/>
        <w:ind w:firstLine="360" w:firstLineChars="150"/>
        <w:jc w:val="left"/>
        <w:rPr>
          <w:rFonts w:hint="eastAsia"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杭州市城市水设施和河道保护管理中心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西塘河（湖州街-京杭运河）生态清淤工程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D398B5F">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ABBF3D8">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5DFBADA">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w:t>
      </w:r>
    </w:p>
    <w:p w14:paraId="555493C9">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6C58E4A">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1E92A502">
      <w:pPr>
        <w:spacing w:line="360" w:lineRule="auto"/>
        <w:ind w:right="1760"/>
        <w:jc w:val="right"/>
        <w:rPr>
          <w:rFonts w:hint="eastAsia" w:ascii="宋体" w:hAnsi="宋体" w:cs="宋体"/>
          <w:color w:val="auto"/>
          <w:sz w:val="24"/>
          <w:highlight w:val="none"/>
        </w:rPr>
      </w:pPr>
      <w:r>
        <w:rPr>
          <w:rFonts w:hint="eastAsia" w:ascii="宋体" w:hAnsi="宋体" w:cs="宋体"/>
          <w:color w:val="auto"/>
          <w:sz w:val="24"/>
          <w:highlight w:val="none"/>
        </w:rPr>
        <w:t>投标人名称（电子签名）：</w:t>
      </w:r>
    </w:p>
    <w:p w14:paraId="1D85F28C">
      <w:pPr>
        <w:spacing w:line="360" w:lineRule="auto"/>
        <w:ind w:right="1120" w:firstLine="4680" w:firstLineChars="1950"/>
        <w:rPr>
          <w:rFonts w:hint="eastAsia" w:ascii="宋体" w:hAnsi="宋体" w:cs="宋体"/>
          <w:color w:val="auto"/>
          <w:sz w:val="24"/>
          <w:highlight w:val="none"/>
        </w:rPr>
      </w:pPr>
      <w:r>
        <w:rPr>
          <w:rFonts w:hint="eastAsia" w:ascii="宋体" w:hAnsi="宋体" w:cs="宋体"/>
          <w:color w:val="auto"/>
          <w:sz w:val="24"/>
          <w:highlight w:val="none"/>
        </w:rPr>
        <w:t>日 期：</w:t>
      </w:r>
    </w:p>
    <w:p w14:paraId="3B61A892">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pgSz w:w="11905" w:h="16838"/>
      <w:pgMar w:top="1247" w:right="1417" w:bottom="1247" w:left="1417" w:header="851" w:footer="850"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decorative"/>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roman"/>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0000000000000000000"/>
    <w:charset w:val="00"/>
    <w:family w:val="roman"/>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swiss"/>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roman"/>
    <w:pitch w:val="default"/>
    <w:sig w:usb0="00000000" w:usb1="00000000" w:usb2="00000010" w:usb3="00000000" w:csb0="00040000" w:csb1="00000000"/>
  </w:font>
  <w:font w:name="Arial (W1)">
    <w:altName w:val="Arial"/>
    <w:panose1 w:val="00000000000000000000"/>
    <w:charset w:val="00"/>
    <w:family w:val="roman"/>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504020202020204"/>
    <w:charset w:val="00"/>
    <w:family w:val="roman"/>
    <w:pitch w:val="default"/>
    <w:sig w:usb0="00000000" w:usb1="00000000" w:usb2="00000000" w:usb3="00000000" w:csb0="00000093" w:csb1="00000000"/>
  </w:font>
  <w:font w:name="Cumberland">
    <w:altName w:val="微软雅黑"/>
    <w:panose1 w:val="00000000000000000000"/>
    <w:charset w:val="00"/>
    <w:family w:val="decorative"/>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roman"/>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swiss"/>
    <w:pitch w:val="default"/>
    <w:sig w:usb0="00000000" w:usb1="00000000" w:usb2="00000000" w:usb3="00000000" w:csb0="00000011" w:csb1="00000000"/>
  </w:font>
  <w:font w:name=".PingFang SC">
    <w:altName w:val="微软雅黑"/>
    <w:panose1 w:val="00000000000000000000"/>
    <w:charset w:val="86"/>
    <w:family w:val="decorative"/>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8000012" w:usb3="00000000" w:csb0="0002009F" w:csb1="00000000"/>
  </w:font>
  <w:font w:name="Yu Gothic UI">
    <w:panose1 w:val="020B0500000000000000"/>
    <w:charset w:val="80"/>
    <w:family w:val="auto"/>
    <w:pitch w:val="default"/>
    <w:sig w:usb0="E00002FF" w:usb1="2AC7FDFF" w:usb2="00000016" w:usb3="00000000" w:csb0="2002009F"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33F1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C9298E">
    <w:pPr>
      <w:pStyle w:val="39"/>
      <w:framePr w:wrap="around" w:vAnchor="text" w:hAnchor="margin" w:xAlign="right" w:y="1"/>
      <w:rPr>
        <w:rStyle w:val="73"/>
      </w:rPr>
    </w:pPr>
    <w:r>
      <w:fldChar w:fldCharType="begin"/>
    </w:r>
    <w:r>
      <w:rPr>
        <w:rStyle w:val="73"/>
      </w:rPr>
      <w:instrText xml:space="preserve">PAGE  </w:instrText>
    </w:r>
    <w:r>
      <w:fldChar w:fldCharType="end"/>
    </w:r>
  </w:p>
  <w:p w14:paraId="38976B9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4D2E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BA7B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D5459B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598A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74094A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4335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0909C0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FAA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2F0575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0D59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296294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DFE1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F75895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24F4B">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F4660">
    <w:pPr>
      <w:pStyle w:val="39"/>
      <w:framePr w:wrap="around" w:vAnchor="text" w:hAnchor="margin" w:xAlign="right" w:y="1"/>
      <w:rPr>
        <w:rStyle w:val="73"/>
      </w:rPr>
    </w:pPr>
    <w:r>
      <w:fldChar w:fldCharType="begin"/>
    </w:r>
    <w:r>
      <w:rPr>
        <w:rStyle w:val="73"/>
      </w:rPr>
      <w:instrText xml:space="preserve">PAGE  </w:instrText>
    </w:r>
    <w:r>
      <w:fldChar w:fldCharType="end"/>
    </w:r>
  </w:p>
  <w:p w14:paraId="608F7A79">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ECE4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70" w:name="_Toc131845147"/>
    <w:bookmarkStart w:id="471" w:name="_Toc36110187"/>
    <w:bookmarkStart w:id="472" w:name="_Toc164085800"/>
    <w:bookmarkStart w:id="473" w:name="_Toc91899912"/>
    <w:r>
      <w:rPr>
        <w:rFonts w:hint="eastAsia" w:ascii="仿宋_GB2312" w:eastAsia="仿宋_GB2312"/>
        <w:kern w:val="0"/>
        <w:szCs w:val="21"/>
      </w:rPr>
      <w:t xml:space="preserve"> 页</w:t>
    </w:r>
    <w:bookmarkEnd w:id="470"/>
    <w:bookmarkEnd w:id="471"/>
    <w:bookmarkEnd w:id="472"/>
    <w:bookmarkEnd w:id="47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59A80">
    <w:pPr>
      <w:pStyle w:val="40"/>
      <w:pBdr>
        <w:bottom w:val="single" w:color="auto" w:sz="6" w:space="4"/>
      </w:pBdr>
      <w:jc w:val="right"/>
    </w:pPr>
    <w:r>
      <w:t></w:t>
    </w:r>
    <w:r>
      <w:rPr>
        <w:rFonts w:hint="eastAsia"/>
      </w:rPr>
      <w:t xml:space="preserve">             </w:t>
    </w:r>
    <w:r>
      <w:t>杭州市政府采购公开招标文件</w:t>
    </w:r>
  </w:p>
  <w:p w14:paraId="5218AFD1">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3EBED">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6D7D1">
    <w:pPr>
      <w:pStyle w:val="40"/>
      <w:rPr>
        <w:rFonts w:ascii="仿宋_GB2312" w:eastAsia="仿宋_GB2312"/>
        <w:b/>
        <w:i/>
        <w:u w:val="single"/>
      </w:rPr>
    </w:pPr>
    <w:r>
      <w:t></w:t>
    </w:r>
    <w:r>
      <w:rPr>
        <w:rFonts w:hint="eastAsia"/>
      </w:rPr>
      <w:t xml:space="preserve">                                                  </w:t>
    </w:r>
    <w:r>
      <w:t xml:space="preserve">             杭州市政府采购公开招标文件</w:t>
    </w:r>
  </w:p>
  <w:p w14:paraId="3292B150">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2E4D9">
    <w:pPr>
      <w:pStyle w:val="40"/>
    </w:pPr>
    <w:r>
      <w:t></w:t>
    </w:r>
    <w:r>
      <w:rPr>
        <w:rFonts w:hint="eastAsia"/>
      </w:rPr>
      <w:t xml:space="preserve">         </w:t>
    </w:r>
  </w:p>
  <w:p w14:paraId="4BBE8A15">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855506">
    <w:pPr>
      <w:pStyle w:val="40"/>
      <w:rPr>
        <w:rFonts w:ascii="仿宋_GB2312" w:eastAsia="仿宋_GB2312"/>
        <w:b/>
        <w:i/>
        <w:u w:val="single"/>
      </w:rPr>
    </w:pPr>
    <w:r>
      <w:t></w:t>
    </w:r>
    <w:r>
      <w:rPr>
        <w:rFonts w:hint="eastAsia"/>
      </w:rPr>
      <w:t xml:space="preserve">         </w:t>
    </w:r>
    <w:r>
      <w:t>杭州市政府采购公开招标文件</w:t>
    </w:r>
  </w:p>
  <w:p w14:paraId="333E845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1E23D">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13D92">
    <w:pPr>
      <w:pStyle w:val="40"/>
      <w:jc w:val="right"/>
      <w:rPr>
        <w:rFonts w:ascii="仿宋_GB2312" w:eastAsia="仿宋_GB2312"/>
        <w:b/>
        <w:i/>
        <w:u w:val="single"/>
      </w:rPr>
    </w:pPr>
    <w:r>
      <w:rPr>
        <w:rFonts w:hint="eastAsia"/>
      </w:rPr>
      <w:t xml:space="preserve">                                  </w:t>
    </w:r>
    <w:r>
      <w:t>杭州市政府采购公开招标文件</w:t>
    </w:r>
  </w:p>
  <w:p w14:paraId="1720054C">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79732">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982AE">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624F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708271"/>
    <w:multiLevelType w:val="singleLevel"/>
    <w:tmpl w:val="B5708271"/>
    <w:lvl w:ilvl="0" w:tentative="0">
      <w:start w:val="2"/>
      <w:numFmt w:val="decimal"/>
      <w:suff w:val="nothing"/>
      <w:lvlText w:val="（%1）"/>
      <w:lvlJc w:val="left"/>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031"/>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3F4"/>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AC9"/>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372"/>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52F"/>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CA7"/>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0B96"/>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5EFC"/>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DCA"/>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2E9"/>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0F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7D"/>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380"/>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1DEB"/>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A30"/>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3E8"/>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1A6"/>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4F23"/>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1E96"/>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6F"/>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1C04"/>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53AAB"/>
    <w:rsid w:val="01EC2C57"/>
    <w:rsid w:val="0236772F"/>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4D0320"/>
    <w:rsid w:val="065A6178"/>
    <w:rsid w:val="066F1CF3"/>
    <w:rsid w:val="06930BB8"/>
    <w:rsid w:val="06C13D10"/>
    <w:rsid w:val="07245D42"/>
    <w:rsid w:val="07264C62"/>
    <w:rsid w:val="0779354C"/>
    <w:rsid w:val="08061376"/>
    <w:rsid w:val="08200062"/>
    <w:rsid w:val="08211151"/>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924D46"/>
    <w:rsid w:val="0AA374A5"/>
    <w:rsid w:val="0AAB7649"/>
    <w:rsid w:val="0ABC5606"/>
    <w:rsid w:val="0B30404E"/>
    <w:rsid w:val="0B4C6C14"/>
    <w:rsid w:val="0B547599"/>
    <w:rsid w:val="0B631A88"/>
    <w:rsid w:val="0B683D45"/>
    <w:rsid w:val="0B7F3F11"/>
    <w:rsid w:val="0B884417"/>
    <w:rsid w:val="0BF6188C"/>
    <w:rsid w:val="0BF73C91"/>
    <w:rsid w:val="0C170175"/>
    <w:rsid w:val="0C1F6790"/>
    <w:rsid w:val="0C3A27BF"/>
    <w:rsid w:val="0C571A41"/>
    <w:rsid w:val="0C5C1171"/>
    <w:rsid w:val="0C5E1CBC"/>
    <w:rsid w:val="0C615B50"/>
    <w:rsid w:val="0C8445DA"/>
    <w:rsid w:val="0C87121B"/>
    <w:rsid w:val="0CC007F7"/>
    <w:rsid w:val="0CC617AC"/>
    <w:rsid w:val="0CE618DF"/>
    <w:rsid w:val="0CFE707A"/>
    <w:rsid w:val="0D063BDA"/>
    <w:rsid w:val="0D08375F"/>
    <w:rsid w:val="0D0A5626"/>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64374"/>
    <w:rsid w:val="0F596BA8"/>
    <w:rsid w:val="0F6248D2"/>
    <w:rsid w:val="0F693536"/>
    <w:rsid w:val="0F78546D"/>
    <w:rsid w:val="0F7B0511"/>
    <w:rsid w:val="0F7B76D9"/>
    <w:rsid w:val="0F816ACD"/>
    <w:rsid w:val="0F9832DB"/>
    <w:rsid w:val="0FBF3FD2"/>
    <w:rsid w:val="0FBF7FF3"/>
    <w:rsid w:val="104946FF"/>
    <w:rsid w:val="10646583"/>
    <w:rsid w:val="107D4B15"/>
    <w:rsid w:val="108A3C80"/>
    <w:rsid w:val="10C26171"/>
    <w:rsid w:val="10F33360"/>
    <w:rsid w:val="10FC16EA"/>
    <w:rsid w:val="110F1D40"/>
    <w:rsid w:val="11266F33"/>
    <w:rsid w:val="11536D66"/>
    <w:rsid w:val="118963A1"/>
    <w:rsid w:val="11C6522A"/>
    <w:rsid w:val="11E104CC"/>
    <w:rsid w:val="11E20309"/>
    <w:rsid w:val="12255233"/>
    <w:rsid w:val="12530213"/>
    <w:rsid w:val="127723A9"/>
    <w:rsid w:val="12862074"/>
    <w:rsid w:val="12883966"/>
    <w:rsid w:val="129E45B4"/>
    <w:rsid w:val="12D81596"/>
    <w:rsid w:val="13072A44"/>
    <w:rsid w:val="135F4BE2"/>
    <w:rsid w:val="137C21E0"/>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B4EBB"/>
    <w:rsid w:val="1A1F16AE"/>
    <w:rsid w:val="1A3B5C77"/>
    <w:rsid w:val="1A984BAD"/>
    <w:rsid w:val="1AB8220E"/>
    <w:rsid w:val="1AE4166C"/>
    <w:rsid w:val="1AF06CFB"/>
    <w:rsid w:val="1AF11B8D"/>
    <w:rsid w:val="1B04333D"/>
    <w:rsid w:val="1B11359C"/>
    <w:rsid w:val="1B2A271F"/>
    <w:rsid w:val="1B335C37"/>
    <w:rsid w:val="1B530544"/>
    <w:rsid w:val="1B713184"/>
    <w:rsid w:val="1BA209CF"/>
    <w:rsid w:val="1BB4777D"/>
    <w:rsid w:val="1BD75AB8"/>
    <w:rsid w:val="1C0459C2"/>
    <w:rsid w:val="1C1B3B4A"/>
    <w:rsid w:val="1C4C1CA3"/>
    <w:rsid w:val="1C663706"/>
    <w:rsid w:val="1C88086E"/>
    <w:rsid w:val="1D266CE1"/>
    <w:rsid w:val="1D3963AF"/>
    <w:rsid w:val="1D6A673C"/>
    <w:rsid w:val="1D820366"/>
    <w:rsid w:val="1D9247AE"/>
    <w:rsid w:val="1DB567EC"/>
    <w:rsid w:val="1DF51A98"/>
    <w:rsid w:val="1E0740D4"/>
    <w:rsid w:val="1E3D060F"/>
    <w:rsid w:val="1E3F7D2E"/>
    <w:rsid w:val="1E4134E4"/>
    <w:rsid w:val="1E5062B3"/>
    <w:rsid w:val="1E523514"/>
    <w:rsid w:val="1E714A66"/>
    <w:rsid w:val="1E7F54DB"/>
    <w:rsid w:val="1E802593"/>
    <w:rsid w:val="1E8B6156"/>
    <w:rsid w:val="1EA703CC"/>
    <w:rsid w:val="1EB7330C"/>
    <w:rsid w:val="1F0A0FF3"/>
    <w:rsid w:val="1F5771FF"/>
    <w:rsid w:val="1FD52DD5"/>
    <w:rsid w:val="1FD6072F"/>
    <w:rsid w:val="1FE868A9"/>
    <w:rsid w:val="20034907"/>
    <w:rsid w:val="20173E4B"/>
    <w:rsid w:val="204E48BC"/>
    <w:rsid w:val="208921B3"/>
    <w:rsid w:val="20973DEB"/>
    <w:rsid w:val="20B26522"/>
    <w:rsid w:val="20B44310"/>
    <w:rsid w:val="210779ED"/>
    <w:rsid w:val="211116EB"/>
    <w:rsid w:val="21286197"/>
    <w:rsid w:val="215D67C5"/>
    <w:rsid w:val="216133FC"/>
    <w:rsid w:val="21D56769"/>
    <w:rsid w:val="21E52EF3"/>
    <w:rsid w:val="21FB5D7B"/>
    <w:rsid w:val="22015E94"/>
    <w:rsid w:val="220B1C3D"/>
    <w:rsid w:val="221D1D20"/>
    <w:rsid w:val="22334A87"/>
    <w:rsid w:val="2253695F"/>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0B73C0"/>
    <w:rsid w:val="2D343236"/>
    <w:rsid w:val="2D86623E"/>
    <w:rsid w:val="2DD15014"/>
    <w:rsid w:val="2DF72DE4"/>
    <w:rsid w:val="2E0220AF"/>
    <w:rsid w:val="2E170755"/>
    <w:rsid w:val="2E4B082A"/>
    <w:rsid w:val="2E5D4E86"/>
    <w:rsid w:val="2E5D790B"/>
    <w:rsid w:val="2E9A3C18"/>
    <w:rsid w:val="2E9D6A09"/>
    <w:rsid w:val="2EBB0FEE"/>
    <w:rsid w:val="2EC63002"/>
    <w:rsid w:val="2F0A6B38"/>
    <w:rsid w:val="2F946CCB"/>
    <w:rsid w:val="2FD25781"/>
    <w:rsid w:val="2FDC745C"/>
    <w:rsid w:val="2FFD7934"/>
    <w:rsid w:val="30733ACD"/>
    <w:rsid w:val="30817EA3"/>
    <w:rsid w:val="308C3862"/>
    <w:rsid w:val="309379D8"/>
    <w:rsid w:val="30A270F7"/>
    <w:rsid w:val="30DF1478"/>
    <w:rsid w:val="30EC586F"/>
    <w:rsid w:val="310402C4"/>
    <w:rsid w:val="314550B7"/>
    <w:rsid w:val="319C6071"/>
    <w:rsid w:val="31AC537E"/>
    <w:rsid w:val="31E3679B"/>
    <w:rsid w:val="31E732FD"/>
    <w:rsid w:val="32491A0D"/>
    <w:rsid w:val="32517576"/>
    <w:rsid w:val="32BE5C2C"/>
    <w:rsid w:val="32FB6478"/>
    <w:rsid w:val="33263B3F"/>
    <w:rsid w:val="336963EB"/>
    <w:rsid w:val="33816EEB"/>
    <w:rsid w:val="339A2E9C"/>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5973DE"/>
    <w:rsid w:val="36607A0A"/>
    <w:rsid w:val="366E227C"/>
    <w:rsid w:val="366F2E0D"/>
    <w:rsid w:val="367B6A5C"/>
    <w:rsid w:val="36A74ADA"/>
    <w:rsid w:val="36AD60D5"/>
    <w:rsid w:val="36B224F9"/>
    <w:rsid w:val="36EC0CC9"/>
    <w:rsid w:val="373F410B"/>
    <w:rsid w:val="37EE7094"/>
    <w:rsid w:val="38296C89"/>
    <w:rsid w:val="383002EB"/>
    <w:rsid w:val="383D224A"/>
    <w:rsid w:val="38586797"/>
    <w:rsid w:val="38BC0149"/>
    <w:rsid w:val="38D87D1C"/>
    <w:rsid w:val="39280D40"/>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9372C"/>
    <w:rsid w:val="3C6C525A"/>
    <w:rsid w:val="3CCE23CB"/>
    <w:rsid w:val="3CD17D17"/>
    <w:rsid w:val="3D27239D"/>
    <w:rsid w:val="3D3C7F39"/>
    <w:rsid w:val="3D440F09"/>
    <w:rsid w:val="3D4504A0"/>
    <w:rsid w:val="3D8734BB"/>
    <w:rsid w:val="3D9A11D4"/>
    <w:rsid w:val="3DA16D89"/>
    <w:rsid w:val="3DA364BE"/>
    <w:rsid w:val="3DE041CB"/>
    <w:rsid w:val="3DFC02BF"/>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B244EA"/>
    <w:rsid w:val="44DE1391"/>
    <w:rsid w:val="451B225C"/>
    <w:rsid w:val="452410C9"/>
    <w:rsid w:val="45317DFB"/>
    <w:rsid w:val="456D3CE4"/>
    <w:rsid w:val="4579042C"/>
    <w:rsid w:val="457F0571"/>
    <w:rsid w:val="45851176"/>
    <w:rsid w:val="45C63B94"/>
    <w:rsid w:val="460E7DA5"/>
    <w:rsid w:val="463C4C96"/>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CF71D1"/>
    <w:rsid w:val="49D14F59"/>
    <w:rsid w:val="49E56AF9"/>
    <w:rsid w:val="49F6167F"/>
    <w:rsid w:val="4A064FA0"/>
    <w:rsid w:val="4A0A0C8C"/>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6212E"/>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267F81"/>
    <w:rsid w:val="53544462"/>
    <w:rsid w:val="5397158E"/>
    <w:rsid w:val="54013861"/>
    <w:rsid w:val="54487265"/>
    <w:rsid w:val="544D6070"/>
    <w:rsid w:val="54605E1E"/>
    <w:rsid w:val="546B3D2C"/>
    <w:rsid w:val="54B3506A"/>
    <w:rsid w:val="54CA0D16"/>
    <w:rsid w:val="54DD4057"/>
    <w:rsid w:val="54E7490F"/>
    <w:rsid w:val="550764A4"/>
    <w:rsid w:val="550B2BF6"/>
    <w:rsid w:val="55214EB5"/>
    <w:rsid w:val="55364EFD"/>
    <w:rsid w:val="555A7093"/>
    <w:rsid w:val="555D4828"/>
    <w:rsid w:val="557A4C8B"/>
    <w:rsid w:val="558931E1"/>
    <w:rsid w:val="55923347"/>
    <w:rsid w:val="55925180"/>
    <w:rsid w:val="55983B1B"/>
    <w:rsid w:val="55A8376B"/>
    <w:rsid w:val="55DC29B6"/>
    <w:rsid w:val="55DD4241"/>
    <w:rsid w:val="566B6D1E"/>
    <w:rsid w:val="568A0A89"/>
    <w:rsid w:val="57032A2C"/>
    <w:rsid w:val="570F5219"/>
    <w:rsid w:val="575D12B5"/>
    <w:rsid w:val="57610A87"/>
    <w:rsid w:val="57763155"/>
    <w:rsid w:val="577B1140"/>
    <w:rsid w:val="577B7F21"/>
    <w:rsid w:val="577F181B"/>
    <w:rsid w:val="57921984"/>
    <w:rsid w:val="579737F0"/>
    <w:rsid w:val="57AB7B30"/>
    <w:rsid w:val="57AF5251"/>
    <w:rsid w:val="57B26373"/>
    <w:rsid w:val="57B63F04"/>
    <w:rsid w:val="57CD20C2"/>
    <w:rsid w:val="57D675AB"/>
    <w:rsid w:val="57D95FDD"/>
    <w:rsid w:val="57EA597A"/>
    <w:rsid w:val="58917D2F"/>
    <w:rsid w:val="5894085C"/>
    <w:rsid w:val="589C1D09"/>
    <w:rsid w:val="58AE4F0C"/>
    <w:rsid w:val="58B85899"/>
    <w:rsid w:val="58E363A9"/>
    <w:rsid w:val="59252A8C"/>
    <w:rsid w:val="595E1678"/>
    <w:rsid w:val="596D5BD4"/>
    <w:rsid w:val="597E3DD8"/>
    <w:rsid w:val="59C50313"/>
    <w:rsid w:val="59CB0A7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AA4731"/>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607DAB"/>
    <w:rsid w:val="607330CE"/>
    <w:rsid w:val="60825176"/>
    <w:rsid w:val="609F2AC4"/>
    <w:rsid w:val="60FA2EE8"/>
    <w:rsid w:val="60FC0DF8"/>
    <w:rsid w:val="61054A27"/>
    <w:rsid w:val="610A52BC"/>
    <w:rsid w:val="611D2366"/>
    <w:rsid w:val="61421856"/>
    <w:rsid w:val="615227C4"/>
    <w:rsid w:val="61646830"/>
    <w:rsid w:val="61654E3F"/>
    <w:rsid w:val="6182292A"/>
    <w:rsid w:val="619F7F92"/>
    <w:rsid w:val="61F94C26"/>
    <w:rsid w:val="62000E56"/>
    <w:rsid w:val="62022D5A"/>
    <w:rsid w:val="624F3E49"/>
    <w:rsid w:val="62632286"/>
    <w:rsid w:val="62885958"/>
    <w:rsid w:val="628A638D"/>
    <w:rsid w:val="62F40B65"/>
    <w:rsid w:val="62FC2CFE"/>
    <w:rsid w:val="63024505"/>
    <w:rsid w:val="63512620"/>
    <w:rsid w:val="635600A5"/>
    <w:rsid w:val="635B1DB5"/>
    <w:rsid w:val="636E292F"/>
    <w:rsid w:val="63711593"/>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E647C0"/>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53223"/>
    <w:rsid w:val="689F444F"/>
    <w:rsid w:val="68B96DBB"/>
    <w:rsid w:val="68CA2805"/>
    <w:rsid w:val="68E937A3"/>
    <w:rsid w:val="691664E5"/>
    <w:rsid w:val="693E15D3"/>
    <w:rsid w:val="69627681"/>
    <w:rsid w:val="6977531D"/>
    <w:rsid w:val="69943146"/>
    <w:rsid w:val="69CC2BFF"/>
    <w:rsid w:val="69FD55B8"/>
    <w:rsid w:val="6A0B1C62"/>
    <w:rsid w:val="6A2406C8"/>
    <w:rsid w:val="6ADE0BD1"/>
    <w:rsid w:val="6AE96859"/>
    <w:rsid w:val="6B147746"/>
    <w:rsid w:val="6B24787C"/>
    <w:rsid w:val="6B343AAA"/>
    <w:rsid w:val="6B573233"/>
    <w:rsid w:val="6B5B6274"/>
    <w:rsid w:val="6B935D53"/>
    <w:rsid w:val="6C196F71"/>
    <w:rsid w:val="6C226FCB"/>
    <w:rsid w:val="6C31226F"/>
    <w:rsid w:val="6C552F0B"/>
    <w:rsid w:val="6C8C67B7"/>
    <w:rsid w:val="6C9D744C"/>
    <w:rsid w:val="6CBB5BF6"/>
    <w:rsid w:val="6D167928"/>
    <w:rsid w:val="6D26299B"/>
    <w:rsid w:val="6D4076DF"/>
    <w:rsid w:val="6D4772EC"/>
    <w:rsid w:val="6D9078AF"/>
    <w:rsid w:val="6DA26164"/>
    <w:rsid w:val="6DAA3FEF"/>
    <w:rsid w:val="6DC0172B"/>
    <w:rsid w:val="6DCB690C"/>
    <w:rsid w:val="6DD41A5B"/>
    <w:rsid w:val="6DF43C2E"/>
    <w:rsid w:val="6DF51CA3"/>
    <w:rsid w:val="6E8335BD"/>
    <w:rsid w:val="6E8E12EF"/>
    <w:rsid w:val="6E972936"/>
    <w:rsid w:val="6ED446C5"/>
    <w:rsid w:val="6F2A7D94"/>
    <w:rsid w:val="6F8331F1"/>
    <w:rsid w:val="6F903D08"/>
    <w:rsid w:val="6FAE1A09"/>
    <w:rsid w:val="6FD75BF8"/>
    <w:rsid w:val="704B4683"/>
    <w:rsid w:val="707723D0"/>
    <w:rsid w:val="70F5661B"/>
    <w:rsid w:val="712F3B55"/>
    <w:rsid w:val="71360107"/>
    <w:rsid w:val="713B688E"/>
    <w:rsid w:val="71D43752"/>
    <w:rsid w:val="71F1796A"/>
    <w:rsid w:val="72154626"/>
    <w:rsid w:val="7220374A"/>
    <w:rsid w:val="72262B5D"/>
    <w:rsid w:val="72283FF7"/>
    <w:rsid w:val="722E7212"/>
    <w:rsid w:val="723A0474"/>
    <w:rsid w:val="725923E4"/>
    <w:rsid w:val="72864BF7"/>
    <w:rsid w:val="729023FC"/>
    <w:rsid w:val="73C0646E"/>
    <w:rsid w:val="73E7CF11"/>
    <w:rsid w:val="7408118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D62E63"/>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7FCD7A06"/>
    <w:rsid w:val="BB7FA927"/>
    <w:rsid w:val="BEE9084F"/>
    <w:rsid w:val="DFBFD107"/>
    <w:rsid w:val="F3BF7F82"/>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6"/>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6"/>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2"/>
    <w:qFormat/>
    <w:uiPriority w:val="0"/>
    <w:pPr>
      <w:ind w:left="100" w:leftChars="2500"/>
    </w:pPr>
    <w:rPr>
      <w:rFonts w:ascii="宋体"/>
      <w:sz w:val="24"/>
      <w:szCs w:val="21"/>
      <w:lang w:val="zh-CN"/>
    </w:rPr>
  </w:style>
  <w:style w:type="paragraph" w:styleId="36">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7">
    <w:name w:val="endnote text"/>
    <w:basedOn w:val="1"/>
    <w:link w:val="933"/>
    <w:qFormat/>
    <w:uiPriority w:val="0"/>
    <w:rPr>
      <w:lang w:val="zh-CN"/>
    </w:rPr>
  </w:style>
  <w:style w:type="paragraph" w:styleId="38">
    <w:name w:val="Balloon Text"/>
    <w:basedOn w:val="1"/>
    <w:link w:val="189"/>
    <w:qFormat/>
    <w:uiPriority w:val="0"/>
    <w:rPr>
      <w:sz w:val="18"/>
      <w:szCs w:val="18"/>
    </w:rPr>
  </w:style>
  <w:style w:type="paragraph" w:styleId="39">
    <w:name w:val="footer"/>
    <w:basedOn w:val="1"/>
    <w:link w:val="384"/>
    <w:qFormat/>
    <w:uiPriority w:val="99"/>
    <w:pPr>
      <w:tabs>
        <w:tab w:val="center" w:pos="4153"/>
        <w:tab w:val="right" w:pos="8306"/>
      </w:tabs>
      <w:snapToGrid w:val="0"/>
      <w:jc w:val="left"/>
    </w:pPr>
    <w:rPr>
      <w:sz w:val="18"/>
      <w:szCs w:val="18"/>
    </w:rPr>
  </w:style>
  <w:style w:type="paragraph" w:styleId="40">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1"/>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6"/>
    <w:qFormat/>
    <w:uiPriority w:val="0"/>
    <w:pPr>
      <w:spacing w:line="360" w:lineRule="auto"/>
      <w:ind w:firstLine="420"/>
    </w:pPr>
    <w:rPr>
      <w:sz w:val="24"/>
      <w:szCs w:val="20"/>
    </w:rPr>
  </w:style>
  <w:style w:type="paragraph" w:styleId="53">
    <w:name w:val="index 7"/>
    <w:basedOn w:val="1"/>
    <w:next w:val="1"/>
    <w:qFormat/>
    <w:uiPriority w:val="0"/>
    <w:pPr>
      <w:ind w:left="1200" w:leftChars="1200"/>
    </w:p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7"/>
    <w:qFormat/>
    <w:uiPriority w:val="0"/>
    <w:rPr>
      <w:b/>
      <w:bCs/>
    </w:rPr>
  </w:style>
  <w:style w:type="paragraph" w:styleId="61">
    <w:name w:val="Body Text First Indent"/>
    <w:basedOn w:val="23"/>
    <w:link w:val="322"/>
    <w:qFormat/>
    <w:uiPriority w:val="0"/>
    <w:pPr>
      <w:ind w:firstLine="420"/>
    </w:pPr>
    <w:rPr>
      <w:rFonts w:hAnsi="Calibri" w:cs="Times New Roman"/>
      <w:snapToGrid/>
      <w:szCs w:val="20"/>
    </w:rPr>
  </w:style>
  <w:style w:type="paragraph" w:styleId="62">
    <w:name w:val="Body Text First Indent 2"/>
    <w:basedOn w:val="24"/>
    <w:next w:val="1"/>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字符"/>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文本首行缩进 2 字符"/>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字符"/>
    <w:link w:val="46"/>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字符"/>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字符"/>
    <w:link w:val="35"/>
    <w:qFormat/>
    <w:uiPriority w:val="0"/>
    <w:rPr>
      <w:rFonts w:ascii="宋体"/>
      <w:kern w:val="2"/>
      <w:sz w:val="24"/>
      <w:szCs w:val="21"/>
      <w:lang w:val="zh-CN"/>
    </w:rPr>
  </w:style>
  <w:style w:type="character" w:customStyle="1" w:styleId="183">
    <w:name w:val="标题 9 字符"/>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字符1"/>
    <w:link w:val="38"/>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字符"/>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字符"/>
    <w:link w:val="29"/>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字符"/>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4"/>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字符1"/>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字符"/>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字符"/>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字符"/>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字符"/>
    <w:link w:val="57"/>
    <w:qFormat/>
    <w:uiPriority w:val="0"/>
    <w:rPr>
      <w:rFonts w:ascii="黑体" w:hAnsi="Courier New" w:eastAsia="黑体"/>
    </w:rPr>
  </w:style>
  <w:style w:type="character" w:customStyle="1" w:styleId="303">
    <w:name w:val="正文文本 2 字符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字符"/>
    <w:link w:val="9"/>
    <w:qFormat/>
    <w:uiPriority w:val="0"/>
    <w:rPr>
      <w:b/>
      <w:bCs/>
      <w:kern w:val="2"/>
      <w:sz w:val="24"/>
      <w:szCs w:val="24"/>
    </w:rPr>
  </w:style>
  <w:style w:type="character" w:customStyle="1" w:styleId="309">
    <w:name w:val="正文文本缩进 2 字符"/>
    <w:link w:val="36"/>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字符"/>
    <w:link w:val="49"/>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文本首行缩进 字符"/>
    <w:link w:val="61"/>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字符1"/>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字符"/>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字符1"/>
    <w:link w:val="19"/>
    <w:qFormat/>
    <w:uiPriority w:val="99"/>
    <w:rPr>
      <w:kern w:val="2"/>
      <w:sz w:val="21"/>
      <w:szCs w:val="24"/>
    </w:rPr>
  </w:style>
  <w:style w:type="character" w:customStyle="1" w:styleId="346">
    <w:name w:val="签名 字符"/>
    <w:link w:val="41"/>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2"/>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39"/>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0"/>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7"/>
    <w:qFormat/>
    <w:uiPriority w:val="0"/>
    <w:rPr>
      <w:kern w:val="2"/>
      <w:sz w:val="21"/>
      <w:szCs w:val="24"/>
      <w:lang w:val="zh-CN"/>
    </w:rPr>
  </w:style>
  <w:style w:type="character" w:customStyle="1" w:styleId="934">
    <w:name w:val="无间隔 字符"/>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Normal]"/>
    <w:qFormat/>
    <w:uiPriority w:val="0"/>
    <w:pPr>
      <w:spacing w:after="160" w:line="278" w:lineRule="auto"/>
    </w:pPr>
    <w:rPr>
      <w:rFonts w:ascii="宋体" w:hAnsi="宋体" w:eastAsia="宋体" w:cs="Times New Roman"/>
      <w:sz w:val="24"/>
      <w:szCs w:val="22"/>
      <w:lang w:val="zh-CN" w:eastAsia="zh-CN" w:bidi="ar-SA"/>
    </w:rPr>
  </w:style>
  <w:style w:type="paragraph" w:customStyle="1" w:styleId="967">
    <w:name w:val="内文正文"/>
    <w:basedOn w:val="32"/>
    <w:qFormat/>
    <w:uiPriority w:val="0"/>
    <w:pPr>
      <w:snapToGrid w:val="0"/>
      <w:spacing w:line="400" w:lineRule="atLeast"/>
      <w:ind w:firstLine="420" w:firstLineChars="200"/>
    </w:pPr>
    <w:rPr>
      <w:szCs w:val="24"/>
    </w:rPr>
  </w:style>
  <w:style w:type="paragraph" w:customStyle="1" w:styleId="968">
    <w:name w:val="Body text|1"/>
    <w:basedOn w:val="1"/>
    <w:qFormat/>
    <w:uiPriority w:val="0"/>
    <w:pPr>
      <w:spacing w:line="480" w:lineRule="auto"/>
      <w:ind w:firstLine="140"/>
    </w:pPr>
    <w:rPr>
      <w:rFonts w:ascii="宋体" w:hAnsi="宋体" w:cs="宋体"/>
      <w:sz w:val="22"/>
      <w:szCs w:val="22"/>
      <w:lang w:val="zh-TW" w:eastAsia="zh-TW" w:bidi="zh-TW"/>
    </w:rPr>
  </w:style>
  <w:style w:type="paragraph" w:customStyle="1" w:styleId="969">
    <w:name w:val="正文内容"/>
    <w:basedOn w:val="1"/>
    <w:qFormat/>
    <w:uiPriority w:val="0"/>
    <w:pPr>
      <w:spacing w:line="400" w:lineRule="exact"/>
      <w:ind w:firstLine="560" w:firstLineChars="200"/>
    </w:pPr>
    <w:rPr>
      <w:rFonts w:ascii="宋体" w:hAnsi="宋体" w:cs="黑体"/>
      <w:color w:val="000000"/>
      <w:sz w:val="28"/>
      <w:szCs w:val="28"/>
    </w:rPr>
  </w:style>
  <w:style w:type="paragraph" w:customStyle="1" w:styleId="970">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71">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85</Pages>
  <Words>79</Words>
  <Characters>93</Characters>
  <Lines>406</Lines>
  <Paragraphs>114</Paragraphs>
  <TotalTime>40</TotalTime>
  <ScaleCrop>false</ScaleCrop>
  <LinksUpToDate>false</LinksUpToDate>
  <CharactersWithSpaces>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2025-03-20T10:20:00Z</dcterms:created>
  <dc:creator>玥</dc:creator>
  <cp:lastModifiedBy>小桃儿</cp:lastModifiedBy>
  <cp:lastPrinted>2021-12-28T11:06:00Z</cp:lastPrinted>
  <dcterms:modified xsi:type="dcterms:W3CDTF">2025-03-25T07:40:44Z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E1E05E0610BB4D04A1C8F075BD040E2E_13</vt:lpwstr>
  </property>
  <property fmtid="{D5CDD505-2E9C-101B-9397-08002B2CF9AE}" pid="5" name="KSOTemplateDocerSaveRecord">
    <vt:lpwstr>eyJoZGlkIjoiNGEwMDhlYWUyY2FiNWNmOGQxMTlkYzM3ZGM5ZGVkMTQiLCJ1c2VySWQiOiIzNjQ2NTIyOTcifQ==</vt:lpwstr>
  </property>
</Properties>
</file>