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38340F">
      <w:pPr>
        <w:rPr>
          <w:highlight w:val="none"/>
        </w:rPr>
      </w:pPr>
    </w:p>
    <w:p w14:paraId="4EC5B521">
      <w:pPr>
        <w:rPr>
          <w:sz w:val="40"/>
          <w:szCs w:val="36"/>
          <w:highlight w:val="none"/>
        </w:rPr>
      </w:pPr>
    </w:p>
    <w:p w14:paraId="081E0745">
      <w:pPr>
        <w:jc w:val="center"/>
        <w:outlineLvl w:val="0"/>
        <w:rPr>
          <w:rFonts w:hint="eastAsia" w:eastAsia="宋体"/>
          <w:highlight w:val="none"/>
          <w:lang w:eastAsia="zh-CN"/>
        </w:rPr>
      </w:pPr>
      <w:r>
        <w:rPr>
          <w:rFonts w:hint="eastAsia"/>
          <w:spacing w:val="45"/>
          <w:sz w:val="52"/>
          <w:szCs w:val="48"/>
          <w:highlight w:val="none"/>
          <w:lang w:eastAsia="zh-CN"/>
        </w:rPr>
        <w:t>定海区公共数据支撑平台项目二期</w:t>
      </w:r>
    </w:p>
    <w:p w14:paraId="1108913D">
      <w:pPr>
        <w:pStyle w:val="13"/>
        <w:snapToGrid w:val="0"/>
        <w:spacing w:before="120" w:after="120" w:line="360" w:lineRule="auto"/>
        <w:jc w:val="both"/>
        <w:rPr>
          <w:rFonts w:hAnsi="宋体" w:eastAsia="宋体" w:cs="宋体"/>
          <w:bCs/>
          <w:sz w:val="84"/>
          <w:szCs w:val="84"/>
          <w:highlight w:val="none"/>
        </w:rPr>
      </w:pPr>
    </w:p>
    <w:p w14:paraId="22D92232">
      <w:pPr>
        <w:pStyle w:val="13"/>
        <w:snapToGrid w:val="0"/>
        <w:spacing w:before="120" w:after="120" w:line="360" w:lineRule="auto"/>
        <w:jc w:val="center"/>
        <w:rPr>
          <w:rFonts w:hAnsi="宋体" w:eastAsia="宋体" w:cs="宋体"/>
          <w:b/>
          <w:sz w:val="24"/>
          <w:szCs w:val="24"/>
          <w:highlight w:val="none"/>
        </w:rPr>
      </w:pPr>
      <w:r>
        <w:rPr>
          <w:rFonts w:hint="eastAsia" w:hAnsi="宋体" w:eastAsia="宋体" w:cs="宋体"/>
          <w:bCs/>
          <w:sz w:val="84"/>
          <w:szCs w:val="84"/>
          <w:highlight w:val="none"/>
        </w:rPr>
        <w:t>磋商文件</w:t>
      </w:r>
    </w:p>
    <w:p w14:paraId="4D47968A">
      <w:pPr>
        <w:rPr>
          <w:highlight w:val="none"/>
        </w:rPr>
      </w:pPr>
    </w:p>
    <w:p w14:paraId="1B057331">
      <w:pPr>
        <w:pStyle w:val="13"/>
        <w:snapToGrid w:val="0"/>
        <w:spacing w:before="120" w:after="120" w:line="360" w:lineRule="auto"/>
        <w:rPr>
          <w:rFonts w:hAnsi="宋体" w:eastAsia="宋体" w:cs="宋体"/>
          <w:b/>
          <w:sz w:val="24"/>
          <w:szCs w:val="24"/>
          <w:highlight w:val="none"/>
        </w:rPr>
      </w:pPr>
    </w:p>
    <w:p w14:paraId="0EC53008">
      <w:pPr>
        <w:pStyle w:val="55"/>
        <w:widowControl w:val="0"/>
        <w:spacing w:line="720" w:lineRule="auto"/>
        <w:ind w:firstLine="1960" w:firstLineChars="700"/>
        <w:rPr>
          <w:rFonts w:hint="eastAsia" w:ascii="宋体" w:hAnsi="宋体" w:eastAsia="宋体" w:cs="宋体"/>
          <w:sz w:val="28"/>
          <w:szCs w:val="28"/>
          <w:highlight w:val="none"/>
          <w:lang w:eastAsia="zh-CN"/>
        </w:rPr>
      </w:pPr>
      <w:r>
        <w:rPr>
          <w:rFonts w:hint="eastAsia" w:ascii="宋体" w:hAnsi="宋体" w:cs="宋体"/>
          <w:sz w:val="28"/>
          <w:szCs w:val="28"/>
          <w:highlight w:val="none"/>
        </w:rPr>
        <w:t>项目编号：</w:t>
      </w:r>
      <w:r>
        <w:rPr>
          <w:rFonts w:hint="eastAsia" w:ascii="宋体" w:hAnsi="宋体" w:cs="宋体"/>
          <w:sz w:val="28"/>
          <w:szCs w:val="28"/>
          <w:highlight w:val="none"/>
          <w:lang w:eastAsia="zh-CN"/>
        </w:rPr>
        <w:t>TQZSCG-2025-002</w:t>
      </w:r>
    </w:p>
    <w:p w14:paraId="64CCEF10">
      <w:pPr>
        <w:spacing w:line="720" w:lineRule="auto"/>
        <w:ind w:firstLine="1960" w:firstLineChars="700"/>
        <w:rPr>
          <w:rFonts w:hint="eastAsia" w:ascii="宋体" w:hAnsi="宋体" w:eastAsia="宋体" w:cs="宋体"/>
          <w:sz w:val="28"/>
          <w:szCs w:val="28"/>
          <w:highlight w:val="none"/>
          <w:lang w:eastAsia="zh-CN"/>
        </w:rPr>
      </w:pPr>
      <w:r>
        <w:rPr>
          <w:rFonts w:hint="eastAsia" w:ascii="宋体" w:hAnsi="宋体" w:cs="宋体"/>
          <w:sz w:val="28"/>
          <w:szCs w:val="28"/>
          <w:highlight w:val="none"/>
        </w:rPr>
        <w:t>项目名称：</w:t>
      </w:r>
      <w:r>
        <w:rPr>
          <w:rFonts w:hint="eastAsia" w:ascii="宋体" w:hAnsi="宋体" w:cs="宋体"/>
          <w:sz w:val="28"/>
          <w:szCs w:val="28"/>
          <w:highlight w:val="none"/>
          <w:lang w:eastAsia="zh-CN"/>
        </w:rPr>
        <w:t>定海区公共数据支撑平台项目二期</w:t>
      </w:r>
    </w:p>
    <w:p w14:paraId="6813B8E7">
      <w:pPr>
        <w:spacing w:line="720" w:lineRule="auto"/>
        <w:ind w:firstLine="1960" w:firstLineChars="700"/>
        <w:rPr>
          <w:rFonts w:ascii="宋体" w:hAnsi="宋体" w:cs="宋体"/>
          <w:sz w:val="28"/>
          <w:szCs w:val="28"/>
          <w:highlight w:val="none"/>
        </w:rPr>
      </w:pPr>
      <w:r>
        <w:rPr>
          <w:rFonts w:hint="eastAsia" w:ascii="宋体" w:hAnsi="宋体" w:cs="宋体"/>
          <w:sz w:val="28"/>
          <w:szCs w:val="28"/>
          <w:highlight w:val="none"/>
        </w:rPr>
        <w:t>采 购 人：</w:t>
      </w:r>
      <w:r>
        <w:rPr>
          <w:rFonts w:hint="eastAsia" w:ascii="宋体" w:hAnsi="宋体" w:cs="宋体"/>
          <w:sz w:val="28"/>
          <w:szCs w:val="28"/>
          <w:highlight w:val="none"/>
          <w:lang w:eastAsia="zh-CN"/>
        </w:rPr>
        <w:t>舟山市定海区人民政府办公室</w:t>
      </w:r>
      <w:r>
        <w:rPr>
          <w:rFonts w:hint="eastAsia" w:ascii="宋体" w:hAnsi="宋体" w:cs="宋体"/>
          <w:sz w:val="28"/>
          <w:szCs w:val="28"/>
          <w:highlight w:val="none"/>
        </w:rPr>
        <w:t>（盖章）</w:t>
      </w:r>
    </w:p>
    <w:p w14:paraId="08EA31AB">
      <w:pPr>
        <w:spacing w:line="720" w:lineRule="auto"/>
        <w:ind w:firstLine="1960" w:firstLineChars="700"/>
        <w:rPr>
          <w:rFonts w:ascii="宋体" w:hAnsi="宋体" w:cs="宋体"/>
          <w:sz w:val="28"/>
          <w:szCs w:val="28"/>
          <w:highlight w:val="none"/>
        </w:rPr>
      </w:pPr>
      <w:r>
        <w:rPr>
          <w:rFonts w:hint="eastAsia" w:ascii="宋体" w:hAnsi="宋体" w:cs="宋体"/>
          <w:sz w:val="28"/>
          <w:szCs w:val="28"/>
          <w:highlight w:val="none"/>
        </w:rPr>
        <w:t>代理机构：</w:t>
      </w:r>
      <w:r>
        <w:rPr>
          <w:rFonts w:hint="eastAsia" w:ascii="宋体" w:hAnsi="宋体" w:cs="宋体"/>
          <w:sz w:val="28"/>
          <w:szCs w:val="28"/>
          <w:highlight w:val="none"/>
          <w:lang w:eastAsia="zh-CN"/>
        </w:rPr>
        <w:t>浙江天勤信息技术监理有限公司</w:t>
      </w:r>
      <w:r>
        <w:rPr>
          <w:rFonts w:hint="eastAsia" w:ascii="宋体" w:hAnsi="宋体" w:cs="宋体"/>
          <w:sz w:val="28"/>
          <w:szCs w:val="28"/>
          <w:highlight w:val="none"/>
        </w:rPr>
        <w:t>（盖章）</w:t>
      </w:r>
    </w:p>
    <w:p w14:paraId="7184D201">
      <w:pPr>
        <w:pStyle w:val="13"/>
        <w:spacing w:before="120" w:after="120" w:line="360" w:lineRule="auto"/>
        <w:ind w:firstLine="1960" w:firstLineChars="700"/>
        <w:rPr>
          <w:rFonts w:hint="eastAsia" w:hAnsi="宋体" w:eastAsia="宋体" w:cs="宋体"/>
          <w:sz w:val="24"/>
          <w:szCs w:val="24"/>
          <w:highlight w:val="none"/>
          <w:lang w:eastAsia="zh-CN"/>
        </w:rPr>
      </w:pPr>
      <w:r>
        <w:rPr>
          <w:rFonts w:hint="eastAsia" w:hAnsi="宋体" w:eastAsia="宋体" w:cs="宋体"/>
          <w:bCs/>
          <w:sz w:val="28"/>
          <w:szCs w:val="28"/>
          <w:highlight w:val="none"/>
        </w:rPr>
        <w:t>日    期：</w:t>
      </w:r>
      <w:r>
        <w:rPr>
          <w:rFonts w:hint="eastAsia" w:hAnsi="宋体" w:eastAsia="宋体" w:cs="宋体"/>
          <w:bCs/>
          <w:sz w:val="28"/>
          <w:szCs w:val="28"/>
          <w:highlight w:val="none"/>
          <w:lang w:eastAsia="zh-CN"/>
        </w:rPr>
        <w:t>二〇二</w:t>
      </w:r>
      <w:r>
        <w:rPr>
          <w:rFonts w:hint="eastAsia" w:hAnsi="宋体" w:eastAsia="宋体" w:cs="宋体"/>
          <w:bCs/>
          <w:sz w:val="28"/>
          <w:szCs w:val="28"/>
          <w:highlight w:val="none"/>
          <w:lang w:val="en-US" w:eastAsia="zh-CN"/>
        </w:rPr>
        <w:t>五</w:t>
      </w:r>
      <w:r>
        <w:rPr>
          <w:rFonts w:hint="eastAsia" w:hAnsi="宋体" w:eastAsia="宋体" w:cs="宋体"/>
          <w:bCs/>
          <w:sz w:val="28"/>
          <w:szCs w:val="28"/>
          <w:highlight w:val="none"/>
          <w:lang w:eastAsia="zh-CN"/>
        </w:rPr>
        <w:t>年</w:t>
      </w:r>
      <w:r>
        <w:rPr>
          <w:rFonts w:hint="eastAsia" w:hAnsi="宋体" w:eastAsia="宋体" w:cs="宋体"/>
          <w:bCs/>
          <w:sz w:val="28"/>
          <w:szCs w:val="28"/>
          <w:highlight w:val="none"/>
          <w:lang w:val="en-US" w:eastAsia="zh-CN"/>
        </w:rPr>
        <w:t>四</w:t>
      </w:r>
      <w:r>
        <w:rPr>
          <w:rFonts w:hint="eastAsia" w:hAnsi="宋体" w:eastAsia="宋体" w:cs="宋体"/>
          <w:bCs/>
          <w:sz w:val="28"/>
          <w:szCs w:val="28"/>
          <w:highlight w:val="none"/>
          <w:lang w:eastAsia="zh-CN"/>
        </w:rPr>
        <w:t>月</w:t>
      </w:r>
    </w:p>
    <w:p w14:paraId="54383179">
      <w:pPr>
        <w:pStyle w:val="13"/>
        <w:spacing w:before="120" w:after="120" w:line="600" w:lineRule="auto"/>
        <w:rPr>
          <w:rFonts w:hAnsi="宋体" w:eastAsia="宋体" w:cs="宋体"/>
          <w:sz w:val="24"/>
          <w:szCs w:val="24"/>
          <w:highlight w:val="none"/>
        </w:rPr>
      </w:pPr>
    </w:p>
    <w:p w14:paraId="10246671">
      <w:pPr>
        <w:pStyle w:val="13"/>
        <w:spacing w:before="120" w:after="120" w:line="600" w:lineRule="auto"/>
        <w:jc w:val="center"/>
        <w:rPr>
          <w:rFonts w:hAnsi="宋体" w:eastAsia="宋体" w:cs="宋体"/>
          <w:sz w:val="36"/>
          <w:szCs w:val="36"/>
          <w:highlight w:val="none"/>
        </w:rPr>
        <w:sectPr>
          <w:headerReference r:id="rId5" w:type="first"/>
          <w:headerReference r:id="rId3" w:type="default"/>
          <w:headerReference r:id="rId4" w:type="even"/>
          <w:footerReference r:id="rId6" w:type="even"/>
          <w:pgSz w:w="11906" w:h="16838"/>
          <w:pgMar w:top="1531" w:right="992" w:bottom="737" w:left="992" w:header="851" w:footer="584" w:gutter="0"/>
          <w:cols w:space="720" w:num="1"/>
          <w:titlePg/>
          <w:docGrid w:type="lines" w:linePitch="312" w:charSpace="0"/>
        </w:sectPr>
      </w:pPr>
    </w:p>
    <w:p w14:paraId="12281895">
      <w:pPr>
        <w:pStyle w:val="13"/>
        <w:spacing w:before="120" w:after="120" w:line="600" w:lineRule="auto"/>
        <w:jc w:val="center"/>
        <w:outlineLvl w:val="0"/>
        <w:rPr>
          <w:rFonts w:hAnsi="宋体" w:eastAsia="宋体" w:cs="宋体"/>
          <w:sz w:val="36"/>
          <w:szCs w:val="36"/>
          <w:highlight w:val="none"/>
        </w:rPr>
      </w:pPr>
      <w:r>
        <w:rPr>
          <w:rFonts w:hint="eastAsia" w:hAnsi="宋体" w:eastAsia="宋体" w:cs="宋体"/>
          <w:sz w:val="36"/>
          <w:szCs w:val="36"/>
          <w:highlight w:val="none"/>
        </w:rPr>
        <w:t>目    录</w:t>
      </w:r>
    </w:p>
    <w:p w14:paraId="4A2B713B">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第一章  竞争性磋商公告</w:t>
      </w:r>
    </w:p>
    <w:p w14:paraId="2C7B36FE">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第二章  采购需求</w:t>
      </w:r>
    </w:p>
    <w:p w14:paraId="3A4482F3">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 xml:space="preserve">第三章  </w:t>
      </w:r>
      <w:r>
        <w:rPr>
          <w:rFonts w:hint="eastAsia" w:ascii="宋体" w:hAnsi="宋体" w:cs="宋体"/>
          <w:sz w:val="28"/>
          <w:szCs w:val="28"/>
          <w:highlight w:val="none"/>
          <w:lang w:eastAsia="zh-CN"/>
        </w:rPr>
        <w:t>响应人</w:t>
      </w:r>
      <w:r>
        <w:rPr>
          <w:rFonts w:hint="eastAsia" w:ascii="宋体" w:hAnsi="宋体" w:cs="宋体"/>
          <w:sz w:val="28"/>
          <w:szCs w:val="28"/>
          <w:highlight w:val="none"/>
        </w:rPr>
        <w:t>须知</w:t>
      </w:r>
    </w:p>
    <w:p w14:paraId="585BCE51">
      <w:pPr>
        <w:spacing w:before="120" w:line="552" w:lineRule="auto"/>
        <w:ind w:firstLine="1960" w:firstLineChars="700"/>
        <w:rPr>
          <w:rFonts w:ascii="宋体" w:hAnsi="宋体" w:cs="宋体"/>
          <w:sz w:val="28"/>
          <w:szCs w:val="28"/>
          <w:highlight w:val="none"/>
        </w:rPr>
      </w:pPr>
      <w:r>
        <w:rPr>
          <w:rFonts w:hint="eastAsia" w:ascii="宋体" w:hAnsi="宋体" w:cs="宋体"/>
          <w:sz w:val="28"/>
          <w:szCs w:val="28"/>
          <w:highlight w:val="none"/>
        </w:rPr>
        <w:t xml:space="preserve">前附表 </w:t>
      </w:r>
    </w:p>
    <w:p w14:paraId="1C886BB0">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一、总 则</w:t>
      </w:r>
    </w:p>
    <w:p w14:paraId="44CE3BBA">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二、磋商文件</w:t>
      </w:r>
    </w:p>
    <w:p w14:paraId="64B8C146">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三、</w:t>
      </w:r>
      <w:r>
        <w:rPr>
          <w:rFonts w:hint="eastAsia" w:ascii="宋体" w:hAnsi="宋体" w:cs="宋体"/>
          <w:sz w:val="28"/>
          <w:szCs w:val="28"/>
          <w:highlight w:val="none"/>
          <w:lang w:eastAsia="zh-CN"/>
        </w:rPr>
        <w:t>响应文件</w:t>
      </w:r>
      <w:r>
        <w:rPr>
          <w:rFonts w:hint="eastAsia" w:ascii="宋体" w:hAnsi="宋体" w:cs="宋体"/>
          <w:sz w:val="28"/>
          <w:szCs w:val="28"/>
          <w:highlight w:val="none"/>
        </w:rPr>
        <w:t>的编制</w:t>
      </w:r>
    </w:p>
    <w:p w14:paraId="40596CB4">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四、开标</w:t>
      </w:r>
    </w:p>
    <w:p w14:paraId="3D75B577">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五、评标</w:t>
      </w:r>
    </w:p>
    <w:p w14:paraId="23A5AC94">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六、废标</w:t>
      </w:r>
    </w:p>
    <w:p w14:paraId="0A913847">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七、定标</w:t>
      </w:r>
    </w:p>
    <w:p w14:paraId="32FA5FC2">
      <w:pPr>
        <w:spacing w:before="120" w:line="552" w:lineRule="auto"/>
        <w:ind w:firstLine="1400" w:firstLineChars="500"/>
        <w:rPr>
          <w:rFonts w:ascii="宋体" w:hAnsi="宋体" w:cs="宋体"/>
          <w:sz w:val="28"/>
          <w:szCs w:val="28"/>
          <w:highlight w:val="none"/>
        </w:rPr>
      </w:pPr>
      <w:r>
        <w:rPr>
          <w:rFonts w:hint="eastAsia" w:ascii="宋体" w:hAnsi="宋体" w:cs="宋体"/>
          <w:sz w:val="28"/>
          <w:szCs w:val="28"/>
          <w:highlight w:val="none"/>
        </w:rPr>
        <w:t>八、合同授予</w:t>
      </w:r>
    </w:p>
    <w:p w14:paraId="2C75269C">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第四章  评标办法及标准</w:t>
      </w:r>
    </w:p>
    <w:p w14:paraId="6B7A775F">
      <w:pPr>
        <w:spacing w:before="120" w:line="552" w:lineRule="auto"/>
        <w:ind w:firstLine="840" w:firstLineChars="300"/>
        <w:rPr>
          <w:rFonts w:ascii="宋体" w:hAnsi="宋体" w:cs="宋体"/>
          <w:sz w:val="28"/>
          <w:szCs w:val="28"/>
          <w:highlight w:val="none"/>
        </w:rPr>
      </w:pPr>
      <w:r>
        <w:rPr>
          <w:rFonts w:hint="eastAsia" w:ascii="宋体" w:hAnsi="宋体" w:cs="宋体"/>
          <w:sz w:val="28"/>
          <w:szCs w:val="28"/>
          <w:highlight w:val="none"/>
        </w:rPr>
        <w:t>第五章  合同主要条款</w:t>
      </w:r>
    </w:p>
    <w:p w14:paraId="390D85C5">
      <w:pPr>
        <w:spacing w:before="120" w:line="552" w:lineRule="auto"/>
        <w:ind w:firstLine="840" w:firstLineChars="300"/>
        <w:rPr>
          <w:rFonts w:ascii="宋体" w:hAnsi="宋体" w:cs="宋体"/>
          <w:sz w:val="24"/>
          <w:szCs w:val="24"/>
          <w:highlight w:val="none"/>
        </w:rPr>
      </w:pPr>
      <w:r>
        <w:rPr>
          <w:rFonts w:hint="eastAsia" w:ascii="宋体" w:hAnsi="宋体" w:cs="宋体"/>
          <w:sz w:val="28"/>
          <w:szCs w:val="28"/>
          <w:highlight w:val="none"/>
        </w:rPr>
        <w:t xml:space="preserve">第六章  </w:t>
      </w:r>
      <w:r>
        <w:rPr>
          <w:rFonts w:hint="eastAsia" w:ascii="宋体" w:hAnsi="宋体" w:cs="宋体"/>
          <w:sz w:val="28"/>
          <w:szCs w:val="28"/>
          <w:highlight w:val="none"/>
          <w:lang w:eastAsia="zh-CN"/>
        </w:rPr>
        <w:t>响应文件</w:t>
      </w:r>
      <w:r>
        <w:rPr>
          <w:rFonts w:hint="eastAsia" w:ascii="宋体" w:hAnsi="宋体" w:cs="宋体"/>
          <w:sz w:val="28"/>
          <w:szCs w:val="28"/>
          <w:highlight w:val="none"/>
        </w:rPr>
        <w:t>组成</w:t>
      </w:r>
    </w:p>
    <w:p w14:paraId="070138B7">
      <w:pPr>
        <w:jc w:val="center"/>
        <w:outlineLvl w:val="0"/>
        <w:rPr>
          <w:rFonts w:ascii="宋体" w:hAnsi="宋体" w:cs="宋体"/>
          <w:b/>
          <w:sz w:val="28"/>
          <w:szCs w:val="28"/>
          <w:highlight w:val="none"/>
        </w:rPr>
      </w:pPr>
      <w:r>
        <w:rPr>
          <w:rFonts w:hint="eastAsia" w:ascii="宋体" w:hAnsi="宋体" w:cs="宋体"/>
          <w:b/>
          <w:sz w:val="28"/>
          <w:szCs w:val="28"/>
          <w:highlight w:val="none"/>
        </w:rPr>
        <w:br w:type="page"/>
      </w:r>
      <w:r>
        <w:rPr>
          <w:rFonts w:hint="eastAsia" w:ascii="宋体" w:hAnsi="宋体" w:cs="宋体"/>
          <w:b/>
          <w:sz w:val="28"/>
          <w:szCs w:val="28"/>
          <w:highlight w:val="none"/>
        </w:rPr>
        <w:t xml:space="preserve">第一章 </w:t>
      </w:r>
      <w:bookmarkStart w:id="0" w:name="OLE_LINK3"/>
      <w:r>
        <w:rPr>
          <w:rFonts w:hint="eastAsia" w:ascii="宋体" w:hAnsi="宋体" w:cs="宋体"/>
          <w:b/>
          <w:sz w:val="28"/>
          <w:szCs w:val="28"/>
          <w:highlight w:val="none"/>
        </w:rPr>
        <w:t xml:space="preserve"> </w:t>
      </w:r>
      <w:bookmarkStart w:id="1" w:name="OLE_LINK4"/>
      <w:bookmarkStart w:id="2" w:name="OLE_LINK2"/>
      <w:r>
        <w:rPr>
          <w:rFonts w:hint="eastAsia" w:ascii="宋体" w:hAnsi="宋体" w:cs="宋体"/>
          <w:b/>
          <w:sz w:val="28"/>
          <w:szCs w:val="28"/>
          <w:highlight w:val="none"/>
        </w:rPr>
        <w:t>竞争性磋商公告</w:t>
      </w:r>
    </w:p>
    <w:bookmarkEnd w:id="0"/>
    <w:bookmarkEnd w:id="1"/>
    <w:bookmarkEnd w:id="2"/>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64"/>
      </w:tblGrid>
      <w:tr w14:paraId="7351E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64" w:type="dxa"/>
          </w:tcPr>
          <w:p w14:paraId="2F2E9593">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Fonts w:hint="eastAsia" w:ascii="宋体" w:hAnsi="宋体" w:eastAsia="宋体" w:cs="宋体"/>
                <w:b w:val="0"/>
                <w:bCs w:val="0"/>
                <w:i w:val="0"/>
                <w:iCs w:val="0"/>
                <w:caps w:val="0"/>
                <w:color w:val="000000"/>
                <w:spacing w:val="0"/>
                <w:sz w:val="21"/>
                <w:szCs w:val="21"/>
                <w:highlight w:val="none"/>
              </w:rPr>
            </w:pPr>
            <w:r>
              <w:rPr>
                <w:rFonts w:hint="eastAsia" w:ascii="宋体" w:hAnsi="宋体" w:eastAsia="宋体" w:cs="宋体"/>
                <w:b w:val="0"/>
                <w:bCs w:val="0"/>
                <w:i w:val="0"/>
                <w:iCs w:val="0"/>
                <w:caps w:val="0"/>
                <w:color w:val="000000"/>
                <w:spacing w:val="0"/>
                <w:sz w:val="21"/>
                <w:szCs w:val="21"/>
                <w:highlight w:val="none"/>
              </w:rPr>
              <w:t>项目概况</w:t>
            </w:r>
          </w:p>
          <w:p w14:paraId="2B9630D6">
            <w:pPr>
              <w:pStyle w:val="22"/>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rPr>
                <w:rStyle w:val="29"/>
                <w:rFonts w:ascii="宋体" w:hAnsi="宋体" w:cs="宋体"/>
                <w:color w:val="000000"/>
                <w:sz w:val="21"/>
                <w:szCs w:val="21"/>
                <w:highlight w:val="none"/>
              </w:rPr>
            </w:pPr>
            <w:r>
              <w:rPr>
                <w:rFonts w:hint="eastAsia" w:cs="宋体"/>
                <w:b w:val="0"/>
                <w:bCs w:val="0"/>
                <w:i w:val="0"/>
                <w:iCs w:val="0"/>
                <w:caps w:val="0"/>
                <w:color w:val="000000"/>
                <w:spacing w:val="0"/>
                <w:sz w:val="21"/>
                <w:szCs w:val="21"/>
                <w:highlight w:val="none"/>
                <w:lang w:eastAsia="zh-CN"/>
              </w:rPr>
              <w:t>定海区公共数据支撑平台项目二期</w:t>
            </w:r>
            <w:r>
              <w:rPr>
                <w:rFonts w:hint="eastAsia" w:ascii="宋体" w:hAnsi="宋体" w:eastAsia="宋体" w:cs="宋体"/>
                <w:b w:val="0"/>
                <w:bCs w:val="0"/>
                <w:i w:val="0"/>
                <w:iCs w:val="0"/>
                <w:caps w:val="0"/>
                <w:color w:val="000000"/>
                <w:spacing w:val="0"/>
                <w:sz w:val="21"/>
                <w:szCs w:val="21"/>
                <w:highlight w:val="none"/>
              </w:rPr>
              <w:t>的潜在供应商应在浙江政府采购网http://zfcg.czt.zj.gov.cn/（用“政采云”注册账号、密码登录系统后获取磋商文件）获取（下载）采购文件，并于</w:t>
            </w:r>
            <w:r>
              <w:rPr>
                <w:rFonts w:hint="eastAsia" w:cs="宋体"/>
                <w:b w:val="0"/>
                <w:bCs w:val="0"/>
                <w:i w:val="0"/>
                <w:iCs w:val="0"/>
                <w:caps w:val="0"/>
                <w:color w:val="000000"/>
                <w:spacing w:val="0"/>
                <w:sz w:val="21"/>
                <w:szCs w:val="21"/>
                <w:highlight w:val="none"/>
                <w:lang w:eastAsia="zh-CN"/>
              </w:rPr>
              <w:t>202</w:t>
            </w:r>
            <w:r>
              <w:rPr>
                <w:rFonts w:hint="eastAsia" w:cs="宋体"/>
                <w:b w:val="0"/>
                <w:bCs w:val="0"/>
                <w:i w:val="0"/>
                <w:iCs w:val="0"/>
                <w:caps w:val="0"/>
                <w:color w:val="000000"/>
                <w:spacing w:val="0"/>
                <w:sz w:val="21"/>
                <w:szCs w:val="21"/>
                <w:highlight w:val="none"/>
                <w:lang w:val="en-US" w:eastAsia="zh-CN"/>
              </w:rPr>
              <w:t>5</w:t>
            </w:r>
            <w:r>
              <w:rPr>
                <w:rFonts w:hint="eastAsia" w:cs="宋体"/>
                <w:b w:val="0"/>
                <w:bCs w:val="0"/>
                <w:i w:val="0"/>
                <w:iCs w:val="0"/>
                <w:caps w:val="0"/>
                <w:color w:val="000000"/>
                <w:spacing w:val="0"/>
                <w:sz w:val="21"/>
                <w:szCs w:val="21"/>
                <w:highlight w:val="none"/>
                <w:lang w:eastAsia="zh-CN"/>
              </w:rPr>
              <w:t>年</w:t>
            </w:r>
            <w:r>
              <w:rPr>
                <w:rFonts w:hint="eastAsia" w:cs="宋体"/>
                <w:b w:val="0"/>
                <w:bCs w:val="0"/>
                <w:i w:val="0"/>
                <w:iCs w:val="0"/>
                <w:caps w:val="0"/>
                <w:color w:val="000000"/>
                <w:spacing w:val="0"/>
                <w:sz w:val="21"/>
                <w:szCs w:val="21"/>
                <w:highlight w:val="none"/>
                <w:lang w:val="en-US" w:eastAsia="zh-CN"/>
              </w:rPr>
              <w:t>4</w:t>
            </w:r>
            <w:r>
              <w:rPr>
                <w:rFonts w:hint="eastAsia" w:cs="宋体"/>
                <w:b w:val="0"/>
                <w:bCs w:val="0"/>
                <w:i w:val="0"/>
                <w:iCs w:val="0"/>
                <w:caps w:val="0"/>
                <w:color w:val="000000"/>
                <w:spacing w:val="0"/>
                <w:sz w:val="21"/>
                <w:szCs w:val="21"/>
                <w:highlight w:val="none"/>
                <w:lang w:eastAsia="zh-CN"/>
              </w:rPr>
              <w:t>月</w:t>
            </w:r>
            <w:r>
              <w:rPr>
                <w:rFonts w:hint="eastAsia" w:cs="宋体"/>
                <w:b w:val="0"/>
                <w:bCs w:val="0"/>
                <w:i w:val="0"/>
                <w:iCs w:val="0"/>
                <w:caps w:val="0"/>
                <w:color w:val="000000"/>
                <w:spacing w:val="0"/>
                <w:sz w:val="21"/>
                <w:szCs w:val="21"/>
                <w:highlight w:val="none"/>
                <w:lang w:val="en-US" w:eastAsia="zh-CN"/>
              </w:rPr>
              <w:t>29</w:t>
            </w:r>
            <w:r>
              <w:rPr>
                <w:rFonts w:hint="eastAsia" w:cs="宋体"/>
                <w:b w:val="0"/>
                <w:bCs w:val="0"/>
                <w:i w:val="0"/>
                <w:iCs w:val="0"/>
                <w:caps w:val="0"/>
                <w:color w:val="000000"/>
                <w:spacing w:val="0"/>
                <w:sz w:val="21"/>
                <w:szCs w:val="21"/>
                <w:highlight w:val="none"/>
                <w:lang w:eastAsia="zh-CN"/>
              </w:rPr>
              <w:t>日 14:30</w:t>
            </w:r>
            <w:r>
              <w:rPr>
                <w:rFonts w:hint="eastAsia" w:ascii="宋体" w:hAnsi="宋体" w:eastAsia="宋体" w:cs="宋体"/>
                <w:b w:val="0"/>
                <w:bCs w:val="0"/>
                <w:i w:val="0"/>
                <w:iCs w:val="0"/>
                <w:caps w:val="0"/>
                <w:color w:val="000000"/>
                <w:spacing w:val="0"/>
                <w:sz w:val="21"/>
                <w:szCs w:val="21"/>
                <w:highlight w:val="none"/>
              </w:rPr>
              <w:t>（北京时间）前提交（上传）</w:t>
            </w:r>
            <w:r>
              <w:rPr>
                <w:rFonts w:hint="eastAsia" w:cs="宋体"/>
                <w:b w:val="0"/>
                <w:bCs w:val="0"/>
                <w:i w:val="0"/>
                <w:iCs w:val="0"/>
                <w:caps w:val="0"/>
                <w:color w:val="000000"/>
                <w:spacing w:val="0"/>
                <w:sz w:val="21"/>
                <w:szCs w:val="21"/>
                <w:highlight w:val="none"/>
                <w:lang w:eastAsia="zh-CN"/>
              </w:rPr>
              <w:t>响应文件</w:t>
            </w:r>
            <w:r>
              <w:rPr>
                <w:rFonts w:hint="eastAsia" w:ascii="宋体" w:hAnsi="宋体" w:eastAsia="宋体" w:cs="宋体"/>
                <w:b w:val="0"/>
                <w:bCs w:val="0"/>
                <w:i w:val="0"/>
                <w:iCs w:val="0"/>
                <w:caps w:val="0"/>
                <w:color w:val="000000"/>
                <w:spacing w:val="0"/>
                <w:sz w:val="21"/>
                <w:szCs w:val="21"/>
                <w:highlight w:val="none"/>
              </w:rPr>
              <w:t>。</w:t>
            </w:r>
          </w:p>
        </w:tc>
      </w:tr>
    </w:tbl>
    <w:p w14:paraId="2F4C12F3">
      <w:pPr>
        <w:pStyle w:val="22"/>
        <w:keepNext w:val="0"/>
        <w:keepLines w:val="0"/>
        <w:widowControl/>
        <w:suppressLineNumbers w:val="0"/>
        <w:spacing w:before="255" w:beforeAutospacing="0" w:after="255" w:afterAutospacing="0" w:line="450" w:lineRule="atLeast"/>
        <w:ind w:left="0" w:right="0"/>
        <w:jc w:val="both"/>
        <w:rPr>
          <w:rFonts w:hint="eastAsia" w:ascii="宋体" w:hAnsi="宋体" w:eastAsia="宋体" w:cs="宋体"/>
          <w:sz w:val="21"/>
          <w:szCs w:val="21"/>
          <w:highlight w:val="none"/>
        </w:rPr>
      </w:pPr>
      <w:r>
        <w:rPr>
          <w:rStyle w:val="29"/>
          <w:rFonts w:hint="eastAsia" w:ascii="宋体" w:hAnsi="宋体" w:eastAsia="宋体" w:cs="宋体"/>
          <w:i w:val="0"/>
          <w:iCs w:val="0"/>
          <w:caps w:val="0"/>
          <w:color w:val="000000"/>
          <w:spacing w:val="0"/>
          <w:sz w:val="21"/>
          <w:szCs w:val="21"/>
          <w:highlight w:val="none"/>
        </w:rPr>
        <w:t>一、项目基本情况</w:t>
      </w:r>
    </w:p>
    <w:p w14:paraId="4A57EE7C">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项目编号：</w:t>
      </w:r>
      <w:r>
        <w:rPr>
          <w:rFonts w:hint="eastAsia" w:cs="宋体"/>
          <w:i w:val="0"/>
          <w:iCs w:val="0"/>
          <w:caps w:val="0"/>
          <w:color w:val="000000"/>
          <w:spacing w:val="0"/>
          <w:sz w:val="21"/>
          <w:szCs w:val="21"/>
          <w:highlight w:val="none"/>
          <w:lang w:eastAsia="zh-CN"/>
        </w:rPr>
        <w:t>TQZSCG-2025-002</w:t>
      </w:r>
    </w:p>
    <w:p w14:paraId="1ED604BE">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项目名称：</w:t>
      </w:r>
      <w:r>
        <w:rPr>
          <w:rFonts w:hint="eastAsia" w:cs="宋体"/>
          <w:i w:val="0"/>
          <w:iCs w:val="0"/>
          <w:caps w:val="0"/>
          <w:color w:val="000000"/>
          <w:spacing w:val="0"/>
          <w:sz w:val="21"/>
          <w:szCs w:val="21"/>
          <w:highlight w:val="none"/>
          <w:lang w:eastAsia="zh-CN"/>
        </w:rPr>
        <w:t>定海区公共数据支撑平台项目二期</w:t>
      </w:r>
    </w:p>
    <w:p w14:paraId="77614E1B">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采购方式：竞争性磋商</w:t>
      </w:r>
    </w:p>
    <w:p w14:paraId="4CF8439B">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default" w:ascii="宋体" w:hAnsi="宋体" w:eastAsia="宋体" w:cs="宋体"/>
          <w:i w:val="0"/>
          <w:iCs w:val="0"/>
          <w:caps w:val="0"/>
          <w:color w:val="000000"/>
          <w:spacing w:val="0"/>
          <w:sz w:val="21"/>
          <w:szCs w:val="21"/>
          <w:highlight w:val="none"/>
          <w:lang w:val="en-US" w:eastAsia="zh-CN"/>
        </w:rPr>
      </w:pPr>
      <w:r>
        <w:rPr>
          <w:rFonts w:hint="eastAsia" w:ascii="宋体" w:hAnsi="宋体" w:eastAsia="宋体" w:cs="宋体"/>
          <w:i w:val="0"/>
          <w:iCs w:val="0"/>
          <w:caps w:val="0"/>
          <w:color w:val="000000"/>
          <w:spacing w:val="0"/>
          <w:sz w:val="21"/>
          <w:szCs w:val="21"/>
          <w:highlight w:val="none"/>
        </w:rPr>
        <w:t>预算金额（元）：</w:t>
      </w:r>
      <w:r>
        <w:rPr>
          <w:rFonts w:hint="eastAsia" w:cs="宋体"/>
          <w:i w:val="0"/>
          <w:iCs w:val="0"/>
          <w:caps w:val="0"/>
          <w:color w:val="000000"/>
          <w:spacing w:val="0"/>
          <w:sz w:val="21"/>
          <w:szCs w:val="21"/>
          <w:highlight w:val="none"/>
          <w:lang w:val="en-US" w:eastAsia="zh-CN"/>
        </w:rPr>
        <w:t>500000</w:t>
      </w:r>
    </w:p>
    <w:p w14:paraId="7A84B252">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default" w:ascii="宋体" w:hAnsi="宋体" w:eastAsia="宋体" w:cs="宋体"/>
          <w:i w:val="0"/>
          <w:iCs w:val="0"/>
          <w:caps w:val="0"/>
          <w:color w:val="000000"/>
          <w:spacing w:val="0"/>
          <w:sz w:val="21"/>
          <w:szCs w:val="21"/>
          <w:highlight w:val="none"/>
          <w:lang w:val="en-US" w:eastAsia="zh-CN"/>
        </w:rPr>
      </w:pPr>
      <w:r>
        <w:rPr>
          <w:rFonts w:hint="eastAsia" w:ascii="宋体" w:hAnsi="宋体" w:eastAsia="宋体" w:cs="宋体"/>
          <w:i w:val="0"/>
          <w:iCs w:val="0"/>
          <w:caps w:val="0"/>
          <w:color w:val="000000"/>
          <w:spacing w:val="0"/>
          <w:sz w:val="21"/>
          <w:szCs w:val="21"/>
          <w:highlight w:val="none"/>
        </w:rPr>
        <w:t>最高限价（元）：</w:t>
      </w:r>
      <w:r>
        <w:rPr>
          <w:rFonts w:hint="eastAsia" w:cs="宋体"/>
          <w:i w:val="0"/>
          <w:iCs w:val="0"/>
          <w:caps w:val="0"/>
          <w:color w:val="000000"/>
          <w:spacing w:val="0"/>
          <w:sz w:val="21"/>
          <w:szCs w:val="21"/>
          <w:highlight w:val="none"/>
          <w:lang w:val="en-US" w:eastAsia="zh-CN"/>
        </w:rPr>
        <w:t>500000</w:t>
      </w:r>
    </w:p>
    <w:p w14:paraId="79CB4FE4">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采购需求：</w:t>
      </w:r>
    </w:p>
    <w:p w14:paraId="1CCA519B">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val="en-US" w:eastAsia="zh-CN"/>
        </w:rPr>
      </w:pPr>
      <w:r>
        <w:rPr>
          <w:rFonts w:hint="eastAsia" w:ascii="宋体" w:hAnsi="宋体" w:eastAsia="宋体" w:cs="宋体"/>
          <w:i w:val="0"/>
          <w:iCs w:val="0"/>
          <w:caps w:val="0"/>
          <w:color w:val="000000"/>
          <w:spacing w:val="0"/>
          <w:sz w:val="21"/>
          <w:szCs w:val="21"/>
          <w:highlight w:val="none"/>
          <w:lang w:val="en-US" w:eastAsia="zh-CN"/>
        </w:rPr>
        <w:t>    </w:t>
      </w:r>
    </w:p>
    <w:p w14:paraId="5CCFF942">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val="en-US" w:eastAsia="zh-CN"/>
        </w:rPr>
      </w:pPr>
      <w:r>
        <w:rPr>
          <w:rFonts w:hint="eastAsia" w:ascii="宋体" w:hAnsi="宋体" w:eastAsia="宋体" w:cs="宋体"/>
          <w:i w:val="0"/>
          <w:iCs w:val="0"/>
          <w:caps w:val="0"/>
          <w:color w:val="000000"/>
          <w:spacing w:val="0"/>
          <w:sz w:val="21"/>
          <w:szCs w:val="21"/>
          <w:highlight w:val="none"/>
          <w:lang w:val="en-US" w:eastAsia="zh-CN"/>
        </w:rPr>
        <w:t>数量：1       </w:t>
      </w:r>
    </w:p>
    <w:p w14:paraId="6FF22166">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val="en-US" w:eastAsia="zh-CN"/>
        </w:rPr>
      </w:pPr>
      <w:r>
        <w:rPr>
          <w:rFonts w:hint="eastAsia" w:ascii="宋体" w:hAnsi="宋体" w:eastAsia="宋体" w:cs="宋体"/>
          <w:i w:val="0"/>
          <w:iCs w:val="0"/>
          <w:caps w:val="0"/>
          <w:color w:val="000000"/>
          <w:spacing w:val="0"/>
          <w:sz w:val="21"/>
          <w:szCs w:val="21"/>
          <w:highlight w:val="none"/>
          <w:lang w:val="en-US" w:eastAsia="zh-CN"/>
        </w:rPr>
        <w:t>预算金额（元）：</w:t>
      </w:r>
      <w:r>
        <w:rPr>
          <w:rFonts w:hint="eastAsia" w:cs="宋体"/>
          <w:i w:val="0"/>
          <w:iCs w:val="0"/>
          <w:caps w:val="0"/>
          <w:color w:val="000000"/>
          <w:spacing w:val="0"/>
          <w:sz w:val="21"/>
          <w:szCs w:val="21"/>
          <w:highlight w:val="none"/>
          <w:lang w:val="en-US" w:eastAsia="zh-CN"/>
        </w:rPr>
        <w:t>500000</w:t>
      </w:r>
    </w:p>
    <w:p w14:paraId="6CCBE9BE">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val="en-US" w:eastAsia="zh-CN"/>
        </w:rPr>
      </w:pPr>
      <w:r>
        <w:rPr>
          <w:rFonts w:hint="eastAsia" w:ascii="宋体" w:hAnsi="宋体" w:eastAsia="宋体" w:cs="宋体"/>
          <w:i w:val="0"/>
          <w:iCs w:val="0"/>
          <w:caps w:val="0"/>
          <w:color w:val="000000"/>
          <w:spacing w:val="0"/>
          <w:sz w:val="21"/>
          <w:szCs w:val="21"/>
          <w:highlight w:val="none"/>
          <w:lang w:val="en-US" w:eastAsia="zh-CN"/>
        </w:rPr>
        <w:t>单位：项</w:t>
      </w:r>
    </w:p>
    <w:p w14:paraId="4E2A2A83">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kern w:val="0"/>
          <w:sz w:val="21"/>
          <w:szCs w:val="21"/>
          <w:highlight w:val="none"/>
          <w:lang w:val="en-US" w:eastAsia="zh-CN" w:bidi="ar-SA"/>
        </w:rPr>
      </w:pPr>
      <w:r>
        <w:rPr>
          <w:rFonts w:hint="eastAsia" w:ascii="宋体" w:hAnsi="宋体" w:eastAsia="宋体" w:cs="宋体"/>
          <w:i w:val="0"/>
          <w:iCs w:val="0"/>
          <w:caps w:val="0"/>
          <w:color w:val="000000"/>
          <w:spacing w:val="0"/>
          <w:kern w:val="0"/>
          <w:sz w:val="21"/>
          <w:szCs w:val="21"/>
          <w:highlight w:val="none"/>
          <w:lang w:val="en-US" w:eastAsia="zh-CN" w:bidi="ar-SA"/>
        </w:rPr>
        <w:t>简要规格描述：详见采购文件</w:t>
      </w:r>
    </w:p>
    <w:p w14:paraId="659B7189">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kern w:val="0"/>
          <w:sz w:val="21"/>
          <w:szCs w:val="21"/>
          <w:highlight w:val="none"/>
          <w:lang w:val="en-US" w:eastAsia="zh-CN" w:bidi="ar-SA"/>
        </w:rPr>
      </w:pPr>
      <w:r>
        <w:rPr>
          <w:rFonts w:hint="eastAsia" w:ascii="宋体" w:hAnsi="宋体" w:eastAsia="宋体" w:cs="宋体"/>
          <w:i w:val="0"/>
          <w:iCs w:val="0"/>
          <w:caps w:val="0"/>
          <w:color w:val="000000"/>
          <w:spacing w:val="0"/>
          <w:kern w:val="0"/>
          <w:sz w:val="21"/>
          <w:szCs w:val="21"/>
          <w:highlight w:val="none"/>
          <w:lang w:val="en-US" w:eastAsia="zh-CN" w:bidi="ar-SA"/>
        </w:rPr>
        <w:t>备注：</w:t>
      </w:r>
    </w:p>
    <w:p w14:paraId="70FA08FD">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i w:val="0"/>
          <w:iCs w:val="0"/>
          <w:caps w:val="0"/>
          <w:color w:val="000000"/>
          <w:spacing w:val="0"/>
          <w:sz w:val="21"/>
          <w:szCs w:val="21"/>
          <w:highlight w:val="none"/>
        </w:rPr>
        <w:t>合同履约期限：标项 1，</w:t>
      </w:r>
      <w:r>
        <w:rPr>
          <w:rFonts w:hint="eastAsia" w:cs="宋体"/>
          <w:i w:val="0"/>
          <w:iCs w:val="0"/>
          <w:caps w:val="0"/>
          <w:color w:val="000000"/>
          <w:spacing w:val="0"/>
          <w:sz w:val="21"/>
          <w:szCs w:val="21"/>
          <w:highlight w:val="none"/>
          <w:lang w:eastAsia="zh-CN"/>
        </w:rPr>
        <w:t>自合同签订之日起进入为期一年的项目服务期，合同签订后3个月内完成项目建设并进行项目初验，初验通过后试运行，试运行3个月后无任何问题进行终验。</w:t>
      </w:r>
    </w:p>
    <w:p w14:paraId="30139DDB">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本项目（否）接受联合体投标。</w:t>
      </w:r>
    </w:p>
    <w:p w14:paraId="467470E5">
      <w:pPr>
        <w:pStyle w:val="22"/>
        <w:keepNext w:val="0"/>
        <w:keepLines w:val="0"/>
        <w:widowControl/>
        <w:suppressLineNumbers w:val="0"/>
        <w:spacing w:before="255" w:beforeAutospacing="0" w:after="255" w:afterAutospacing="0" w:line="450" w:lineRule="atLeast"/>
        <w:ind w:left="0" w:right="0"/>
        <w:jc w:val="both"/>
        <w:rPr>
          <w:rFonts w:hint="eastAsia" w:ascii="宋体" w:hAnsi="宋体" w:eastAsia="宋体" w:cs="宋体"/>
          <w:sz w:val="21"/>
          <w:szCs w:val="21"/>
          <w:highlight w:val="none"/>
        </w:rPr>
      </w:pPr>
      <w:r>
        <w:rPr>
          <w:rStyle w:val="29"/>
          <w:rFonts w:hint="eastAsia" w:ascii="宋体" w:hAnsi="宋体" w:eastAsia="宋体" w:cs="宋体"/>
          <w:i w:val="0"/>
          <w:iCs w:val="0"/>
          <w:caps w:val="0"/>
          <w:color w:val="000000"/>
          <w:spacing w:val="0"/>
          <w:sz w:val="21"/>
          <w:szCs w:val="21"/>
          <w:highlight w:val="none"/>
        </w:rPr>
        <w:t>二、申请人的资格要求：</w:t>
      </w:r>
    </w:p>
    <w:p w14:paraId="2C31F649">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1.满足《中华人民共和国政府采购法》第二十二条规定；未被“信用中国”（www.creditchina.gov.cn)、中国政府采购网（www.ccgp.gov.cn）列入失信被执行人、重大税收违法失信主体、政府采购严重违法失信行为记录名单。</w:t>
      </w:r>
    </w:p>
    <w:p w14:paraId="32E27A90">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i w:val="0"/>
          <w:iCs w:val="0"/>
          <w:caps w:val="0"/>
          <w:color w:val="000000"/>
          <w:spacing w:val="0"/>
          <w:sz w:val="21"/>
          <w:szCs w:val="21"/>
          <w:highlight w:val="none"/>
        </w:rPr>
        <w:t>2.落实政府采购政策需满足的资格要求：标项1：</w:t>
      </w:r>
      <w:r>
        <w:rPr>
          <w:rFonts w:hint="eastAsia" w:cs="宋体"/>
          <w:i w:val="0"/>
          <w:iCs w:val="0"/>
          <w:caps w:val="0"/>
          <w:color w:val="000000"/>
          <w:spacing w:val="0"/>
          <w:sz w:val="21"/>
          <w:szCs w:val="21"/>
          <w:highlight w:val="none"/>
          <w:lang w:val="en-US" w:eastAsia="zh-CN"/>
        </w:rPr>
        <w:t>无</w:t>
      </w:r>
    </w:p>
    <w:p w14:paraId="6E9BA4FF">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3.本项目的特定资格要求：无</w:t>
      </w:r>
    </w:p>
    <w:p w14:paraId="60756153">
      <w:pPr>
        <w:pStyle w:val="22"/>
        <w:keepNext w:val="0"/>
        <w:keepLines w:val="0"/>
        <w:widowControl/>
        <w:suppressLineNumbers w:val="0"/>
        <w:spacing w:before="255" w:beforeAutospacing="0" w:after="255" w:afterAutospacing="0" w:line="450" w:lineRule="atLeast"/>
        <w:ind w:left="0" w:right="0"/>
        <w:jc w:val="both"/>
        <w:rPr>
          <w:rFonts w:hint="eastAsia" w:ascii="宋体" w:hAnsi="宋体" w:eastAsia="宋体" w:cs="宋体"/>
          <w:sz w:val="21"/>
          <w:szCs w:val="21"/>
          <w:highlight w:val="none"/>
        </w:rPr>
      </w:pPr>
      <w:r>
        <w:rPr>
          <w:rStyle w:val="29"/>
          <w:rFonts w:hint="eastAsia" w:ascii="宋体" w:hAnsi="宋体" w:eastAsia="宋体" w:cs="宋体"/>
          <w:i w:val="0"/>
          <w:iCs w:val="0"/>
          <w:caps w:val="0"/>
          <w:color w:val="000000"/>
          <w:spacing w:val="0"/>
          <w:sz w:val="21"/>
          <w:szCs w:val="21"/>
          <w:highlight w:val="none"/>
        </w:rPr>
        <w:t>三、获取（下载）采购文件</w:t>
      </w:r>
    </w:p>
    <w:p w14:paraId="0328E97B">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时间：/</w:t>
      </w:r>
      <w:r>
        <w:rPr>
          <w:rFonts w:hint="eastAsia" w:cs="宋体"/>
          <w:i w:val="0"/>
          <w:iCs w:val="0"/>
          <w:caps w:val="0"/>
          <w:color w:val="000000"/>
          <w:spacing w:val="0"/>
          <w:sz w:val="21"/>
          <w:szCs w:val="21"/>
          <w:highlight w:val="none"/>
          <w:lang w:eastAsia="zh-CN"/>
        </w:rPr>
        <w:t>至202</w:t>
      </w:r>
      <w:r>
        <w:rPr>
          <w:rFonts w:hint="eastAsia" w:cs="宋体"/>
          <w:i w:val="0"/>
          <w:iCs w:val="0"/>
          <w:caps w:val="0"/>
          <w:color w:val="000000"/>
          <w:spacing w:val="0"/>
          <w:sz w:val="21"/>
          <w:szCs w:val="21"/>
          <w:highlight w:val="none"/>
          <w:lang w:val="en-US" w:eastAsia="zh-CN"/>
        </w:rPr>
        <w:t>5</w:t>
      </w:r>
      <w:r>
        <w:rPr>
          <w:rFonts w:hint="eastAsia" w:cs="宋体"/>
          <w:i w:val="0"/>
          <w:iCs w:val="0"/>
          <w:caps w:val="0"/>
          <w:color w:val="000000"/>
          <w:spacing w:val="0"/>
          <w:sz w:val="21"/>
          <w:szCs w:val="21"/>
          <w:highlight w:val="none"/>
          <w:lang w:eastAsia="zh-CN"/>
        </w:rPr>
        <w:t>年</w:t>
      </w:r>
      <w:r>
        <w:rPr>
          <w:rFonts w:hint="eastAsia" w:cs="宋体"/>
          <w:i w:val="0"/>
          <w:iCs w:val="0"/>
          <w:caps w:val="0"/>
          <w:color w:val="000000"/>
          <w:spacing w:val="0"/>
          <w:sz w:val="21"/>
          <w:szCs w:val="21"/>
          <w:highlight w:val="none"/>
          <w:lang w:val="en-US" w:eastAsia="zh-CN"/>
        </w:rPr>
        <w:t>4</w:t>
      </w:r>
      <w:r>
        <w:rPr>
          <w:rFonts w:hint="eastAsia" w:cs="宋体"/>
          <w:i w:val="0"/>
          <w:iCs w:val="0"/>
          <w:caps w:val="0"/>
          <w:color w:val="000000"/>
          <w:spacing w:val="0"/>
          <w:sz w:val="21"/>
          <w:szCs w:val="21"/>
          <w:highlight w:val="none"/>
          <w:lang w:eastAsia="zh-CN"/>
        </w:rPr>
        <w:t>月</w:t>
      </w:r>
      <w:r>
        <w:rPr>
          <w:rFonts w:hint="eastAsia" w:cs="宋体"/>
          <w:i w:val="0"/>
          <w:iCs w:val="0"/>
          <w:caps w:val="0"/>
          <w:color w:val="000000"/>
          <w:spacing w:val="0"/>
          <w:sz w:val="21"/>
          <w:szCs w:val="21"/>
          <w:highlight w:val="none"/>
          <w:lang w:val="en-US" w:eastAsia="zh-CN"/>
        </w:rPr>
        <w:t>29</w:t>
      </w:r>
      <w:r>
        <w:rPr>
          <w:rFonts w:hint="eastAsia" w:cs="宋体"/>
          <w:i w:val="0"/>
          <w:iCs w:val="0"/>
          <w:caps w:val="0"/>
          <w:color w:val="000000"/>
          <w:spacing w:val="0"/>
          <w:sz w:val="21"/>
          <w:szCs w:val="21"/>
          <w:highlight w:val="none"/>
          <w:lang w:eastAsia="zh-CN"/>
        </w:rPr>
        <w:t>日</w:t>
      </w:r>
      <w:r>
        <w:rPr>
          <w:rFonts w:hint="eastAsia" w:ascii="宋体" w:hAnsi="宋体" w:eastAsia="宋体" w:cs="宋体"/>
          <w:i w:val="0"/>
          <w:iCs w:val="0"/>
          <w:caps w:val="0"/>
          <w:color w:val="000000"/>
          <w:spacing w:val="0"/>
          <w:sz w:val="21"/>
          <w:szCs w:val="21"/>
          <w:highlight w:val="none"/>
        </w:rPr>
        <w:t>，每天上午00:00至12:00，下午12:00至23:59（北京时间，线上获取法定节假日均可，线下获取文件法定节假日除外）</w:t>
      </w:r>
    </w:p>
    <w:p w14:paraId="56E2F98D">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地点（网址）：浙江政府采购网http://zfcg.czt.zj.gov.cn/（用“政采云”注册账号、密码登录系统后获取磋商文件）</w:t>
      </w:r>
    </w:p>
    <w:p w14:paraId="01CFC72E">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方式：网上获取。免费注册网址：浙江政府采购网（供应商注册页面）：https://middle.zcygov.cn/settle-front/#/registry“政采云”，已经注册成功的供应商无需重复注册，本项目实行电子投标。</w:t>
      </w:r>
      <w:r>
        <w:rPr>
          <w:rFonts w:hint="eastAsia" w:cs="宋体"/>
          <w:i w:val="0"/>
          <w:iCs w:val="0"/>
          <w:caps w:val="0"/>
          <w:color w:val="000000"/>
          <w:spacing w:val="0"/>
          <w:sz w:val="21"/>
          <w:szCs w:val="21"/>
          <w:highlight w:val="none"/>
          <w:lang w:eastAsia="zh-CN"/>
        </w:rPr>
        <w:t>响应人</w:t>
      </w:r>
      <w:r>
        <w:rPr>
          <w:rFonts w:hint="eastAsia" w:ascii="宋体" w:hAnsi="宋体" w:eastAsia="宋体" w:cs="宋体"/>
          <w:i w:val="0"/>
          <w:iCs w:val="0"/>
          <w:caps w:val="0"/>
          <w:color w:val="000000"/>
          <w:spacing w:val="0"/>
          <w:sz w:val="21"/>
          <w:szCs w:val="21"/>
          <w:highlight w:val="none"/>
        </w:rPr>
        <w:t>在使用系统进行投标的过程中涉及平台使用的任何问题可致电政采云平台技术支持热线：95763。</w:t>
      </w:r>
    </w:p>
    <w:p w14:paraId="47AE990C">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售价（元）：0</w:t>
      </w:r>
    </w:p>
    <w:p w14:paraId="16E74FBB">
      <w:pPr>
        <w:pStyle w:val="22"/>
        <w:keepNext w:val="0"/>
        <w:keepLines w:val="0"/>
        <w:widowControl/>
        <w:suppressLineNumbers w:val="0"/>
        <w:spacing w:before="255" w:beforeAutospacing="0" w:after="255" w:afterAutospacing="0" w:line="450" w:lineRule="atLeast"/>
        <w:ind w:left="0" w:right="0"/>
        <w:jc w:val="both"/>
        <w:rPr>
          <w:rFonts w:hint="eastAsia" w:ascii="宋体" w:hAnsi="宋体" w:eastAsia="宋体" w:cs="宋体"/>
          <w:sz w:val="21"/>
          <w:szCs w:val="21"/>
          <w:highlight w:val="none"/>
        </w:rPr>
      </w:pPr>
      <w:r>
        <w:rPr>
          <w:rStyle w:val="29"/>
          <w:rFonts w:hint="eastAsia" w:ascii="宋体" w:hAnsi="宋体" w:eastAsia="宋体" w:cs="宋体"/>
          <w:i w:val="0"/>
          <w:iCs w:val="0"/>
          <w:caps w:val="0"/>
          <w:color w:val="000000"/>
          <w:spacing w:val="0"/>
          <w:sz w:val="21"/>
          <w:szCs w:val="21"/>
          <w:highlight w:val="none"/>
        </w:rPr>
        <w:t>四、</w:t>
      </w:r>
      <w:r>
        <w:rPr>
          <w:rStyle w:val="29"/>
          <w:rFonts w:hint="eastAsia" w:cs="宋体"/>
          <w:i w:val="0"/>
          <w:iCs w:val="0"/>
          <w:caps w:val="0"/>
          <w:color w:val="000000"/>
          <w:spacing w:val="0"/>
          <w:sz w:val="21"/>
          <w:szCs w:val="21"/>
          <w:highlight w:val="none"/>
          <w:lang w:eastAsia="zh-CN"/>
        </w:rPr>
        <w:t>响应文件</w:t>
      </w:r>
      <w:r>
        <w:rPr>
          <w:rStyle w:val="29"/>
          <w:rFonts w:hint="eastAsia" w:ascii="宋体" w:hAnsi="宋体" w:eastAsia="宋体" w:cs="宋体"/>
          <w:i w:val="0"/>
          <w:iCs w:val="0"/>
          <w:caps w:val="0"/>
          <w:color w:val="000000"/>
          <w:spacing w:val="0"/>
          <w:sz w:val="21"/>
          <w:szCs w:val="21"/>
          <w:highlight w:val="none"/>
        </w:rPr>
        <w:t>提交（上传）</w:t>
      </w:r>
    </w:p>
    <w:p w14:paraId="55A9563F">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截止时间：</w:t>
      </w:r>
      <w:r>
        <w:rPr>
          <w:rFonts w:hint="eastAsia" w:cs="宋体"/>
          <w:i w:val="0"/>
          <w:iCs w:val="0"/>
          <w:caps w:val="0"/>
          <w:color w:val="000000"/>
          <w:spacing w:val="0"/>
          <w:sz w:val="21"/>
          <w:szCs w:val="21"/>
          <w:highlight w:val="none"/>
          <w:lang w:eastAsia="zh-CN"/>
        </w:rPr>
        <w:t>202</w:t>
      </w:r>
      <w:r>
        <w:rPr>
          <w:rFonts w:hint="eastAsia" w:cs="宋体"/>
          <w:i w:val="0"/>
          <w:iCs w:val="0"/>
          <w:caps w:val="0"/>
          <w:color w:val="000000"/>
          <w:spacing w:val="0"/>
          <w:sz w:val="21"/>
          <w:szCs w:val="21"/>
          <w:highlight w:val="none"/>
          <w:lang w:val="en-US" w:eastAsia="zh-CN"/>
        </w:rPr>
        <w:t>5</w:t>
      </w:r>
      <w:r>
        <w:rPr>
          <w:rFonts w:hint="eastAsia" w:cs="宋体"/>
          <w:i w:val="0"/>
          <w:iCs w:val="0"/>
          <w:caps w:val="0"/>
          <w:color w:val="000000"/>
          <w:spacing w:val="0"/>
          <w:sz w:val="21"/>
          <w:szCs w:val="21"/>
          <w:highlight w:val="none"/>
          <w:lang w:eastAsia="zh-CN"/>
        </w:rPr>
        <w:t>年</w:t>
      </w:r>
      <w:r>
        <w:rPr>
          <w:rFonts w:hint="eastAsia" w:cs="宋体"/>
          <w:i w:val="0"/>
          <w:iCs w:val="0"/>
          <w:caps w:val="0"/>
          <w:color w:val="000000"/>
          <w:spacing w:val="0"/>
          <w:sz w:val="21"/>
          <w:szCs w:val="21"/>
          <w:highlight w:val="none"/>
          <w:lang w:val="en-US" w:eastAsia="zh-CN"/>
        </w:rPr>
        <w:t>4</w:t>
      </w:r>
      <w:r>
        <w:rPr>
          <w:rFonts w:hint="eastAsia" w:cs="宋体"/>
          <w:i w:val="0"/>
          <w:iCs w:val="0"/>
          <w:caps w:val="0"/>
          <w:color w:val="000000"/>
          <w:spacing w:val="0"/>
          <w:sz w:val="21"/>
          <w:szCs w:val="21"/>
          <w:highlight w:val="none"/>
          <w:lang w:eastAsia="zh-CN"/>
        </w:rPr>
        <w:t>月</w:t>
      </w:r>
      <w:r>
        <w:rPr>
          <w:rFonts w:hint="eastAsia" w:cs="宋体"/>
          <w:i w:val="0"/>
          <w:iCs w:val="0"/>
          <w:caps w:val="0"/>
          <w:color w:val="000000"/>
          <w:spacing w:val="0"/>
          <w:sz w:val="21"/>
          <w:szCs w:val="21"/>
          <w:highlight w:val="none"/>
          <w:lang w:val="en-US" w:eastAsia="zh-CN"/>
        </w:rPr>
        <w:t>29</w:t>
      </w:r>
      <w:r>
        <w:rPr>
          <w:rFonts w:hint="eastAsia" w:cs="宋体"/>
          <w:i w:val="0"/>
          <w:iCs w:val="0"/>
          <w:caps w:val="0"/>
          <w:color w:val="000000"/>
          <w:spacing w:val="0"/>
          <w:sz w:val="21"/>
          <w:szCs w:val="21"/>
          <w:highlight w:val="none"/>
          <w:lang w:eastAsia="zh-CN"/>
        </w:rPr>
        <w:t>日 14:30</w:t>
      </w:r>
      <w:r>
        <w:rPr>
          <w:rFonts w:hint="eastAsia" w:ascii="宋体" w:hAnsi="宋体" w:eastAsia="宋体" w:cs="宋体"/>
          <w:i w:val="0"/>
          <w:iCs w:val="0"/>
          <w:caps w:val="0"/>
          <w:color w:val="000000"/>
          <w:spacing w:val="0"/>
          <w:sz w:val="21"/>
          <w:szCs w:val="21"/>
          <w:highlight w:val="none"/>
        </w:rPr>
        <w:t>（北京时间）</w:t>
      </w:r>
    </w:p>
    <w:p w14:paraId="1DB632C0">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地点（网址）：本项目不要求供应商授权代表参加现场开标、开启</w:t>
      </w:r>
      <w:r>
        <w:rPr>
          <w:rFonts w:hint="eastAsia" w:cs="宋体"/>
          <w:i w:val="0"/>
          <w:iCs w:val="0"/>
          <w:caps w:val="0"/>
          <w:color w:val="000000"/>
          <w:spacing w:val="0"/>
          <w:sz w:val="21"/>
          <w:szCs w:val="21"/>
          <w:highlight w:val="none"/>
          <w:lang w:eastAsia="zh-CN"/>
        </w:rPr>
        <w:t>响应文件</w:t>
      </w:r>
      <w:r>
        <w:rPr>
          <w:rFonts w:hint="eastAsia" w:ascii="宋体" w:hAnsi="宋体" w:eastAsia="宋体" w:cs="宋体"/>
          <w:i w:val="0"/>
          <w:iCs w:val="0"/>
          <w:caps w:val="0"/>
          <w:color w:val="000000"/>
          <w:spacing w:val="0"/>
          <w:sz w:val="21"/>
          <w:szCs w:val="21"/>
          <w:highlight w:val="none"/>
        </w:rPr>
        <w:t>活动。</w:t>
      </w:r>
      <w:r>
        <w:rPr>
          <w:rFonts w:hint="eastAsia" w:cs="宋体"/>
          <w:i w:val="0"/>
          <w:iCs w:val="0"/>
          <w:caps w:val="0"/>
          <w:color w:val="000000"/>
          <w:spacing w:val="0"/>
          <w:sz w:val="21"/>
          <w:szCs w:val="21"/>
          <w:highlight w:val="none"/>
          <w:lang w:eastAsia="zh-CN"/>
        </w:rPr>
        <w:t>响应人</w:t>
      </w:r>
      <w:r>
        <w:rPr>
          <w:rFonts w:hint="eastAsia" w:ascii="宋体" w:hAnsi="宋体" w:eastAsia="宋体" w:cs="宋体"/>
          <w:i w:val="0"/>
          <w:iCs w:val="0"/>
          <w:caps w:val="0"/>
          <w:color w:val="000000"/>
          <w:spacing w:val="0"/>
          <w:sz w:val="21"/>
          <w:szCs w:val="21"/>
          <w:highlight w:val="none"/>
        </w:rPr>
        <w:t>将加密的电子版</w:t>
      </w:r>
      <w:r>
        <w:rPr>
          <w:rFonts w:hint="eastAsia" w:cs="宋体"/>
          <w:i w:val="0"/>
          <w:iCs w:val="0"/>
          <w:caps w:val="0"/>
          <w:color w:val="000000"/>
          <w:spacing w:val="0"/>
          <w:sz w:val="21"/>
          <w:szCs w:val="21"/>
          <w:highlight w:val="none"/>
          <w:lang w:eastAsia="zh-CN"/>
        </w:rPr>
        <w:t>响应文件</w:t>
      </w:r>
      <w:r>
        <w:rPr>
          <w:rFonts w:hint="eastAsia" w:ascii="宋体" w:hAnsi="宋体" w:eastAsia="宋体" w:cs="宋体"/>
          <w:i w:val="0"/>
          <w:iCs w:val="0"/>
          <w:caps w:val="0"/>
          <w:color w:val="000000"/>
          <w:spacing w:val="0"/>
          <w:sz w:val="21"/>
          <w:szCs w:val="21"/>
          <w:highlight w:val="none"/>
        </w:rPr>
        <w:t>于投标截止时间前上传到政采云系统中。</w:t>
      </w:r>
      <w:r>
        <w:rPr>
          <w:rFonts w:hint="eastAsia" w:cs="宋体"/>
          <w:i w:val="0"/>
          <w:iCs w:val="0"/>
          <w:caps w:val="0"/>
          <w:color w:val="000000"/>
          <w:spacing w:val="0"/>
          <w:sz w:val="21"/>
          <w:szCs w:val="21"/>
          <w:highlight w:val="none"/>
          <w:lang w:val="en-US" w:eastAsia="zh-CN"/>
        </w:rPr>
        <w:t>响应</w:t>
      </w:r>
      <w:r>
        <w:rPr>
          <w:rFonts w:hint="eastAsia" w:cs="宋体"/>
          <w:i w:val="0"/>
          <w:iCs w:val="0"/>
          <w:caps w:val="0"/>
          <w:color w:val="000000"/>
          <w:spacing w:val="0"/>
          <w:sz w:val="21"/>
          <w:szCs w:val="21"/>
          <w:highlight w:val="none"/>
          <w:lang w:eastAsia="zh-CN"/>
        </w:rPr>
        <w:t>人可以选择递交将备份投标文件。备份</w:t>
      </w:r>
      <w:r>
        <w:rPr>
          <w:rFonts w:hint="eastAsia" w:cs="宋体"/>
          <w:i w:val="0"/>
          <w:iCs w:val="0"/>
          <w:caps w:val="0"/>
          <w:color w:val="000000"/>
          <w:spacing w:val="0"/>
          <w:sz w:val="21"/>
          <w:szCs w:val="21"/>
          <w:highlight w:val="none"/>
          <w:lang w:val="en-US" w:eastAsia="zh-CN"/>
        </w:rPr>
        <w:t>响应</w:t>
      </w:r>
      <w:r>
        <w:rPr>
          <w:rFonts w:hint="eastAsia" w:cs="宋体"/>
          <w:i w:val="0"/>
          <w:iCs w:val="0"/>
          <w:caps w:val="0"/>
          <w:color w:val="000000"/>
          <w:spacing w:val="0"/>
          <w:sz w:val="21"/>
          <w:szCs w:val="21"/>
          <w:highlight w:val="none"/>
          <w:lang w:eastAsia="zh-CN"/>
        </w:rPr>
        <w:t>文件须密封完好，注明</w:t>
      </w:r>
      <w:r>
        <w:rPr>
          <w:rFonts w:hint="eastAsia" w:cs="宋体"/>
          <w:i w:val="0"/>
          <w:iCs w:val="0"/>
          <w:caps w:val="0"/>
          <w:color w:val="000000"/>
          <w:spacing w:val="0"/>
          <w:sz w:val="21"/>
          <w:szCs w:val="21"/>
          <w:highlight w:val="none"/>
          <w:lang w:val="en-US" w:eastAsia="zh-CN"/>
        </w:rPr>
        <w:t>响应</w:t>
      </w:r>
      <w:r>
        <w:rPr>
          <w:rFonts w:hint="eastAsia" w:cs="宋体"/>
          <w:i w:val="0"/>
          <w:iCs w:val="0"/>
          <w:caps w:val="0"/>
          <w:color w:val="000000"/>
          <w:spacing w:val="0"/>
          <w:sz w:val="21"/>
          <w:szCs w:val="21"/>
          <w:highlight w:val="none"/>
          <w:lang w:eastAsia="zh-CN"/>
        </w:rPr>
        <w:t>人单位名称，并于投标截止时间前递交，否则采购代理机构将拒收。具体递交方式为开标日前通过邮寄、专人等形式送达采购代理机构地址或开标当天专人送达开标地点（地址：浙江省舟山市定海区港岛路98号高智大厦1303室；联系人：陈佳琪；联系方式：18768052717）。</w:t>
      </w:r>
    </w:p>
    <w:p w14:paraId="67D5D5A9">
      <w:pPr>
        <w:pStyle w:val="22"/>
        <w:keepNext w:val="0"/>
        <w:keepLines w:val="0"/>
        <w:widowControl/>
        <w:suppressLineNumbers w:val="0"/>
        <w:spacing w:before="255" w:beforeAutospacing="0" w:after="255" w:afterAutospacing="0" w:line="450" w:lineRule="atLeast"/>
        <w:ind w:left="0" w:right="0"/>
        <w:jc w:val="both"/>
        <w:rPr>
          <w:rFonts w:hint="eastAsia" w:ascii="宋体" w:hAnsi="宋体" w:eastAsia="宋体" w:cs="宋体"/>
          <w:sz w:val="21"/>
          <w:szCs w:val="21"/>
          <w:highlight w:val="none"/>
        </w:rPr>
      </w:pPr>
      <w:r>
        <w:rPr>
          <w:rStyle w:val="29"/>
          <w:rFonts w:hint="eastAsia" w:ascii="宋体" w:hAnsi="宋体" w:eastAsia="宋体" w:cs="宋体"/>
          <w:i w:val="0"/>
          <w:iCs w:val="0"/>
          <w:caps w:val="0"/>
          <w:color w:val="000000"/>
          <w:spacing w:val="0"/>
          <w:sz w:val="21"/>
          <w:szCs w:val="21"/>
          <w:highlight w:val="none"/>
        </w:rPr>
        <w:t>五、</w:t>
      </w:r>
      <w:r>
        <w:rPr>
          <w:rStyle w:val="29"/>
          <w:rFonts w:hint="eastAsia" w:cs="宋体"/>
          <w:i w:val="0"/>
          <w:iCs w:val="0"/>
          <w:caps w:val="0"/>
          <w:color w:val="000000"/>
          <w:spacing w:val="0"/>
          <w:sz w:val="21"/>
          <w:szCs w:val="21"/>
          <w:highlight w:val="none"/>
          <w:lang w:eastAsia="zh-CN"/>
        </w:rPr>
        <w:t>响应文件</w:t>
      </w:r>
      <w:r>
        <w:rPr>
          <w:rStyle w:val="29"/>
          <w:rFonts w:hint="eastAsia" w:ascii="宋体" w:hAnsi="宋体" w:eastAsia="宋体" w:cs="宋体"/>
          <w:i w:val="0"/>
          <w:iCs w:val="0"/>
          <w:caps w:val="0"/>
          <w:color w:val="000000"/>
          <w:spacing w:val="0"/>
          <w:sz w:val="21"/>
          <w:szCs w:val="21"/>
          <w:highlight w:val="none"/>
        </w:rPr>
        <w:t>开启</w:t>
      </w:r>
    </w:p>
    <w:p w14:paraId="31764ABF">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开启时间：</w:t>
      </w:r>
      <w:r>
        <w:rPr>
          <w:rFonts w:hint="eastAsia" w:cs="宋体"/>
          <w:i w:val="0"/>
          <w:iCs w:val="0"/>
          <w:caps w:val="0"/>
          <w:color w:val="000000"/>
          <w:spacing w:val="0"/>
          <w:sz w:val="21"/>
          <w:szCs w:val="21"/>
          <w:highlight w:val="none"/>
          <w:lang w:eastAsia="zh-CN"/>
        </w:rPr>
        <w:t>202</w:t>
      </w:r>
      <w:r>
        <w:rPr>
          <w:rFonts w:hint="eastAsia" w:cs="宋体"/>
          <w:i w:val="0"/>
          <w:iCs w:val="0"/>
          <w:caps w:val="0"/>
          <w:color w:val="000000"/>
          <w:spacing w:val="0"/>
          <w:sz w:val="21"/>
          <w:szCs w:val="21"/>
          <w:highlight w:val="none"/>
          <w:lang w:val="en-US" w:eastAsia="zh-CN"/>
        </w:rPr>
        <w:t>5</w:t>
      </w:r>
      <w:r>
        <w:rPr>
          <w:rFonts w:hint="eastAsia" w:cs="宋体"/>
          <w:i w:val="0"/>
          <w:iCs w:val="0"/>
          <w:caps w:val="0"/>
          <w:color w:val="000000"/>
          <w:spacing w:val="0"/>
          <w:sz w:val="21"/>
          <w:szCs w:val="21"/>
          <w:highlight w:val="none"/>
          <w:lang w:eastAsia="zh-CN"/>
        </w:rPr>
        <w:t>年</w:t>
      </w:r>
      <w:r>
        <w:rPr>
          <w:rFonts w:hint="eastAsia" w:cs="宋体"/>
          <w:i w:val="0"/>
          <w:iCs w:val="0"/>
          <w:caps w:val="0"/>
          <w:color w:val="000000"/>
          <w:spacing w:val="0"/>
          <w:sz w:val="21"/>
          <w:szCs w:val="21"/>
          <w:highlight w:val="none"/>
          <w:lang w:val="en-US" w:eastAsia="zh-CN"/>
        </w:rPr>
        <w:t>4</w:t>
      </w:r>
      <w:r>
        <w:rPr>
          <w:rFonts w:hint="eastAsia" w:cs="宋体"/>
          <w:i w:val="0"/>
          <w:iCs w:val="0"/>
          <w:caps w:val="0"/>
          <w:color w:val="000000"/>
          <w:spacing w:val="0"/>
          <w:sz w:val="21"/>
          <w:szCs w:val="21"/>
          <w:highlight w:val="none"/>
          <w:lang w:eastAsia="zh-CN"/>
        </w:rPr>
        <w:t>月</w:t>
      </w:r>
      <w:r>
        <w:rPr>
          <w:rFonts w:hint="eastAsia" w:cs="宋体"/>
          <w:i w:val="0"/>
          <w:iCs w:val="0"/>
          <w:caps w:val="0"/>
          <w:color w:val="000000"/>
          <w:spacing w:val="0"/>
          <w:sz w:val="21"/>
          <w:szCs w:val="21"/>
          <w:highlight w:val="none"/>
          <w:lang w:val="en-US" w:eastAsia="zh-CN"/>
        </w:rPr>
        <w:t>29</w:t>
      </w:r>
      <w:r>
        <w:rPr>
          <w:rFonts w:hint="eastAsia" w:cs="宋体"/>
          <w:i w:val="0"/>
          <w:iCs w:val="0"/>
          <w:caps w:val="0"/>
          <w:color w:val="000000"/>
          <w:spacing w:val="0"/>
          <w:sz w:val="21"/>
          <w:szCs w:val="21"/>
          <w:highlight w:val="none"/>
          <w:lang w:eastAsia="zh-CN"/>
        </w:rPr>
        <w:t>日</w:t>
      </w:r>
      <w:r>
        <w:rPr>
          <w:rFonts w:hint="eastAsia" w:ascii="宋体" w:hAnsi="宋体" w:eastAsia="宋体" w:cs="宋体"/>
          <w:i w:val="0"/>
          <w:iCs w:val="0"/>
          <w:caps w:val="0"/>
          <w:color w:val="000000"/>
          <w:spacing w:val="0"/>
          <w:sz w:val="21"/>
          <w:szCs w:val="21"/>
          <w:highlight w:val="none"/>
          <w:lang w:eastAsia="zh-CN"/>
        </w:rPr>
        <w:t xml:space="preserve"> 14:30</w:t>
      </w:r>
      <w:r>
        <w:rPr>
          <w:rFonts w:hint="eastAsia" w:ascii="宋体" w:hAnsi="宋体" w:eastAsia="宋体" w:cs="宋体"/>
          <w:i w:val="0"/>
          <w:iCs w:val="0"/>
          <w:caps w:val="0"/>
          <w:color w:val="000000"/>
          <w:spacing w:val="0"/>
          <w:sz w:val="21"/>
          <w:szCs w:val="21"/>
          <w:highlight w:val="none"/>
        </w:rPr>
        <w:t>（北京时间）</w:t>
      </w:r>
    </w:p>
    <w:p w14:paraId="44B3061E">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地点（网址）：舟山市定海区东山路289号四楼舟山市公共资源交易中心定海区分中心</w:t>
      </w:r>
    </w:p>
    <w:p w14:paraId="2229CA5B">
      <w:pPr>
        <w:pStyle w:val="22"/>
        <w:keepNext w:val="0"/>
        <w:keepLines w:val="0"/>
        <w:widowControl/>
        <w:numPr>
          <w:ilvl w:val="0"/>
          <w:numId w:val="2"/>
        </w:numPr>
        <w:suppressLineNumbers w:val="0"/>
        <w:spacing w:before="255" w:beforeAutospacing="0" w:after="255" w:afterAutospacing="0" w:line="300" w:lineRule="atLeast"/>
        <w:ind w:left="0" w:right="0"/>
        <w:jc w:val="both"/>
        <w:rPr>
          <w:rStyle w:val="29"/>
          <w:rFonts w:hint="eastAsia" w:ascii="宋体" w:hAnsi="宋体" w:eastAsia="宋体" w:cs="宋体"/>
          <w:i w:val="0"/>
          <w:iCs w:val="0"/>
          <w:caps w:val="0"/>
          <w:color w:val="000000"/>
          <w:spacing w:val="0"/>
          <w:sz w:val="21"/>
          <w:szCs w:val="21"/>
          <w:highlight w:val="none"/>
        </w:rPr>
      </w:pPr>
      <w:r>
        <w:rPr>
          <w:rStyle w:val="29"/>
          <w:rFonts w:hint="eastAsia" w:ascii="宋体" w:hAnsi="宋体" w:eastAsia="宋体" w:cs="宋体"/>
          <w:i w:val="0"/>
          <w:iCs w:val="0"/>
          <w:caps w:val="0"/>
          <w:color w:val="000000"/>
          <w:spacing w:val="0"/>
          <w:sz w:val="21"/>
          <w:szCs w:val="21"/>
          <w:highlight w:val="none"/>
        </w:rPr>
        <w:t>采购意向公开链接</w:t>
      </w:r>
    </w:p>
    <w:p w14:paraId="758BC6A1">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https://zfcg.czt.zj.gov.cn/luban/detail?parentId=600007&amp;articleId=QImsn+iH3uGNf5eBV8SWfg==</w:t>
      </w:r>
    </w:p>
    <w:p w14:paraId="1EC2C890">
      <w:pPr>
        <w:pStyle w:val="22"/>
        <w:keepNext w:val="0"/>
        <w:keepLines w:val="0"/>
        <w:widowControl/>
        <w:suppressLineNumbers w:val="0"/>
        <w:spacing w:before="255" w:beforeAutospacing="0" w:after="255" w:afterAutospacing="0" w:line="450" w:lineRule="atLeast"/>
        <w:ind w:left="0" w:right="0"/>
        <w:jc w:val="both"/>
        <w:rPr>
          <w:rFonts w:hint="eastAsia" w:ascii="宋体" w:hAnsi="宋体" w:eastAsia="宋体" w:cs="宋体"/>
          <w:sz w:val="21"/>
          <w:szCs w:val="21"/>
          <w:highlight w:val="none"/>
        </w:rPr>
      </w:pPr>
      <w:r>
        <w:rPr>
          <w:rStyle w:val="29"/>
          <w:rFonts w:hint="eastAsia" w:ascii="宋体" w:hAnsi="宋体" w:eastAsia="宋体" w:cs="宋体"/>
          <w:i w:val="0"/>
          <w:iCs w:val="0"/>
          <w:caps w:val="0"/>
          <w:color w:val="000000"/>
          <w:spacing w:val="0"/>
          <w:sz w:val="21"/>
          <w:szCs w:val="21"/>
          <w:highlight w:val="none"/>
        </w:rPr>
        <w:t>七、公告期限</w:t>
      </w:r>
    </w:p>
    <w:p w14:paraId="01DE6BBA">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自本公告发布之日起3个工作日。</w:t>
      </w:r>
    </w:p>
    <w:p w14:paraId="5DE18240">
      <w:pPr>
        <w:pStyle w:val="22"/>
        <w:keepNext w:val="0"/>
        <w:keepLines w:val="0"/>
        <w:widowControl/>
        <w:suppressLineNumbers w:val="0"/>
        <w:spacing w:before="255" w:beforeAutospacing="0" w:after="255" w:afterAutospacing="0" w:line="450" w:lineRule="atLeast"/>
        <w:ind w:left="0" w:right="0"/>
        <w:jc w:val="both"/>
        <w:rPr>
          <w:rFonts w:hint="eastAsia" w:ascii="宋体" w:hAnsi="宋体" w:eastAsia="宋体" w:cs="宋体"/>
          <w:sz w:val="21"/>
          <w:szCs w:val="21"/>
          <w:highlight w:val="none"/>
        </w:rPr>
      </w:pPr>
      <w:r>
        <w:rPr>
          <w:rStyle w:val="29"/>
          <w:rFonts w:hint="eastAsia" w:ascii="宋体" w:hAnsi="宋体" w:eastAsia="宋体" w:cs="宋体"/>
          <w:i w:val="0"/>
          <w:iCs w:val="0"/>
          <w:caps w:val="0"/>
          <w:color w:val="000000"/>
          <w:spacing w:val="0"/>
          <w:sz w:val="21"/>
          <w:szCs w:val="21"/>
          <w:highlight w:val="none"/>
        </w:rPr>
        <w:t>八、其他补充事宜</w:t>
      </w:r>
    </w:p>
    <w:p w14:paraId="6AB8C0B4">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5C660E7">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D514014">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6C17D4">
      <w:pPr>
        <w:pStyle w:val="22"/>
        <w:keepNext w:val="0"/>
        <w:keepLines w:val="0"/>
        <w:pageBreakBefore w:val="0"/>
        <w:widowControl/>
        <w:suppressLineNumbers w:val="0"/>
        <w:kinsoku/>
        <w:wordWrap w:val="0"/>
        <w:overflowPunct/>
        <w:topLinePunct/>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sz w:val="21"/>
          <w:szCs w:val="21"/>
          <w:highlight w:val="none"/>
        </w:rPr>
        <w:t>4.其他事项：（1）</w:t>
      </w:r>
      <w:r>
        <w:rPr>
          <w:rFonts w:hint="eastAsia" w:cs="宋体"/>
          <w:i w:val="0"/>
          <w:iCs w:val="0"/>
          <w:caps w:val="0"/>
          <w:color w:val="000000"/>
          <w:spacing w:val="0"/>
          <w:sz w:val="21"/>
          <w:szCs w:val="21"/>
          <w:highlight w:val="none"/>
          <w:lang w:eastAsia="zh-CN"/>
        </w:rPr>
        <w:t>响应文件</w:t>
      </w:r>
      <w:r>
        <w:rPr>
          <w:rFonts w:hint="eastAsia" w:ascii="宋体" w:hAnsi="宋体" w:eastAsia="宋体" w:cs="宋体"/>
          <w:i w:val="0"/>
          <w:iCs w:val="0"/>
          <w:caps w:val="0"/>
          <w:color w:val="000000"/>
          <w:spacing w:val="0"/>
          <w:sz w:val="21"/>
          <w:szCs w:val="21"/>
          <w:highlight w:val="none"/>
        </w:rPr>
        <w:t>的制作及递交：1）</w:t>
      </w:r>
      <w:r>
        <w:rPr>
          <w:rFonts w:hint="eastAsia" w:cs="宋体"/>
          <w:i w:val="0"/>
          <w:iCs w:val="0"/>
          <w:caps w:val="0"/>
          <w:color w:val="000000"/>
          <w:spacing w:val="0"/>
          <w:sz w:val="21"/>
          <w:szCs w:val="21"/>
          <w:highlight w:val="none"/>
          <w:lang w:eastAsia="zh-CN"/>
        </w:rPr>
        <w:t>响应人</w:t>
      </w:r>
      <w:r>
        <w:rPr>
          <w:rFonts w:hint="eastAsia" w:ascii="宋体" w:hAnsi="宋体" w:eastAsia="宋体" w:cs="宋体"/>
          <w:i w:val="0"/>
          <w:iCs w:val="0"/>
          <w:caps w:val="0"/>
          <w:color w:val="000000"/>
          <w:spacing w:val="0"/>
          <w:sz w:val="21"/>
          <w:szCs w:val="21"/>
          <w:highlight w:val="none"/>
        </w:rPr>
        <w:t>须在线获取CA数字证书（完成CA数字证书办理预计一周左右，建议各</w:t>
      </w:r>
      <w:r>
        <w:rPr>
          <w:rFonts w:hint="eastAsia" w:cs="宋体"/>
          <w:i w:val="0"/>
          <w:iCs w:val="0"/>
          <w:caps w:val="0"/>
          <w:color w:val="000000"/>
          <w:spacing w:val="0"/>
          <w:sz w:val="21"/>
          <w:szCs w:val="21"/>
          <w:highlight w:val="none"/>
          <w:lang w:eastAsia="zh-CN"/>
        </w:rPr>
        <w:t>响应人</w:t>
      </w:r>
      <w:r>
        <w:rPr>
          <w:rFonts w:hint="eastAsia" w:ascii="宋体" w:hAnsi="宋体" w:eastAsia="宋体" w:cs="宋体"/>
          <w:i w:val="0"/>
          <w:iCs w:val="0"/>
          <w:caps w:val="0"/>
          <w:color w:val="000000"/>
          <w:spacing w:val="0"/>
          <w:sz w:val="21"/>
          <w:szCs w:val="21"/>
          <w:highlight w:val="none"/>
        </w:rPr>
        <w:t>自行把握时间），并登录“浙江政府采购网”（ http://zfcg.czt.zj.gov.cn/），进入“下载专区”下载“电子交易客户端”，制作</w:t>
      </w:r>
      <w:r>
        <w:rPr>
          <w:rFonts w:hint="eastAsia" w:cs="宋体"/>
          <w:i w:val="0"/>
          <w:iCs w:val="0"/>
          <w:caps w:val="0"/>
          <w:color w:val="000000"/>
          <w:spacing w:val="0"/>
          <w:sz w:val="21"/>
          <w:szCs w:val="21"/>
          <w:highlight w:val="none"/>
          <w:lang w:eastAsia="zh-CN"/>
        </w:rPr>
        <w:t>响应文件</w:t>
      </w:r>
      <w:r>
        <w:rPr>
          <w:rFonts w:hint="eastAsia" w:ascii="宋体" w:hAnsi="宋体" w:eastAsia="宋体" w:cs="宋体"/>
          <w:i w:val="0"/>
          <w:iCs w:val="0"/>
          <w:caps w:val="0"/>
          <w:color w:val="000000"/>
          <w:spacing w:val="0"/>
          <w:sz w:val="21"/>
          <w:szCs w:val="21"/>
          <w:highlight w:val="none"/>
        </w:rPr>
        <w:t>。2）具体的</w:t>
      </w:r>
      <w:r>
        <w:rPr>
          <w:rFonts w:hint="eastAsia" w:cs="宋体"/>
          <w:i w:val="0"/>
          <w:iCs w:val="0"/>
          <w:caps w:val="0"/>
          <w:color w:val="000000"/>
          <w:spacing w:val="0"/>
          <w:sz w:val="21"/>
          <w:szCs w:val="21"/>
          <w:highlight w:val="none"/>
          <w:lang w:eastAsia="zh-CN"/>
        </w:rPr>
        <w:t>响应文件</w:t>
      </w:r>
      <w:r>
        <w:rPr>
          <w:rFonts w:hint="eastAsia" w:ascii="宋体" w:hAnsi="宋体" w:eastAsia="宋体" w:cs="宋体"/>
          <w:i w:val="0"/>
          <w:iCs w:val="0"/>
          <w:caps w:val="0"/>
          <w:color w:val="000000"/>
          <w:spacing w:val="0"/>
          <w:sz w:val="21"/>
          <w:szCs w:val="21"/>
          <w:highlight w:val="none"/>
        </w:rPr>
        <w:t>加密上传等操作详见政采云平台操作指南（https://edu.zcygov.cn/luban/e-biding?utm=a0004.2ef5001f.0001.0109.da8b35e0da8611e98d8937b7ef8a3544）。3）根据《浙江省政府采购项目电子交易管理暂行办法》第二十条规定，本次投标允许</w:t>
      </w:r>
      <w:r>
        <w:rPr>
          <w:rFonts w:hint="eastAsia" w:cs="宋体"/>
          <w:i w:val="0"/>
          <w:iCs w:val="0"/>
          <w:caps w:val="0"/>
          <w:color w:val="000000"/>
          <w:spacing w:val="0"/>
          <w:sz w:val="21"/>
          <w:szCs w:val="21"/>
          <w:highlight w:val="none"/>
          <w:lang w:eastAsia="zh-CN"/>
        </w:rPr>
        <w:t>响应人</w:t>
      </w:r>
      <w:r>
        <w:rPr>
          <w:rFonts w:hint="eastAsia" w:ascii="宋体" w:hAnsi="宋体" w:eastAsia="宋体" w:cs="宋体"/>
          <w:i w:val="0"/>
          <w:iCs w:val="0"/>
          <w:caps w:val="0"/>
          <w:color w:val="000000"/>
          <w:spacing w:val="0"/>
          <w:sz w:val="21"/>
          <w:szCs w:val="21"/>
          <w:highlight w:val="none"/>
        </w:rPr>
        <w:t>递交备份</w:t>
      </w:r>
      <w:r>
        <w:rPr>
          <w:rFonts w:hint="eastAsia" w:cs="宋体"/>
          <w:i w:val="0"/>
          <w:iCs w:val="0"/>
          <w:caps w:val="0"/>
          <w:color w:val="000000"/>
          <w:spacing w:val="0"/>
          <w:sz w:val="21"/>
          <w:szCs w:val="21"/>
          <w:highlight w:val="none"/>
          <w:lang w:eastAsia="zh-CN"/>
        </w:rPr>
        <w:t>响应文件</w:t>
      </w:r>
      <w:r>
        <w:rPr>
          <w:rFonts w:hint="eastAsia" w:ascii="宋体" w:hAnsi="宋体" w:eastAsia="宋体" w:cs="宋体"/>
          <w:i w:val="0"/>
          <w:iCs w:val="0"/>
          <w:caps w:val="0"/>
          <w:color w:val="000000"/>
          <w:spacing w:val="0"/>
          <w:sz w:val="21"/>
          <w:szCs w:val="21"/>
          <w:highlight w:val="none"/>
        </w:rPr>
        <w:t>，仅提交备份</w:t>
      </w:r>
      <w:r>
        <w:rPr>
          <w:rFonts w:hint="eastAsia" w:cs="宋体"/>
          <w:i w:val="0"/>
          <w:iCs w:val="0"/>
          <w:caps w:val="0"/>
          <w:color w:val="000000"/>
          <w:spacing w:val="0"/>
          <w:sz w:val="21"/>
          <w:szCs w:val="21"/>
          <w:highlight w:val="none"/>
          <w:lang w:eastAsia="zh-CN"/>
        </w:rPr>
        <w:t>响应文件</w:t>
      </w:r>
      <w:r>
        <w:rPr>
          <w:rFonts w:hint="eastAsia" w:ascii="宋体" w:hAnsi="宋体" w:eastAsia="宋体" w:cs="宋体"/>
          <w:i w:val="0"/>
          <w:iCs w:val="0"/>
          <w:caps w:val="0"/>
          <w:color w:val="000000"/>
          <w:spacing w:val="0"/>
          <w:sz w:val="21"/>
          <w:szCs w:val="21"/>
          <w:highlight w:val="none"/>
        </w:rPr>
        <w:t>的，投标无效。（2）</w:t>
      </w:r>
      <w:r>
        <w:rPr>
          <w:rFonts w:hint="eastAsia" w:cs="宋体"/>
          <w:i w:val="0"/>
          <w:iCs w:val="0"/>
          <w:caps w:val="0"/>
          <w:color w:val="000000"/>
          <w:spacing w:val="0"/>
          <w:sz w:val="21"/>
          <w:szCs w:val="21"/>
          <w:highlight w:val="none"/>
          <w:lang w:eastAsia="zh-CN"/>
        </w:rPr>
        <w:t>响应人</w:t>
      </w:r>
      <w:r>
        <w:rPr>
          <w:rFonts w:hint="eastAsia" w:ascii="宋体" w:hAnsi="宋体" w:eastAsia="宋体" w:cs="宋体"/>
          <w:i w:val="0"/>
          <w:iCs w:val="0"/>
          <w:caps w:val="0"/>
          <w:color w:val="000000"/>
          <w:spacing w:val="0"/>
          <w:sz w:val="21"/>
          <w:szCs w:val="21"/>
          <w:highlight w:val="none"/>
        </w:rPr>
        <w:t>应在合同签订前成为浙江政府采购网正式注册供应商。</w:t>
      </w:r>
    </w:p>
    <w:p w14:paraId="419F1A91">
      <w:pPr>
        <w:pStyle w:val="22"/>
        <w:keepNext w:val="0"/>
        <w:keepLines w:val="0"/>
        <w:widowControl/>
        <w:suppressLineNumbers w:val="0"/>
        <w:spacing w:before="255" w:beforeAutospacing="0" w:after="255" w:afterAutospacing="0" w:line="480" w:lineRule="atLeast"/>
        <w:ind w:left="0" w:right="0"/>
        <w:jc w:val="both"/>
        <w:rPr>
          <w:rFonts w:hint="eastAsia" w:ascii="宋体" w:hAnsi="宋体" w:eastAsia="宋体" w:cs="宋体"/>
          <w:sz w:val="21"/>
          <w:szCs w:val="21"/>
          <w:highlight w:val="none"/>
        </w:rPr>
      </w:pPr>
      <w:r>
        <w:rPr>
          <w:rStyle w:val="29"/>
          <w:rFonts w:hint="eastAsia" w:ascii="宋体" w:hAnsi="宋体" w:eastAsia="宋体" w:cs="宋体"/>
          <w:i w:val="0"/>
          <w:iCs w:val="0"/>
          <w:caps w:val="0"/>
          <w:color w:val="000000"/>
          <w:spacing w:val="0"/>
          <w:sz w:val="21"/>
          <w:szCs w:val="21"/>
          <w:highlight w:val="none"/>
        </w:rPr>
        <w:t>九、凡对本次招标提出询问、质疑、投诉，请按以下方式联系</w:t>
      </w:r>
    </w:p>
    <w:p w14:paraId="1CE54EE4">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1.采购人信息</w:t>
      </w:r>
    </w:p>
    <w:p w14:paraId="02431DA0">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名称：</w:t>
      </w:r>
      <w:r>
        <w:rPr>
          <w:rFonts w:hint="eastAsia" w:cs="宋体"/>
          <w:i w:val="0"/>
          <w:iCs w:val="0"/>
          <w:caps w:val="0"/>
          <w:color w:val="000000"/>
          <w:spacing w:val="0"/>
          <w:sz w:val="21"/>
          <w:szCs w:val="21"/>
          <w:highlight w:val="none"/>
          <w:lang w:eastAsia="zh-CN"/>
        </w:rPr>
        <w:t>舟山市定海区人民政府办公室</w:t>
      </w:r>
    </w:p>
    <w:p w14:paraId="0808C5F0">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地址：</w:t>
      </w:r>
      <w:r>
        <w:rPr>
          <w:rFonts w:hint="eastAsia" w:ascii="宋体" w:hAnsi="宋体" w:eastAsia="宋体" w:cs="宋体"/>
          <w:i w:val="0"/>
          <w:iCs w:val="0"/>
          <w:caps w:val="0"/>
          <w:color w:val="000000"/>
          <w:spacing w:val="0"/>
          <w:sz w:val="21"/>
          <w:szCs w:val="21"/>
          <w:highlight w:val="none"/>
          <w:lang w:eastAsia="zh-CN"/>
        </w:rPr>
        <w:t>舟山市定海区昌国路61号</w:t>
      </w:r>
    </w:p>
    <w:p w14:paraId="4BCE7D03">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传真：</w:t>
      </w:r>
    </w:p>
    <w:p w14:paraId="1A47DFF1">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项目联系人（询问）：</w:t>
      </w:r>
      <w:r>
        <w:rPr>
          <w:rFonts w:hint="eastAsia" w:ascii="宋体" w:hAnsi="宋体" w:eastAsia="宋体" w:cs="宋体"/>
          <w:i w:val="0"/>
          <w:iCs w:val="0"/>
          <w:caps w:val="0"/>
          <w:color w:val="000000"/>
          <w:spacing w:val="0"/>
          <w:sz w:val="21"/>
          <w:szCs w:val="21"/>
          <w:highlight w:val="none"/>
          <w:lang w:eastAsia="zh-CN"/>
        </w:rPr>
        <w:t>谢先生</w:t>
      </w:r>
    </w:p>
    <w:p w14:paraId="7666D63B">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项目联系方式（询问）：</w:t>
      </w:r>
      <w:r>
        <w:rPr>
          <w:rFonts w:hint="eastAsia" w:ascii="宋体" w:hAnsi="宋体" w:eastAsia="宋体" w:cs="宋体"/>
          <w:i w:val="0"/>
          <w:iCs w:val="0"/>
          <w:caps w:val="0"/>
          <w:color w:val="000000"/>
          <w:spacing w:val="0"/>
          <w:sz w:val="21"/>
          <w:szCs w:val="21"/>
          <w:highlight w:val="none"/>
          <w:lang w:eastAsia="zh-CN"/>
        </w:rPr>
        <w:t>13867208188</w:t>
      </w:r>
    </w:p>
    <w:p w14:paraId="1B147C15">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质疑联系人：</w:t>
      </w:r>
      <w:r>
        <w:rPr>
          <w:rFonts w:hint="eastAsia" w:ascii="宋体" w:hAnsi="宋体" w:eastAsia="宋体" w:cs="宋体"/>
          <w:i w:val="0"/>
          <w:iCs w:val="0"/>
          <w:caps w:val="0"/>
          <w:color w:val="000000"/>
          <w:spacing w:val="0"/>
          <w:sz w:val="21"/>
          <w:szCs w:val="21"/>
          <w:highlight w:val="none"/>
          <w:lang w:val="en-US" w:eastAsia="zh-CN"/>
        </w:rPr>
        <w:t>谢先生</w:t>
      </w:r>
    </w:p>
    <w:p w14:paraId="36E7FEA3">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质疑联系方式：</w:t>
      </w:r>
      <w:r>
        <w:rPr>
          <w:rFonts w:hint="eastAsia" w:ascii="宋体" w:hAnsi="宋体" w:eastAsia="宋体" w:cs="宋体"/>
          <w:i w:val="0"/>
          <w:iCs w:val="0"/>
          <w:caps w:val="0"/>
          <w:color w:val="000000"/>
          <w:spacing w:val="0"/>
          <w:sz w:val="21"/>
          <w:szCs w:val="21"/>
          <w:highlight w:val="none"/>
          <w:lang w:val="en-US" w:eastAsia="zh-CN"/>
        </w:rPr>
        <w:t>13867208188</w:t>
      </w:r>
    </w:p>
    <w:p w14:paraId="62E538FD">
      <w:pPr>
        <w:pStyle w:val="22"/>
        <w:keepNext w:val="0"/>
        <w:keepLines w:val="0"/>
        <w:widowControl/>
        <w:suppressLineNumbers w:val="0"/>
        <w:spacing w:before="75" w:beforeAutospacing="0" w:after="75" w:afterAutospacing="0" w:line="240" w:lineRule="auto"/>
        <w:ind w:left="0" w:right="0"/>
        <w:rPr>
          <w:rFonts w:hint="eastAsia" w:ascii="宋体" w:hAnsi="宋体" w:eastAsia="宋体" w:cs="宋体"/>
          <w:i w:val="0"/>
          <w:iCs w:val="0"/>
          <w:caps w:val="0"/>
          <w:color w:val="000000"/>
          <w:spacing w:val="0"/>
          <w:sz w:val="21"/>
          <w:szCs w:val="21"/>
          <w:highlight w:val="none"/>
          <w:lang w:eastAsia="zh-CN"/>
        </w:rPr>
      </w:pPr>
    </w:p>
    <w:p w14:paraId="143C630C">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2.采购代理机构信息</w:t>
      </w:r>
    </w:p>
    <w:p w14:paraId="51419536">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名 称：</w:t>
      </w:r>
      <w:r>
        <w:rPr>
          <w:rFonts w:hint="eastAsia" w:ascii="宋体" w:hAnsi="宋体" w:eastAsia="宋体" w:cs="宋体"/>
          <w:i w:val="0"/>
          <w:iCs w:val="0"/>
          <w:caps w:val="0"/>
          <w:color w:val="000000"/>
          <w:spacing w:val="0"/>
          <w:sz w:val="21"/>
          <w:szCs w:val="21"/>
          <w:highlight w:val="none"/>
          <w:lang w:eastAsia="zh-CN"/>
        </w:rPr>
        <w:t>浙江天勤信息技术监理有限公司</w:t>
      </w:r>
    </w:p>
    <w:p w14:paraId="24D1ECED">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地 址：</w:t>
      </w:r>
      <w:r>
        <w:rPr>
          <w:rFonts w:hint="eastAsia" w:ascii="宋体" w:hAnsi="宋体" w:eastAsia="宋体" w:cs="宋体"/>
          <w:i w:val="0"/>
          <w:iCs w:val="0"/>
          <w:caps w:val="0"/>
          <w:color w:val="000000"/>
          <w:spacing w:val="0"/>
          <w:sz w:val="21"/>
          <w:szCs w:val="21"/>
          <w:highlight w:val="none"/>
          <w:lang w:eastAsia="zh-CN"/>
        </w:rPr>
        <w:t>浙江省舟山市定海区港岛路98号高智大厦1303室</w:t>
      </w:r>
    </w:p>
    <w:p w14:paraId="4A6DF694">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val="en-US" w:eastAsia="zh-CN"/>
        </w:rPr>
      </w:pPr>
      <w:r>
        <w:rPr>
          <w:rFonts w:hint="eastAsia" w:ascii="宋体" w:hAnsi="宋体" w:eastAsia="宋体" w:cs="宋体"/>
          <w:i w:val="0"/>
          <w:iCs w:val="0"/>
          <w:caps w:val="0"/>
          <w:color w:val="000000"/>
          <w:spacing w:val="0"/>
          <w:sz w:val="21"/>
          <w:szCs w:val="21"/>
          <w:highlight w:val="none"/>
        </w:rPr>
        <w:t>传 真：</w:t>
      </w:r>
      <w:r>
        <w:rPr>
          <w:rFonts w:hint="eastAsia" w:ascii="宋体" w:hAnsi="宋体" w:eastAsia="宋体" w:cs="宋体"/>
          <w:i w:val="0"/>
          <w:iCs w:val="0"/>
          <w:caps w:val="0"/>
          <w:color w:val="000000"/>
          <w:spacing w:val="0"/>
          <w:sz w:val="21"/>
          <w:szCs w:val="21"/>
          <w:highlight w:val="none"/>
          <w:lang w:val="en-US" w:eastAsia="zh-CN"/>
        </w:rPr>
        <w:t>/</w:t>
      </w:r>
    </w:p>
    <w:p w14:paraId="34627A84">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项目联系人（询问）：</w:t>
      </w:r>
      <w:r>
        <w:rPr>
          <w:rFonts w:hint="eastAsia" w:ascii="宋体" w:hAnsi="宋体" w:eastAsia="宋体" w:cs="宋体"/>
          <w:i w:val="0"/>
          <w:iCs w:val="0"/>
          <w:caps w:val="0"/>
          <w:color w:val="000000"/>
          <w:spacing w:val="0"/>
          <w:sz w:val="21"/>
          <w:szCs w:val="21"/>
          <w:highlight w:val="none"/>
          <w:lang w:eastAsia="zh-CN"/>
        </w:rPr>
        <w:t>陈佳琪</w:t>
      </w:r>
    </w:p>
    <w:p w14:paraId="7418578D">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项目联系方式（询问）：</w:t>
      </w:r>
      <w:r>
        <w:rPr>
          <w:rFonts w:hint="eastAsia" w:ascii="宋体" w:hAnsi="宋体" w:eastAsia="宋体" w:cs="宋体"/>
          <w:i w:val="0"/>
          <w:iCs w:val="0"/>
          <w:caps w:val="0"/>
          <w:color w:val="000000"/>
          <w:spacing w:val="0"/>
          <w:sz w:val="21"/>
          <w:szCs w:val="21"/>
          <w:highlight w:val="none"/>
          <w:lang w:eastAsia="zh-CN"/>
        </w:rPr>
        <w:t>18768052717</w:t>
      </w:r>
    </w:p>
    <w:p w14:paraId="1C5BC483">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质疑联系人：</w:t>
      </w:r>
      <w:r>
        <w:rPr>
          <w:rFonts w:hint="eastAsia" w:cs="宋体"/>
          <w:i w:val="0"/>
          <w:iCs w:val="0"/>
          <w:caps w:val="0"/>
          <w:color w:val="000000"/>
          <w:spacing w:val="0"/>
          <w:sz w:val="21"/>
          <w:szCs w:val="21"/>
          <w:highlight w:val="none"/>
          <w:lang w:val="en-US" w:eastAsia="zh-CN"/>
        </w:rPr>
        <w:t>管运</w:t>
      </w:r>
    </w:p>
    <w:p w14:paraId="5B640B07">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eastAsia="zh-CN"/>
        </w:rPr>
      </w:pPr>
      <w:r>
        <w:rPr>
          <w:rFonts w:hint="eastAsia" w:ascii="宋体" w:hAnsi="宋体" w:eastAsia="宋体" w:cs="宋体"/>
          <w:i w:val="0"/>
          <w:iCs w:val="0"/>
          <w:caps w:val="0"/>
          <w:color w:val="000000"/>
          <w:spacing w:val="0"/>
          <w:sz w:val="21"/>
          <w:szCs w:val="21"/>
          <w:highlight w:val="none"/>
        </w:rPr>
        <w:t>质疑联系方式：</w:t>
      </w:r>
      <w:r>
        <w:rPr>
          <w:rFonts w:hint="eastAsia" w:ascii="宋体" w:hAnsi="宋体" w:eastAsia="宋体" w:cs="宋体"/>
          <w:i w:val="0"/>
          <w:iCs w:val="0"/>
          <w:caps w:val="0"/>
          <w:color w:val="000000"/>
          <w:spacing w:val="0"/>
          <w:sz w:val="21"/>
          <w:szCs w:val="21"/>
          <w:highlight w:val="none"/>
          <w:lang w:eastAsia="zh-CN"/>
        </w:rPr>
        <w:t>15058295422</w:t>
      </w:r>
    </w:p>
    <w:p w14:paraId="1A9C3F89">
      <w:pPr>
        <w:pStyle w:val="22"/>
        <w:keepNext w:val="0"/>
        <w:keepLines w:val="0"/>
        <w:widowControl/>
        <w:suppressLineNumbers w:val="0"/>
        <w:spacing w:before="75" w:beforeAutospacing="0" w:after="75" w:afterAutospacing="0" w:line="240" w:lineRule="auto"/>
        <w:ind w:left="0" w:right="0"/>
        <w:rPr>
          <w:rFonts w:hint="eastAsia" w:ascii="宋体" w:hAnsi="宋体" w:eastAsia="宋体" w:cs="宋体"/>
          <w:i w:val="0"/>
          <w:iCs w:val="0"/>
          <w:caps w:val="0"/>
          <w:color w:val="000000"/>
          <w:spacing w:val="0"/>
          <w:sz w:val="21"/>
          <w:szCs w:val="21"/>
          <w:highlight w:val="none"/>
          <w:lang w:eastAsia="zh-CN"/>
        </w:rPr>
      </w:pPr>
    </w:p>
    <w:p w14:paraId="2CF37C52">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3. 同级政府采购监督管理部门</w:t>
      </w:r>
    </w:p>
    <w:p w14:paraId="669A81A1">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名称：定海区财政局</w:t>
      </w:r>
    </w:p>
    <w:p w14:paraId="1C3A62A7">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地址：舟山市定海区港务码头1号港务大楼6楼</w:t>
      </w:r>
    </w:p>
    <w:p w14:paraId="553C0587">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lang w:val="en-US" w:eastAsia="zh-CN"/>
        </w:rPr>
      </w:pPr>
      <w:r>
        <w:rPr>
          <w:rFonts w:hint="eastAsia" w:ascii="宋体" w:hAnsi="宋体" w:eastAsia="宋体" w:cs="宋体"/>
          <w:i w:val="0"/>
          <w:iCs w:val="0"/>
          <w:caps w:val="0"/>
          <w:color w:val="000000"/>
          <w:spacing w:val="0"/>
          <w:sz w:val="21"/>
          <w:szCs w:val="21"/>
          <w:highlight w:val="none"/>
        </w:rPr>
        <w:t>传真：</w:t>
      </w:r>
      <w:r>
        <w:rPr>
          <w:rFonts w:hint="eastAsia" w:ascii="宋体" w:hAnsi="宋体" w:eastAsia="宋体" w:cs="宋体"/>
          <w:i w:val="0"/>
          <w:iCs w:val="0"/>
          <w:caps w:val="0"/>
          <w:color w:val="000000"/>
          <w:spacing w:val="0"/>
          <w:sz w:val="21"/>
          <w:szCs w:val="21"/>
          <w:highlight w:val="none"/>
          <w:lang w:val="en-US" w:eastAsia="zh-CN"/>
        </w:rPr>
        <w:t>/</w:t>
      </w:r>
    </w:p>
    <w:p w14:paraId="33574128">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联系人：林秀奇</w:t>
      </w:r>
    </w:p>
    <w:p w14:paraId="23F252C9">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监督投诉电话：0580-2027798</w:t>
      </w:r>
    </w:p>
    <w:p w14:paraId="4EDE2040">
      <w:pPr>
        <w:keepNext w:val="0"/>
        <w:keepLines w:val="0"/>
        <w:widowControl/>
        <w:suppressLineNumbers w:val="0"/>
        <w:spacing w:line="450" w:lineRule="atLeast"/>
        <w:ind w:left="0" w:firstLine="0"/>
        <w:jc w:val="left"/>
        <w:rPr>
          <w:rFonts w:hint="eastAsia" w:ascii="宋体" w:hAnsi="宋体" w:eastAsia="宋体" w:cs="宋体"/>
          <w:i w:val="0"/>
          <w:iCs w:val="0"/>
          <w:caps w:val="0"/>
          <w:color w:val="000000"/>
          <w:spacing w:val="0"/>
          <w:kern w:val="0"/>
          <w:sz w:val="21"/>
          <w:szCs w:val="21"/>
          <w:highlight w:val="none"/>
          <w:lang w:val="en-US" w:eastAsia="zh-CN" w:bidi="ar"/>
        </w:rPr>
      </w:pPr>
      <w:r>
        <w:rPr>
          <w:rFonts w:hint="eastAsia" w:ascii="宋体" w:hAnsi="宋体" w:eastAsia="宋体" w:cs="宋体"/>
          <w:i w:val="0"/>
          <w:iCs w:val="0"/>
          <w:caps w:val="0"/>
          <w:color w:val="000000"/>
          <w:spacing w:val="0"/>
          <w:kern w:val="0"/>
          <w:sz w:val="21"/>
          <w:szCs w:val="21"/>
          <w:highlight w:val="none"/>
          <w:lang w:val="en-US" w:eastAsia="zh-CN" w:bidi="ar"/>
        </w:rPr>
        <w:t> </w:t>
      </w:r>
    </w:p>
    <w:p w14:paraId="57F40A06">
      <w:pPr>
        <w:keepNext w:val="0"/>
        <w:keepLines w:val="0"/>
        <w:widowControl/>
        <w:suppressLineNumbers w:val="0"/>
        <w:jc w:val="left"/>
        <w:rPr>
          <w:rFonts w:hint="eastAsia" w:ascii="宋体" w:hAnsi="宋体" w:eastAsia="宋体" w:cs="宋体"/>
          <w:sz w:val="21"/>
          <w:szCs w:val="21"/>
          <w:highlight w:val="none"/>
        </w:rPr>
      </w:pPr>
      <w:r>
        <w:rPr>
          <w:rFonts w:hint="eastAsia" w:ascii="宋体" w:hAnsi="宋体" w:eastAsia="宋体" w:cs="宋体"/>
          <w:i w:val="0"/>
          <w:iCs w:val="0"/>
          <w:caps w:val="0"/>
          <w:color w:val="000000"/>
          <w:spacing w:val="0"/>
          <w:kern w:val="0"/>
          <w:sz w:val="21"/>
          <w:szCs w:val="21"/>
          <w:highlight w:val="none"/>
          <w:lang w:val="en-US" w:eastAsia="zh-CN" w:bidi="ar"/>
        </w:rPr>
        <w:t> </w:t>
      </w:r>
    </w:p>
    <w:p w14:paraId="1E211435">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若对项目采购电子交易系统操作有疑问，可登录政采云（https://www.zcygov.cn/），点击右侧咨询小采，获取采小蜜智能服务管家帮助，或拨打政采云服务热线95763获取热线服务帮助。</w:t>
      </w:r>
    </w:p>
    <w:p w14:paraId="272BCFD9">
      <w:pPr>
        <w:pStyle w:val="2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firstLineChars="200"/>
        <w:textAlignment w:val="auto"/>
        <w:rPr>
          <w:rFonts w:hint="eastAsia" w:ascii="宋体" w:hAnsi="宋体" w:eastAsia="宋体" w:cs="宋体"/>
          <w:i w:val="0"/>
          <w:iCs w:val="0"/>
          <w:caps w:val="0"/>
          <w:color w:val="000000"/>
          <w:spacing w:val="0"/>
          <w:sz w:val="21"/>
          <w:szCs w:val="21"/>
          <w:highlight w:val="none"/>
        </w:rPr>
      </w:pPr>
      <w:r>
        <w:rPr>
          <w:rFonts w:hint="eastAsia" w:ascii="宋体" w:hAnsi="宋体" w:eastAsia="宋体" w:cs="宋体"/>
          <w:i w:val="0"/>
          <w:iCs w:val="0"/>
          <w:caps w:val="0"/>
          <w:color w:val="000000"/>
          <w:spacing w:val="0"/>
          <w:sz w:val="21"/>
          <w:szCs w:val="21"/>
          <w:highlight w:val="none"/>
        </w:rPr>
        <w:t>CA问题联系电话（人工）：汇信CA 400-888-4636；天谷CA 400-087-8198。</w:t>
      </w:r>
    </w:p>
    <w:p w14:paraId="5B04E954">
      <w:pPr>
        <w:pStyle w:val="22"/>
        <w:spacing w:before="0" w:beforeAutospacing="0" w:after="0" w:afterAutospacing="0" w:line="360" w:lineRule="auto"/>
        <w:ind w:firstLine="420" w:firstLineChars="200"/>
        <w:jc w:val="both"/>
        <w:rPr>
          <w:sz w:val="21"/>
          <w:szCs w:val="21"/>
          <w:highlight w:val="none"/>
        </w:rPr>
      </w:pPr>
    </w:p>
    <w:p w14:paraId="4E1D71E1">
      <w:pPr>
        <w:widowControl/>
        <w:spacing w:line="360" w:lineRule="auto"/>
        <w:ind w:firstLine="420" w:firstLineChars="200"/>
        <w:rPr>
          <w:rFonts w:ascii="宋体" w:hAnsi="宋体" w:cs="宋体"/>
          <w:szCs w:val="21"/>
          <w:highlight w:val="none"/>
        </w:rPr>
      </w:pPr>
      <w:r>
        <w:rPr>
          <w:rFonts w:hint="eastAsia" w:ascii="宋体" w:hAnsi="宋体" w:cs="宋体"/>
          <w:color w:val="000000"/>
          <w:kern w:val="0"/>
          <w:szCs w:val="21"/>
          <w:highlight w:val="none"/>
          <w:lang w:bidi="ar"/>
        </w:rPr>
        <w:t> </w:t>
      </w:r>
    </w:p>
    <w:p w14:paraId="5BFD5865">
      <w:pPr>
        <w:widowControl/>
        <w:jc w:val="left"/>
        <w:rPr>
          <w:rFonts w:ascii="仿宋" w:hAnsi="仿宋" w:eastAsia="仿宋" w:cs="仿宋"/>
          <w:color w:val="000000"/>
          <w:sz w:val="20"/>
          <w:highlight w:val="none"/>
        </w:rPr>
      </w:pPr>
      <w:r>
        <w:rPr>
          <w:rFonts w:hint="eastAsia" w:ascii="仿宋" w:hAnsi="仿宋" w:eastAsia="仿宋" w:cs="仿宋"/>
          <w:color w:val="000000"/>
          <w:kern w:val="0"/>
          <w:sz w:val="20"/>
          <w:highlight w:val="none"/>
          <w:lang w:bidi="ar"/>
        </w:rPr>
        <w:t> </w:t>
      </w:r>
    </w:p>
    <w:p w14:paraId="1F491AD4">
      <w:pPr>
        <w:widowControl/>
        <w:jc w:val="left"/>
        <w:rPr>
          <w:rFonts w:ascii="仿宋" w:hAnsi="仿宋" w:eastAsia="仿宋" w:cs="仿宋"/>
          <w:color w:val="000000"/>
          <w:sz w:val="20"/>
          <w:highlight w:val="none"/>
        </w:rPr>
      </w:pPr>
      <w:r>
        <w:rPr>
          <w:rFonts w:hint="eastAsia" w:ascii="仿宋" w:hAnsi="仿宋" w:eastAsia="仿宋" w:cs="仿宋"/>
          <w:color w:val="000000"/>
          <w:kern w:val="0"/>
          <w:sz w:val="20"/>
          <w:highlight w:val="none"/>
          <w:lang w:bidi="ar"/>
        </w:rPr>
        <w:t> </w:t>
      </w:r>
    </w:p>
    <w:p w14:paraId="6B994991">
      <w:pPr>
        <w:widowControl/>
        <w:jc w:val="left"/>
        <w:rPr>
          <w:rFonts w:ascii="仿宋" w:hAnsi="仿宋" w:eastAsia="仿宋" w:cs="仿宋"/>
          <w:szCs w:val="21"/>
          <w:highlight w:val="none"/>
        </w:rPr>
      </w:pPr>
      <w:r>
        <w:rPr>
          <w:rFonts w:hint="eastAsia" w:ascii="仿宋" w:hAnsi="仿宋" w:eastAsia="仿宋" w:cs="仿宋"/>
          <w:color w:val="000000"/>
          <w:kern w:val="0"/>
          <w:szCs w:val="21"/>
          <w:highlight w:val="none"/>
          <w:lang w:bidi="ar"/>
        </w:rPr>
        <w:t> </w:t>
      </w:r>
    </w:p>
    <w:p w14:paraId="6E7B5B3B">
      <w:pPr>
        <w:pStyle w:val="22"/>
        <w:spacing w:before="75" w:beforeAutospacing="0" w:after="75" w:afterAutospacing="0"/>
        <w:rPr>
          <w:highlight w:val="none"/>
        </w:rPr>
      </w:pPr>
    </w:p>
    <w:p w14:paraId="6B793E44">
      <w:pPr>
        <w:spacing w:line="360" w:lineRule="auto"/>
        <w:jc w:val="center"/>
        <w:outlineLvl w:val="0"/>
        <w:rPr>
          <w:rFonts w:ascii="宋体" w:hAnsi="宋体" w:cs="宋体"/>
          <w:b/>
          <w:sz w:val="28"/>
          <w:szCs w:val="28"/>
          <w:highlight w:val="none"/>
        </w:rPr>
        <w:sectPr>
          <w:footerReference r:id="rId7" w:type="default"/>
          <w:pgSz w:w="11906" w:h="16838"/>
          <w:pgMar w:top="1531" w:right="1179" w:bottom="737" w:left="1179" w:header="851" w:footer="584" w:gutter="0"/>
          <w:pgNumType w:fmt="decimal" w:start="1"/>
          <w:cols w:space="720" w:num="1"/>
          <w:docGrid w:type="lines" w:linePitch="312" w:charSpace="0"/>
        </w:sectPr>
      </w:pPr>
    </w:p>
    <w:p w14:paraId="613299BE">
      <w:pPr>
        <w:spacing w:line="360" w:lineRule="auto"/>
        <w:jc w:val="center"/>
        <w:outlineLvl w:val="0"/>
        <w:rPr>
          <w:rFonts w:ascii="宋体" w:hAnsi="宋体" w:cs="宋体"/>
          <w:b/>
          <w:bCs/>
          <w:szCs w:val="21"/>
          <w:highlight w:val="none"/>
        </w:rPr>
      </w:pPr>
      <w:r>
        <w:rPr>
          <w:rFonts w:hint="eastAsia" w:ascii="宋体" w:hAnsi="宋体" w:cs="宋体"/>
          <w:b/>
          <w:sz w:val="28"/>
          <w:szCs w:val="28"/>
          <w:highlight w:val="none"/>
        </w:rPr>
        <w:t>第二章 采购需求</w:t>
      </w:r>
    </w:p>
    <w:p w14:paraId="62D51315">
      <w:pPr>
        <w:pStyle w:val="4"/>
        <w:keepNext/>
        <w:keepLines/>
        <w:pageBreakBefore w:val="0"/>
        <w:widowControl w:val="0"/>
        <w:numPr>
          <w:ilvl w:val="0"/>
          <w:numId w:val="3"/>
        </w:numPr>
        <w:kinsoku/>
        <w:wordWrap/>
        <w:overflowPunct/>
        <w:topLinePunct w:val="0"/>
        <w:autoSpaceDE w:val="0"/>
        <w:autoSpaceDN w:val="0"/>
        <w:bidi w:val="0"/>
        <w:adjustRightInd w:val="0"/>
        <w:snapToGrid/>
        <w:spacing w:before="100" w:after="100" w:line="360" w:lineRule="auto"/>
        <w:ind w:left="0" w:leftChars="0" w:firstLine="0" w:firstLineChars="0"/>
        <w:textAlignment w:val="auto"/>
        <w:rPr>
          <w:rFonts w:hint="eastAsia" w:asciiTheme="minorEastAsia" w:hAnsiTheme="minorEastAsia" w:eastAsiaTheme="minorEastAsia" w:cstheme="minorEastAsia"/>
          <w:sz w:val="21"/>
          <w:szCs w:val="21"/>
          <w:highlight w:val="none"/>
          <w:u w:val="none"/>
          <w:lang w:val="zh-CN" w:eastAsia="ar-SA"/>
        </w:rPr>
      </w:pPr>
      <w:r>
        <w:rPr>
          <w:rFonts w:hint="eastAsia" w:asciiTheme="minorEastAsia" w:hAnsiTheme="minorEastAsia" w:eastAsiaTheme="minorEastAsia" w:cstheme="minorEastAsia"/>
          <w:sz w:val="21"/>
          <w:szCs w:val="21"/>
          <w:highlight w:val="none"/>
          <w:u w:val="none"/>
          <w:lang w:val="zh-CN" w:eastAsia="ar-SA"/>
        </w:rPr>
        <w:t>项目建设背景</w:t>
      </w:r>
    </w:p>
    <w:p w14:paraId="18C7B276">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auto"/>
        <w:ind w:firstLine="420" w:firstLineChars="200"/>
        <w:textAlignment w:val="baseline"/>
        <w:rPr>
          <w:rFonts w:hint="eastAsia" w:ascii="宋体" w:hAnsi="宋体" w:cs="宋体"/>
          <w:bCs/>
          <w:color w:val="000000"/>
          <w:kern w:val="1"/>
          <w:szCs w:val="21"/>
          <w:highlight w:val="none"/>
        </w:rPr>
      </w:pPr>
      <w:r>
        <w:rPr>
          <w:rFonts w:hint="eastAsia" w:ascii="宋体" w:hAnsi="宋体" w:cs="宋体"/>
          <w:bCs/>
          <w:color w:val="000000"/>
          <w:kern w:val="1"/>
          <w:szCs w:val="21"/>
          <w:highlight w:val="none"/>
        </w:rPr>
        <w:t>依据《关于数字赋能高水平创新型人才队伍建设的若干意见（征求意见稿）》和《关于数字赋能高素养劳动者队伍建设实施方案》的通知精神，并结合省大数据局在《数字赋能“三支队伍”建设专题会》中提出的指导意见，通过构建标签体系提升人才数据质量与应用水平，利用标签管理工具加速数据共享，定制个性化标签，避免低效建设。</w:t>
      </w:r>
    </w:p>
    <w:p w14:paraId="7F5EEB97">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auto"/>
        <w:ind w:firstLine="420" w:firstLineChars="200"/>
        <w:textAlignment w:val="baseline"/>
        <w:rPr>
          <w:rFonts w:hint="eastAsia"/>
          <w:highlight w:val="none"/>
          <w:lang w:val="zh-CN" w:eastAsia="ar-SA"/>
        </w:rPr>
      </w:pPr>
      <w:r>
        <w:rPr>
          <w:rFonts w:hint="eastAsia" w:ascii="宋体" w:hAnsi="宋体" w:cs="宋体"/>
          <w:bCs/>
          <w:color w:val="000000"/>
          <w:kern w:val="1"/>
          <w:szCs w:val="21"/>
          <w:highlight w:val="none"/>
        </w:rPr>
        <w:t>同时，依据《浙江省公共数据条例》及《舟山市数据授权运营方案》，强化平台功能，开发数据资产展示及租户授权模式，从而依托市级域开展公共数据授权运营支撑工作。</w:t>
      </w:r>
    </w:p>
    <w:p w14:paraId="291A29AA">
      <w:pPr>
        <w:pStyle w:val="4"/>
        <w:keepNext/>
        <w:keepLines/>
        <w:pageBreakBefore w:val="0"/>
        <w:widowControl w:val="0"/>
        <w:numPr>
          <w:ilvl w:val="0"/>
          <w:numId w:val="3"/>
        </w:numPr>
        <w:kinsoku/>
        <w:wordWrap/>
        <w:overflowPunct/>
        <w:topLinePunct w:val="0"/>
        <w:autoSpaceDE w:val="0"/>
        <w:autoSpaceDN w:val="0"/>
        <w:bidi w:val="0"/>
        <w:adjustRightInd w:val="0"/>
        <w:snapToGrid/>
        <w:spacing w:before="100" w:after="100" w:line="360" w:lineRule="auto"/>
        <w:ind w:left="0" w:leftChars="0" w:firstLine="0" w:firstLineChars="0"/>
        <w:textAlignment w:val="auto"/>
        <w:rPr>
          <w:rFonts w:hint="eastAsia"/>
          <w:sz w:val="21"/>
          <w:szCs w:val="21"/>
          <w:highlight w:val="none"/>
          <w:u w:val="none"/>
          <w:lang w:val="zh-CN" w:eastAsia="ar-SA"/>
        </w:rPr>
      </w:pPr>
      <w:r>
        <w:rPr>
          <w:rFonts w:hint="eastAsia"/>
          <w:sz w:val="21"/>
          <w:szCs w:val="21"/>
          <w:highlight w:val="none"/>
          <w:u w:val="none"/>
        </w:rPr>
        <w:t>项目建设</w:t>
      </w:r>
      <w:r>
        <w:rPr>
          <w:rFonts w:hint="eastAsia"/>
          <w:sz w:val="21"/>
          <w:szCs w:val="21"/>
          <w:highlight w:val="none"/>
          <w:u w:val="none"/>
          <w:lang w:val="zh-CN" w:eastAsia="ar-SA"/>
        </w:rPr>
        <w:t>目标</w:t>
      </w:r>
    </w:p>
    <w:p w14:paraId="69027CB0">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auto"/>
        <w:ind w:firstLine="420" w:firstLineChars="200"/>
        <w:textAlignment w:val="baseline"/>
        <w:rPr>
          <w:rFonts w:hint="eastAsia" w:ascii="宋体" w:hAnsi="宋体" w:cs="宋体"/>
          <w:bCs/>
          <w:color w:val="000000"/>
          <w:kern w:val="1"/>
          <w:szCs w:val="21"/>
          <w:highlight w:val="none"/>
          <w:lang w:val="zh-CN" w:eastAsia="ar-SA"/>
        </w:rPr>
      </w:pPr>
      <w:r>
        <w:rPr>
          <w:rFonts w:hint="eastAsia" w:ascii="宋体" w:hAnsi="宋体" w:cs="宋体"/>
          <w:bCs/>
          <w:color w:val="000000"/>
          <w:kern w:val="1"/>
          <w:szCs w:val="21"/>
          <w:highlight w:val="none"/>
        </w:rPr>
        <w:t>全面增强定海区的综合数据管理能力，积极响应业务场景的多样化需求，并紧密贴合国家及地方的政策导向，启动定海区公共数据支撑平台项目二期建设。</w:t>
      </w:r>
      <w:r>
        <w:rPr>
          <w:rFonts w:hint="eastAsia" w:ascii="宋体" w:hAnsi="宋体" w:cs="宋体"/>
          <w:bCs/>
          <w:color w:val="000000"/>
          <w:kern w:val="1"/>
          <w:szCs w:val="21"/>
          <w:highlight w:val="none"/>
          <w:lang w:val="en-US" w:eastAsia="zh-CN"/>
        </w:rPr>
        <w:t>通过数据标签服务对定海区人口、法人等重点数据进行全面且规范的统筹管理</w:t>
      </w:r>
      <w:r>
        <w:rPr>
          <w:rFonts w:hint="eastAsia" w:ascii="宋体" w:hAnsi="宋体" w:cs="宋体"/>
          <w:bCs/>
          <w:color w:val="000000"/>
          <w:kern w:val="1"/>
          <w:szCs w:val="21"/>
          <w:highlight w:val="none"/>
        </w:rPr>
        <w:t>，同时强化公共数据授权运营支撑能力为定海区奠定数据与业务的深度融合，</w:t>
      </w:r>
      <w:r>
        <w:rPr>
          <w:rFonts w:hint="eastAsia" w:ascii="宋体" w:hAnsi="宋体" w:cs="宋体"/>
          <w:bCs/>
          <w:color w:val="000000"/>
          <w:kern w:val="1"/>
          <w:szCs w:val="21"/>
          <w:highlight w:val="none"/>
          <w:lang w:val="en-US" w:eastAsia="zh-CN"/>
        </w:rPr>
        <w:t>此外，</w:t>
      </w:r>
      <w:r>
        <w:rPr>
          <w:rFonts w:hint="eastAsia" w:ascii="宋体" w:hAnsi="宋体" w:cs="宋体"/>
          <w:bCs/>
          <w:color w:val="000000"/>
          <w:kern w:val="1"/>
          <w:szCs w:val="21"/>
          <w:highlight w:val="none"/>
        </w:rPr>
        <w:t>持续保障公共数据运营运维工作从而对定海区公共数据资源进行全面整合与高效配置，进而增强定海区公共数据治理效能，为实现数字治理提供高效支撑与优质服务。</w:t>
      </w:r>
    </w:p>
    <w:p w14:paraId="420AA7C7">
      <w:pPr>
        <w:pStyle w:val="4"/>
        <w:keepNext/>
        <w:keepLines/>
        <w:pageBreakBefore w:val="0"/>
        <w:widowControl w:val="0"/>
        <w:numPr>
          <w:ilvl w:val="0"/>
          <w:numId w:val="3"/>
        </w:numPr>
        <w:kinsoku/>
        <w:wordWrap/>
        <w:overflowPunct/>
        <w:topLinePunct w:val="0"/>
        <w:autoSpaceDE w:val="0"/>
        <w:autoSpaceDN w:val="0"/>
        <w:bidi w:val="0"/>
        <w:adjustRightInd w:val="0"/>
        <w:snapToGrid/>
        <w:spacing w:before="100" w:after="100" w:line="360" w:lineRule="auto"/>
        <w:ind w:left="0" w:leftChars="0" w:firstLine="0" w:firstLineChars="0"/>
        <w:textAlignment w:val="auto"/>
        <w:rPr>
          <w:rFonts w:hint="eastAsia"/>
          <w:sz w:val="21"/>
          <w:szCs w:val="21"/>
          <w:highlight w:val="none"/>
          <w:u w:val="none"/>
        </w:rPr>
      </w:pPr>
      <w:r>
        <w:rPr>
          <w:rFonts w:hint="eastAsia"/>
          <w:sz w:val="21"/>
          <w:szCs w:val="21"/>
          <w:highlight w:val="none"/>
          <w:u w:val="none"/>
        </w:rPr>
        <w:t>采购清单</w:t>
      </w:r>
    </w:p>
    <w:tbl>
      <w:tblPr>
        <w:tblStyle w:val="27"/>
        <w:tblW w:w="47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7"/>
        <w:gridCol w:w="2904"/>
        <w:gridCol w:w="2647"/>
        <w:gridCol w:w="1540"/>
        <w:gridCol w:w="1553"/>
      </w:tblGrid>
      <w:tr w14:paraId="55667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1ED3C2A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序号</w:t>
            </w:r>
          </w:p>
        </w:tc>
        <w:tc>
          <w:tcPr>
            <w:tcW w:w="1554" w:type="pct"/>
            <w:vAlign w:val="center"/>
          </w:tcPr>
          <w:p w14:paraId="704A314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建设内容</w:t>
            </w:r>
          </w:p>
        </w:tc>
        <w:tc>
          <w:tcPr>
            <w:tcW w:w="1416" w:type="pct"/>
            <w:vAlign w:val="center"/>
          </w:tcPr>
          <w:p w14:paraId="5FCB975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主要功能</w:t>
            </w:r>
          </w:p>
        </w:tc>
        <w:tc>
          <w:tcPr>
            <w:tcW w:w="824" w:type="pct"/>
            <w:vAlign w:val="center"/>
          </w:tcPr>
          <w:p w14:paraId="06916F7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数量</w:t>
            </w:r>
          </w:p>
        </w:tc>
        <w:tc>
          <w:tcPr>
            <w:tcW w:w="831" w:type="pct"/>
            <w:vAlign w:val="center"/>
          </w:tcPr>
          <w:p w14:paraId="1BBEF65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单位</w:t>
            </w:r>
          </w:p>
        </w:tc>
      </w:tr>
      <w:tr w14:paraId="32DF8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shd w:val="clear" w:color="auto" w:fill="auto"/>
            <w:vAlign w:val="center"/>
          </w:tcPr>
          <w:p w14:paraId="46C172E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1554" w:type="pct"/>
            <w:vMerge w:val="restart"/>
            <w:shd w:val="clear" w:color="auto" w:fill="auto"/>
            <w:vAlign w:val="center"/>
          </w:tcPr>
          <w:p w14:paraId="6067169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数据标签建设服务</w:t>
            </w:r>
          </w:p>
        </w:tc>
        <w:tc>
          <w:tcPr>
            <w:tcW w:w="1416" w:type="pct"/>
            <w:shd w:val="clear" w:color="auto" w:fill="auto"/>
            <w:vAlign w:val="center"/>
          </w:tcPr>
          <w:p w14:paraId="25629BB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数据标签建设服务</w:t>
            </w:r>
          </w:p>
        </w:tc>
        <w:tc>
          <w:tcPr>
            <w:tcW w:w="824" w:type="pct"/>
            <w:shd w:val="clear" w:color="auto" w:fill="auto"/>
            <w:vAlign w:val="center"/>
          </w:tcPr>
          <w:p w14:paraId="587BD37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shd w:val="clear" w:color="auto" w:fill="auto"/>
            <w:vAlign w:val="center"/>
          </w:tcPr>
          <w:p w14:paraId="10638DD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269A2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shd w:val="clear" w:color="auto" w:fill="auto"/>
            <w:vAlign w:val="center"/>
          </w:tcPr>
          <w:p w14:paraId="553CE1A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2</w:t>
            </w:r>
          </w:p>
        </w:tc>
        <w:tc>
          <w:tcPr>
            <w:tcW w:w="1554" w:type="pct"/>
            <w:vMerge w:val="continue"/>
            <w:shd w:val="clear" w:color="auto" w:fill="auto"/>
            <w:vAlign w:val="center"/>
          </w:tcPr>
          <w:p w14:paraId="7543FB7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shd w:val="clear" w:color="auto" w:fill="auto"/>
            <w:vAlign w:val="center"/>
          </w:tcPr>
          <w:p w14:paraId="7222FAE9">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宋体" w:hAnsi="宋体" w:eastAsia="宋体" w:cs="宋体"/>
                <w:sz w:val="21"/>
                <w:szCs w:val="21"/>
                <w:highlight w:val="none"/>
                <w:lang w:val="en-US" w:eastAsia="zh-CN"/>
              </w:rPr>
              <w:t>标签规范制定服务</w:t>
            </w:r>
          </w:p>
        </w:tc>
        <w:tc>
          <w:tcPr>
            <w:tcW w:w="824" w:type="pct"/>
            <w:shd w:val="clear" w:color="auto" w:fill="auto"/>
            <w:vAlign w:val="center"/>
          </w:tcPr>
          <w:p w14:paraId="59CBDFD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shd w:val="clear" w:color="auto" w:fill="auto"/>
            <w:vAlign w:val="center"/>
          </w:tcPr>
          <w:p w14:paraId="03AD6DB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58780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shd w:val="clear" w:color="auto" w:fill="auto"/>
            <w:vAlign w:val="center"/>
          </w:tcPr>
          <w:p w14:paraId="6C82A00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3</w:t>
            </w:r>
          </w:p>
        </w:tc>
        <w:tc>
          <w:tcPr>
            <w:tcW w:w="1554" w:type="pct"/>
            <w:vMerge w:val="continue"/>
            <w:shd w:val="clear" w:color="auto" w:fill="auto"/>
            <w:vAlign w:val="center"/>
          </w:tcPr>
          <w:p w14:paraId="70C008D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shd w:val="clear" w:color="auto" w:fill="auto"/>
            <w:vAlign w:val="center"/>
          </w:tcPr>
          <w:p w14:paraId="22D1289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宋体" w:hAnsi="宋体" w:eastAsia="宋体" w:cs="宋体"/>
                <w:sz w:val="21"/>
                <w:szCs w:val="21"/>
                <w:highlight w:val="none"/>
                <w:lang w:val="en-US" w:eastAsia="zh-CN"/>
              </w:rPr>
              <w:t>数据标签打标服务</w:t>
            </w:r>
          </w:p>
        </w:tc>
        <w:tc>
          <w:tcPr>
            <w:tcW w:w="824" w:type="pct"/>
            <w:shd w:val="clear" w:color="auto" w:fill="auto"/>
            <w:vAlign w:val="center"/>
          </w:tcPr>
          <w:p w14:paraId="24EC28E8">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shd w:val="clear" w:color="auto" w:fill="auto"/>
            <w:vAlign w:val="center"/>
          </w:tcPr>
          <w:p w14:paraId="36797A19">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04F52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shd w:val="clear" w:color="auto" w:fill="auto"/>
            <w:vAlign w:val="center"/>
          </w:tcPr>
          <w:p w14:paraId="46411669">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4</w:t>
            </w:r>
          </w:p>
        </w:tc>
        <w:tc>
          <w:tcPr>
            <w:tcW w:w="1554" w:type="pct"/>
            <w:vMerge w:val="continue"/>
            <w:shd w:val="clear" w:color="auto" w:fill="auto"/>
            <w:vAlign w:val="center"/>
          </w:tcPr>
          <w:p w14:paraId="0DE2B00D">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shd w:val="clear" w:color="auto" w:fill="auto"/>
            <w:vAlign w:val="center"/>
          </w:tcPr>
          <w:p w14:paraId="56C0FFD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数据标签运维服务</w:t>
            </w:r>
          </w:p>
        </w:tc>
        <w:tc>
          <w:tcPr>
            <w:tcW w:w="824" w:type="pct"/>
            <w:shd w:val="clear" w:color="auto" w:fill="auto"/>
            <w:vAlign w:val="center"/>
          </w:tcPr>
          <w:p w14:paraId="609B414E">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shd w:val="clear" w:color="auto" w:fill="auto"/>
            <w:vAlign w:val="center"/>
          </w:tcPr>
          <w:p w14:paraId="5C2AC15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28E2C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44CF461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5</w:t>
            </w:r>
          </w:p>
        </w:tc>
        <w:tc>
          <w:tcPr>
            <w:tcW w:w="1554" w:type="pct"/>
            <w:vMerge w:val="restart"/>
            <w:vAlign w:val="center"/>
          </w:tcPr>
          <w:p w14:paraId="291E589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公共数据运营支撑服务</w:t>
            </w:r>
          </w:p>
        </w:tc>
        <w:tc>
          <w:tcPr>
            <w:tcW w:w="1416" w:type="pct"/>
            <w:vAlign w:val="center"/>
          </w:tcPr>
          <w:p w14:paraId="27BF75DE">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数据资产总览</w:t>
            </w:r>
          </w:p>
        </w:tc>
        <w:tc>
          <w:tcPr>
            <w:tcW w:w="824" w:type="pct"/>
            <w:vAlign w:val="center"/>
          </w:tcPr>
          <w:p w14:paraId="7E68404E">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7BDB89F7">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1802A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7729036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6</w:t>
            </w:r>
          </w:p>
        </w:tc>
        <w:tc>
          <w:tcPr>
            <w:tcW w:w="1554" w:type="pct"/>
            <w:vMerge w:val="continue"/>
            <w:vAlign w:val="center"/>
          </w:tcPr>
          <w:p w14:paraId="120CFD4D">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vAlign w:val="center"/>
          </w:tcPr>
          <w:p w14:paraId="771F9CA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运维数据总览</w:t>
            </w:r>
          </w:p>
        </w:tc>
        <w:tc>
          <w:tcPr>
            <w:tcW w:w="824" w:type="pct"/>
            <w:vAlign w:val="center"/>
          </w:tcPr>
          <w:p w14:paraId="221E33B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691D220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7CF93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1F8DE739">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7</w:t>
            </w:r>
          </w:p>
        </w:tc>
        <w:tc>
          <w:tcPr>
            <w:tcW w:w="1554" w:type="pct"/>
            <w:vMerge w:val="continue"/>
            <w:vAlign w:val="center"/>
          </w:tcPr>
          <w:p w14:paraId="2960F538">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vAlign w:val="center"/>
          </w:tcPr>
          <w:p w14:paraId="469F951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数据授权租户模式</w:t>
            </w:r>
          </w:p>
        </w:tc>
        <w:tc>
          <w:tcPr>
            <w:tcW w:w="824" w:type="pct"/>
            <w:vAlign w:val="center"/>
          </w:tcPr>
          <w:p w14:paraId="7547EA3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7CC63F8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7B4A3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39823D6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8</w:t>
            </w:r>
          </w:p>
        </w:tc>
        <w:tc>
          <w:tcPr>
            <w:tcW w:w="1554" w:type="pct"/>
            <w:vMerge w:val="restart"/>
            <w:vAlign w:val="center"/>
          </w:tcPr>
          <w:p w14:paraId="01DCAAF3">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数据运营运维服务</w:t>
            </w:r>
          </w:p>
        </w:tc>
        <w:tc>
          <w:tcPr>
            <w:tcW w:w="1416" w:type="pct"/>
            <w:vAlign w:val="center"/>
          </w:tcPr>
          <w:p w14:paraId="3484BB7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数据目录运营服务</w:t>
            </w:r>
          </w:p>
        </w:tc>
        <w:tc>
          <w:tcPr>
            <w:tcW w:w="824" w:type="pct"/>
            <w:vAlign w:val="center"/>
          </w:tcPr>
          <w:p w14:paraId="157D1A7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22705E0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4B1A4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4A0AFDA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9</w:t>
            </w:r>
          </w:p>
        </w:tc>
        <w:tc>
          <w:tcPr>
            <w:tcW w:w="1554" w:type="pct"/>
            <w:vMerge w:val="continue"/>
            <w:vAlign w:val="center"/>
          </w:tcPr>
          <w:p w14:paraId="3657C65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vAlign w:val="center"/>
          </w:tcPr>
          <w:p w14:paraId="68F8199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数据归集服务</w:t>
            </w:r>
          </w:p>
        </w:tc>
        <w:tc>
          <w:tcPr>
            <w:tcW w:w="824" w:type="pct"/>
            <w:vAlign w:val="center"/>
          </w:tcPr>
          <w:p w14:paraId="7D4D509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20B810EC">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28BFF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373" w:type="pct"/>
            <w:vAlign w:val="center"/>
          </w:tcPr>
          <w:p w14:paraId="6F4D7ED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10</w:t>
            </w:r>
          </w:p>
        </w:tc>
        <w:tc>
          <w:tcPr>
            <w:tcW w:w="1554" w:type="pct"/>
            <w:vMerge w:val="continue"/>
            <w:vAlign w:val="center"/>
          </w:tcPr>
          <w:p w14:paraId="242D363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vAlign w:val="center"/>
          </w:tcPr>
          <w:p w14:paraId="34B3B29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数据共享服务</w:t>
            </w:r>
          </w:p>
        </w:tc>
        <w:tc>
          <w:tcPr>
            <w:tcW w:w="824" w:type="pct"/>
            <w:vAlign w:val="center"/>
          </w:tcPr>
          <w:p w14:paraId="1F3E3AE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16CCE6B7">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18F24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1AC3866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11</w:t>
            </w:r>
          </w:p>
        </w:tc>
        <w:tc>
          <w:tcPr>
            <w:tcW w:w="1554" w:type="pct"/>
            <w:vMerge w:val="continue"/>
            <w:vAlign w:val="center"/>
          </w:tcPr>
          <w:p w14:paraId="5DFFAA03">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vAlign w:val="center"/>
          </w:tcPr>
          <w:p w14:paraId="51348EFE">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IRS应用运维服务</w:t>
            </w:r>
          </w:p>
        </w:tc>
        <w:tc>
          <w:tcPr>
            <w:tcW w:w="824" w:type="pct"/>
            <w:vAlign w:val="center"/>
          </w:tcPr>
          <w:p w14:paraId="12FF5778">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5FBCF41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3277E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61285F57">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12</w:t>
            </w:r>
          </w:p>
        </w:tc>
        <w:tc>
          <w:tcPr>
            <w:tcW w:w="1554" w:type="pct"/>
            <w:vMerge w:val="continue"/>
            <w:vAlign w:val="center"/>
          </w:tcPr>
          <w:p w14:paraId="709A1D9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vAlign w:val="center"/>
          </w:tcPr>
          <w:p w14:paraId="3BA3F21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数据开放服务</w:t>
            </w:r>
          </w:p>
        </w:tc>
        <w:tc>
          <w:tcPr>
            <w:tcW w:w="824" w:type="pct"/>
            <w:vAlign w:val="center"/>
          </w:tcPr>
          <w:p w14:paraId="7F90777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39B8082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15CAB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00BCBC2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13</w:t>
            </w:r>
          </w:p>
        </w:tc>
        <w:tc>
          <w:tcPr>
            <w:tcW w:w="1554" w:type="pct"/>
            <w:vMerge w:val="continue"/>
            <w:vAlign w:val="center"/>
          </w:tcPr>
          <w:p w14:paraId="20DAADC7">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vAlign w:val="center"/>
          </w:tcPr>
          <w:p w14:paraId="1B1FA30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数据回流服务</w:t>
            </w:r>
          </w:p>
        </w:tc>
        <w:tc>
          <w:tcPr>
            <w:tcW w:w="824" w:type="pct"/>
            <w:vAlign w:val="center"/>
          </w:tcPr>
          <w:p w14:paraId="7113AAE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38E6AE0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4FB30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3" w:type="pct"/>
            <w:vAlign w:val="center"/>
          </w:tcPr>
          <w:p w14:paraId="4400EA0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14</w:t>
            </w:r>
          </w:p>
        </w:tc>
        <w:tc>
          <w:tcPr>
            <w:tcW w:w="1554" w:type="pct"/>
            <w:vMerge w:val="continue"/>
            <w:vAlign w:val="center"/>
          </w:tcPr>
          <w:p w14:paraId="74FAEF3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1416" w:type="pct"/>
            <w:vAlign w:val="center"/>
          </w:tcPr>
          <w:p w14:paraId="390D306E">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数据清洗与整合服务</w:t>
            </w:r>
          </w:p>
        </w:tc>
        <w:tc>
          <w:tcPr>
            <w:tcW w:w="824" w:type="pct"/>
            <w:vAlign w:val="center"/>
          </w:tcPr>
          <w:p w14:paraId="0D435F2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831" w:type="pct"/>
            <w:vAlign w:val="center"/>
          </w:tcPr>
          <w:p w14:paraId="337B843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bl>
    <w:p w14:paraId="6E51FB92">
      <w:pPr>
        <w:pStyle w:val="10"/>
        <w:rPr>
          <w:rFonts w:hint="eastAsia" w:eastAsia="等线"/>
          <w:highlight w:val="none"/>
        </w:rPr>
      </w:pPr>
    </w:p>
    <w:p w14:paraId="3073FC3D">
      <w:pPr>
        <w:pStyle w:val="4"/>
        <w:keepNext/>
        <w:keepLines/>
        <w:pageBreakBefore w:val="0"/>
        <w:widowControl w:val="0"/>
        <w:numPr>
          <w:ilvl w:val="0"/>
          <w:numId w:val="3"/>
        </w:numPr>
        <w:kinsoku/>
        <w:wordWrap/>
        <w:overflowPunct/>
        <w:topLinePunct w:val="0"/>
        <w:autoSpaceDE w:val="0"/>
        <w:autoSpaceDN w:val="0"/>
        <w:bidi w:val="0"/>
        <w:adjustRightInd w:val="0"/>
        <w:snapToGrid/>
        <w:spacing w:before="100" w:after="100" w:line="360" w:lineRule="auto"/>
        <w:ind w:left="0" w:leftChars="0" w:firstLine="0" w:firstLineChars="0"/>
        <w:textAlignment w:val="auto"/>
        <w:rPr>
          <w:rFonts w:hint="eastAsia"/>
          <w:sz w:val="21"/>
          <w:szCs w:val="21"/>
          <w:highlight w:val="none"/>
          <w:u w:val="none"/>
        </w:rPr>
      </w:pPr>
      <w:r>
        <w:rPr>
          <w:rFonts w:hint="eastAsia"/>
          <w:sz w:val="21"/>
          <w:szCs w:val="21"/>
          <w:highlight w:val="none"/>
          <w:u w:val="none"/>
          <w:lang w:val="en-US" w:eastAsia="zh-CN"/>
        </w:rPr>
        <w:t>详细技术参数要求</w:t>
      </w:r>
    </w:p>
    <w:tbl>
      <w:tblPr>
        <w:tblStyle w:val="27"/>
        <w:tblW w:w="506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4"/>
        <w:gridCol w:w="1138"/>
        <w:gridCol w:w="1209"/>
        <w:gridCol w:w="5519"/>
        <w:gridCol w:w="689"/>
        <w:gridCol w:w="822"/>
      </w:tblGrid>
      <w:tr w14:paraId="711CB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4932587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序号</w:t>
            </w:r>
          </w:p>
        </w:tc>
        <w:tc>
          <w:tcPr>
            <w:tcW w:w="576" w:type="pct"/>
            <w:vAlign w:val="center"/>
          </w:tcPr>
          <w:p w14:paraId="189590C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建设内容</w:t>
            </w:r>
          </w:p>
        </w:tc>
        <w:tc>
          <w:tcPr>
            <w:tcW w:w="612" w:type="pct"/>
            <w:vAlign w:val="center"/>
          </w:tcPr>
          <w:p w14:paraId="6B12081C">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主要功能</w:t>
            </w:r>
          </w:p>
        </w:tc>
        <w:tc>
          <w:tcPr>
            <w:tcW w:w="2794" w:type="pct"/>
            <w:vAlign w:val="center"/>
          </w:tcPr>
          <w:p w14:paraId="6E1BEE4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功能详情</w:t>
            </w:r>
          </w:p>
        </w:tc>
        <w:tc>
          <w:tcPr>
            <w:tcW w:w="349" w:type="pct"/>
            <w:vAlign w:val="center"/>
          </w:tcPr>
          <w:p w14:paraId="4201A7BC">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数量</w:t>
            </w:r>
          </w:p>
        </w:tc>
        <w:tc>
          <w:tcPr>
            <w:tcW w:w="416" w:type="pct"/>
            <w:vAlign w:val="center"/>
          </w:tcPr>
          <w:p w14:paraId="07B42F3E">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单位</w:t>
            </w:r>
          </w:p>
        </w:tc>
      </w:tr>
      <w:tr w14:paraId="41BB7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5750732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576" w:type="pct"/>
            <w:vMerge w:val="restart"/>
            <w:shd w:val="clear" w:color="auto" w:fill="auto"/>
            <w:vAlign w:val="center"/>
          </w:tcPr>
          <w:p w14:paraId="7FF26FC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宋体" w:hAnsi="宋体" w:cs="宋体"/>
                <w:kern w:val="0"/>
                <w:sz w:val="21"/>
                <w:szCs w:val="21"/>
                <w:highlight w:val="none"/>
                <w:lang w:val="en-US" w:eastAsia="zh-CN" w:bidi="ar"/>
              </w:rPr>
              <w:t>数</w:t>
            </w:r>
            <w:r>
              <w:rPr>
                <w:rFonts w:hint="eastAsia" w:asciiTheme="minorEastAsia" w:hAnsiTheme="minorEastAsia" w:eastAsiaTheme="minorEastAsia" w:cstheme="minorEastAsia"/>
                <w:sz w:val="21"/>
                <w:szCs w:val="21"/>
                <w:highlight w:val="none"/>
                <w:vertAlign w:val="baseline"/>
              </w:rPr>
              <w:t>据标签建设服务</w:t>
            </w:r>
          </w:p>
        </w:tc>
        <w:tc>
          <w:tcPr>
            <w:tcW w:w="612" w:type="pct"/>
            <w:vAlign w:val="center"/>
          </w:tcPr>
          <w:p w14:paraId="04230F3D">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数据标签</w:t>
            </w:r>
            <w:r>
              <w:rPr>
                <w:rFonts w:hint="eastAsia" w:asciiTheme="minorEastAsia" w:hAnsiTheme="minorEastAsia" w:eastAsiaTheme="minorEastAsia" w:cstheme="minorEastAsia"/>
                <w:sz w:val="21"/>
                <w:szCs w:val="21"/>
                <w:highlight w:val="none"/>
                <w:vertAlign w:val="baseline"/>
                <w:lang w:val="en-US" w:eastAsia="zh-CN"/>
              </w:rPr>
              <w:t>开发</w:t>
            </w:r>
            <w:r>
              <w:rPr>
                <w:rFonts w:hint="eastAsia" w:asciiTheme="minorEastAsia" w:hAnsiTheme="minorEastAsia" w:eastAsiaTheme="minorEastAsia" w:cstheme="minorEastAsia"/>
                <w:sz w:val="21"/>
                <w:szCs w:val="21"/>
                <w:highlight w:val="none"/>
                <w:vertAlign w:val="baseline"/>
              </w:rPr>
              <w:t>服务</w:t>
            </w:r>
          </w:p>
        </w:tc>
        <w:tc>
          <w:tcPr>
            <w:tcW w:w="2794" w:type="pct"/>
            <w:vAlign w:val="center"/>
          </w:tcPr>
          <w:p w14:paraId="0A9D6F51">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基于定海区人口、法人信息等重点数据，建立全要素标签画像关系链，支撑基层治理等重点场景。</w:t>
            </w:r>
          </w:p>
        </w:tc>
        <w:tc>
          <w:tcPr>
            <w:tcW w:w="349" w:type="pct"/>
            <w:vAlign w:val="center"/>
          </w:tcPr>
          <w:p w14:paraId="128BFFF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0AEEB8D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35459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25710AF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2</w:t>
            </w:r>
          </w:p>
        </w:tc>
        <w:tc>
          <w:tcPr>
            <w:tcW w:w="576" w:type="pct"/>
            <w:vMerge w:val="continue"/>
            <w:shd w:val="clear" w:color="auto" w:fill="auto"/>
            <w:vAlign w:val="center"/>
          </w:tcPr>
          <w:p w14:paraId="30BF582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1D1C5BD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标签规范制定服务</w:t>
            </w:r>
          </w:p>
        </w:tc>
        <w:tc>
          <w:tcPr>
            <w:tcW w:w="2794" w:type="pct"/>
            <w:vAlign w:val="center"/>
          </w:tcPr>
          <w:p w14:paraId="02B942D3">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汇聚</w:t>
            </w:r>
            <w:r>
              <w:rPr>
                <w:rFonts w:hint="eastAsia" w:asciiTheme="minorEastAsia" w:hAnsiTheme="minorEastAsia" w:eastAsiaTheme="minorEastAsia" w:cstheme="minorEastAsia"/>
                <w:sz w:val="21"/>
                <w:szCs w:val="21"/>
                <w:highlight w:val="none"/>
                <w:vertAlign w:val="baseline"/>
                <w:lang w:val="en-US" w:eastAsia="zh-CN"/>
              </w:rPr>
              <w:t>定海区</w:t>
            </w:r>
            <w:r>
              <w:rPr>
                <w:rFonts w:hint="eastAsia" w:asciiTheme="minorEastAsia" w:hAnsiTheme="minorEastAsia" w:eastAsiaTheme="minorEastAsia" w:cstheme="minorEastAsia"/>
                <w:sz w:val="21"/>
                <w:szCs w:val="21"/>
                <w:highlight w:val="none"/>
                <w:vertAlign w:val="baseline"/>
              </w:rPr>
              <w:t>各部门人口、法人数据标签制定标准，初步形成通用标签及</w:t>
            </w:r>
            <w:r>
              <w:rPr>
                <w:rFonts w:hint="eastAsia" w:asciiTheme="minorEastAsia" w:hAnsiTheme="minorEastAsia" w:eastAsiaTheme="minorEastAsia" w:cstheme="minorEastAsia"/>
                <w:sz w:val="21"/>
                <w:szCs w:val="21"/>
                <w:highlight w:val="none"/>
                <w:vertAlign w:val="baseline"/>
                <w:lang w:val="en-US" w:eastAsia="zh-CN"/>
              </w:rPr>
              <w:t>定海区</w:t>
            </w:r>
            <w:r>
              <w:rPr>
                <w:rFonts w:hint="eastAsia" w:asciiTheme="minorEastAsia" w:hAnsiTheme="minorEastAsia" w:eastAsiaTheme="minorEastAsia" w:cstheme="minorEastAsia"/>
                <w:sz w:val="21"/>
                <w:szCs w:val="21"/>
                <w:highlight w:val="none"/>
                <w:vertAlign w:val="baseline"/>
              </w:rPr>
              <w:t>特殊标签，开展数据标签分析工作，制定全</w:t>
            </w:r>
            <w:r>
              <w:rPr>
                <w:rFonts w:hint="eastAsia" w:asciiTheme="minorEastAsia" w:hAnsiTheme="minorEastAsia" w:eastAsiaTheme="minorEastAsia" w:cstheme="minorEastAsia"/>
                <w:sz w:val="21"/>
                <w:szCs w:val="21"/>
                <w:highlight w:val="none"/>
                <w:vertAlign w:val="baseline"/>
                <w:lang w:val="en-US" w:eastAsia="zh-CN"/>
              </w:rPr>
              <w:t>区</w:t>
            </w:r>
            <w:r>
              <w:rPr>
                <w:rFonts w:hint="eastAsia" w:asciiTheme="minorEastAsia" w:hAnsiTheme="minorEastAsia" w:eastAsiaTheme="minorEastAsia" w:cstheme="minorEastAsia"/>
                <w:sz w:val="21"/>
                <w:szCs w:val="21"/>
                <w:highlight w:val="none"/>
                <w:vertAlign w:val="baseline"/>
              </w:rPr>
              <w:t>统一的人口、法人数据标签规范。</w:t>
            </w:r>
          </w:p>
        </w:tc>
        <w:tc>
          <w:tcPr>
            <w:tcW w:w="349" w:type="pct"/>
            <w:vAlign w:val="center"/>
          </w:tcPr>
          <w:p w14:paraId="5E7BD76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421A026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6A738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621F7EE7">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3</w:t>
            </w:r>
          </w:p>
        </w:tc>
        <w:tc>
          <w:tcPr>
            <w:tcW w:w="576" w:type="pct"/>
            <w:vMerge w:val="continue"/>
            <w:shd w:val="clear" w:color="auto" w:fill="auto"/>
            <w:vAlign w:val="center"/>
          </w:tcPr>
          <w:p w14:paraId="63F8D47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06BED44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宋体" w:hAnsi="宋体" w:eastAsia="宋体" w:cs="宋体"/>
                <w:sz w:val="21"/>
                <w:szCs w:val="21"/>
                <w:lang w:val="en-US" w:eastAsia="zh-CN"/>
              </w:rPr>
              <w:t>数据标签打标服务</w:t>
            </w:r>
          </w:p>
        </w:tc>
        <w:tc>
          <w:tcPr>
            <w:tcW w:w="2794" w:type="pct"/>
            <w:vAlign w:val="center"/>
          </w:tcPr>
          <w:p w14:paraId="0EE1A595">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lang w:eastAsia="zh-CN"/>
              </w:rPr>
            </w:pPr>
            <w:r>
              <w:rPr>
                <w:rFonts w:hint="eastAsia" w:asciiTheme="minorEastAsia" w:hAnsiTheme="minorEastAsia" w:eastAsiaTheme="minorEastAsia" w:cstheme="minorEastAsia"/>
                <w:sz w:val="21"/>
                <w:szCs w:val="21"/>
                <w:highlight w:val="none"/>
                <w:vertAlign w:val="baseline"/>
                <w:lang w:val="en-US" w:eastAsia="zh-CN"/>
              </w:rPr>
              <w:t>基于定海区人口法人相关特色标签体系以及相关</w:t>
            </w:r>
            <w:r>
              <w:rPr>
                <w:rFonts w:hint="eastAsia" w:asciiTheme="minorEastAsia" w:hAnsiTheme="minorEastAsia" w:eastAsiaTheme="minorEastAsia" w:cstheme="minorEastAsia"/>
                <w:sz w:val="21"/>
                <w:szCs w:val="21"/>
                <w:highlight w:val="none"/>
                <w:vertAlign w:val="baseline"/>
              </w:rPr>
              <w:t>标签规范，完成</w:t>
            </w:r>
            <w:r>
              <w:rPr>
                <w:rFonts w:hint="eastAsia" w:asciiTheme="minorEastAsia" w:hAnsiTheme="minorEastAsia" w:eastAsiaTheme="minorEastAsia" w:cstheme="minorEastAsia"/>
                <w:sz w:val="21"/>
                <w:szCs w:val="21"/>
                <w:highlight w:val="none"/>
                <w:vertAlign w:val="baseline"/>
                <w:lang w:val="en-US" w:eastAsia="zh-CN"/>
              </w:rPr>
              <w:t>定海区</w:t>
            </w:r>
            <w:r>
              <w:rPr>
                <w:rFonts w:hint="eastAsia" w:asciiTheme="minorEastAsia" w:hAnsiTheme="minorEastAsia" w:eastAsiaTheme="minorEastAsia" w:cstheme="minorEastAsia"/>
                <w:sz w:val="21"/>
                <w:szCs w:val="21"/>
                <w:highlight w:val="none"/>
                <w:vertAlign w:val="baseline"/>
              </w:rPr>
              <w:t>人口、法人</w:t>
            </w:r>
            <w:r>
              <w:rPr>
                <w:rFonts w:hint="eastAsia" w:asciiTheme="minorEastAsia" w:hAnsiTheme="minorEastAsia" w:eastAsiaTheme="minorEastAsia" w:cstheme="minorEastAsia"/>
                <w:sz w:val="21"/>
                <w:szCs w:val="21"/>
                <w:highlight w:val="none"/>
                <w:vertAlign w:val="baseline"/>
                <w:lang w:val="en-US" w:eastAsia="zh-CN"/>
              </w:rPr>
              <w:t>等重点</w:t>
            </w:r>
            <w:r>
              <w:rPr>
                <w:rFonts w:hint="eastAsia" w:asciiTheme="minorEastAsia" w:hAnsiTheme="minorEastAsia" w:eastAsiaTheme="minorEastAsia" w:cstheme="minorEastAsia"/>
                <w:sz w:val="21"/>
                <w:szCs w:val="21"/>
                <w:highlight w:val="none"/>
                <w:vertAlign w:val="baseline"/>
              </w:rPr>
              <w:t>标签的数据打标工作</w:t>
            </w:r>
            <w:r>
              <w:rPr>
                <w:rFonts w:hint="eastAsia" w:asciiTheme="minorEastAsia" w:hAnsiTheme="minorEastAsia" w:eastAsiaTheme="minorEastAsia" w:cstheme="minorEastAsia"/>
                <w:sz w:val="21"/>
                <w:szCs w:val="21"/>
                <w:highlight w:val="none"/>
                <w:vertAlign w:val="baseline"/>
                <w:lang w:eastAsia="zh-CN"/>
              </w:rPr>
              <w:t>。</w:t>
            </w:r>
          </w:p>
        </w:tc>
        <w:tc>
          <w:tcPr>
            <w:tcW w:w="349" w:type="pct"/>
            <w:vAlign w:val="center"/>
          </w:tcPr>
          <w:p w14:paraId="642ACB7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5B2FFD1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63372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3D5715F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4</w:t>
            </w:r>
          </w:p>
        </w:tc>
        <w:tc>
          <w:tcPr>
            <w:tcW w:w="576" w:type="pct"/>
            <w:vMerge w:val="continue"/>
            <w:shd w:val="clear" w:color="auto" w:fill="auto"/>
            <w:vAlign w:val="center"/>
          </w:tcPr>
          <w:p w14:paraId="0DDFA85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277EAD09">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lang w:val="en-US" w:eastAsia="zh-CN"/>
              </w:rPr>
              <w:t>数据标签运维服务</w:t>
            </w:r>
          </w:p>
        </w:tc>
        <w:tc>
          <w:tcPr>
            <w:tcW w:w="2794" w:type="pct"/>
            <w:vAlign w:val="center"/>
          </w:tcPr>
          <w:p w14:paraId="37A042A6">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建立完善的标签管理体系，包括版本控制、</w:t>
            </w:r>
            <w:r>
              <w:rPr>
                <w:rFonts w:hint="eastAsia" w:asciiTheme="minorEastAsia" w:hAnsiTheme="minorEastAsia" w:eastAsiaTheme="minorEastAsia" w:cstheme="minorEastAsia"/>
                <w:sz w:val="21"/>
                <w:szCs w:val="21"/>
                <w:highlight w:val="none"/>
                <w:vertAlign w:val="baseline"/>
                <w:lang w:val="en-US" w:eastAsia="zh-CN"/>
              </w:rPr>
              <w:t>数据标签</w:t>
            </w:r>
            <w:r>
              <w:rPr>
                <w:rFonts w:hint="eastAsia" w:asciiTheme="minorEastAsia" w:hAnsiTheme="minorEastAsia" w:eastAsiaTheme="minorEastAsia" w:cstheme="minorEastAsia"/>
                <w:sz w:val="21"/>
                <w:szCs w:val="21"/>
                <w:highlight w:val="none"/>
                <w:vertAlign w:val="baseline"/>
              </w:rPr>
              <w:t>定期有效性审核和质量巡检机制，对失效标签及时下线或更新迭代。</w:t>
            </w:r>
          </w:p>
        </w:tc>
        <w:tc>
          <w:tcPr>
            <w:tcW w:w="349" w:type="pct"/>
            <w:vAlign w:val="center"/>
          </w:tcPr>
          <w:p w14:paraId="63F1215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105DFB4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35D8D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03082C9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5</w:t>
            </w:r>
          </w:p>
        </w:tc>
        <w:tc>
          <w:tcPr>
            <w:tcW w:w="576" w:type="pct"/>
            <w:vMerge w:val="restart"/>
            <w:vAlign w:val="center"/>
          </w:tcPr>
          <w:p w14:paraId="5A2AE8E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公共数据运营支撑服务</w:t>
            </w:r>
          </w:p>
        </w:tc>
        <w:tc>
          <w:tcPr>
            <w:tcW w:w="612" w:type="pct"/>
            <w:vAlign w:val="center"/>
          </w:tcPr>
          <w:p w14:paraId="3998734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数据资产总览</w:t>
            </w:r>
          </w:p>
        </w:tc>
        <w:tc>
          <w:tcPr>
            <w:tcW w:w="2794" w:type="pct"/>
            <w:vAlign w:val="center"/>
          </w:tcPr>
          <w:p w14:paraId="62FDEC8D">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集中展示定海区数据仓系统中已归集的各类公共数据资产概况，包括但不限于接入的定海区公共数据目录数量、数据共享总数、累计归集数据量、已完成的数据推送任务数等，实现数据资产化的直观展示。</w:t>
            </w:r>
          </w:p>
        </w:tc>
        <w:tc>
          <w:tcPr>
            <w:tcW w:w="349" w:type="pct"/>
            <w:vAlign w:val="center"/>
          </w:tcPr>
          <w:p w14:paraId="40F7631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0FEE13D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49A18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409C1D5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6</w:t>
            </w:r>
          </w:p>
        </w:tc>
        <w:tc>
          <w:tcPr>
            <w:tcW w:w="576" w:type="pct"/>
            <w:vMerge w:val="continue"/>
            <w:vAlign w:val="center"/>
          </w:tcPr>
          <w:p w14:paraId="10712208">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124D2E9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运维数据总览</w:t>
            </w:r>
          </w:p>
        </w:tc>
        <w:tc>
          <w:tcPr>
            <w:tcW w:w="2794" w:type="pct"/>
            <w:vAlign w:val="center"/>
          </w:tcPr>
          <w:p w14:paraId="4A4A813F">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构建运维数据总览页面，实时呈现定海区数据仓系统中所挂载的组件、中间件及数据库的内存使用情况、剩余空间及运行状态等关键信息，使运维人员能够迅速掌握系统健康状态，提升整体运维效率。</w:t>
            </w:r>
          </w:p>
        </w:tc>
        <w:tc>
          <w:tcPr>
            <w:tcW w:w="349" w:type="pct"/>
            <w:vAlign w:val="center"/>
          </w:tcPr>
          <w:p w14:paraId="3888A1A7">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676FDB0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61249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63D51EDD">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7</w:t>
            </w:r>
          </w:p>
        </w:tc>
        <w:tc>
          <w:tcPr>
            <w:tcW w:w="576" w:type="pct"/>
            <w:vMerge w:val="continue"/>
            <w:vAlign w:val="center"/>
          </w:tcPr>
          <w:p w14:paraId="3108D2CB">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1407048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数据授权租户模式</w:t>
            </w:r>
          </w:p>
        </w:tc>
        <w:tc>
          <w:tcPr>
            <w:tcW w:w="2794" w:type="pct"/>
            <w:vAlign w:val="center"/>
          </w:tcPr>
          <w:p w14:paraId="78879CA5">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根据省市关于公共数据授权运营工作的指导意见及支撑指标，需在定海区数据仓系统原有功能基础上，增设数据授权租户模式模块。该模式需支持租户空间的快速开通，具备公共数据的灵活分发与数据权限的精细管控功能，满足定海区公共数据运营与管理的多元化需求。</w:t>
            </w:r>
          </w:p>
        </w:tc>
        <w:tc>
          <w:tcPr>
            <w:tcW w:w="349" w:type="pct"/>
            <w:vAlign w:val="center"/>
          </w:tcPr>
          <w:p w14:paraId="00CCCB2C">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626964C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36DD4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30610ED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8</w:t>
            </w:r>
          </w:p>
        </w:tc>
        <w:tc>
          <w:tcPr>
            <w:tcW w:w="576" w:type="pct"/>
            <w:vMerge w:val="restart"/>
            <w:vAlign w:val="center"/>
          </w:tcPr>
          <w:p w14:paraId="30E1B36D">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数据运营运维服务</w:t>
            </w:r>
          </w:p>
        </w:tc>
        <w:tc>
          <w:tcPr>
            <w:tcW w:w="612" w:type="pct"/>
            <w:vAlign w:val="center"/>
          </w:tcPr>
          <w:p w14:paraId="1767791F">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数据目录运营服务</w:t>
            </w:r>
          </w:p>
        </w:tc>
        <w:tc>
          <w:tcPr>
            <w:tcW w:w="2794" w:type="pct"/>
            <w:vAlign w:val="center"/>
          </w:tcPr>
          <w:p w14:paraId="738A9345">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定海区基于全省一体化目录架构，并针对已编目的公共数据及数据项进行全年动态管理和更新，提供数据目录运营服务。</w:t>
            </w:r>
          </w:p>
        </w:tc>
        <w:tc>
          <w:tcPr>
            <w:tcW w:w="349" w:type="pct"/>
            <w:vAlign w:val="center"/>
          </w:tcPr>
          <w:p w14:paraId="1E3B904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4963BDAD">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339AC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462235C9">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9</w:t>
            </w:r>
          </w:p>
        </w:tc>
        <w:tc>
          <w:tcPr>
            <w:tcW w:w="576" w:type="pct"/>
            <w:vMerge w:val="continue"/>
            <w:vAlign w:val="center"/>
          </w:tcPr>
          <w:p w14:paraId="41C9AD6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101D4C6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数据归集服务</w:t>
            </w:r>
          </w:p>
        </w:tc>
        <w:tc>
          <w:tcPr>
            <w:tcW w:w="2794" w:type="pct"/>
            <w:vAlign w:val="center"/>
          </w:tcPr>
          <w:p w14:paraId="78D5377A">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围绕定海区在建系统以及区级相关存量系统，归集各个系统产生的数据，提供数据归集运营服务。</w:t>
            </w:r>
          </w:p>
        </w:tc>
        <w:tc>
          <w:tcPr>
            <w:tcW w:w="349" w:type="pct"/>
            <w:vAlign w:val="center"/>
          </w:tcPr>
          <w:p w14:paraId="62F97868">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1992C0B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70EB6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250" w:type="pct"/>
            <w:vAlign w:val="center"/>
          </w:tcPr>
          <w:p w14:paraId="30D7B8E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10</w:t>
            </w:r>
          </w:p>
        </w:tc>
        <w:tc>
          <w:tcPr>
            <w:tcW w:w="576" w:type="pct"/>
            <w:vMerge w:val="continue"/>
            <w:vAlign w:val="center"/>
          </w:tcPr>
          <w:p w14:paraId="58A9C05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6508D68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数据共享服务</w:t>
            </w:r>
          </w:p>
        </w:tc>
        <w:tc>
          <w:tcPr>
            <w:tcW w:w="2794" w:type="pct"/>
            <w:vAlign w:val="center"/>
          </w:tcPr>
          <w:p w14:paraId="07B67035">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根据各个部门的数据需求，基于一体化平台，实现各个部门之间的数据共享，提供数据共享运营服务。</w:t>
            </w:r>
          </w:p>
        </w:tc>
        <w:tc>
          <w:tcPr>
            <w:tcW w:w="349" w:type="pct"/>
            <w:vAlign w:val="center"/>
          </w:tcPr>
          <w:p w14:paraId="66680679">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44B74DFE">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663D0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72A8CF68">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11</w:t>
            </w:r>
          </w:p>
        </w:tc>
        <w:tc>
          <w:tcPr>
            <w:tcW w:w="576" w:type="pct"/>
            <w:vMerge w:val="continue"/>
            <w:vAlign w:val="center"/>
          </w:tcPr>
          <w:p w14:paraId="04334D2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416E9725">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IRS应用运维服务</w:t>
            </w:r>
          </w:p>
        </w:tc>
        <w:tc>
          <w:tcPr>
            <w:tcW w:w="2794" w:type="pct"/>
            <w:vAlign w:val="center"/>
          </w:tcPr>
          <w:p w14:paraId="6515FD55">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围绕《一体化数字资源系统（IRS）工作要点》对IRS相关工作进行常态化保障。</w:t>
            </w:r>
          </w:p>
        </w:tc>
        <w:tc>
          <w:tcPr>
            <w:tcW w:w="349" w:type="pct"/>
            <w:vAlign w:val="center"/>
          </w:tcPr>
          <w:p w14:paraId="318C23D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50A4E65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77F85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7665876E">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12</w:t>
            </w:r>
          </w:p>
        </w:tc>
        <w:tc>
          <w:tcPr>
            <w:tcW w:w="576" w:type="pct"/>
            <w:vMerge w:val="continue"/>
            <w:vAlign w:val="center"/>
          </w:tcPr>
          <w:p w14:paraId="1E41D113">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60C3233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数据开放服务</w:t>
            </w:r>
          </w:p>
        </w:tc>
        <w:tc>
          <w:tcPr>
            <w:tcW w:w="2794" w:type="pct"/>
            <w:vAlign w:val="center"/>
          </w:tcPr>
          <w:p w14:paraId="47AACC7F">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依托市级数据开放网站的区级开放专区，实现定海区数据的数据开放，提供数据开放运营服务。</w:t>
            </w:r>
          </w:p>
        </w:tc>
        <w:tc>
          <w:tcPr>
            <w:tcW w:w="349" w:type="pct"/>
            <w:vAlign w:val="center"/>
          </w:tcPr>
          <w:p w14:paraId="55E39E5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3B64C554">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084C3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6FCD0A3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13</w:t>
            </w:r>
          </w:p>
        </w:tc>
        <w:tc>
          <w:tcPr>
            <w:tcW w:w="576" w:type="pct"/>
            <w:vMerge w:val="continue"/>
            <w:vAlign w:val="center"/>
          </w:tcPr>
          <w:p w14:paraId="25B5BC8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3916ADC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数据回流服务</w:t>
            </w:r>
          </w:p>
        </w:tc>
        <w:tc>
          <w:tcPr>
            <w:tcW w:w="2794" w:type="pct"/>
            <w:vAlign w:val="center"/>
          </w:tcPr>
          <w:p w14:paraId="67EC728D">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针对受限共享的数据在省市平台进行申请，对条件共享的数据与数源部门沟通协调，对已回流的数据通过数据交换方式或高铁模式将数据导出回流数据仓，提供回流数据运营服务。</w:t>
            </w:r>
          </w:p>
        </w:tc>
        <w:tc>
          <w:tcPr>
            <w:tcW w:w="349" w:type="pct"/>
            <w:vAlign w:val="center"/>
          </w:tcPr>
          <w:p w14:paraId="4EC09EA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579E7CF6">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r w14:paraId="01A47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 w:type="pct"/>
            <w:vAlign w:val="center"/>
          </w:tcPr>
          <w:p w14:paraId="4C543A69">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14</w:t>
            </w:r>
          </w:p>
        </w:tc>
        <w:tc>
          <w:tcPr>
            <w:tcW w:w="576" w:type="pct"/>
            <w:vMerge w:val="continue"/>
            <w:vAlign w:val="center"/>
          </w:tcPr>
          <w:p w14:paraId="3D02D9A1">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p>
        </w:tc>
        <w:tc>
          <w:tcPr>
            <w:tcW w:w="612" w:type="pct"/>
            <w:vAlign w:val="center"/>
          </w:tcPr>
          <w:p w14:paraId="0296A840">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数据清洗与整合服务</w:t>
            </w:r>
          </w:p>
        </w:tc>
        <w:tc>
          <w:tcPr>
            <w:tcW w:w="2794" w:type="pct"/>
            <w:vAlign w:val="center"/>
          </w:tcPr>
          <w:p w14:paraId="5EB45E03">
            <w:pPr>
              <w:pStyle w:val="10"/>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对已完成归集的重点数据进行清洗和整合，整合为符合数据标准规范的基础数据，提供数据清洗与整合运营服务。</w:t>
            </w:r>
          </w:p>
        </w:tc>
        <w:tc>
          <w:tcPr>
            <w:tcW w:w="349" w:type="pct"/>
            <w:vAlign w:val="center"/>
          </w:tcPr>
          <w:p w14:paraId="016732A2">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lang w:val="en-US" w:eastAsia="zh-CN"/>
              </w:rPr>
            </w:pPr>
            <w:r>
              <w:rPr>
                <w:rFonts w:hint="eastAsia" w:asciiTheme="minorEastAsia" w:hAnsiTheme="minorEastAsia" w:eastAsiaTheme="minorEastAsia" w:cstheme="minorEastAsia"/>
                <w:sz w:val="21"/>
                <w:szCs w:val="21"/>
                <w:highlight w:val="none"/>
                <w:vertAlign w:val="baseline"/>
                <w:lang w:val="en-US" w:eastAsia="zh-CN"/>
              </w:rPr>
              <w:t>1</w:t>
            </w:r>
          </w:p>
        </w:tc>
        <w:tc>
          <w:tcPr>
            <w:tcW w:w="416" w:type="pct"/>
            <w:vAlign w:val="center"/>
          </w:tcPr>
          <w:p w14:paraId="4B69710A">
            <w:pPr>
              <w:pStyle w:val="10"/>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Theme="minorEastAsia" w:hAnsiTheme="minorEastAsia" w:eastAsiaTheme="minorEastAsia" w:cstheme="minorEastAsia"/>
                <w:sz w:val="21"/>
                <w:szCs w:val="21"/>
                <w:highlight w:val="none"/>
                <w:vertAlign w:val="baseline"/>
              </w:rPr>
            </w:pPr>
            <w:r>
              <w:rPr>
                <w:rFonts w:hint="eastAsia" w:asciiTheme="minorEastAsia" w:hAnsiTheme="minorEastAsia" w:eastAsiaTheme="minorEastAsia" w:cstheme="minorEastAsia"/>
                <w:sz w:val="21"/>
                <w:szCs w:val="21"/>
                <w:highlight w:val="none"/>
                <w:vertAlign w:val="baseline"/>
              </w:rPr>
              <w:t>项</w:t>
            </w:r>
          </w:p>
        </w:tc>
      </w:tr>
    </w:tbl>
    <w:p w14:paraId="4822D07C">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auto"/>
        <w:textAlignment w:val="baseline"/>
        <w:rPr>
          <w:rFonts w:hint="eastAsia" w:ascii="宋体" w:hAnsi="宋体" w:cs="宋体"/>
          <w:bCs/>
          <w:color w:val="000000"/>
          <w:kern w:val="1"/>
          <w:szCs w:val="21"/>
          <w:highlight w:val="none"/>
        </w:rPr>
      </w:pPr>
    </w:p>
    <w:p w14:paraId="32E16CB3">
      <w:pPr>
        <w:pStyle w:val="4"/>
        <w:keepNext/>
        <w:keepLines/>
        <w:pageBreakBefore w:val="0"/>
        <w:widowControl w:val="0"/>
        <w:numPr>
          <w:ilvl w:val="0"/>
          <w:numId w:val="3"/>
        </w:numPr>
        <w:kinsoku/>
        <w:wordWrap/>
        <w:overflowPunct/>
        <w:topLinePunct w:val="0"/>
        <w:autoSpaceDE w:val="0"/>
        <w:autoSpaceDN w:val="0"/>
        <w:bidi w:val="0"/>
        <w:adjustRightInd w:val="0"/>
        <w:snapToGrid/>
        <w:spacing w:before="100" w:after="100" w:line="360" w:lineRule="auto"/>
        <w:ind w:left="0" w:leftChars="0" w:firstLine="0" w:firstLineChars="0"/>
        <w:textAlignment w:val="auto"/>
        <w:rPr>
          <w:rFonts w:hint="eastAsia"/>
          <w:sz w:val="21"/>
          <w:szCs w:val="21"/>
          <w:highlight w:val="none"/>
          <w:u w:val="none"/>
          <w:lang w:val="zh-CN"/>
        </w:rPr>
      </w:pPr>
      <w:r>
        <w:rPr>
          <w:rFonts w:hint="eastAsia"/>
          <w:sz w:val="21"/>
          <w:szCs w:val="21"/>
          <w:highlight w:val="none"/>
          <w:u w:val="none"/>
          <w:lang w:val="zh-CN"/>
        </w:rPr>
        <w:t>项目</w:t>
      </w:r>
      <w:r>
        <w:rPr>
          <w:rFonts w:hint="eastAsia"/>
          <w:sz w:val="21"/>
          <w:szCs w:val="21"/>
          <w:highlight w:val="none"/>
          <w:u w:val="none"/>
          <w:lang w:val="en-US" w:eastAsia="zh-CN"/>
        </w:rPr>
        <w:t>售后服务</w:t>
      </w:r>
    </w:p>
    <w:p w14:paraId="583D2EA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lang w:val="zh-CN"/>
        </w:rPr>
      </w:pPr>
      <w:r>
        <w:rPr>
          <w:rFonts w:hint="eastAsia" w:ascii="宋体" w:hAnsi="宋体" w:eastAsia="宋体" w:cs="宋体"/>
          <w:lang w:val="zh-CN"/>
        </w:rPr>
        <w:t>1、</w:t>
      </w:r>
      <w:r>
        <w:rPr>
          <w:rFonts w:hint="eastAsia" w:ascii="宋体" w:hAnsi="宋体" w:eastAsia="宋体" w:cs="宋体"/>
          <w:lang w:val="en-US" w:eastAsia="zh-CN"/>
        </w:rPr>
        <w:t>响应</w:t>
      </w:r>
      <w:r>
        <w:rPr>
          <w:rFonts w:hint="eastAsia" w:ascii="宋体" w:hAnsi="宋体" w:eastAsia="宋体" w:cs="宋体"/>
          <w:lang w:val="zh-CN"/>
        </w:rPr>
        <w:t>人必须为本项目内所供应和安装的产品提供一年的免费质保服务。</w:t>
      </w:r>
    </w:p>
    <w:p w14:paraId="00356BC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lang w:val="zh-CN"/>
        </w:rPr>
      </w:pPr>
      <w:r>
        <w:rPr>
          <w:rFonts w:hint="eastAsia" w:ascii="宋体" w:hAnsi="宋体" w:eastAsia="宋体" w:cs="宋体"/>
          <w:lang w:val="zh-CN"/>
        </w:rPr>
        <w:t>2、</w:t>
      </w:r>
      <w:r>
        <w:rPr>
          <w:rFonts w:hint="eastAsia" w:ascii="宋体" w:hAnsi="宋体" w:eastAsia="宋体" w:cs="宋体"/>
          <w:lang w:val="en-US" w:eastAsia="zh-CN"/>
        </w:rPr>
        <w:t>响应</w:t>
      </w:r>
      <w:r>
        <w:rPr>
          <w:rFonts w:hint="eastAsia" w:ascii="宋体" w:hAnsi="宋体" w:eastAsia="宋体" w:cs="宋体"/>
          <w:lang w:val="zh-CN"/>
        </w:rPr>
        <w:t>人必须配有较强的专业技术队伍，具备完善的售后服务体系，能确保现场实施和售后现场服务响应，售后服务方式包括但不限于：电话、电子邮件、远程和现场技术支持、软件升级修补等。售后服务期间，针对一般问题需提供 7*24 小时远程技术支持服务，针对重大问题或远程没有解决的问题需现场解决，并于24小时内恢复业务正常运行。</w:t>
      </w:r>
    </w:p>
    <w:p w14:paraId="5A55F57C">
      <w:pPr>
        <w:pStyle w:val="4"/>
        <w:keepNext/>
        <w:keepLines/>
        <w:pageBreakBefore w:val="0"/>
        <w:widowControl w:val="0"/>
        <w:numPr>
          <w:ilvl w:val="0"/>
          <w:numId w:val="3"/>
        </w:numPr>
        <w:kinsoku/>
        <w:wordWrap/>
        <w:overflowPunct/>
        <w:topLinePunct w:val="0"/>
        <w:autoSpaceDE w:val="0"/>
        <w:autoSpaceDN w:val="0"/>
        <w:bidi w:val="0"/>
        <w:adjustRightInd w:val="0"/>
        <w:snapToGrid/>
        <w:spacing w:before="100" w:after="100" w:line="360" w:lineRule="auto"/>
        <w:ind w:left="0" w:leftChars="0" w:firstLine="0" w:firstLineChars="0"/>
        <w:textAlignment w:val="auto"/>
        <w:rPr>
          <w:rFonts w:hint="eastAsia"/>
          <w:sz w:val="21"/>
          <w:szCs w:val="21"/>
          <w:highlight w:val="none"/>
          <w:u w:val="none"/>
          <w:lang w:val="zh-CN"/>
        </w:rPr>
      </w:pPr>
      <w:r>
        <w:rPr>
          <w:rFonts w:hint="eastAsia"/>
          <w:sz w:val="21"/>
          <w:szCs w:val="21"/>
          <w:highlight w:val="none"/>
          <w:u w:val="none"/>
          <w:lang w:val="zh-CN"/>
        </w:rPr>
        <w:t>培训要求</w:t>
      </w:r>
    </w:p>
    <w:p w14:paraId="1C87710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u w:val="none"/>
          <w:lang w:val="zh-CN"/>
        </w:rPr>
      </w:pPr>
      <w:r>
        <w:rPr>
          <w:rFonts w:hint="eastAsia" w:ascii="宋体" w:hAnsi="宋体" w:eastAsia="宋体" w:cs="宋体"/>
          <w:highlight w:val="none"/>
          <w:u w:val="none"/>
          <w:lang w:val="zh-CN"/>
        </w:rPr>
        <w:t>1、</w:t>
      </w:r>
      <w:r>
        <w:rPr>
          <w:rFonts w:hint="eastAsia" w:ascii="宋体" w:hAnsi="宋体" w:eastAsia="宋体" w:cs="宋体"/>
          <w:lang w:val="en-US" w:eastAsia="zh-CN"/>
        </w:rPr>
        <w:t>响应</w:t>
      </w:r>
      <w:r>
        <w:rPr>
          <w:rFonts w:hint="eastAsia" w:ascii="宋体" w:hAnsi="宋体" w:eastAsia="宋体" w:cs="宋体"/>
          <w:lang w:val="zh-CN"/>
        </w:rPr>
        <w:t>人</w:t>
      </w:r>
      <w:r>
        <w:rPr>
          <w:rFonts w:hint="eastAsia" w:ascii="宋体" w:hAnsi="宋体" w:eastAsia="宋体" w:cs="宋体"/>
          <w:highlight w:val="none"/>
          <w:u w:val="none"/>
          <w:lang w:val="zh-CN"/>
        </w:rPr>
        <w:t>应在</w:t>
      </w:r>
      <w:r>
        <w:rPr>
          <w:rFonts w:hint="eastAsia" w:ascii="宋体" w:hAnsi="宋体" w:cs="宋体"/>
          <w:highlight w:val="none"/>
          <w:u w:val="none"/>
          <w:lang w:val="en-US" w:eastAsia="zh-CN"/>
        </w:rPr>
        <w:t>响应</w:t>
      </w:r>
      <w:r>
        <w:rPr>
          <w:rFonts w:hint="eastAsia" w:ascii="宋体" w:hAnsi="宋体" w:eastAsia="宋体" w:cs="宋体"/>
          <w:highlight w:val="none"/>
          <w:u w:val="none"/>
          <w:lang w:val="zh-CN"/>
        </w:rPr>
        <w:t>文件中提出培训计划，计划包括培训项目、人数、地点、日程、资料等其它详细内容。</w:t>
      </w:r>
    </w:p>
    <w:p w14:paraId="425301A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u w:val="none"/>
          <w:lang w:val="zh-CN"/>
        </w:rPr>
      </w:pPr>
      <w:r>
        <w:rPr>
          <w:rFonts w:hint="eastAsia" w:ascii="宋体" w:hAnsi="宋体" w:eastAsia="宋体" w:cs="宋体"/>
          <w:highlight w:val="none"/>
          <w:u w:val="none"/>
          <w:lang w:val="zh-CN"/>
        </w:rPr>
        <w:t>2、技术培训的内容必须包含软件的日常操作和管理维护，以及基本的故障诊断与排错。</w:t>
      </w:r>
    </w:p>
    <w:p w14:paraId="647076A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u w:val="none"/>
          <w:lang w:val="zh-CN"/>
        </w:rPr>
      </w:pPr>
      <w:r>
        <w:rPr>
          <w:rFonts w:hint="eastAsia" w:ascii="宋体" w:hAnsi="宋体" w:eastAsia="宋体" w:cs="宋体"/>
          <w:highlight w:val="none"/>
          <w:u w:val="none"/>
          <w:lang w:val="zh-CN"/>
        </w:rPr>
        <w:t>3、培训人员必须</w:t>
      </w:r>
      <w:r>
        <w:rPr>
          <w:rFonts w:hint="eastAsia" w:ascii="宋体" w:hAnsi="宋体" w:eastAsia="宋体" w:cs="宋体"/>
          <w:highlight w:val="none"/>
          <w:u w:val="none"/>
          <w:lang w:val="en-US" w:eastAsia="zh-CN"/>
        </w:rPr>
        <w:t>为</w:t>
      </w:r>
      <w:r>
        <w:rPr>
          <w:rFonts w:hint="eastAsia" w:ascii="宋体" w:hAnsi="宋体" w:eastAsia="宋体" w:cs="宋体"/>
          <w:highlight w:val="none"/>
          <w:u w:val="none"/>
          <w:lang w:val="zh-CN"/>
        </w:rPr>
        <w:t>公司资深工程师。</w:t>
      </w:r>
    </w:p>
    <w:p w14:paraId="15700C23">
      <w:pPr>
        <w:pStyle w:val="4"/>
        <w:keepNext/>
        <w:keepLines/>
        <w:pageBreakBefore w:val="0"/>
        <w:widowControl w:val="0"/>
        <w:numPr>
          <w:ilvl w:val="0"/>
          <w:numId w:val="3"/>
        </w:numPr>
        <w:kinsoku/>
        <w:wordWrap/>
        <w:overflowPunct/>
        <w:topLinePunct w:val="0"/>
        <w:autoSpaceDE w:val="0"/>
        <w:autoSpaceDN w:val="0"/>
        <w:bidi w:val="0"/>
        <w:adjustRightInd w:val="0"/>
        <w:snapToGrid/>
        <w:spacing w:before="100" w:after="100" w:line="360" w:lineRule="auto"/>
        <w:ind w:left="0" w:leftChars="0" w:firstLine="0" w:firstLineChars="0"/>
        <w:textAlignment w:val="auto"/>
        <w:rPr>
          <w:rFonts w:hint="eastAsia" w:ascii="宋体" w:hAnsi="宋体" w:eastAsia="宋体" w:cs="宋体"/>
          <w:sz w:val="21"/>
          <w:szCs w:val="21"/>
          <w:highlight w:val="none"/>
          <w:u w:val="none"/>
          <w:lang w:val="zh-CN"/>
        </w:rPr>
      </w:pPr>
      <w:r>
        <w:rPr>
          <w:rFonts w:hint="eastAsia"/>
          <w:sz w:val="21"/>
          <w:szCs w:val="21"/>
          <w:highlight w:val="none"/>
          <w:u w:val="none"/>
          <w:lang w:val="en-US" w:eastAsia="zh-CN"/>
        </w:rPr>
        <w:t>其他</w:t>
      </w:r>
      <w:r>
        <w:rPr>
          <w:rFonts w:hint="eastAsia"/>
          <w:sz w:val="21"/>
          <w:szCs w:val="21"/>
          <w:highlight w:val="none"/>
          <w:u w:val="none"/>
          <w:lang w:val="zh-CN"/>
        </w:rPr>
        <w:t>要求</w:t>
      </w:r>
    </w:p>
    <w:p w14:paraId="318F53E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u w:val="none"/>
          <w:lang w:val="zh-CN"/>
        </w:rPr>
      </w:pPr>
      <w:r>
        <w:rPr>
          <w:rFonts w:hint="eastAsia" w:ascii="宋体" w:hAnsi="宋体" w:eastAsia="宋体" w:cs="宋体"/>
          <w:highlight w:val="none"/>
          <w:u w:val="none"/>
          <w:lang w:val="zh-CN"/>
        </w:rPr>
        <w:t>1、</w:t>
      </w:r>
      <w:r>
        <w:rPr>
          <w:rFonts w:hint="eastAsia" w:ascii="宋体" w:hAnsi="宋体" w:eastAsia="宋体" w:cs="宋体"/>
          <w:lang w:val="en-US" w:eastAsia="zh-CN"/>
        </w:rPr>
        <w:t>成交</w:t>
      </w:r>
      <w:r>
        <w:rPr>
          <w:rFonts w:hint="eastAsia" w:ascii="宋体" w:hAnsi="宋体" w:eastAsia="宋体" w:cs="宋体"/>
          <w:lang w:val="zh-CN"/>
        </w:rPr>
        <w:t>人</w:t>
      </w:r>
      <w:r>
        <w:rPr>
          <w:rFonts w:hint="eastAsia" w:ascii="宋体" w:hAnsi="宋体" w:eastAsia="宋体" w:cs="宋体"/>
          <w:highlight w:val="none"/>
          <w:u w:val="none"/>
          <w:lang w:val="zh-CN"/>
        </w:rPr>
        <w:t>在与采购</w:t>
      </w:r>
      <w:r>
        <w:rPr>
          <w:rFonts w:hint="eastAsia" w:ascii="宋体" w:hAnsi="宋体" w:eastAsia="宋体" w:cs="宋体"/>
          <w:highlight w:val="none"/>
          <w:u w:val="none"/>
          <w:lang w:val="en-US" w:eastAsia="zh-CN"/>
        </w:rPr>
        <w:t>人</w:t>
      </w:r>
      <w:r>
        <w:rPr>
          <w:rFonts w:hint="eastAsia" w:ascii="宋体" w:hAnsi="宋体" w:eastAsia="宋体" w:cs="宋体"/>
          <w:highlight w:val="none"/>
          <w:u w:val="none"/>
          <w:lang w:val="zh-CN"/>
        </w:rPr>
        <w:t>签订合同时，同时要与采购人签订保密协议，双方必须对合作过程中涉及的工作秘密、业务需求、协议、系统设计、技术成果等内容和相关事务保密。</w:t>
      </w:r>
    </w:p>
    <w:p w14:paraId="35D678E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u w:val="none"/>
          <w:lang w:val="zh-CN"/>
        </w:rPr>
      </w:pPr>
      <w:r>
        <w:rPr>
          <w:rFonts w:hint="eastAsia" w:ascii="宋体" w:hAnsi="宋体" w:eastAsia="宋体" w:cs="宋体"/>
          <w:highlight w:val="none"/>
          <w:u w:val="none"/>
          <w:lang w:val="zh-CN"/>
        </w:rPr>
        <w:t>2、采购人认为</w:t>
      </w:r>
      <w:r>
        <w:rPr>
          <w:rFonts w:hint="eastAsia" w:ascii="宋体" w:hAnsi="宋体" w:eastAsia="宋体" w:cs="宋体"/>
          <w:highlight w:val="none"/>
          <w:u w:val="none"/>
          <w:lang w:val="en-US" w:eastAsia="zh-CN"/>
        </w:rPr>
        <w:t>成交</w:t>
      </w:r>
      <w:r>
        <w:rPr>
          <w:rFonts w:hint="eastAsia" w:ascii="宋体" w:hAnsi="宋体" w:eastAsia="宋体" w:cs="宋体"/>
          <w:highlight w:val="none"/>
          <w:u w:val="none"/>
          <w:lang w:val="zh-CN"/>
        </w:rPr>
        <w:t>人提供的产品和服务不能满足需求，可否决、终止本次采购。</w:t>
      </w:r>
    </w:p>
    <w:p w14:paraId="6609BE6B">
      <w:pPr>
        <w:spacing w:line="360" w:lineRule="auto"/>
        <w:ind w:firstLine="420" w:firstLineChars="200"/>
        <w:jc w:val="left"/>
        <w:outlineLvl w:val="9"/>
        <w:rPr>
          <w:rFonts w:ascii="宋体" w:hAnsi="宋体" w:cs="宋体"/>
          <w:bCs/>
          <w:szCs w:val="21"/>
          <w:highlight w:val="none"/>
        </w:rPr>
      </w:pPr>
      <w:r>
        <w:rPr>
          <w:rFonts w:hint="eastAsia" w:ascii="宋体" w:hAnsi="宋体" w:cs="宋体"/>
          <w:bCs/>
          <w:szCs w:val="21"/>
          <w:highlight w:val="none"/>
        </w:rPr>
        <w:t>3、采购</w:t>
      </w:r>
      <w:r>
        <w:rPr>
          <w:rFonts w:hint="eastAsia" w:ascii="宋体" w:hAnsi="宋体" w:cs="宋体"/>
          <w:bCs/>
          <w:szCs w:val="21"/>
          <w:highlight w:val="none"/>
          <w:lang w:eastAsia="zh-CN"/>
        </w:rPr>
        <w:t>人</w:t>
      </w:r>
      <w:r>
        <w:rPr>
          <w:rFonts w:hint="eastAsia" w:ascii="宋体" w:hAnsi="宋体" w:cs="宋体"/>
          <w:bCs/>
          <w:szCs w:val="21"/>
          <w:highlight w:val="none"/>
          <w:lang w:val="en-US" w:eastAsia="zh-CN"/>
        </w:rPr>
        <w:t>将</w:t>
      </w:r>
      <w:r>
        <w:rPr>
          <w:rFonts w:hint="eastAsia" w:ascii="宋体" w:hAnsi="宋体" w:cs="宋体"/>
          <w:bCs/>
          <w:szCs w:val="21"/>
          <w:highlight w:val="none"/>
        </w:rPr>
        <w:t>根据业务需求提供相应的平台对接方式及技术支撑单位。</w:t>
      </w:r>
    </w:p>
    <w:p w14:paraId="24ABD3E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u w:val="none"/>
          <w:lang w:val="zh-CN"/>
        </w:rPr>
        <w:sectPr>
          <w:pgSz w:w="11906" w:h="16838"/>
          <w:pgMar w:top="1531" w:right="1191" w:bottom="737" w:left="1191" w:header="851" w:footer="584" w:gutter="0"/>
          <w:pgBorders>
            <w:top w:val="none" w:sz="0" w:space="0"/>
            <w:left w:val="none" w:sz="0" w:space="0"/>
            <w:bottom w:val="none" w:sz="0" w:space="0"/>
            <w:right w:val="none" w:sz="0" w:space="0"/>
          </w:pgBorders>
          <w:pgNumType w:fmt="decimal"/>
          <w:cols w:space="720" w:num="1"/>
          <w:docGrid w:type="lines" w:linePitch="312" w:charSpace="0"/>
        </w:sectPr>
      </w:pPr>
    </w:p>
    <w:p w14:paraId="44A10BE6">
      <w:pPr>
        <w:jc w:val="center"/>
        <w:outlineLvl w:val="0"/>
        <w:rPr>
          <w:rFonts w:ascii="宋体" w:hAnsi="宋体" w:cs="宋体"/>
          <w:b/>
          <w:sz w:val="28"/>
          <w:szCs w:val="28"/>
          <w:highlight w:val="none"/>
        </w:rPr>
      </w:pPr>
      <w:r>
        <w:rPr>
          <w:rFonts w:hint="eastAsia" w:ascii="宋体" w:hAnsi="宋体" w:cs="宋体"/>
          <w:b/>
          <w:sz w:val="28"/>
          <w:szCs w:val="28"/>
          <w:highlight w:val="none"/>
        </w:rPr>
        <w:t xml:space="preserve">第三章  </w:t>
      </w:r>
      <w:r>
        <w:rPr>
          <w:rFonts w:hint="eastAsia" w:ascii="宋体" w:hAnsi="宋体" w:cs="宋体"/>
          <w:b/>
          <w:sz w:val="28"/>
          <w:szCs w:val="28"/>
          <w:highlight w:val="none"/>
          <w:lang w:eastAsia="zh-CN"/>
        </w:rPr>
        <w:t>响应人</w:t>
      </w:r>
      <w:r>
        <w:rPr>
          <w:rFonts w:hint="eastAsia" w:ascii="宋体" w:hAnsi="宋体" w:cs="宋体"/>
          <w:b/>
          <w:sz w:val="28"/>
          <w:szCs w:val="28"/>
          <w:highlight w:val="none"/>
        </w:rPr>
        <w:t>须知</w:t>
      </w:r>
    </w:p>
    <w:p w14:paraId="38826B85">
      <w:pPr>
        <w:snapToGrid w:val="0"/>
        <w:spacing w:line="276" w:lineRule="auto"/>
        <w:jc w:val="center"/>
        <w:outlineLvl w:val="1"/>
        <w:rPr>
          <w:rFonts w:ascii="宋体" w:hAnsi="宋体" w:cs="宋体"/>
          <w:b/>
          <w:szCs w:val="21"/>
          <w:highlight w:val="none"/>
        </w:rPr>
      </w:pPr>
      <w:r>
        <w:rPr>
          <w:rFonts w:hint="eastAsia" w:ascii="宋体" w:hAnsi="宋体" w:cs="宋体"/>
          <w:b/>
          <w:szCs w:val="21"/>
          <w:highlight w:val="none"/>
        </w:rPr>
        <w:t>前附表</w:t>
      </w:r>
    </w:p>
    <w:tbl>
      <w:tblPr>
        <w:tblStyle w:val="26"/>
        <w:tblW w:w="10081" w:type="dxa"/>
        <w:tblCellSpacing w:w="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47"/>
        <w:gridCol w:w="1757"/>
        <w:gridCol w:w="7677"/>
      </w:tblGrid>
      <w:tr w14:paraId="719BD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1D935F9C">
            <w:pPr>
              <w:spacing w:line="360" w:lineRule="auto"/>
              <w:jc w:val="center"/>
              <w:rPr>
                <w:rFonts w:ascii="宋体" w:hAnsi="宋体" w:cs="宋体"/>
                <w:b/>
                <w:szCs w:val="21"/>
                <w:highlight w:val="none"/>
              </w:rPr>
            </w:pPr>
            <w:r>
              <w:rPr>
                <w:rFonts w:hint="eastAsia" w:ascii="宋体" w:hAnsi="宋体" w:cs="宋体"/>
                <w:b/>
                <w:szCs w:val="21"/>
                <w:highlight w:val="none"/>
              </w:rPr>
              <w:t>序号</w:t>
            </w:r>
          </w:p>
        </w:tc>
        <w:tc>
          <w:tcPr>
            <w:tcW w:w="9413" w:type="dxa"/>
            <w:gridSpan w:val="2"/>
            <w:shd w:val="clear" w:color="auto" w:fill="E0E0E0"/>
            <w:vAlign w:val="center"/>
          </w:tcPr>
          <w:p w14:paraId="3388E2EB">
            <w:pPr>
              <w:spacing w:line="360" w:lineRule="auto"/>
              <w:jc w:val="center"/>
              <w:rPr>
                <w:rFonts w:ascii="宋体" w:hAnsi="宋体" w:cs="宋体"/>
                <w:b/>
                <w:szCs w:val="21"/>
                <w:highlight w:val="none"/>
              </w:rPr>
            </w:pPr>
            <w:r>
              <w:rPr>
                <w:rFonts w:hint="eastAsia" w:ascii="宋体" w:hAnsi="宋体" w:cs="宋体"/>
                <w:b/>
                <w:szCs w:val="21"/>
                <w:highlight w:val="none"/>
              </w:rPr>
              <w:t>内容说明及要求</w:t>
            </w:r>
          </w:p>
        </w:tc>
      </w:tr>
      <w:tr w14:paraId="788B4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52DDD055">
            <w:pPr>
              <w:spacing w:line="360" w:lineRule="auto"/>
              <w:jc w:val="center"/>
              <w:rPr>
                <w:rFonts w:ascii="宋体" w:hAnsi="宋体" w:cs="宋体"/>
                <w:b/>
                <w:szCs w:val="21"/>
                <w:highlight w:val="none"/>
              </w:rPr>
            </w:pPr>
            <w:r>
              <w:rPr>
                <w:rFonts w:hint="eastAsia" w:ascii="宋体" w:hAnsi="宋体" w:cs="宋体"/>
                <w:b/>
                <w:szCs w:val="21"/>
                <w:highlight w:val="none"/>
              </w:rPr>
              <w:t>1</w:t>
            </w:r>
          </w:p>
        </w:tc>
        <w:tc>
          <w:tcPr>
            <w:tcW w:w="1743" w:type="dxa"/>
            <w:shd w:val="clear" w:color="auto" w:fill="E0E0E0"/>
            <w:vAlign w:val="center"/>
          </w:tcPr>
          <w:p w14:paraId="2C0CB9A3">
            <w:pPr>
              <w:spacing w:line="360" w:lineRule="auto"/>
              <w:jc w:val="center"/>
              <w:rPr>
                <w:rFonts w:ascii="宋体" w:hAnsi="宋体" w:cs="宋体"/>
                <w:b/>
                <w:szCs w:val="21"/>
                <w:highlight w:val="none"/>
              </w:rPr>
            </w:pPr>
            <w:r>
              <w:rPr>
                <w:rFonts w:hint="eastAsia" w:ascii="宋体" w:hAnsi="宋体" w:cs="宋体"/>
                <w:b/>
                <w:szCs w:val="21"/>
                <w:highlight w:val="none"/>
              </w:rPr>
              <w:t>项目名称</w:t>
            </w:r>
          </w:p>
        </w:tc>
        <w:tc>
          <w:tcPr>
            <w:tcW w:w="7656" w:type="dxa"/>
            <w:shd w:val="clear" w:color="auto" w:fill="FFFFFF"/>
            <w:vAlign w:val="center"/>
          </w:tcPr>
          <w:p w14:paraId="2C4924CE">
            <w:pPr>
              <w:spacing w:line="360" w:lineRule="auto"/>
              <w:rPr>
                <w:rFonts w:hint="eastAsia" w:ascii="宋体" w:hAnsi="宋体" w:eastAsia="宋体" w:cs="宋体"/>
                <w:szCs w:val="21"/>
                <w:highlight w:val="none"/>
                <w:lang w:eastAsia="zh-CN"/>
              </w:rPr>
            </w:pPr>
            <w:r>
              <w:rPr>
                <w:rFonts w:hint="eastAsia" w:ascii="宋体" w:hAnsi="宋体" w:cs="宋体"/>
                <w:szCs w:val="21"/>
                <w:highlight w:val="none"/>
                <w:lang w:eastAsia="zh-CN"/>
              </w:rPr>
              <w:t>定海区公共数据支撑平台项目二期</w:t>
            </w:r>
          </w:p>
        </w:tc>
      </w:tr>
      <w:tr w14:paraId="1B1FD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338B2640">
            <w:pPr>
              <w:spacing w:line="360" w:lineRule="auto"/>
              <w:jc w:val="center"/>
              <w:rPr>
                <w:rFonts w:ascii="宋体" w:hAnsi="宋体" w:cs="宋体"/>
                <w:b/>
                <w:szCs w:val="21"/>
                <w:highlight w:val="none"/>
              </w:rPr>
            </w:pPr>
            <w:r>
              <w:rPr>
                <w:rFonts w:hint="eastAsia" w:ascii="宋体" w:hAnsi="宋体" w:cs="宋体"/>
                <w:b/>
                <w:szCs w:val="21"/>
                <w:highlight w:val="none"/>
              </w:rPr>
              <w:t>2</w:t>
            </w:r>
          </w:p>
        </w:tc>
        <w:tc>
          <w:tcPr>
            <w:tcW w:w="1743" w:type="dxa"/>
            <w:shd w:val="clear" w:color="auto" w:fill="E0E0E0"/>
            <w:vAlign w:val="center"/>
          </w:tcPr>
          <w:p w14:paraId="011BB5BE">
            <w:pPr>
              <w:spacing w:line="360" w:lineRule="auto"/>
              <w:jc w:val="center"/>
              <w:rPr>
                <w:rFonts w:ascii="宋体" w:hAnsi="宋体" w:cs="宋体"/>
                <w:b/>
                <w:szCs w:val="21"/>
                <w:highlight w:val="none"/>
              </w:rPr>
            </w:pPr>
            <w:r>
              <w:rPr>
                <w:rFonts w:hint="eastAsia" w:ascii="宋体" w:hAnsi="宋体" w:cs="宋体"/>
                <w:b/>
                <w:szCs w:val="21"/>
                <w:highlight w:val="none"/>
              </w:rPr>
              <w:t>采购人名称</w:t>
            </w:r>
          </w:p>
        </w:tc>
        <w:tc>
          <w:tcPr>
            <w:tcW w:w="7656" w:type="dxa"/>
            <w:shd w:val="clear" w:color="auto" w:fill="FFFFFF"/>
            <w:vAlign w:val="center"/>
          </w:tcPr>
          <w:p w14:paraId="667A951C">
            <w:pPr>
              <w:spacing w:line="360" w:lineRule="auto"/>
              <w:rPr>
                <w:rFonts w:hint="eastAsia" w:ascii="宋体" w:hAnsi="宋体" w:eastAsia="宋体" w:cs="宋体"/>
                <w:szCs w:val="21"/>
                <w:highlight w:val="none"/>
                <w:lang w:eastAsia="zh-CN"/>
              </w:rPr>
            </w:pPr>
            <w:r>
              <w:rPr>
                <w:rFonts w:hint="eastAsia" w:ascii="宋体" w:hAnsi="宋体" w:cs="宋体"/>
                <w:szCs w:val="21"/>
                <w:highlight w:val="none"/>
                <w:lang w:eastAsia="zh-CN"/>
              </w:rPr>
              <w:t>舟山市定海区人民政府办公室</w:t>
            </w:r>
          </w:p>
        </w:tc>
      </w:tr>
      <w:tr w14:paraId="64FE8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4956EDFD">
            <w:pPr>
              <w:spacing w:line="360" w:lineRule="auto"/>
              <w:jc w:val="center"/>
              <w:rPr>
                <w:rFonts w:ascii="宋体" w:hAnsi="宋体" w:cs="宋体"/>
                <w:b/>
                <w:szCs w:val="21"/>
                <w:highlight w:val="none"/>
              </w:rPr>
            </w:pPr>
            <w:r>
              <w:rPr>
                <w:rFonts w:hint="eastAsia" w:ascii="宋体" w:hAnsi="宋体" w:cs="宋体"/>
                <w:b/>
                <w:szCs w:val="21"/>
                <w:highlight w:val="none"/>
              </w:rPr>
              <w:t>3</w:t>
            </w:r>
          </w:p>
        </w:tc>
        <w:tc>
          <w:tcPr>
            <w:tcW w:w="1743" w:type="dxa"/>
            <w:shd w:val="clear" w:color="auto" w:fill="E0E0E0"/>
            <w:vAlign w:val="center"/>
          </w:tcPr>
          <w:p w14:paraId="4B3ECF87">
            <w:pPr>
              <w:spacing w:line="360" w:lineRule="auto"/>
              <w:jc w:val="center"/>
              <w:rPr>
                <w:rFonts w:ascii="宋体" w:hAnsi="宋体" w:cs="宋体"/>
                <w:b/>
                <w:szCs w:val="21"/>
                <w:highlight w:val="none"/>
              </w:rPr>
            </w:pPr>
            <w:r>
              <w:rPr>
                <w:rFonts w:hint="eastAsia" w:ascii="宋体" w:hAnsi="宋体" w:cs="宋体"/>
                <w:b/>
                <w:szCs w:val="21"/>
                <w:highlight w:val="none"/>
              </w:rPr>
              <w:t>采购内容</w:t>
            </w:r>
          </w:p>
        </w:tc>
        <w:tc>
          <w:tcPr>
            <w:tcW w:w="7656" w:type="dxa"/>
            <w:shd w:val="clear" w:color="auto" w:fill="FFFFFF"/>
            <w:vAlign w:val="center"/>
          </w:tcPr>
          <w:p w14:paraId="73F4DDF4">
            <w:pPr>
              <w:spacing w:line="360" w:lineRule="auto"/>
              <w:rPr>
                <w:rFonts w:ascii="宋体" w:hAnsi="宋体" w:cs="宋体"/>
                <w:bCs/>
                <w:szCs w:val="21"/>
                <w:highlight w:val="none"/>
              </w:rPr>
            </w:pPr>
            <w:r>
              <w:rPr>
                <w:rFonts w:hint="eastAsia" w:ascii="宋体" w:hAnsi="宋体" w:cs="宋体"/>
                <w:bCs/>
                <w:szCs w:val="21"/>
                <w:highlight w:val="none"/>
              </w:rPr>
              <w:t>详见需求</w:t>
            </w:r>
          </w:p>
        </w:tc>
      </w:tr>
      <w:tr w14:paraId="096A3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12" w:hRule="atLeast"/>
          <w:tblCellSpacing w:w="7" w:type="dxa"/>
        </w:trPr>
        <w:tc>
          <w:tcPr>
            <w:tcW w:w="626" w:type="dxa"/>
            <w:shd w:val="clear" w:color="auto" w:fill="E0E0E0"/>
            <w:vAlign w:val="center"/>
          </w:tcPr>
          <w:p w14:paraId="72ED11C2">
            <w:pPr>
              <w:spacing w:line="360" w:lineRule="auto"/>
              <w:jc w:val="center"/>
              <w:rPr>
                <w:rFonts w:ascii="宋体" w:hAnsi="宋体" w:cs="宋体"/>
                <w:b/>
                <w:szCs w:val="21"/>
                <w:highlight w:val="none"/>
              </w:rPr>
            </w:pPr>
            <w:r>
              <w:rPr>
                <w:rFonts w:hint="eastAsia" w:ascii="宋体" w:hAnsi="宋体" w:cs="宋体"/>
                <w:b/>
                <w:szCs w:val="21"/>
                <w:highlight w:val="none"/>
              </w:rPr>
              <w:t>4</w:t>
            </w:r>
          </w:p>
        </w:tc>
        <w:tc>
          <w:tcPr>
            <w:tcW w:w="1743" w:type="dxa"/>
            <w:shd w:val="clear" w:color="auto" w:fill="E0E0E0"/>
            <w:vAlign w:val="center"/>
          </w:tcPr>
          <w:p w14:paraId="24F7E95E">
            <w:pPr>
              <w:spacing w:line="360" w:lineRule="auto"/>
              <w:jc w:val="center"/>
              <w:rPr>
                <w:rFonts w:hint="default" w:ascii="宋体" w:hAnsi="宋体" w:eastAsia="宋体" w:cs="宋体"/>
                <w:b/>
                <w:szCs w:val="21"/>
                <w:highlight w:val="none"/>
                <w:lang w:val="en-US" w:eastAsia="zh-CN"/>
              </w:rPr>
            </w:pPr>
            <w:r>
              <w:rPr>
                <w:rFonts w:hint="eastAsia" w:ascii="宋体" w:hAnsi="宋体" w:cs="宋体"/>
                <w:b/>
                <w:szCs w:val="21"/>
                <w:highlight w:val="none"/>
                <w:lang w:val="en-US" w:eastAsia="zh-CN"/>
              </w:rPr>
              <w:t>预算金额</w:t>
            </w:r>
          </w:p>
        </w:tc>
        <w:tc>
          <w:tcPr>
            <w:tcW w:w="7656" w:type="dxa"/>
            <w:shd w:val="clear" w:color="auto" w:fill="FFFFFF"/>
            <w:vAlign w:val="center"/>
          </w:tcPr>
          <w:p w14:paraId="0A6E6E3B">
            <w:pPr>
              <w:widowControl/>
              <w:textAlignment w:val="center"/>
              <w:rPr>
                <w:rFonts w:ascii="宋体" w:hAnsi="宋体" w:cs="宋体"/>
                <w:color w:val="000000"/>
                <w:sz w:val="22"/>
                <w:szCs w:val="22"/>
                <w:highlight w:val="none"/>
              </w:rPr>
            </w:pPr>
            <w:r>
              <w:rPr>
                <w:rFonts w:hint="eastAsia" w:ascii="宋体" w:hAnsi="宋体" w:cs="宋体"/>
                <w:szCs w:val="21"/>
                <w:highlight w:val="none"/>
                <w:lang w:val="en-US" w:eastAsia="zh-CN"/>
              </w:rPr>
              <w:t>500000.00</w:t>
            </w:r>
            <w:r>
              <w:rPr>
                <w:rFonts w:hint="eastAsia" w:ascii="宋体" w:hAnsi="宋体" w:cs="宋体"/>
                <w:szCs w:val="21"/>
                <w:highlight w:val="none"/>
              </w:rPr>
              <w:t>元</w:t>
            </w:r>
          </w:p>
        </w:tc>
      </w:tr>
      <w:tr w14:paraId="67779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trPr>
        <w:tc>
          <w:tcPr>
            <w:tcW w:w="626" w:type="dxa"/>
            <w:shd w:val="clear" w:color="auto" w:fill="E0E0E0"/>
            <w:vAlign w:val="center"/>
          </w:tcPr>
          <w:p w14:paraId="4D3E00D9">
            <w:pPr>
              <w:spacing w:line="360" w:lineRule="auto"/>
              <w:jc w:val="center"/>
              <w:rPr>
                <w:rFonts w:ascii="宋体" w:hAnsi="宋体" w:cs="宋体"/>
                <w:b/>
                <w:szCs w:val="21"/>
                <w:highlight w:val="none"/>
              </w:rPr>
            </w:pPr>
            <w:r>
              <w:rPr>
                <w:rFonts w:hint="eastAsia" w:ascii="宋体" w:hAnsi="宋体" w:cs="宋体"/>
                <w:b/>
                <w:szCs w:val="21"/>
                <w:highlight w:val="none"/>
              </w:rPr>
              <w:t>5</w:t>
            </w:r>
          </w:p>
        </w:tc>
        <w:tc>
          <w:tcPr>
            <w:tcW w:w="1743" w:type="dxa"/>
            <w:shd w:val="clear" w:color="auto" w:fill="E0E0E0"/>
            <w:vAlign w:val="center"/>
          </w:tcPr>
          <w:p w14:paraId="2DF0F3E2">
            <w:pPr>
              <w:spacing w:line="360" w:lineRule="auto"/>
              <w:jc w:val="center"/>
              <w:rPr>
                <w:rFonts w:ascii="宋体" w:hAnsi="宋体" w:cs="宋体"/>
                <w:b/>
                <w:szCs w:val="21"/>
                <w:highlight w:val="none"/>
              </w:rPr>
            </w:pPr>
            <w:r>
              <w:rPr>
                <w:rFonts w:hint="eastAsia" w:ascii="宋体" w:hAnsi="宋体" w:cs="宋体"/>
                <w:b/>
                <w:szCs w:val="21"/>
                <w:highlight w:val="none"/>
              </w:rPr>
              <w:t>工期要求</w:t>
            </w:r>
          </w:p>
        </w:tc>
        <w:tc>
          <w:tcPr>
            <w:tcW w:w="7656" w:type="dxa"/>
            <w:shd w:val="clear" w:color="auto" w:fill="FFFFFF"/>
            <w:vAlign w:val="center"/>
          </w:tcPr>
          <w:p w14:paraId="5BD4A399">
            <w:pPr>
              <w:spacing w:line="360" w:lineRule="auto"/>
              <w:rPr>
                <w:rFonts w:hint="default" w:ascii="宋体" w:hAnsi="宋体" w:eastAsia="宋体" w:cs="宋体"/>
                <w:szCs w:val="21"/>
                <w:highlight w:val="none"/>
                <w:lang w:val="en-US" w:eastAsia="zh-CN"/>
              </w:rPr>
            </w:pPr>
            <w:r>
              <w:rPr>
                <w:rFonts w:hint="eastAsia" w:ascii="宋体" w:hAnsi="宋体" w:cs="宋体"/>
                <w:szCs w:val="21"/>
                <w:highlight w:val="none"/>
                <w:lang w:val="en-US" w:eastAsia="zh-CN"/>
              </w:rPr>
              <w:t>自合同签订之日起进入为期一年的项目服务期，合同签订后3个月内完成项目建设并进行项目初验，初验通过后试运行，试运行3个月后无任何问题进行终验。</w:t>
            </w:r>
          </w:p>
        </w:tc>
      </w:tr>
      <w:tr w14:paraId="50ABB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044D8CCA">
            <w:pPr>
              <w:spacing w:line="360" w:lineRule="auto"/>
              <w:jc w:val="center"/>
              <w:rPr>
                <w:rFonts w:ascii="宋体" w:hAnsi="宋体" w:cs="宋体"/>
                <w:b/>
                <w:szCs w:val="21"/>
                <w:highlight w:val="none"/>
              </w:rPr>
            </w:pPr>
            <w:r>
              <w:rPr>
                <w:rFonts w:hint="eastAsia" w:ascii="宋体" w:hAnsi="宋体" w:cs="宋体"/>
                <w:b/>
                <w:szCs w:val="21"/>
                <w:highlight w:val="none"/>
              </w:rPr>
              <w:t>6</w:t>
            </w:r>
          </w:p>
        </w:tc>
        <w:tc>
          <w:tcPr>
            <w:tcW w:w="1743" w:type="dxa"/>
            <w:shd w:val="clear" w:color="auto" w:fill="E0E0E0"/>
            <w:vAlign w:val="center"/>
          </w:tcPr>
          <w:p w14:paraId="71AF9571">
            <w:pPr>
              <w:spacing w:line="360" w:lineRule="auto"/>
              <w:jc w:val="center"/>
              <w:rPr>
                <w:rFonts w:ascii="宋体" w:hAnsi="宋体" w:cs="宋体"/>
                <w:b/>
                <w:szCs w:val="21"/>
                <w:highlight w:val="none"/>
              </w:rPr>
            </w:pPr>
            <w:r>
              <w:rPr>
                <w:rFonts w:hint="eastAsia" w:ascii="宋体" w:hAnsi="宋体" w:cs="宋体"/>
                <w:b/>
                <w:szCs w:val="21"/>
                <w:highlight w:val="none"/>
              </w:rPr>
              <w:t>投标有效期</w:t>
            </w:r>
          </w:p>
        </w:tc>
        <w:tc>
          <w:tcPr>
            <w:tcW w:w="7656" w:type="dxa"/>
            <w:shd w:val="clear" w:color="auto" w:fill="FFFFFF"/>
            <w:vAlign w:val="center"/>
          </w:tcPr>
          <w:p w14:paraId="2F02A9F4">
            <w:pPr>
              <w:spacing w:line="360" w:lineRule="auto"/>
              <w:rPr>
                <w:rFonts w:ascii="宋体" w:hAnsi="宋体" w:cs="宋体"/>
                <w:szCs w:val="21"/>
                <w:highlight w:val="none"/>
              </w:rPr>
            </w:pPr>
            <w:r>
              <w:rPr>
                <w:rFonts w:hint="eastAsia" w:ascii="宋体" w:hAnsi="宋体" w:cs="宋体"/>
                <w:szCs w:val="21"/>
                <w:highlight w:val="none"/>
                <w:u w:val="single"/>
              </w:rPr>
              <w:t>90日</w:t>
            </w:r>
            <w:r>
              <w:rPr>
                <w:rFonts w:hint="eastAsia" w:ascii="宋体" w:hAnsi="宋体" w:cs="宋体"/>
                <w:szCs w:val="21"/>
                <w:highlight w:val="none"/>
              </w:rPr>
              <w:t>历天。（从投标截止之日算起）</w:t>
            </w:r>
          </w:p>
        </w:tc>
      </w:tr>
      <w:tr w14:paraId="10517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0890B7BD">
            <w:pPr>
              <w:spacing w:line="360" w:lineRule="auto"/>
              <w:jc w:val="center"/>
              <w:rPr>
                <w:rFonts w:ascii="宋体" w:hAnsi="宋体" w:cs="宋体"/>
                <w:b/>
                <w:szCs w:val="21"/>
                <w:highlight w:val="none"/>
              </w:rPr>
            </w:pPr>
            <w:r>
              <w:rPr>
                <w:rFonts w:hint="eastAsia" w:ascii="宋体" w:hAnsi="宋体" w:cs="宋体"/>
                <w:b/>
                <w:szCs w:val="21"/>
                <w:highlight w:val="none"/>
              </w:rPr>
              <w:t>7</w:t>
            </w:r>
          </w:p>
        </w:tc>
        <w:tc>
          <w:tcPr>
            <w:tcW w:w="1743" w:type="dxa"/>
            <w:shd w:val="clear" w:color="auto" w:fill="E0E0E0"/>
            <w:vAlign w:val="center"/>
          </w:tcPr>
          <w:p w14:paraId="0EE6CED4">
            <w:pPr>
              <w:spacing w:line="360" w:lineRule="auto"/>
              <w:jc w:val="center"/>
              <w:rPr>
                <w:rFonts w:ascii="宋体" w:hAnsi="宋体" w:cs="宋体"/>
                <w:b/>
                <w:szCs w:val="21"/>
                <w:highlight w:val="none"/>
              </w:rPr>
            </w:pPr>
            <w:r>
              <w:rPr>
                <w:rFonts w:hint="eastAsia" w:ascii="宋体" w:hAnsi="宋体" w:cs="宋体"/>
                <w:b/>
                <w:szCs w:val="21"/>
                <w:highlight w:val="none"/>
              </w:rPr>
              <w:t>评标办法</w:t>
            </w:r>
          </w:p>
        </w:tc>
        <w:tc>
          <w:tcPr>
            <w:tcW w:w="7656" w:type="dxa"/>
            <w:shd w:val="clear" w:color="auto" w:fill="FFFFFF"/>
            <w:vAlign w:val="center"/>
          </w:tcPr>
          <w:p w14:paraId="33A6FB0B">
            <w:pPr>
              <w:spacing w:line="360" w:lineRule="auto"/>
              <w:rPr>
                <w:rFonts w:ascii="宋体" w:hAnsi="宋体" w:cs="宋体"/>
                <w:szCs w:val="21"/>
                <w:highlight w:val="none"/>
              </w:rPr>
            </w:pPr>
            <w:r>
              <w:rPr>
                <w:rFonts w:hint="eastAsia" w:ascii="宋体" w:hAnsi="宋体" w:cs="宋体"/>
                <w:szCs w:val="21"/>
                <w:highlight w:val="none"/>
              </w:rPr>
              <w:t>综合评分法</w:t>
            </w:r>
          </w:p>
        </w:tc>
      </w:tr>
      <w:tr w14:paraId="494A1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3FA0D951">
            <w:pPr>
              <w:spacing w:line="360" w:lineRule="auto"/>
              <w:jc w:val="center"/>
              <w:rPr>
                <w:rFonts w:ascii="宋体" w:hAnsi="宋体" w:cs="宋体"/>
                <w:b/>
                <w:szCs w:val="21"/>
                <w:highlight w:val="none"/>
              </w:rPr>
            </w:pPr>
            <w:r>
              <w:rPr>
                <w:rFonts w:hint="eastAsia" w:ascii="宋体" w:hAnsi="宋体" w:cs="宋体"/>
                <w:b/>
                <w:szCs w:val="21"/>
                <w:highlight w:val="none"/>
              </w:rPr>
              <w:t>8</w:t>
            </w:r>
          </w:p>
        </w:tc>
        <w:tc>
          <w:tcPr>
            <w:tcW w:w="1743" w:type="dxa"/>
            <w:shd w:val="clear" w:color="auto" w:fill="E0E0E0"/>
            <w:vAlign w:val="center"/>
          </w:tcPr>
          <w:p w14:paraId="7C8B8317">
            <w:pPr>
              <w:spacing w:line="360" w:lineRule="auto"/>
              <w:jc w:val="center"/>
              <w:rPr>
                <w:rFonts w:ascii="宋体" w:hAnsi="宋体" w:cs="宋体"/>
                <w:b/>
                <w:szCs w:val="21"/>
                <w:highlight w:val="none"/>
              </w:rPr>
            </w:pPr>
            <w:r>
              <w:rPr>
                <w:rFonts w:hint="eastAsia" w:ascii="宋体" w:hAnsi="宋体" w:cs="宋体"/>
                <w:b/>
                <w:szCs w:val="21"/>
                <w:highlight w:val="none"/>
              </w:rPr>
              <w:t>付款方式</w:t>
            </w:r>
          </w:p>
        </w:tc>
        <w:tc>
          <w:tcPr>
            <w:tcW w:w="7656" w:type="dxa"/>
            <w:shd w:val="clear" w:color="auto" w:fill="FFFFFF"/>
            <w:vAlign w:val="center"/>
          </w:tcPr>
          <w:p w14:paraId="5A065710">
            <w:pPr>
              <w:spacing w:line="360" w:lineRule="auto"/>
              <w:rPr>
                <w:rFonts w:hint="default" w:ascii="宋体" w:hAnsi="宋体" w:eastAsia="宋体" w:cs="宋体"/>
                <w:szCs w:val="21"/>
                <w:highlight w:val="none"/>
                <w:lang w:val="en-US" w:eastAsia="zh-CN"/>
              </w:rPr>
            </w:pPr>
            <w:r>
              <w:rPr>
                <w:rFonts w:hint="eastAsia" w:ascii="宋体" w:hAnsi="宋体" w:eastAsia="宋体" w:cs="宋体"/>
                <w:szCs w:val="21"/>
                <w:highlight w:val="none"/>
                <w:lang w:eastAsia="zh-CN"/>
              </w:rPr>
              <w:t>合同签订后7个工作日内</w:t>
            </w:r>
            <w:r>
              <w:rPr>
                <w:rFonts w:hint="eastAsia" w:ascii="宋体" w:hAnsi="宋体" w:cs="宋体"/>
                <w:szCs w:val="21"/>
                <w:highlight w:val="none"/>
                <w:lang w:eastAsia="zh-CN"/>
              </w:rPr>
              <w:t>，</w:t>
            </w:r>
            <w:r>
              <w:rPr>
                <w:rFonts w:hint="eastAsia" w:ascii="宋体" w:hAnsi="宋体" w:eastAsia="宋体" w:cs="宋体"/>
                <w:szCs w:val="21"/>
                <w:highlight w:val="none"/>
                <w:lang w:eastAsia="zh-CN"/>
              </w:rPr>
              <w:t>采购人收到</w:t>
            </w:r>
            <w:r>
              <w:rPr>
                <w:rFonts w:hint="eastAsia" w:ascii="宋体" w:hAnsi="宋体" w:cs="宋体"/>
                <w:szCs w:val="21"/>
                <w:highlight w:val="none"/>
                <w:lang w:val="en-US" w:eastAsia="zh-CN"/>
              </w:rPr>
              <w:t>成交</w:t>
            </w:r>
            <w:r>
              <w:rPr>
                <w:rFonts w:hint="eastAsia" w:ascii="宋体" w:hAnsi="宋体" w:eastAsia="宋体" w:cs="宋体"/>
                <w:szCs w:val="21"/>
                <w:highlight w:val="none"/>
                <w:lang w:eastAsia="zh-CN"/>
              </w:rPr>
              <w:t>人</w:t>
            </w:r>
            <w:r>
              <w:rPr>
                <w:rFonts w:hint="eastAsia" w:ascii="宋体" w:hAnsi="宋体" w:cs="宋体"/>
                <w:szCs w:val="21"/>
                <w:highlight w:val="none"/>
                <w:lang w:eastAsia="zh-CN"/>
              </w:rPr>
              <w:t>正规发票</w:t>
            </w:r>
            <w:r>
              <w:rPr>
                <w:rFonts w:hint="eastAsia" w:ascii="宋体" w:hAnsi="宋体" w:cs="宋体"/>
                <w:szCs w:val="21"/>
                <w:highlight w:val="none"/>
                <w:lang w:val="en-US" w:eastAsia="zh-CN"/>
              </w:rPr>
              <w:t>后，</w:t>
            </w:r>
            <w:r>
              <w:rPr>
                <w:rFonts w:hint="eastAsia" w:ascii="宋体" w:hAnsi="宋体" w:eastAsia="宋体" w:cs="宋体"/>
                <w:szCs w:val="21"/>
                <w:highlight w:val="none"/>
                <w:lang w:eastAsia="zh-CN"/>
              </w:rPr>
              <w:t>支付合同款的50%</w:t>
            </w:r>
            <w:r>
              <w:rPr>
                <w:rFonts w:hint="eastAsia" w:ascii="宋体" w:hAnsi="宋体" w:cs="宋体"/>
                <w:szCs w:val="21"/>
                <w:highlight w:val="none"/>
                <w:lang w:eastAsia="zh-CN"/>
              </w:rPr>
              <w:t>；项目初验通过后且采购人收到</w:t>
            </w:r>
            <w:r>
              <w:rPr>
                <w:rFonts w:hint="eastAsia" w:ascii="宋体" w:hAnsi="宋体" w:cs="宋体"/>
                <w:szCs w:val="21"/>
                <w:highlight w:val="none"/>
                <w:lang w:val="en-US" w:eastAsia="zh-CN"/>
              </w:rPr>
              <w:t>成交</w:t>
            </w:r>
            <w:r>
              <w:rPr>
                <w:rFonts w:hint="eastAsia" w:ascii="宋体" w:hAnsi="宋体" w:cs="宋体"/>
                <w:szCs w:val="21"/>
                <w:highlight w:val="none"/>
                <w:lang w:eastAsia="zh-CN"/>
              </w:rPr>
              <w:t>人正规发票20日内，支付合同总价的40%；项目终验合格</w:t>
            </w:r>
            <w:r>
              <w:rPr>
                <w:rFonts w:hint="eastAsia" w:ascii="宋体" w:hAnsi="宋体" w:cs="宋体"/>
                <w:szCs w:val="21"/>
                <w:highlight w:val="none"/>
                <w:lang w:val="en-US" w:eastAsia="zh-CN"/>
              </w:rPr>
              <w:t>后且</w:t>
            </w:r>
            <w:r>
              <w:rPr>
                <w:rFonts w:hint="eastAsia" w:ascii="宋体" w:hAnsi="宋体" w:cs="宋体"/>
                <w:szCs w:val="21"/>
                <w:highlight w:val="none"/>
                <w:lang w:eastAsia="zh-CN"/>
              </w:rPr>
              <w:t>采购人收到</w:t>
            </w:r>
            <w:r>
              <w:rPr>
                <w:rFonts w:hint="eastAsia" w:ascii="宋体" w:hAnsi="宋体" w:cs="宋体"/>
                <w:szCs w:val="21"/>
                <w:highlight w:val="none"/>
                <w:lang w:val="en-US" w:eastAsia="zh-CN"/>
              </w:rPr>
              <w:t>成交</w:t>
            </w:r>
            <w:r>
              <w:rPr>
                <w:rFonts w:hint="eastAsia" w:ascii="宋体" w:hAnsi="宋体" w:cs="宋体"/>
                <w:szCs w:val="21"/>
                <w:highlight w:val="none"/>
                <w:lang w:eastAsia="zh-CN"/>
              </w:rPr>
              <w:t>人正规发票20日内，支付合同总价的</w:t>
            </w:r>
            <w:r>
              <w:rPr>
                <w:rFonts w:hint="eastAsia" w:ascii="宋体" w:hAnsi="宋体" w:cs="宋体"/>
                <w:szCs w:val="21"/>
                <w:highlight w:val="none"/>
                <w:lang w:val="en-US" w:eastAsia="zh-CN"/>
              </w:rPr>
              <w:t>1</w:t>
            </w:r>
            <w:r>
              <w:rPr>
                <w:rFonts w:hint="eastAsia" w:ascii="宋体" w:hAnsi="宋体" w:cs="宋体"/>
                <w:szCs w:val="21"/>
                <w:highlight w:val="none"/>
                <w:lang w:eastAsia="zh-CN"/>
              </w:rPr>
              <w:t>0%。</w:t>
            </w:r>
          </w:p>
        </w:tc>
      </w:tr>
      <w:tr w14:paraId="47FA5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4928EA03">
            <w:pPr>
              <w:spacing w:line="360" w:lineRule="auto"/>
              <w:jc w:val="center"/>
              <w:rPr>
                <w:rFonts w:ascii="宋体" w:hAnsi="宋体" w:cs="宋体"/>
                <w:b/>
                <w:szCs w:val="21"/>
                <w:highlight w:val="none"/>
              </w:rPr>
            </w:pPr>
            <w:r>
              <w:rPr>
                <w:rFonts w:hint="eastAsia" w:ascii="宋体" w:hAnsi="宋体" w:cs="宋体"/>
                <w:b/>
                <w:szCs w:val="21"/>
                <w:highlight w:val="none"/>
              </w:rPr>
              <w:t>9</w:t>
            </w:r>
          </w:p>
        </w:tc>
        <w:tc>
          <w:tcPr>
            <w:tcW w:w="1743" w:type="dxa"/>
            <w:shd w:val="clear" w:color="auto" w:fill="E0E0E0"/>
            <w:vAlign w:val="center"/>
          </w:tcPr>
          <w:p w14:paraId="10C3FAB5">
            <w:pPr>
              <w:spacing w:line="360" w:lineRule="auto"/>
              <w:jc w:val="center"/>
              <w:rPr>
                <w:rFonts w:ascii="宋体" w:hAnsi="宋体" w:cs="宋体"/>
                <w:b/>
                <w:szCs w:val="21"/>
                <w:highlight w:val="none"/>
              </w:rPr>
            </w:pPr>
            <w:r>
              <w:rPr>
                <w:rFonts w:hint="eastAsia" w:ascii="宋体" w:hAnsi="宋体" w:cs="宋体"/>
                <w:b/>
                <w:szCs w:val="21"/>
                <w:highlight w:val="none"/>
              </w:rPr>
              <w:t>磋商报价</w:t>
            </w:r>
          </w:p>
          <w:p w14:paraId="4CEB984F">
            <w:pPr>
              <w:spacing w:line="360" w:lineRule="auto"/>
              <w:jc w:val="center"/>
              <w:rPr>
                <w:rFonts w:ascii="宋体" w:hAnsi="宋体" w:cs="宋体"/>
                <w:b/>
                <w:szCs w:val="21"/>
                <w:highlight w:val="none"/>
              </w:rPr>
            </w:pPr>
            <w:r>
              <w:rPr>
                <w:rFonts w:hint="eastAsia" w:ascii="宋体" w:hAnsi="宋体" w:cs="宋体"/>
                <w:b/>
                <w:szCs w:val="21"/>
                <w:highlight w:val="none"/>
              </w:rPr>
              <w:t>与相关费用</w:t>
            </w:r>
          </w:p>
        </w:tc>
        <w:tc>
          <w:tcPr>
            <w:tcW w:w="7656" w:type="dxa"/>
            <w:shd w:val="clear" w:color="auto" w:fill="FFFFFF"/>
            <w:vAlign w:val="center"/>
          </w:tcPr>
          <w:p w14:paraId="6D7549B7">
            <w:pPr>
              <w:spacing w:line="360" w:lineRule="auto"/>
              <w:rPr>
                <w:rFonts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eastAsia="zh-CN"/>
              </w:rPr>
              <w:t>响应人</w:t>
            </w:r>
            <w:r>
              <w:rPr>
                <w:rFonts w:hint="eastAsia" w:ascii="宋体" w:hAnsi="宋体" w:cs="宋体"/>
                <w:szCs w:val="21"/>
                <w:highlight w:val="none"/>
              </w:rPr>
              <w:t>所投报的磋商报价为</w:t>
            </w:r>
            <w:r>
              <w:rPr>
                <w:rFonts w:hint="eastAsia" w:ascii="宋体" w:hAnsi="宋体" w:cs="宋体"/>
                <w:szCs w:val="21"/>
                <w:highlight w:val="none"/>
                <w:lang w:eastAsia="zh-CN"/>
              </w:rPr>
              <w:t>响应人</w:t>
            </w:r>
            <w:r>
              <w:rPr>
                <w:rFonts w:hint="eastAsia" w:ascii="宋体" w:hAnsi="宋体" w:cs="宋体"/>
                <w:szCs w:val="21"/>
                <w:highlight w:val="none"/>
              </w:rPr>
              <w:t>所能承受的整个项目的一次性最终最低合同总价，包括完成本项目工作内容所需的一切费用。合同总价不得超过本项目对应的预算金额。</w:t>
            </w:r>
          </w:p>
          <w:p w14:paraId="2DB4C35B">
            <w:pPr>
              <w:spacing w:line="360" w:lineRule="auto"/>
              <w:rPr>
                <w:rFonts w:ascii="宋体" w:hAnsi="宋体" w:cs="宋体"/>
                <w:szCs w:val="21"/>
                <w:highlight w:val="none"/>
              </w:rPr>
            </w:pPr>
            <w:r>
              <w:rPr>
                <w:rFonts w:hint="eastAsia" w:ascii="宋体" w:hAnsi="宋体" w:cs="宋体"/>
                <w:szCs w:val="21"/>
                <w:highlight w:val="none"/>
              </w:rPr>
              <w:t>2、按国家规定由</w:t>
            </w:r>
            <w:r>
              <w:rPr>
                <w:rFonts w:hint="eastAsia" w:ascii="宋体" w:hAnsi="宋体" w:cs="宋体"/>
                <w:szCs w:val="21"/>
                <w:highlight w:val="none"/>
                <w:lang w:eastAsia="zh-CN"/>
              </w:rPr>
              <w:t>成交人</w:t>
            </w:r>
            <w:r>
              <w:rPr>
                <w:rFonts w:hint="eastAsia" w:ascii="宋体" w:hAnsi="宋体" w:cs="宋体"/>
                <w:szCs w:val="21"/>
                <w:highlight w:val="none"/>
              </w:rPr>
              <w:t>缴纳的各种税收已包含在磋商报价内，由</w:t>
            </w:r>
            <w:r>
              <w:rPr>
                <w:rFonts w:hint="eastAsia" w:ascii="宋体" w:hAnsi="宋体" w:cs="宋体"/>
                <w:szCs w:val="21"/>
                <w:highlight w:val="none"/>
                <w:lang w:eastAsia="zh-CN"/>
              </w:rPr>
              <w:t>成交人</w:t>
            </w:r>
            <w:r>
              <w:rPr>
                <w:rFonts w:hint="eastAsia" w:ascii="宋体" w:hAnsi="宋体" w:cs="宋体"/>
                <w:szCs w:val="21"/>
                <w:highlight w:val="none"/>
              </w:rPr>
              <w:t>向税务机关缴纳相关费用。</w:t>
            </w:r>
          </w:p>
          <w:p w14:paraId="4C0C8E47">
            <w:pPr>
              <w:spacing w:line="360" w:lineRule="auto"/>
              <w:rPr>
                <w:rFonts w:hint="eastAsia" w:ascii="宋体" w:hAnsi="宋体" w:cs="宋体"/>
                <w:szCs w:val="21"/>
                <w:highlight w:val="none"/>
              </w:rPr>
            </w:pPr>
            <w:r>
              <w:rPr>
                <w:rFonts w:hint="eastAsia" w:ascii="宋体" w:hAnsi="宋体" w:cs="宋体"/>
                <w:szCs w:val="21"/>
                <w:highlight w:val="none"/>
              </w:rPr>
              <w:t>3、</w:t>
            </w:r>
            <w:r>
              <w:rPr>
                <w:rFonts w:hint="eastAsia" w:ascii="宋体" w:hAnsi="宋体" w:cs="宋体"/>
                <w:szCs w:val="21"/>
                <w:highlight w:val="none"/>
                <w:lang w:eastAsia="zh-CN"/>
              </w:rPr>
              <w:t>响应人</w:t>
            </w:r>
            <w:r>
              <w:rPr>
                <w:rFonts w:hint="eastAsia" w:ascii="宋体" w:hAnsi="宋体" w:cs="宋体"/>
                <w:szCs w:val="21"/>
                <w:highlight w:val="none"/>
              </w:rPr>
              <w:t>应承担其参加本磋商活动自身所发生的费用。</w:t>
            </w:r>
          </w:p>
          <w:p w14:paraId="0E7EFB9B">
            <w:pPr>
              <w:spacing w:line="360" w:lineRule="auto"/>
              <w:rPr>
                <w:rFonts w:hint="eastAsia" w:ascii="宋体" w:hAnsi="宋体" w:cs="宋体"/>
                <w:szCs w:val="21"/>
                <w:highlight w:val="none"/>
              </w:rPr>
            </w:pPr>
            <w:r>
              <w:rPr>
                <w:rFonts w:hint="eastAsia" w:ascii="宋体" w:hAnsi="宋体" w:cs="宋体"/>
                <w:szCs w:val="21"/>
                <w:highlight w:val="none"/>
              </w:rPr>
              <w:t>4、</w:t>
            </w:r>
            <w:r>
              <w:rPr>
                <w:rFonts w:hint="eastAsia" w:ascii="宋体" w:hAnsi="宋体" w:cs="宋体"/>
                <w:szCs w:val="21"/>
                <w:highlight w:val="none"/>
                <w:lang w:eastAsia="zh-CN"/>
              </w:rPr>
              <w:t>成交人</w:t>
            </w:r>
            <w:r>
              <w:rPr>
                <w:rFonts w:hint="eastAsia" w:ascii="宋体" w:hAnsi="宋体" w:cs="宋体"/>
                <w:szCs w:val="21"/>
                <w:highlight w:val="none"/>
              </w:rPr>
              <w:t>须缴纳招标代理服务费，收费标准金额为：</w:t>
            </w:r>
            <w:r>
              <w:rPr>
                <w:rFonts w:hint="eastAsia" w:ascii="宋体" w:hAnsi="宋体" w:cs="宋体"/>
                <w:szCs w:val="21"/>
                <w:highlight w:val="none"/>
                <w:u w:val="none"/>
              </w:rPr>
              <w:t>一次性收费</w:t>
            </w:r>
            <w:r>
              <w:rPr>
                <w:rFonts w:hint="eastAsia" w:ascii="宋体" w:hAnsi="宋体" w:cs="宋体"/>
                <w:szCs w:val="21"/>
                <w:highlight w:val="none"/>
                <w:u w:val="none"/>
                <w:lang w:val="en-US" w:eastAsia="zh-CN"/>
              </w:rPr>
              <w:t>人民币玖仟陆佰元</w:t>
            </w:r>
            <w:r>
              <w:rPr>
                <w:rFonts w:hint="eastAsia"/>
                <w:highlight w:val="none"/>
                <w:u w:val="none"/>
                <w:lang w:val="en-US" w:eastAsia="zh-CN"/>
              </w:rPr>
              <w:t>整</w:t>
            </w:r>
            <w:r>
              <w:rPr>
                <w:rFonts w:hint="eastAsia" w:ascii="宋体" w:hAnsi="宋体" w:cs="宋体"/>
                <w:szCs w:val="21"/>
                <w:highlight w:val="none"/>
                <w:u w:val="none"/>
              </w:rPr>
              <w:t>（</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9600</w:t>
            </w:r>
            <w:r>
              <w:rPr>
                <w:rFonts w:hint="eastAsia" w:ascii="宋体" w:hAnsi="宋体" w:eastAsia="宋体" w:cs="宋体"/>
                <w:sz w:val="21"/>
                <w:szCs w:val="21"/>
                <w:highlight w:val="none"/>
                <w:lang w:val="en-US" w:eastAsia="zh-CN"/>
              </w:rPr>
              <w:t>.00</w:t>
            </w:r>
            <w:r>
              <w:rPr>
                <w:rFonts w:hint="eastAsia" w:ascii="宋体" w:hAnsi="宋体" w:cs="宋体"/>
                <w:szCs w:val="21"/>
                <w:highlight w:val="none"/>
                <w:u w:val="none"/>
              </w:rPr>
              <w:t>）</w:t>
            </w:r>
            <w:r>
              <w:rPr>
                <w:rFonts w:hint="eastAsia" w:ascii="宋体" w:hAnsi="宋体" w:cs="宋体"/>
                <w:szCs w:val="21"/>
                <w:highlight w:val="none"/>
              </w:rPr>
              <w:t>。支付方式及时间为：中标通知书发出后5个工作日内一次性支付给招标代理机构。</w:t>
            </w:r>
          </w:p>
          <w:p w14:paraId="37214B0D">
            <w:pPr>
              <w:spacing w:line="360" w:lineRule="auto"/>
              <w:rPr>
                <w:rFonts w:hint="eastAsia" w:ascii="宋体" w:hAnsi="宋体" w:cs="宋体"/>
                <w:szCs w:val="21"/>
                <w:highlight w:val="none"/>
              </w:rPr>
            </w:pPr>
            <w:r>
              <w:rPr>
                <w:rFonts w:hint="eastAsia" w:ascii="宋体" w:hAnsi="宋体" w:cs="宋体"/>
                <w:szCs w:val="21"/>
                <w:highlight w:val="none"/>
              </w:rPr>
              <w:t>收款单位名称：</w:t>
            </w:r>
            <w:r>
              <w:rPr>
                <w:rFonts w:hint="eastAsia" w:ascii="宋体" w:hAnsi="宋体" w:cs="宋体"/>
                <w:szCs w:val="21"/>
                <w:highlight w:val="none"/>
                <w:lang w:eastAsia="zh-CN"/>
              </w:rPr>
              <w:t>浙江天勤信息技术监理有限公司</w:t>
            </w:r>
          </w:p>
          <w:p w14:paraId="76323581">
            <w:pPr>
              <w:spacing w:line="360" w:lineRule="auto"/>
              <w:rPr>
                <w:rFonts w:hint="eastAsia" w:ascii="宋体" w:hAnsi="宋体" w:cs="宋体"/>
                <w:szCs w:val="21"/>
                <w:highlight w:val="none"/>
              </w:rPr>
            </w:pPr>
            <w:r>
              <w:rPr>
                <w:rFonts w:hint="eastAsia" w:ascii="宋体" w:hAnsi="宋体" w:cs="宋体"/>
                <w:szCs w:val="21"/>
                <w:highlight w:val="none"/>
              </w:rPr>
              <w:t>开户银行：浙江舟山定海海洋农村商业银行股份有限公司新城支行</w:t>
            </w:r>
          </w:p>
          <w:p w14:paraId="79C40634">
            <w:pPr>
              <w:spacing w:line="360" w:lineRule="auto"/>
              <w:rPr>
                <w:rFonts w:ascii="宋体" w:hAnsi="宋体" w:cs="宋体"/>
                <w:szCs w:val="21"/>
                <w:highlight w:val="none"/>
              </w:rPr>
            </w:pPr>
            <w:r>
              <w:rPr>
                <w:rFonts w:hint="eastAsia" w:ascii="宋体" w:hAnsi="宋体" w:cs="宋体"/>
                <w:szCs w:val="21"/>
                <w:highlight w:val="none"/>
              </w:rPr>
              <w:t>银行账号：201000331660833</w:t>
            </w:r>
          </w:p>
        </w:tc>
      </w:tr>
      <w:tr w14:paraId="22408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385CFF86">
            <w:pPr>
              <w:spacing w:line="360" w:lineRule="auto"/>
              <w:jc w:val="center"/>
              <w:rPr>
                <w:rFonts w:ascii="宋体" w:hAnsi="宋体" w:cs="宋体"/>
                <w:b/>
                <w:szCs w:val="21"/>
                <w:highlight w:val="none"/>
              </w:rPr>
            </w:pPr>
            <w:r>
              <w:rPr>
                <w:rFonts w:hint="eastAsia" w:ascii="宋体" w:hAnsi="宋体" w:cs="宋体"/>
                <w:b/>
                <w:szCs w:val="21"/>
                <w:highlight w:val="none"/>
              </w:rPr>
              <w:t>10</w:t>
            </w:r>
          </w:p>
        </w:tc>
        <w:tc>
          <w:tcPr>
            <w:tcW w:w="1743" w:type="dxa"/>
            <w:shd w:val="clear" w:color="auto" w:fill="E0E0E0"/>
            <w:vAlign w:val="center"/>
          </w:tcPr>
          <w:p w14:paraId="30EC05D7">
            <w:pPr>
              <w:spacing w:line="360" w:lineRule="auto"/>
              <w:jc w:val="center"/>
              <w:rPr>
                <w:rFonts w:ascii="宋体" w:hAnsi="宋体" w:cs="宋体"/>
                <w:b/>
                <w:szCs w:val="21"/>
                <w:highlight w:val="none"/>
              </w:rPr>
            </w:pPr>
            <w:r>
              <w:rPr>
                <w:rFonts w:hint="eastAsia" w:ascii="宋体" w:hAnsi="宋体" w:cs="宋体"/>
                <w:b/>
                <w:szCs w:val="21"/>
                <w:highlight w:val="none"/>
                <w:lang w:eastAsia="zh-CN"/>
              </w:rPr>
              <w:t>响应文件</w:t>
            </w:r>
            <w:r>
              <w:rPr>
                <w:rFonts w:hint="eastAsia" w:ascii="宋体" w:hAnsi="宋体" w:cs="宋体"/>
                <w:b/>
                <w:szCs w:val="21"/>
                <w:highlight w:val="none"/>
              </w:rPr>
              <w:t>的组成</w:t>
            </w:r>
          </w:p>
        </w:tc>
        <w:tc>
          <w:tcPr>
            <w:tcW w:w="7656" w:type="dxa"/>
            <w:shd w:val="clear" w:color="auto" w:fill="FFFFFF"/>
            <w:vAlign w:val="center"/>
          </w:tcPr>
          <w:p w14:paraId="3659EF54">
            <w:pPr>
              <w:spacing w:line="360" w:lineRule="auto"/>
              <w:rPr>
                <w:rFonts w:ascii="宋体" w:hAnsi="宋体" w:cs="宋体"/>
                <w:szCs w:val="21"/>
                <w:highlight w:val="none"/>
              </w:rPr>
            </w:pPr>
            <w:r>
              <w:rPr>
                <w:rFonts w:hint="eastAsia" w:ascii="宋体" w:hAnsi="宋体" w:cs="宋体"/>
                <w:szCs w:val="21"/>
                <w:highlight w:val="none"/>
              </w:rPr>
              <w:t>本项目实行网上投标。</w:t>
            </w:r>
          </w:p>
          <w:p w14:paraId="06556141">
            <w:pPr>
              <w:spacing w:line="360" w:lineRule="auto"/>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应准备电子</w:t>
            </w:r>
            <w:r>
              <w:rPr>
                <w:rFonts w:hint="eastAsia" w:ascii="宋体" w:hAnsi="宋体" w:cs="宋体"/>
                <w:szCs w:val="21"/>
                <w:highlight w:val="none"/>
                <w:lang w:eastAsia="zh-CN"/>
              </w:rPr>
              <w:t>响应文件</w:t>
            </w:r>
            <w:r>
              <w:rPr>
                <w:rFonts w:hint="eastAsia" w:ascii="宋体" w:hAnsi="宋体" w:cs="宋体"/>
                <w:szCs w:val="21"/>
                <w:highlight w:val="none"/>
              </w:rPr>
              <w:t>、以介质存储的数据电文形式的备份</w:t>
            </w:r>
            <w:r>
              <w:rPr>
                <w:rFonts w:hint="eastAsia" w:ascii="宋体" w:hAnsi="宋体" w:cs="宋体"/>
                <w:szCs w:val="21"/>
                <w:highlight w:val="none"/>
                <w:lang w:eastAsia="zh-CN"/>
              </w:rPr>
              <w:t>响应文件</w:t>
            </w:r>
            <w:r>
              <w:rPr>
                <w:rFonts w:hint="eastAsia" w:ascii="宋体" w:hAnsi="宋体" w:cs="宋体"/>
                <w:szCs w:val="21"/>
                <w:highlight w:val="none"/>
              </w:rPr>
              <w:t>：</w:t>
            </w:r>
          </w:p>
          <w:p w14:paraId="0192123D">
            <w:pPr>
              <w:spacing w:line="360" w:lineRule="auto"/>
              <w:rPr>
                <w:rFonts w:ascii="宋体" w:hAnsi="宋体" w:cs="宋体"/>
                <w:szCs w:val="21"/>
                <w:highlight w:val="none"/>
              </w:rPr>
            </w:pPr>
            <w:r>
              <w:rPr>
                <w:rFonts w:hint="eastAsia" w:ascii="宋体" w:hAnsi="宋体" w:cs="宋体"/>
                <w:szCs w:val="21"/>
                <w:highlight w:val="none"/>
              </w:rPr>
              <w:t>（1）电子</w:t>
            </w:r>
            <w:r>
              <w:rPr>
                <w:rFonts w:hint="eastAsia" w:ascii="宋体" w:hAnsi="宋体" w:cs="宋体"/>
                <w:szCs w:val="21"/>
                <w:highlight w:val="none"/>
                <w:lang w:eastAsia="zh-CN"/>
              </w:rPr>
              <w:t>响应文件</w:t>
            </w:r>
            <w:r>
              <w:rPr>
                <w:rFonts w:hint="eastAsia" w:ascii="宋体" w:hAnsi="宋体" w:cs="宋体"/>
                <w:szCs w:val="21"/>
                <w:highlight w:val="none"/>
              </w:rPr>
              <w:t>，按政采云供应商项目采购-电子招投标操作指南及本磋商文件要求制作，加密并递交。</w:t>
            </w:r>
          </w:p>
          <w:p w14:paraId="45A7FF05">
            <w:pPr>
              <w:pStyle w:val="10"/>
              <w:spacing w:after="0" w:line="360" w:lineRule="auto"/>
              <w:rPr>
                <w:rFonts w:ascii="宋体" w:hAnsi="宋体" w:eastAsia="宋体" w:cs="宋体"/>
                <w:sz w:val="21"/>
                <w:szCs w:val="21"/>
                <w:highlight w:val="none"/>
              </w:rPr>
            </w:pPr>
            <w:r>
              <w:rPr>
                <w:rFonts w:hint="eastAsia" w:ascii="宋体" w:hAnsi="宋体" w:eastAsia="宋体" w:cs="宋体"/>
                <w:b/>
                <w:bCs/>
                <w:sz w:val="21"/>
                <w:szCs w:val="21"/>
                <w:highlight w:val="none"/>
              </w:rPr>
              <w:t>（2）以介质存储的数据电文形式的备份</w:t>
            </w:r>
            <w:r>
              <w:rPr>
                <w:rFonts w:hint="eastAsia" w:ascii="宋体" w:hAnsi="宋体" w:eastAsia="宋体" w:cs="宋体"/>
                <w:b/>
                <w:bCs/>
                <w:sz w:val="21"/>
                <w:szCs w:val="21"/>
                <w:highlight w:val="none"/>
                <w:lang w:eastAsia="zh-CN"/>
              </w:rPr>
              <w:t>响应文件</w:t>
            </w:r>
            <w:r>
              <w:rPr>
                <w:rFonts w:hint="eastAsia" w:ascii="宋体" w:hAnsi="宋体" w:eastAsia="宋体" w:cs="宋体"/>
                <w:b/>
                <w:bCs/>
                <w:sz w:val="21"/>
                <w:szCs w:val="21"/>
                <w:highlight w:val="none"/>
              </w:rPr>
              <w:t>，按政采云供应商项目采购-电子招投标操作指南中制作的电子</w:t>
            </w:r>
            <w:r>
              <w:rPr>
                <w:rFonts w:hint="eastAsia" w:ascii="宋体" w:hAnsi="宋体" w:eastAsia="宋体" w:cs="宋体"/>
                <w:b/>
                <w:bCs/>
                <w:sz w:val="21"/>
                <w:szCs w:val="21"/>
                <w:highlight w:val="none"/>
                <w:lang w:eastAsia="zh-CN"/>
              </w:rPr>
              <w:t>响应文件</w:t>
            </w:r>
            <w:r>
              <w:rPr>
                <w:rFonts w:hint="eastAsia" w:ascii="宋体" w:hAnsi="宋体" w:eastAsia="宋体" w:cs="宋体"/>
                <w:b/>
                <w:bCs/>
                <w:sz w:val="21"/>
                <w:szCs w:val="21"/>
                <w:highlight w:val="none"/>
              </w:rPr>
              <w:t>，以DVD光盘或U盘形式提供。数量为1份。</w:t>
            </w:r>
          </w:p>
        </w:tc>
      </w:tr>
      <w:tr w14:paraId="2D93F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53137001">
            <w:pPr>
              <w:spacing w:line="360" w:lineRule="auto"/>
              <w:jc w:val="center"/>
              <w:rPr>
                <w:rFonts w:ascii="宋体" w:hAnsi="宋体" w:cs="宋体"/>
                <w:b/>
                <w:szCs w:val="21"/>
                <w:highlight w:val="none"/>
              </w:rPr>
            </w:pPr>
            <w:r>
              <w:rPr>
                <w:rFonts w:hint="eastAsia" w:ascii="宋体" w:hAnsi="宋体" w:cs="宋体"/>
                <w:b/>
                <w:szCs w:val="21"/>
                <w:highlight w:val="none"/>
              </w:rPr>
              <w:t>11</w:t>
            </w:r>
          </w:p>
        </w:tc>
        <w:tc>
          <w:tcPr>
            <w:tcW w:w="1743" w:type="dxa"/>
            <w:shd w:val="clear" w:color="auto" w:fill="E0E0E0"/>
            <w:vAlign w:val="center"/>
          </w:tcPr>
          <w:p w14:paraId="18A90C82">
            <w:pPr>
              <w:spacing w:line="360" w:lineRule="auto"/>
              <w:jc w:val="center"/>
              <w:rPr>
                <w:rFonts w:ascii="宋体" w:hAnsi="宋体" w:cs="宋体"/>
                <w:b/>
                <w:szCs w:val="21"/>
                <w:highlight w:val="none"/>
              </w:rPr>
            </w:pPr>
            <w:r>
              <w:rPr>
                <w:rFonts w:hint="eastAsia" w:ascii="宋体" w:hAnsi="宋体" w:cs="宋体"/>
                <w:b/>
                <w:szCs w:val="21"/>
                <w:highlight w:val="none"/>
              </w:rPr>
              <w:t>开标地点</w:t>
            </w:r>
          </w:p>
        </w:tc>
        <w:tc>
          <w:tcPr>
            <w:tcW w:w="7656" w:type="dxa"/>
            <w:shd w:val="clear" w:color="auto" w:fill="FFFFFF"/>
            <w:vAlign w:val="center"/>
          </w:tcPr>
          <w:p w14:paraId="1E1A7A6C">
            <w:pPr>
              <w:spacing w:line="360" w:lineRule="auto"/>
              <w:rPr>
                <w:rFonts w:ascii="宋体" w:hAnsi="宋体" w:cs="宋体"/>
                <w:szCs w:val="21"/>
                <w:highlight w:val="none"/>
              </w:rPr>
            </w:pPr>
            <w:r>
              <w:rPr>
                <w:rFonts w:hint="eastAsia" w:ascii="宋体" w:hAnsi="宋体" w:cs="宋体"/>
                <w:szCs w:val="21"/>
                <w:highlight w:val="none"/>
              </w:rPr>
              <w:t>舟山市定海区东山路289号四楼舟山市公共资源交易中心定海区分中心</w:t>
            </w:r>
          </w:p>
        </w:tc>
      </w:tr>
      <w:tr w14:paraId="1E553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28EB51D6">
            <w:pPr>
              <w:spacing w:line="360" w:lineRule="auto"/>
              <w:jc w:val="center"/>
              <w:rPr>
                <w:rFonts w:ascii="宋体" w:hAnsi="宋体" w:cs="宋体"/>
                <w:b/>
                <w:szCs w:val="21"/>
                <w:highlight w:val="none"/>
              </w:rPr>
            </w:pPr>
            <w:r>
              <w:rPr>
                <w:rFonts w:hint="eastAsia" w:ascii="宋体" w:hAnsi="宋体" w:cs="宋体"/>
                <w:b/>
                <w:szCs w:val="21"/>
                <w:highlight w:val="none"/>
              </w:rPr>
              <w:t>12</w:t>
            </w:r>
          </w:p>
        </w:tc>
        <w:tc>
          <w:tcPr>
            <w:tcW w:w="1743" w:type="dxa"/>
            <w:shd w:val="clear" w:color="auto" w:fill="E0E0E0"/>
            <w:vAlign w:val="center"/>
          </w:tcPr>
          <w:p w14:paraId="6AD8FFAF">
            <w:pPr>
              <w:spacing w:line="360" w:lineRule="auto"/>
              <w:jc w:val="center"/>
              <w:rPr>
                <w:rFonts w:ascii="宋体" w:hAnsi="宋体" w:cs="宋体"/>
                <w:b/>
                <w:szCs w:val="21"/>
                <w:highlight w:val="none"/>
              </w:rPr>
            </w:pPr>
            <w:r>
              <w:rPr>
                <w:rFonts w:hint="eastAsia" w:ascii="宋体" w:hAnsi="宋体" w:cs="宋体"/>
                <w:b/>
                <w:szCs w:val="21"/>
                <w:highlight w:val="none"/>
                <w:lang w:eastAsia="zh-CN"/>
              </w:rPr>
              <w:t>响应文件</w:t>
            </w:r>
            <w:r>
              <w:rPr>
                <w:rFonts w:hint="eastAsia" w:ascii="宋体" w:hAnsi="宋体" w:cs="宋体"/>
                <w:b/>
                <w:szCs w:val="21"/>
                <w:highlight w:val="none"/>
              </w:rPr>
              <w:t>的递交</w:t>
            </w:r>
          </w:p>
        </w:tc>
        <w:tc>
          <w:tcPr>
            <w:tcW w:w="7656" w:type="dxa"/>
            <w:shd w:val="clear" w:color="auto" w:fill="FFFFFF"/>
            <w:vAlign w:val="center"/>
          </w:tcPr>
          <w:p w14:paraId="43FEBD00">
            <w:pPr>
              <w:adjustRightInd w:val="0"/>
              <w:snapToGrid w:val="0"/>
              <w:spacing w:line="360" w:lineRule="auto"/>
              <w:ind w:firstLine="420" w:firstLineChars="200"/>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应当在投标截止时间前完成电子</w:t>
            </w:r>
            <w:r>
              <w:rPr>
                <w:rFonts w:hint="eastAsia" w:ascii="宋体" w:hAnsi="宋体" w:cs="宋体"/>
                <w:szCs w:val="21"/>
                <w:highlight w:val="none"/>
                <w:lang w:eastAsia="zh-CN"/>
              </w:rPr>
              <w:t>响应文件</w:t>
            </w:r>
            <w:r>
              <w:rPr>
                <w:rFonts w:hint="eastAsia" w:ascii="宋体" w:hAnsi="宋体" w:cs="宋体"/>
                <w:szCs w:val="21"/>
                <w:highlight w:val="none"/>
              </w:rPr>
              <w:t>的传输递交，并可以补充、修改或者撤回电子</w:t>
            </w:r>
            <w:r>
              <w:rPr>
                <w:rFonts w:hint="eastAsia" w:ascii="宋体" w:hAnsi="宋体" w:cs="宋体"/>
                <w:szCs w:val="21"/>
                <w:highlight w:val="none"/>
                <w:lang w:eastAsia="zh-CN"/>
              </w:rPr>
              <w:t>响应文件</w:t>
            </w:r>
            <w:r>
              <w:rPr>
                <w:rFonts w:hint="eastAsia" w:ascii="宋体" w:hAnsi="宋体" w:cs="宋体"/>
                <w:szCs w:val="21"/>
                <w:highlight w:val="none"/>
              </w:rPr>
              <w:t>。补充或者修改电子</w:t>
            </w:r>
            <w:r>
              <w:rPr>
                <w:rFonts w:hint="eastAsia" w:ascii="宋体" w:hAnsi="宋体" w:cs="宋体"/>
                <w:szCs w:val="21"/>
                <w:highlight w:val="none"/>
                <w:lang w:eastAsia="zh-CN"/>
              </w:rPr>
              <w:t>响应文件</w:t>
            </w:r>
            <w:r>
              <w:rPr>
                <w:rFonts w:hint="eastAsia" w:ascii="宋体" w:hAnsi="宋体" w:cs="宋体"/>
                <w:szCs w:val="21"/>
                <w:highlight w:val="none"/>
              </w:rPr>
              <w:t>的，应当先行撤回原文件，补充、修改后重新传输递交。投标截止时间前未完成传输的，视为撤回</w:t>
            </w:r>
            <w:r>
              <w:rPr>
                <w:rFonts w:hint="eastAsia" w:ascii="宋体" w:hAnsi="宋体" w:cs="宋体"/>
                <w:szCs w:val="21"/>
                <w:highlight w:val="none"/>
                <w:lang w:eastAsia="zh-CN"/>
              </w:rPr>
              <w:t>响应文件</w:t>
            </w:r>
            <w:r>
              <w:rPr>
                <w:rFonts w:hint="eastAsia" w:ascii="宋体" w:hAnsi="宋体" w:cs="宋体"/>
                <w:szCs w:val="21"/>
                <w:highlight w:val="none"/>
              </w:rPr>
              <w:t>。投标、响应截止时间后送达的投标、</w:t>
            </w:r>
            <w:r>
              <w:rPr>
                <w:rFonts w:hint="eastAsia" w:ascii="宋体" w:hAnsi="宋体" w:cs="宋体"/>
                <w:szCs w:val="21"/>
                <w:highlight w:val="none"/>
                <w:lang w:eastAsia="zh-CN"/>
              </w:rPr>
              <w:t>响应文件</w:t>
            </w:r>
            <w:r>
              <w:rPr>
                <w:rFonts w:hint="eastAsia" w:ascii="宋体" w:hAnsi="宋体" w:cs="宋体"/>
                <w:szCs w:val="21"/>
                <w:highlight w:val="none"/>
              </w:rPr>
              <w:t>，将被政采云平台拒收。</w:t>
            </w:r>
          </w:p>
          <w:p w14:paraId="5CFA7C7D">
            <w:pPr>
              <w:snapToGrid w:val="0"/>
              <w:spacing w:line="360" w:lineRule="auto"/>
              <w:ind w:firstLine="420" w:firstLineChars="200"/>
              <w:jc w:val="left"/>
              <w:rPr>
                <w:rFonts w:ascii="宋体" w:hAnsi="宋体" w:cs="宋体"/>
                <w:szCs w:val="21"/>
                <w:highlight w:val="none"/>
              </w:rPr>
            </w:pPr>
            <w:r>
              <w:rPr>
                <w:rFonts w:hint="eastAsia" w:ascii="宋体" w:hAnsi="宋体" w:cs="宋体"/>
                <w:szCs w:val="21"/>
                <w:highlight w:val="none"/>
                <w:lang w:eastAsia="zh-CN"/>
              </w:rPr>
              <w:t>投标人可以选择递交备份投标文件。备份投标文件须密封完好，注明投标人单位名称，并于投标截止时间前递交，否则采购代理机构将拒收。具体递交方式为开标日前通过邮寄、专人等形式送达采购代理机构地址或开标当天专人送达开标地点。</w:t>
            </w:r>
            <w:r>
              <w:rPr>
                <w:rFonts w:hint="eastAsia" w:ascii="宋体" w:hAnsi="宋体" w:cs="宋体"/>
                <w:szCs w:val="21"/>
                <w:highlight w:val="none"/>
              </w:rPr>
              <w:t>联系人：</w:t>
            </w:r>
            <w:r>
              <w:rPr>
                <w:rFonts w:hint="eastAsia" w:ascii="宋体" w:hAnsi="宋体" w:cs="宋体"/>
                <w:szCs w:val="21"/>
                <w:highlight w:val="none"/>
                <w:lang w:val="en-US" w:eastAsia="zh-CN"/>
              </w:rPr>
              <w:t>陈佳琪</w:t>
            </w:r>
            <w:r>
              <w:rPr>
                <w:rFonts w:hint="eastAsia" w:ascii="宋体" w:hAnsi="宋体" w:cs="宋体"/>
                <w:szCs w:val="21"/>
                <w:highlight w:val="none"/>
              </w:rPr>
              <w:t>；联系方式：</w:t>
            </w:r>
            <w:r>
              <w:rPr>
                <w:rFonts w:hint="eastAsia" w:ascii="宋体" w:hAnsi="宋体" w:cs="宋体"/>
                <w:szCs w:val="21"/>
                <w:highlight w:val="none"/>
                <w:lang w:val="en-US" w:eastAsia="zh-CN"/>
              </w:rPr>
              <w:t>18768052717</w:t>
            </w:r>
            <w:r>
              <w:rPr>
                <w:rFonts w:hint="eastAsia" w:ascii="宋体" w:hAnsi="宋体" w:cs="宋体"/>
                <w:szCs w:val="21"/>
                <w:highlight w:val="none"/>
                <w:lang w:eastAsia="zh-CN"/>
              </w:rPr>
              <w:t>。</w:t>
            </w:r>
            <w:r>
              <w:rPr>
                <w:rFonts w:hint="eastAsia" w:ascii="宋体" w:hAnsi="宋体" w:cs="宋体"/>
                <w:szCs w:val="21"/>
                <w:highlight w:val="none"/>
              </w:rPr>
              <w:t>未按时送达的自行承担风险。备份</w:t>
            </w:r>
            <w:r>
              <w:rPr>
                <w:rFonts w:hint="eastAsia" w:ascii="宋体" w:hAnsi="宋体" w:cs="宋体"/>
                <w:szCs w:val="21"/>
                <w:highlight w:val="none"/>
                <w:lang w:eastAsia="zh-CN"/>
              </w:rPr>
              <w:t>响应文件</w:t>
            </w:r>
            <w:r>
              <w:rPr>
                <w:rFonts w:hint="eastAsia" w:ascii="宋体" w:hAnsi="宋体" w:cs="宋体"/>
                <w:szCs w:val="21"/>
                <w:highlight w:val="none"/>
              </w:rPr>
              <w:t>须密封完好，并注明</w:t>
            </w:r>
            <w:r>
              <w:rPr>
                <w:rFonts w:hint="eastAsia" w:ascii="宋体" w:hAnsi="宋体" w:cs="宋体"/>
                <w:szCs w:val="21"/>
                <w:highlight w:val="none"/>
                <w:lang w:eastAsia="zh-CN"/>
              </w:rPr>
              <w:t>响应人</w:t>
            </w:r>
            <w:r>
              <w:rPr>
                <w:rFonts w:hint="eastAsia" w:ascii="宋体" w:hAnsi="宋体" w:cs="宋体"/>
                <w:szCs w:val="21"/>
                <w:highlight w:val="none"/>
              </w:rPr>
              <w:t>单位名称。</w:t>
            </w:r>
            <w:r>
              <w:rPr>
                <w:rFonts w:hint="eastAsia" w:ascii="宋体" w:hAnsi="宋体" w:cs="宋体"/>
                <w:szCs w:val="21"/>
                <w:highlight w:val="none"/>
                <w:lang w:eastAsia="zh-CN"/>
              </w:rPr>
              <w:t>响应人</w:t>
            </w:r>
            <w:r>
              <w:rPr>
                <w:rFonts w:hint="eastAsia" w:ascii="宋体" w:hAnsi="宋体" w:cs="宋体"/>
                <w:szCs w:val="21"/>
                <w:highlight w:val="none"/>
              </w:rPr>
              <w:t>未按规定递交的备份</w:t>
            </w:r>
            <w:r>
              <w:rPr>
                <w:rFonts w:hint="eastAsia" w:ascii="宋体" w:hAnsi="宋体" w:cs="宋体"/>
                <w:szCs w:val="21"/>
                <w:highlight w:val="none"/>
                <w:lang w:eastAsia="zh-CN"/>
              </w:rPr>
              <w:t>响应文件</w:t>
            </w:r>
            <w:r>
              <w:rPr>
                <w:rFonts w:hint="eastAsia" w:ascii="宋体" w:hAnsi="宋体" w:cs="宋体"/>
                <w:szCs w:val="21"/>
                <w:highlight w:val="none"/>
              </w:rPr>
              <w:t>，采购人有权拒收。</w:t>
            </w:r>
          </w:p>
          <w:p w14:paraId="4570A008">
            <w:pPr>
              <w:snapToGrid w:val="0"/>
              <w:spacing w:line="360" w:lineRule="auto"/>
              <w:ind w:firstLine="420" w:firstLineChars="200"/>
              <w:jc w:val="left"/>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递交备份</w:t>
            </w:r>
            <w:r>
              <w:rPr>
                <w:rFonts w:hint="eastAsia" w:ascii="宋体" w:hAnsi="宋体" w:cs="宋体"/>
                <w:szCs w:val="21"/>
                <w:highlight w:val="none"/>
                <w:lang w:eastAsia="zh-CN"/>
              </w:rPr>
              <w:t>响应文件</w:t>
            </w:r>
            <w:r>
              <w:rPr>
                <w:rFonts w:hint="eastAsia" w:ascii="宋体" w:hAnsi="宋体" w:cs="宋体"/>
                <w:szCs w:val="21"/>
                <w:highlight w:val="none"/>
              </w:rPr>
              <w:t>时，如出现下列情况之一的，将被拒收：</w:t>
            </w:r>
          </w:p>
          <w:p w14:paraId="7E7A6763">
            <w:pPr>
              <w:snapToGrid w:val="0"/>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1、未按规定密封或标记的</w:t>
            </w:r>
            <w:r>
              <w:rPr>
                <w:rFonts w:hint="eastAsia" w:ascii="宋体" w:hAnsi="宋体" w:cs="宋体"/>
                <w:szCs w:val="21"/>
                <w:highlight w:val="none"/>
                <w:lang w:eastAsia="zh-CN"/>
              </w:rPr>
              <w:t>响应文件</w:t>
            </w:r>
            <w:r>
              <w:rPr>
                <w:rFonts w:hint="eastAsia" w:ascii="宋体" w:hAnsi="宋体" w:cs="宋体"/>
                <w:szCs w:val="21"/>
                <w:highlight w:val="none"/>
              </w:rPr>
              <w:t>；</w:t>
            </w:r>
          </w:p>
          <w:p w14:paraId="7AB4FDF3">
            <w:pPr>
              <w:snapToGrid w:val="0"/>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2、由于包装不妥，在送交途中严重破损或失散的；</w:t>
            </w:r>
          </w:p>
          <w:p w14:paraId="3E98DFC7">
            <w:pPr>
              <w:snapToGrid w:val="0"/>
              <w:spacing w:line="360" w:lineRule="auto"/>
              <w:ind w:firstLine="420" w:firstLineChars="200"/>
              <w:jc w:val="left"/>
              <w:rPr>
                <w:rFonts w:ascii="宋体" w:hAnsi="宋体" w:cs="宋体"/>
                <w:szCs w:val="21"/>
                <w:highlight w:val="none"/>
              </w:rPr>
            </w:pPr>
            <w:r>
              <w:rPr>
                <w:rFonts w:hint="eastAsia" w:ascii="宋体" w:hAnsi="宋体" w:cs="宋体"/>
                <w:szCs w:val="21"/>
                <w:highlight w:val="none"/>
              </w:rPr>
              <w:t>3、超过投标截止时间送达的。</w:t>
            </w:r>
          </w:p>
          <w:p w14:paraId="5167D7AE">
            <w:pPr>
              <w:autoSpaceDE w:val="0"/>
              <w:autoSpaceDN w:val="0"/>
              <w:snapToGrid w:val="0"/>
              <w:spacing w:line="360" w:lineRule="auto"/>
              <w:ind w:firstLine="420" w:firstLineChars="200"/>
              <w:jc w:val="left"/>
              <w:textAlignment w:val="bottom"/>
              <w:rPr>
                <w:rFonts w:ascii="宋体" w:hAnsi="宋体" w:cs="宋体"/>
                <w:szCs w:val="21"/>
                <w:highlight w:val="none"/>
              </w:rPr>
            </w:pPr>
            <w:r>
              <w:rPr>
                <w:rFonts w:hint="eastAsia" w:ascii="宋体" w:hAnsi="宋体" w:cs="宋体"/>
                <w:szCs w:val="21"/>
                <w:highlight w:val="none"/>
              </w:rPr>
              <w:t>4、仅提供备份</w:t>
            </w:r>
            <w:r>
              <w:rPr>
                <w:rFonts w:hint="eastAsia" w:ascii="宋体" w:hAnsi="宋体" w:cs="宋体"/>
                <w:szCs w:val="21"/>
                <w:highlight w:val="none"/>
                <w:lang w:eastAsia="zh-CN"/>
              </w:rPr>
              <w:t>响应文件</w:t>
            </w:r>
            <w:r>
              <w:rPr>
                <w:rFonts w:hint="eastAsia" w:ascii="宋体" w:hAnsi="宋体" w:cs="宋体"/>
                <w:szCs w:val="21"/>
                <w:highlight w:val="none"/>
              </w:rPr>
              <w:t>的。</w:t>
            </w:r>
          </w:p>
          <w:p w14:paraId="4EA79670">
            <w:pPr>
              <w:spacing w:line="360" w:lineRule="auto"/>
              <w:ind w:firstLine="420" w:firstLineChars="200"/>
              <w:rPr>
                <w:rFonts w:ascii="宋体" w:hAnsi="宋体" w:cs="宋体"/>
                <w:b/>
                <w:kern w:val="0"/>
                <w:szCs w:val="21"/>
                <w:highlight w:val="none"/>
              </w:rPr>
            </w:pPr>
            <w:r>
              <w:rPr>
                <w:rFonts w:hint="eastAsia" w:ascii="宋体" w:hAnsi="宋体" w:cs="宋体"/>
                <w:szCs w:val="21"/>
                <w:highlight w:val="none"/>
              </w:rPr>
              <w:t>当发生解密失败或未按时解密的，</w:t>
            </w:r>
            <w:r>
              <w:rPr>
                <w:rFonts w:hint="eastAsia" w:ascii="宋体" w:hAnsi="宋体" w:cs="宋体"/>
                <w:szCs w:val="21"/>
                <w:highlight w:val="none"/>
                <w:lang w:eastAsia="zh-CN"/>
              </w:rPr>
              <w:t>响应人</w:t>
            </w:r>
            <w:r>
              <w:rPr>
                <w:rFonts w:hint="eastAsia" w:ascii="宋体" w:hAnsi="宋体" w:cs="宋体"/>
                <w:szCs w:val="21"/>
                <w:highlight w:val="none"/>
              </w:rPr>
              <w:t>提供了备份</w:t>
            </w:r>
            <w:r>
              <w:rPr>
                <w:rFonts w:hint="eastAsia" w:ascii="宋体" w:hAnsi="宋体" w:cs="宋体"/>
                <w:szCs w:val="21"/>
                <w:highlight w:val="none"/>
                <w:lang w:eastAsia="zh-CN"/>
              </w:rPr>
              <w:t>响应文件</w:t>
            </w:r>
            <w:r>
              <w:rPr>
                <w:rFonts w:hint="eastAsia" w:ascii="宋体" w:hAnsi="宋体" w:cs="宋体"/>
                <w:szCs w:val="21"/>
                <w:highlight w:val="none"/>
              </w:rPr>
              <w:t>的，以备份</w:t>
            </w:r>
            <w:r>
              <w:rPr>
                <w:rFonts w:hint="eastAsia" w:ascii="宋体" w:hAnsi="宋体" w:cs="宋体"/>
                <w:szCs w:val="21"/>
                <w:highlight w:val="none"/>
                <w:lang w:eastAsia="zh-CN"/>
              </w:rPr>
              <w:t>响应文件</w:t>
            </w:r>
            <w:r>
              <w:rPr>
                <w:rFonts w:hint="eastAsia" w:ascii="宋体" w:hAnsi="宋体" w:cs="宋体"/>
                <w:szCs w:val="21"/>
                <w:highlight w:val="none"/>
              </w:rPr>
              <w:t>为依据，否则视为</w:t>
            </w:r>
            <w:r>
              <w:rPr>
                <w:rFonts w:hint="eastAsia" w:ascii="宋体" w:hAnsi="宋体" w:cs="宋体"/>
                <w:szCs w:val="21"/>
                <w:highlight w:val="none"/>
                <w:lang w:eastAsia="zh-CN"/>
              </w:rPr>
              <w:t>响应文件</w:t>
            </w:r>
            <w:r>
              <w:rPr>
                <w:rFonts w:hint="eastAsia" w:ascii="宋体" w:hAnsi="宋体" w:cs="宋体"/>
                <w:szCs w:val="21"/>
                <w:highlight w:val="none"/>
              </w:rPr>
              <w:t>撤回。</w:t>
            </w:r>
            <w:r>
              <w:rPr>
                <w:rFonts w:hint="eastAsia" w:ascii="宋体" w:hAnsi="宋体" w:cs="宋体"/>
                <w:szCs w:val="21"/>
                <w:highlight w:val="none"/>
                <w:lang w:eastAsia="zh-CN"/>
              </w:rPr>
              <w:t>响应文件</w:t>
            </w:r>
            <w:r>
              <w:rPr>
                <w:rFonts w:hint="eastAsia" w:ascii="宋体" w:hAnsi="宋体" w:cs="宋体"/>
                <w:szCs w:val="21"/>
                <w:highlight w:val="none"/>
              </w:rPr>
              <w:t>已按时解密的，备份</w:t>
            </w:r>
            <w:r>
              <w:rPr>
                <w:rFonts w:hint="eastAsia" w:ascii="宋体" w:hAnsi="宋体" w:cs="宋体"/>
                <w:szCs w:val="21"/>
                <w:highlight w:val="none"/>
                <w:lang w:eastAsia="zh-CN"/>
              </w:rPr>
              <w:t>响应文件</w:t>
            </w:r>
            <w:r>
              <w:rPr>
                <w:rFonts w:hint="eastAsia" w:ascii="宋体" w:hAnsi="宋体" w:cs="宋体"/>
                <w:szCs w:val="21"/>
                <w:highlight w:val="none"/>
              </w:rPr>
              <w:t>自动失效。</w:t>
            </w:r>
          </w:p>
        </w:tc>
      </w:tr>
      <w:tr w14:paraId="788B6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581E13E3">
            <w:pPr>
              <w:spacing w:line="360" w:lineRule="auto"/>
              <w:jc w:val="center"/>
              <w:rPr>
                <w:rFonts w:ascii="宋体" w:hAnsi="宋体" w:cs="宋体"/>
                <w:b/>
                <w:szCs w:val="21"/>
                <w:highlight w:val="none"/>
              </w:rPr>
            </w:pPr>
            <w:r>
              <w:rPr>
                <w:rFonts w:hint="eastAsia" w:ascii="宋体" w:hAnsi="宋体" w:cs="宋体"/>
                <w:b/>
                <w:szCs w:val="21"/>
                <w:highlight w:val="none"/>
              </w:rPr>
              <w:t>13</w:t>
            </w:r>
          </w:p>
        </w:tc>
        <w:tc>
          <w:tcPr>
            <w:tcW w:w="1743" w:type="dxa"/>
            <w:shd w:val="clear" w:color="auto" w:fill="E0E0E0"/>
            <w:vAlign w:val="center"/>
          </w:tcPr>
          <w:p w14:paraId="51375C8B">
            <w:pPr>
              <w:spacing w:line="360" w:lineRule="auto"/>
              <w:jc w:val="center"/>
              <w:rPr>
                <w:rFonts w:ascii="宋体" w:hAnsi="宋体" w:cs="宋体"/>
                <w:b/>
                <w:szCs w:val="21"/>
                <w:highlight w:val="none"/>
              </w:rPr>
            </w:pPr>
            <w:r>
              <w:rPr>
                <w:rFonts w:hint="eastAsia" w:ascii="宋体" w:hAnsi="宋体" w:cs="宋体"/>
                <w:b/>
                <w:szCs w:val="21"/>
                <w:highlight w:val="none"/>
              </w:rPr>
              <w:t>演示视频递交</w:t>
            </w:r>
          </w:p>
        </w:tc>
        <w:tc>
          <w:tcPr>
            <w:tcW w:w="7656" w:type="dxa"/>
            <w:shd w:val="clear" w:color="auto" w:fill="FFFFFF"/>
            <w:vAlign w:val="center"/>
          </w:tcPr>
          <w:p w14:paraId="6EB6A709">
            <w:pPr>
              <w:pStyle w:val="10"/>
              <w:spacing w:after="0" w:line="360" w:lineRule="auto"/>
              <w:rPr>
                <w:rFonts w:ascii="宋体" w:hAnsi="宋体" w:eastAsia="宋体" w:cs="宋体"/>
                <w:b/>
                <w:sz w:val="21"/>
                <w:szCs w:val="21"/>
                <w:highlight w:val="none"/>
              </w:rPr>
            </w:pPr>
            <w:r>
              <w:rPr>
                <w:rFonts w:hint="eastAsia" w:ascii="宋体" w:hAnsi="宋体" w:eastAsia="宋体" w:cs="宋体"/>
                <w:b/>
                <w:sz w:val="21"/>
                <w:szCs w:val="21"/>
                <w:highlight w:val="none"/>
              </w:rPr>
              <w:t>1、</w:t>
            </w:r>
            <w:r>
              <w:rPr>
                <w:rFonts w:hint="eastAsia" w:ascii="宋体" w:hAnsi="宋体" w:eastAsia="宋体" w:cs="宋体"/>
                <w:b/>
                <w:sz w:val="21"/>
                <w:szCs w:val="21"/>
                <w:highlight w:val="none"/>
                <w:lang w:eastAsia="zh-CN"/>
              </w:rPr>
              <w:t>响应人</w:t>
            </w:r>
            <w:r>
              <w:rPr>
                <w:rFonts w:hint="eastAsia" w:ascii="宋体" w:hAnsi="宋体" w:eastAsia="宋体" w:cs="宋体"/>
                <w:b/>
                <w:sz w:val="21"/>
                <w:szCs w:val="21"/>
                <w:highlight w:val="none"/>
              </w:rPr>
              <w:t>需进行录屏演示，如录屏演示不清晰影响后续评审，</w:t>
            </w:r>
            <w:r>
              <w:rPr>
                <w:rFonts w:hint="eastAsia" w:ascii="宋体" w:hAnsi="宋体" w:eastAsia="宋体" w:cs="宋体"/>
                <w:b/>
                <w:sz w:val="21"/>
                <w:szCs w:val="21"/>
                <w:highlight w:val="none"/>
                <w:lang w:eastAsia="zh-CN"/>
              </w:rPr>
              <w:t>响应人</w:t>
            </w:r>
            <w:r>
              <w:rPr>
                <w:rFonts w:hint="eastAsia" w:ascii="宋体" w:hAnsi="宋体" w:eastAsia="宋体" w:cs="宋体"/>
                <w:b/>
                <w:sz w:val="21"/>
                <w:szCs w:val="21"/>
                <w:highlight w:val="none"/>
              </w:rPr>
              <w:t>自行承担风险。</w:t>
            </w:r>
          </w:p>
          <w:p w14:paraId="66CFE090">
            <w:pPr>
              <w:spacing w:line="360" w:lineRule="auto"/>
              <w:rPr>
                <w:rFonts w:ascii="宋体" w:hAnsi="宋体" w:cs="宋体"/>
                <w:szCs w:val="21"/>
                <w:highlight w:val="none"/>
              </w:rPr>
            </w:pPr>
            <w:r>
              <w:rPr>
                <w:rFonts w:hint="eastAsia" w:ascii="宋体" w:hAnsi="宋体" w:cs="宋体"/>
                <w:b/>
                <w:szCs w:val="21"/>
                <w:highlight w:val="none"/>
              </w:rPr>
              <w:t>2、</w:t>
            </w:r>
            <w:r>
              <w:rPr>
                <w:rFonts w:hint="eastAsia" w:ascii="宋体" w:hAnsi="宋体" w:cs="宋体"/>
                <w:b/>
                <w:szCs w:val="21"/>
                <w:highlight w:val="none"/>
                <w:lang w:eastAsia="zh-CN"/>
              </w:rPr>
              <w:t>响应人</w:t>
            </w:r>
            <w:r>
              <w:rPr>
                <w:rFonts w:hint="eastAsia" w:ascii="宋体" w:hAnsi="宋体" w:cs="宋体"/>
                <w:b/>
                <w:szCs w:val="21"/>
                <w:highlight w:val="none"/>
              </w:rPr>
              <w:t>将视频存储于u盘中，于</w:t>
            </w:r>
            <w:r>
              <w:rPr>
                <w:rFonts w:hint="eastAsia" w:ascii="宋体" w:hAnsi="宋体" w:cs="宋体"/>
                <w:b/>
                <w:szCs w:val="21"/>
                <w:highlight w:val="none"/>
                <w:lang w:eastAsia="zh-CN"/>
              </w:rPr>
              <w:t>202</w:t>
            </w:r>
            <w:r>
              <w:rPr>
                <w:rFonts w:hint="eastAsia" w:ascii="宋体" w:hAnsi="宋体" w:cs="宋体"/>
                <w:b/>
                <w:szCs w:val="21"/>
                <w:highlight w:val="none"/>
                <w:lang w:val="en-US" w:eastAsia="zh-CN"/>
              </w:rPr>
              <w:t>5</w:t>
            </w:r>
            <w:r>
              <w:rPr>
                <w:rFonts w:hint="eastAsia" w:ascii="宋体" w:hAnsi="宋体" w:cs="宋体"/>
                <w:b/>
                <w:szCs w:val="21"/>
                <w:highlight w:val="none"/>
                <w:lang w:eastAsia="zh-CN"/>
              </w:rPr>
              <w:t>年</w:t>
            </w:r>
            <w:r>
              <w:rPr>
                <w:rFonts w:hint="eastAsia" w:ascii="宋体" w:hAnsi="宋体" w:cs="宋体"/>
                <w:b/>
                <w:szCs w:val="21"/>
                <w:highlight w:val="none"/>
                <w:lang w:val="en-US" w:eastAsia="zh-CN"/>
              </w:rPr>
              <w:t>4</w:t>
            </w:r>
            <w:r>
              <w:rPr>
                <w:rFonts w:hint="eastAsia" w:ascii="宋体" w:hAnsi="宋体" w:cs="宋体"/>
                <w:b/>
                <w:szCs w:val="21"/>
                <w:highlight w:val="none"/>
                <w:lang w:eastAsia="zh-CN"/>
              </w:rPr>
              <w:t>月</w:t>
            </w:r>
            <w:r>
              <w:rPr>
                <w:rFonts w:hint="eastAsia" w:ascii="宋体" w:hAnsi="宋体" w:cs="宋体"/>
                <w:b/>
                <w:szCs w:val="21"/>
                <w:highlight w:val="none"/>
                <w:lang w:val="en-US" w:eastAsia="zh-CN"/>
              </w:rPr>
              <w:t>28</w:t>
            </w:r>
            <w:r>
              <w:rPr>
                <w:rFonts w:hint="eastAsia" w:ascii="宋体" w:hAnsi="宋体" w:cs="宋体"/>
                <w:b/>
                <w:szCs w:val="21"/>
                <w:highlight w:val="none"/>
                <w:lang w:eastAsia="zh-CN"/>
              </w:rPr>
              <w:t>日</w:t>
            </w:r>
            <w:r>
              <w:rPr>
                <w:rFonts w:hint="eastAsia" w:ascii="宋体" w:hAnsi="宋体" w:cs="宋体"/>
                <w:b/>
                <w:szCs w:val="21"/>
                <w:highlight w:val="none"/>
              </w:rPr>
              <w:t>1</w:t>
            </w:r>
            <w:r>
              <w:rPr>
                <w:rFonts w:hint="eastAsia" w:ascii="宋体" w:hAnsi="宋体" w:cs="宋体"/>
                <w:b/>
                <w:szCs w:val="21"/>
                <w:highlight w:val="none"/>
                <w:lang w:val="en-US" w:eastAsia="zh-CN"/>
              </w:rPr>
              <w:t>7</w:t>
            </w:r>
            <w:r>
              <w:rPr>
                <w:rFonts w:hint="eastAsia" w:ascii="宋体" w:hAnsi="宋体" w:cs="宋体"/>
                <w:b/>
                <w:szCs w:val="21"/>
                <w:highlight w:val="none"/>
              </w:rPr>
              <w:t>:00</w:t>
            </w:r>
            <w:r>
              <w:rPr>
                <w:rFonts w:hint="eastAsia" w:ascii="宋体" w:hAnsi="宋体" w:cs="宋体"/>
                <w:b/>
                <w:szCs w:val="21"/>
                <w:highlight w:val="none"/>
              </w:rPr>
              <w:t>（北京时间）前通过邮寄或派人递送的方式送交到采购代理机构处（地址：</w:t>
            </w:r>
            <w:r>
              <w:rPr>
                <w:rFonts w:hint="eastAsia" w:ascii="宋体" w:hAnsi="宋体" w:cs="宋体"/>
                <w:b/>
                <w:szCs w:val="21"/>
                <w:highlight w:val="none"/>
                <w:lang w:eastAsia="zh-CN"/>
              </w:rPr>
              <w:t>浙江省舟山市定海区港岛路98号高智大厦1303室</w:t>
            </w:r>
            <w:r>
              <w:rPr>
                <w:rFonts w:hint="eastAsia" w:ascii="宋体" w:hAnsi="宋体" w:cs="宋体"/>
                <w:b/>
                <w:szCs w:val="21"/>
                <w:highlight w:val="none"/>
              </w:rPr>
              <w:t>；联系人：</w:t>
            </w:r>
            <w:r>
              <w:rPr>
                <w:rFonts w:hint="eastAsia" w:ascii="宋体" w:hAnsi="宋体" w:cs="宋体"/>
                <w:b/>
                <w:szCs w:val="21"/>
                <w:highlight w:val="none"/>
                <w:lang w:val="en-US" w:eastAsia="zh-CN"/>
              </w:rPr>
              <w:t>陈佳琪</w:t>
            </w:r>
            <w:r>
              <w:rPr>
                <w:rFonts w:hint="eastAsia" w:ascii="宋体" w:hAnsi="宋体" w:cs="宋体"/>
                <w:b/>
                <w:szCs w:val="21"/>
                <w:highlight w:val="none"/>
              </w:rPr>
              <w:t>；联系方式：</w:t>
            </w:r>
            <w:r>
              <w:rPr>
                <w:rFonts w:hint="eastAsia" w:ascii="宋体" w:hAnsi="宋体" w:cs="宋体"/>
                <w:b/>
                <w:szCs w:val="21"/>
                <w:highlight w:val="none"/>
                <w:lang w:val="en-US" w:eastAsia="zh-CN"/>
              </w:rPr>
              <w:t>18768052717</w:t>
            </w:r>
            <w:r>
              <w:rPr>
                <w:rFonts w:hint="eastAsia" w:ascii="宋体" w:hAnsi="宋体" w:cs="宋体"/>
                <w:b/>
                <w:szCs w:val="21"/>
                <w:highlight w:val="none"/>
              </w:rPr>
              <w:t>）或开标当天专人送达开标地点，未按时送达的自行承担风险。演示视频须密封完好，并注明</w:t>
            </w:r>
            <w:r>
              <w:rPr>
                <w:rFonts w:hint="eastAsia" w:ascii="宋体" w:hAnsi="宋体" w:cs="宋体"/>
                <w:b/>
                <w:szCs w:val="21"/>
                <w:highlight w:val="none"/>
                <w:lang w:eastAsia="zh-CN"/>
              </w:rPr>
              <w:t>响应人</w:t>
            </w:r>
            <w:r>
              <w:rPr>
                <w:rFonts w:hint="eastAsia" w:ascii="宋体" w:hAnsi="宋体" w:cs="宋体"/>
                <w:b/>
                <w:szCs w:val="21"/>
                <w:highlight w:val="none"/>
              </w:rPr>
              <w:t>单位名称。</w:t>
            </w:r>
            <w:r>
              <w:rPr>
                <w:rFonts w:hint="eastAsia" w:ascii="宋体" w:hAnsi="宋体" w:cs="宋体"/>
                <w:b/>
                <w:szCs w:val="21"/>
                <w:highlight w:val="none"/>
                <w:lang w:eastAsia="zh-CN"/>
              </w:rPr>
              <w:t>响应人</w:t>
            </w:r>
            <w:r>
              <w:rPr>
                <w:rFonts w:hint="eastAsia" w:ascii="宋体" w:hAnsi="宋体" w:cs="宋体"/>
                <w:b/>
                <w:szCs w:val="21"/>
                <w:highlight w:val="none"/>
              </w:rPr>
              <w:t>未按规定递交的演示视频，采购人有权拒收。</w:t>
            </w:r>
          </w:p>
        </w:tc>
      </w:tr>
      <w:tr w14:paraId="70537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shd w:val="clear" w:color="auto" w:fill="E0E0E0"/>
            <w:vAlign w:val="center"/>
          </w:tcPr>
          <w:p w14:paraId="1F1BF6A7">
            <w:pPr>
              <w:spacing w:line="360" w:lineRule="auto"/>
              <w:jc w:val="center"/>
              <w:rPr>
                <w:rFonts w:ascii="宋体" w:hAnsi="宋体" w:cs="宋体"/>
                <w:b/>
                <w:szCs w:val="21"/>
                <w:highlight w:val="none"/>
              </w:rPr>
            </w:pPr>
            <w:r>
              <w:rPr>
                <w:rFonts w:hint="eastAsia" w:ascii="宋体" w:hAnsi="宋体" w:cs="宋体"/>
                <w:b/>
                <w:szCs w:val="21"/>
                <w:highlight w:val="none"/>
              </w:rPr>
              <w:t>14</w:t>
            </w:r>
          </w:p>
        </w:tc>
        <w:tc>
          <w:tcPr>
            <w:tcW w:w="1743" w:type="dxa"/>
            <w:shd w:val="clear" w:color="auto" w:fill="E0E0E0"/>
            <w:vAlign w:val="center"/>
          </w:tcPr>
          <w:p w14:paraId="220366B1">
            <w:pPr>
              <w:spacing w:line="360" w:lineRule="auto"/>
              <w:jc w:val="center"/>
              <w:rPr>
                <w:rFonts w:ascii="宋体" w:hAnsi="宋体" w:cs="宋体"/>
                <w:b/>
                <w:szCs w:val="21"/>
                <w:highlight w:val="none"/>
              </w:rPr>
            </w:pPr>
            <w:r>
              <w:rPr>
                <w:rFonts w:hint="eastAsia" w:ascii="宋体" w:hAnsi="宋体" w:cs="宋体"/>
                <w:b/>
                <w:szCs w:val="21"/>
                <w:highlight w:val="none"/>
                <w:lang w:eastAsia="zh-CN"/>
              </w:rPr>
              <w:t>响应文件</w:t>
            </w:r>
            <w:r>
              <w:rPr>
                <w:rFonts w:hint="eastAsia" w:ascii="宋体" w:hAnsi="宋体" w:cs="宋体"/>
                <w:b/>
                <w:szCs w:val="21"/>
                <w:highlight w:val="none"/>
              </w:rPr>
              <w:t>提交截止时间及开标时间</w:t>
            </w:r>
          </w:p>
        </w:tc>
        <w:tc>
          <w:tcPr>
            <w:tcW w:w="7656" w:type="dxa"/>
            <w:shd w:val="clear" w:color="auto" w:fill="FFFFFF"/>
            <w:vAlign w:val="center"/>
          </w:tcPr>
          <w:p w14:paraId="5CAD5192">
            <w:pPr>
              <w:spacing w:line="360" w:lineRule="auto"/>
              <w:jc w:val="left"/>
              <w:rPr>
                <w:rFonts w:ascii="宋体" w:hAnsi="宋体" w:cs="宋体"/>
                <w:b/>
                <w:szCs w:val="21"/>
                <w:highlight w:val="none"/>
              </w:rPr>
            </w:pPr>
            <w:r>
              <w:rPr>
                <w:rFonts w:hint="eastAsia" w:ascii="宋体" w:hAnsi="宋体" w:cs="宋体"/>
                <w:b/>
                <w:kern w:val="0"/>
                <w:szCs w:val="21"/>
                <w:highlight w:val="none"/>
                <w:lang w:eastAsia="zh-CN"/>
              </w:rPr>
              <w:t>202</w:t>
            </w:r>
            <w:r>
              <w:rPr>
                <w:rFonts w:hint="eastAsia" w:ascii="宋体" w:hAnsi="宋体" w:cs="宋体"/>
                <w:b/>
                <w:kern w:val="0"/>
                <w:szCs w:val="21"/>
                <w:highlight w:val="none"/>
                <w:lang w:val="en-US" w:eastAsia="zh-CN"/>
              </w:rPr>
              <w:t>5</w:t>
            </w:r>
            <w:r>
              <w:rPr>
                <w:rFonts w:hint="eastAsia" w:ascii="宋体" w:hAnsi="宋体" w:cs="宋体"/>
                <w:b/>
                <w:kern w:val="0"/>
                <w:szCs w:val="21"/>
                <w:highlight w:val="none"/>
                <w:lang w:eastAsia="zh-CN"/>
              </w:rPr>
              <w:t>年</w:t>
            </w:r>
            <w:r>
              <w:rPr>
                <w:rFonts w:hint="eastAsia" w:ascii="宋体" w:hAnsi="宋体" w:cs="宋体"/>
                <w:b/>
                <w:kern w:val="0"/>
                <w:szCs w:val="21"/>
                <w:highlight w:val="none"/>
                <w:lang w:val="en-US" w:eastAsia="zh-CN"/>
              </w:rPr>
              <w:t>4</w:t>
            </w:r>
            <w:r>
              <w:rPr>
                <w:rFonts w:hint="eastAsia" w:ascii="宋体" w:hAnsi="宋体" w:cs="宋体"/>
                <w:b/>
                <w:kern w:val="0"/>
                <w:szCs w:val="21"/>
                <w:highlight w:val="none"/>
                <w:lang w:eastAsia="zh-CN"/>
              </w:rPr>
              <w:t>月</w:t>
            </w:r>
            <w:r>
              <w:rPr>
                <w:rFonts w:hint="eastAsia" w:ascii="宋体" w:hAnsi="宋体" w:cs="宋体"/>
                <w:b/>
                <w:kern w:val="0"/>
                <w:szCs w:val="21"/>
                <w:highlight w:val="none"/>
                <w:lang w:val="en-US" w:eastAsia="zh-CN"/>
              </w:rPr>
              <w:t>29</w:t>
            </w:r>
            <w:r>
              <w:rPr>
                <w:rFonts w:hint="eastAsia" w:ascii="宋体" w:hAnsi="宋体" w:cs="宋体"/>
                <w:b/>
                <w:kern w:val="0"/>
                <w:szCs w:val="21"/>
                <w:highlight w:val="none"/>
                <w:lang w:eastAsia="zh-CN"/>
              </w:rPr>
              <w:t>日14:30</w:t>
            </w:r>
            <w:r>
              <w:rPr>
                <w:rFonts w:hint="eastAsia" w:ascii="宋体" w:hAnsi="宋体" w:cs="宋体"/>
                <w:b/>
                <w:szCs w:val="21"/>
                <w:highlight w:val="none"/>
              </w:rPr>
              <w:t>（北京时间）</w:t>
            </w:r>
          </w:p>
        </w:tc>
      </w:tr>
      <w:tr w14:paraId="2F36B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trPr>
        <w:tc>
          <w:tcPr>
            <w:tcW w:w="626" w:type="dxa"/>
            <w:vMerge w:val="restart"/>
            <w:shd w:val="clear" w:color="auto" w:fill="E0E0E0"/>
            <w:vAlign w:val="center"/>
          </w:tcPr>
          <w:p w14:paraId="79D4E618">
            <w:pPr>
              <w:spacing w:line="360" w:lineRule="auto"/>
              <w:jc w:val="center"/>
              <w:rPr>
                <w:rFonts w:ascii="宋体" w:hAnsi="宋体" w:cs="宋体"/>
                <w:b/>
                <w:szCs w:val="21"/>
                <w:highlight w:val="none"/>
              </w:rPr>
            </w:pPr>
            <w:r>
              <w:rPr>
                <w:rFonts w:hint="eastAsia" w:ascii="宋体" w:hAnsi="宋体" w:cs="宋体"/>
                <w:b/>
                <w:szCs w:val="21"/>
                <w:highlight w:val="none"/>
              </w:rPr>
              <w:t>15</w:t>
            </w:r>
          </w:p>
        </w:tc>
        <w:tc>
          <w:tcPr>
            <w:tcW w:w="1743" w:type="dxa"/>
            <w:vMerge w:val="restart"/>
            <w:shd w:val="clear" w:color="auto" w:fill="E0E0E0"/>
            <w:vAlign w:val="center"/>
          </w:tcPr>
          <w:p w14:paraId="034267D4">
            <w:pPr>
              <w:spacing w:line="360" w:lineRule="auto"/>
              <w:jc w:val="center"/>
              <w:rPr>
                <w:rFonts w:ascii="宋体" w:hAnsi="宋体" w:cs="宋体"/>
                <w:b/>
                <w:szCs w:val="21"/>
                <w:highlight w:val="none"/>
              </w:rPr>
            </w:pPr>
            <w:r>
              <w:rPr>
                <w:rFonts w:hint="eastAsia" w:ascii="宋体" w:hAnsi="宋体" w:cs="宋体"/>
                <w:b/>
                <w:szCs w:val="21"/>
                <w:highlight w:val="none"/>
              </w:rPr>
              <w:t>中小企业</w:t>
            </w:r>
          </w:p>
          <w:p w14:paraId="69FED08D">
            <w:pPr>
              <w:spacing w:line="360" w:lineRule="auto"/>
              <w:jc w:val="center"/>
              <w:rPr>
                <w:rFonts w:ascii="宋体" w:hAnsi="宋体" w:cs="宋体"/>
                <w:b/>
                <w:szCs w:val="21"/>
                <w:highlight w:val="none"/>
              </w:rPr>
            </w:pPr>
            <w:r>
              <w:rPr>
                <w:rFonts w:hint="eastAsia" w:ascii="宋体" w:hAnsi="宋体" w:cs="宋体"/>
                <w:b/>
                <w:szCs w:val="21"/>
                <w:highlight w:val="none"/>
              </w:rPr>
              <w:t>扶持政策</w:t>
            </w:r>
          </w:p>
        </w:tc>
        <w:tc>
          <w:tcPr>
            <w:tcW w:w="7656" w:type="dxa"/>
            <w:shd w:val="clear" w:color="auto" w:fill="FFFFFF"/>
            <w:vAlign w:val="center"/>
          </w:tcPr>
          <w:p w14:paraId="399CAAC2">
            <w:pPr>
              <w:spacing w:line="360" w:lineRule="auto"/>
              <w:jc w:val="left"/>
              <w:rPr>
                <w:rFonts w:ascii="宋体" w:hAnsi="宋体" w:cs="宋体"/>
                <w:b/>
                <w:kern w:val="0"/>
                <w:szCs w:val="21"/>
                <w:highlight w:val="none"/>
              </w:rPr>
            </w:pPr>
            <w:r>
              <w:rPr>
                <w:rFonts w:hint="eastAsia" w:ascii="宋体" w:hAnsi="宋体" w:cs="宋体"/>
                <w:b/>
                <w:kern w:val="0"/>
                <w:szCs w:val="21"/>
                <w:highlight w:val="none"/>
              </w:rPr>
              <w:t>本项目为</w:t>
            </w:r>
            <w:r>
              <w:rPr>
                <w:rFonts w:hint="eastAsia" w:ascii="宋体" w:hAnsi="宋体" w:cs="宋体"/>
                <w:b/>
                <w:kern w:val="0"/>
                <w:szCs w:val="21"/>
                <w:highlight w:val="none"/>
                <w:lang w:val="en-US" w:eastAsia="zh-CN"/>
              </w:rPr>
              <w:t>非</w:t>
            </w:r>
            <w:r>
              <w:rPr>
                <w:rFonts w:hint="eastAsia" w:ascii="宋体" w:hAnsi="宋体" w:cs="宋体"/>
                <w:b/>
                <w:kern w:val="0"/>
                <w:szCs w:val="21"/>
                <w:highlight w:val="none"/>
              </w:rPr>
              <w:t>专门面向中小企业采购的采购项目。</w:t>
            </w:r>
          </w:p>
        </w:tc>
      </w:tr>
      <w:tr w14:paraId="68088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8" w:hRule="atLeast"/>
          <w:tblCellSpacing w:w="7" w:type="dxa"/>
        </w:trPr>
        <w:tc>
          <w:tcPr>
            <w:tcW w:w="626" w:type="dxa"/>
            <w:vMerge w:val="continue"/>
            <w:shd w:val="clear" w:color="auto" w:fill="E0E0E0"/>
            <w:vAlign w:val="center"/>
          </w:tcPr>
          <w:p w14:paraId="280765BD">
            <w:pPr>
              <w:spacing w:line="360" w:lineRule="auto"/>
              <w:jc w:val="center"/>
              <w:rPr>
                <w:rFonts w:ascii="宋体" w:hAnsi="宋体" w:cs="宋体"/>
                <w:b/>
                <w:szCs w:val="21"/>
                <w:highlight w:val="none"/>
              </w:rPr>
            </w:pPr>
          </w:p>
        </w:tc>
        <w:tc>
          <w:tcPr>
            <w:tcW w:w="1743" w:type="dxa"/>
            <w:vMerge w:val="continue"/>
            <w:shd w:val="clear" w:color="auto" w:fill="E0E0E0"/>
            <w:vAlign w:val="center"/>
          </w:tcPr>
          <w:p w14:paraId="1AA1AC42">
            <w:pPr>
              <w:spacing w:line="360" w:lineRule="auto"/>
              <w:jc w:val="center"/>
              <w:rPr>
                <w:rFonts w:ascii="宋体" w:hAnsi="宋体" w:cs="宋体"/>
                <w:b/>
                <w:szCs w:val="21"/>
                <w:highlight w:val="none"/>
              </w:rPr>
            </w:pPr>
          </w:p>
        </w:tc>
        <w:tc>
          <w:tcPr>
            <w:tcW w:w="7656" w:type="dxa"/>
            <w:shd w:val="clear" w:color="auto" w:fill="FFFFFF"/>
            <w:vAlign w:val="center"/>
          </w:tcPr>
          <w:p w14:paraId="5BFE55C1">
            <w:pPr>
              <w:spacing w:line="360" w:lineRule="auto"/>
              <w:jc w:val="left"/>
              <w:rPr>
                <w:rFonts w:ascii="宋体" w:hAnsi="宋体" w:cs="宋体"/>
                <w:b/>
                <w:kern w:val="0"/>
                <w:szCs w:val="21"/>
                <w:highlight w:val="none"/>
              </w:rPr>
            </w:pPr>
            <w:r>
              <w:rPr>
                <w:rFonts w:hint="eastAsia" w:ascii="宋体" w:hAnsi="宋体" w:cs="宋体"/>
                <w:b/>
                <w:kern w:val="0"/>
                <w:szCs w:val="21"/>
                <w:highlight w:val="none"/>
              </w:rPr>
              <w:t>本项目不接受联合体投标。</w:t>
            </w:r>
          </w:p>
        </w:tc>
      </w:tr>
      <w:tr w14:paraId="2FC6D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vMerge w:val="continue"/>
            <w:shd w:val="clear" w:color="auto" w:fill="E0E0E0"/>
            <w:vAlign w:val="center"/>
          </w:tcPr>
          <w:p w14:paraId="774C7462">
            <w:pPr>
              <w:spacing w:line="360" w:lineRule="auto"/>
              <w:jc w:val="center"/>
              <w:rPr>
                <w:rFonts w:ascii="宋体" w:hAnsi="宋体" w:cs="宋体"/>
                <w:b/>
                <w:szCs w:val="21"/>
                <w:highlight w:val="none"/>
              </w:rPr>
            </w:pPr>
          </w:p>
        </w:tc>
        <w:tc>
          <w:tcPr>
            <w:tcW w:w="1743" w:type="dxa"/>
            <w:vMerge w:val="continue"/>
            <w:shd w:val="clear" w:color="auto" w:fill="E0E0E0"/>
            <w:vAlign w:val="center"/>
          </w:tcPr>
          <w:p w14:paraId="34DD2111">
            <w:pPr>
              <w:spacing w:line="360" w:lineRule="auto"/>
              <w:jc w:val="center"/>
              <w:rPr>
                <w:rFonts w:ascii="宋体" w:hAnsi="宋体" w:cs="宋体"/>
                <w:b/>
                <w:szCs w:val="21"/>
                <w:highlight w:val="none"/>
              </w:rPr>
            </w:pPr>
          </w:p>
        </w:tc>
        <w:tc>
          <w:tcPr>
            <w:tcW w:w="7656" w:type="dxa"/>
            <w:shd w:val="clear" w:color="auto" w:fill="FFFFFF"/>
            <w:vAlign w:val="center"/>
          </w:tcPr>
          <w:p w14:paraId="77EAFA1C">
            <w:pPr>
              <w:spacing w:line="360" w:lineRule="auto"/>
              <w:jc w:val="left"/>
              <w:rPr>
                <w:rFonts w:hint="eastAsia" w:ascii="宋体" w:hAnsi="宋体" w:eastAsia="宋体" w:cs="宋体"/>
                <w:b/>
                <w:kern w:val="0"/>
                <w:szCs w:val="21"/>
                <w:highlight w:val="none"/>
                <w:lang w:eastAsia="zh-CN"/>
              </w:rPr>
            </w:pPr>
            <w:r>
              <w:rPr>
                <w:rFonts w:hint="eastAsia" w:ascii="宋体" w:hAnsi="宋体" w:cs="宋体"/>
                <w:b/>
                <w:bCs/>
                <w:szCs w:val="21"/>
                <w:highlight w:val="none"/>
                <w:lang w:eastAsia="zh-CN"/>
              </w:rPr>
              <w:t>本项目不允许转包、分包。</w:t>
            </w:r>
          </w:p>
        </w:tc>
      </w:tr>
      <w:tr w14:paraId="279A3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27" w:hRule="atLeast"/>
          <w:tblCellSpacing w:w="7" w:type="dxa"/>
        </w:trPr>
        <w:tc>
          <w:tcPr>
            <w:tcW w:w="626" w:type="dxa"/>
            <w:vMerge w:val="continue"/>
            <w:shd w:val="clear" w:color="auto" w:fill="E0E0E0"/>
            <w:vAlign w:val="center"/>
          </w:tcPr>
          <w:p w14:paraId="16CB82C1">
            <w:pPr>
              <w:spacing w:line="360" w:lineRule="auto"/>
              <w:jc w:val="center"/>
              <w:rPr>
                <w:rFonts w:ascii="宋体" w:hAnsi="宋体" w:cs="宋体"/>
                <w:b/>
                <w:szCs w:val="21"/>
                <w:highlight w:val="none"/>
              </w:rPr>
            </w:pPr>
          </w:p>
        </w:tc>
        <w:tc>
          <w:tcPr>
            <w:tcW w:w="1743" w:type="dxa"/>
            <w:vMerge w:val="continue"/>
            <w:shd w:val="clear" w:color="auto" w:fill="E0E0E0"/>
            <w:vAlign w:val="center"/>
          </w:tcPr>
          <w:p w14:paraId="597DA2E7">
            <w:pPr>
              <w:spacing w:line="360" w:lineRule="auto"/>
              <w:jc w:val="center"/>
              <w:rPr>
                <w:rFonts w:ascii="宋体" w:hAnsi="宋体" w:cs="宋体"/>
                <w:b/>
                <w:szCs w:val="21"/>
                <w:highlight w:val="none"/>
              </w:rPr>
            </w:pPr>
          </w:p>
        </w:tc>
        <w:tc>
          <w:tcPr>
            <w:tcW w:w="7656" w:type="dxa"/>
            <w:shd w:val="clear" w:color="auto" w:fill="FFFFFF"/>
            <w:vAlign w:val="center"/>
          </w:tcPr>
          <w:p w14:paraId="477FB168">
            <w:pPr>
              <w:spacing w:line="360" w:lineRule="auto"/>
              <w:jc w:val="left"/>
              <w:rPr>
                <w:rFonts w:ascii="宋体" w:hAnsi="宋体" w:cs="宋体"/>
                <w:b/>
                <w:kern w:val="0"/>
                <w:szCs w:val="21"/>
                <w:highlight w:val="none"/>
              </w:rPr>
            </w:pPr>
            <w:r>
              <w:rPr>
                <w:rFonts w:hint="eastAsia" w:ascii="宋体" w:hAnsi="宋体" w:cs="宋体"/>
                <w:b/>
                <w:kern w:val="0"/>
                <w:szCs w:val="21"/>
                <w:highlight w:val="none"/>
              </w:rPr>
              <w:t>本项目采购标的对应的中小企业划分标准所属行业：软件和信息技术服务业</w:t>
            </w:r>
          </w:p>
        </w:tc>
      </w:tr>
      <w:tr w14:paraId="0E53E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22" w:hRule="atLeast"/>
          <w:tblCellSpacing w:w="7" w:type="dxa"/>
        </w:trPr>
        <w:tc>
          <w:tcPr>
            <w:tcW w:w="626" w:type="dxa"/>
            <w:vMerge w:val="continue"/>
            <w:shd w:val="clear" w:color="auto" w:fill="E0E0E0"/>
            <w:vAlign w:val="center"/>
          </w:tcPr>
          <w:p w14:paraId="49FEE2DC">
            <w:pPr>
              <w:spacing w:line="360" w:lineRule="auto"/>
              <w:jc w:val="center"/>
              <w:rPr>
                <w:rFonts w:ascii="宋体" w:hAnsi="宋体" w:cs="宋体"/>
                <w:b/>
                <w:szCs w:val="21"/>
                <w:highlight w:val="none"/>
              </w:rPr>
            </w:pPr>
          </w:p>
        </w:tc>
        <w:tc>
          <w:tcPr>
            <w:tcW w:w="1743" w:type="dxa"/>
            <w:vMerge w:val="continue"/>
            <w:shd w:val="clear" w:color="auto" w:fill="E0E0E0"/>
            <w:vAlign w:val="center"/>
          </w:tcPr>
          <w:p w14:paraId="12294DA1">
            <w:pPr>
              <w:spacing w:line="360" w:lineRule="auto"/>
              <w:jc w:val="center"/>
              <w:rPr>
                <w:rFonts w:ascii="宋体" w:hAnsi="宋体" w:cs="宋体"/>
                <w:b/>
                <w:szCs w:val="21"/>
                <w:highlight w:val="none"/>
              </w:rPr>
            </w:pPr>
          </w:p>
        </w:tc>
        <w:tc>
          <w:tcPr>
            <w:tcW w:w="7656" w:type="dxa"/>
            <w:shd w:val="clear" w:color="auto" w:fill="FFFFFF"/>
            <w:vAlign w:val="center"/>
          </w:tcPr>
          <w:p w14:paraId="4D82503D">
            <w:pPr>
              <w:spacing w:line="360" w:lineRule="auto"/>
              <w:jc w:val="left"/>
              <w:rPr>
                <w:rFonts w:ascii="宋体" w:hAnsi="宋体" w:cs="宋体"/>
                <w:b/>
                <w:kern w:val="0"/>
                <w:szCs w:val="21"/>
                <w:highlight w:val="none"/>
              </w:rPr>
            </w:pPr>
            <w:r>
              <w:rPr>
                <w:rFonts w:hint="eastAsia" w:ascii="宋体" w:hAnsi="宋体" w:cs="宋体"/>
                <w:b/>
                <w:kern w:val="0"/>
                <w:szCs w:val="21"/>
                <w:highlight w:val="none"/>
              </w:rPr>
              <w:t>本项目为服务类采购项目。</w:t>
            </w:r>
          </w:p>
        </w:tc>
      </w:tr>
      <w:tr w14:paraId="5EC60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blCellSpacing w:w="7" w:type="dxa"/>
        </w:trPr>
        <w:tc>
          <w:tcPr>
            <w:tcW w:w="626" w:type="dxa"/>
            <w:vMerge w:val="continue"/>
            <w:shd w:val="clear" w:color="auto" w:fill="E0E0E0"/>
            <w:vAlign w:val="center"/>
          </w:tcPr>
          <w:p w14:paraId="0D6F2078">
            <w:pPr>
              <w:spacing w:line="360" w:lineRule="auto"/>
              <w:jc w:val="center"/>
              <w:rPr>
                <w:rFonts w:ascii="宋体" w:hAnsi="宋体" w:cs="宋体"/>
                <w:b/>
                <w:szCs w:val="21"/>
                <w:highlight w:val="none"/>
              </w:rPr>
            </w:pPr>
          </w:p>
        </w:tc>
        <w:tc>
          <w:tcPr>
            <w:tcW w:w="1743" w:type="dxa"/>
            <w:vMerge w:val="continue"/>
            <w:shd w:val="clear" w:color="auto" w:fill="E0E0E0"/>
            <w:vAlign w:val="center"/>
          </w:tcPr>
          <w:p w14:paraId="6D71A682">
            <w:pPr>
              <w:spacing w:line="360" w:lineRule="auto"/>
              <w:jc w:val="center"/>
              <w:rPr>
                <w:rFonts w:ascii="宋体" w:hAnsi="宋体" w:cs="宋体"/>
                <w:b/>
                <w:szCs w:val="21"/>
                <w:highlight w:val="none"/>
              </w:rPr>
            </w:pPr>
          </w:p>
        </w:tc>
        <w:tc>
          <w:tcPr>
            <w:tcW w:w="7656" w:type="dxa"/>
            <w:shd w:val="clear" w:color="auto" w:fill="FFFFFF"/>
            <w:vAlign w:val="center"/>
          </w:tcPr>
          <w:p w14:paraId="0FA3C9C8">
            <w:pPr>
              <w:spacing w:line="360" w:lineRule="auto"/>
              <w:jc w:val="left"/>
              <w:rPr>
                <w:rFonts w:ascii="宋体" w:hAnsi="宋体" w:cs="宋体"/>
                <w:b/>
                <w:kern w:val="0"/>
                <w:szCs w:val="21"/>
                <w:highlight w:val="none"/>
              </w:rPr>
            </w:pPr>
            <w:r>
              <w:rPr>
                <w:rFonts w:hint="eastAsia" w:ascii="宋体" w:hAnsi="宋体" w:cs="宋体"/>
                <w:b/>
                <w:kern w:val="0"/>
                <w:szCs w:val="21"/>
                <w:highlight w:val="none"/>
              </w:rPr>
              <w:t>根据《政府采购促进中小企业发展管理办法》（财库[2020]46号）规定：</w:t>
            </w:r>
          </w:p>
          <w:p w14:paraId="489E311B">
            <w:pPr>
              <w:spacing w:line="360" w:lineRule="auto"/>
              <w:jc w:val="left"/>
              <w:rPr>
                <w:rFonts w:ascii="宋体" w:hAnsi="宋体" w:cs="宋体"/>
                <w:b/>
                <w:kern w:val="0"/>
                <w:szCs w:val="21"/>
                <w:highlight w:val="none"/>
              </w:rPr>
            </w:pPr>
            <w:r>
              <w:rPr>
                <w:rFonts w:hint="eastAsia" w:ascii="宋体" w:hAnsi="宋体" w:cs="宋体"/>
                <w:b/>
                <w:kern w:val="0"/>
                <w:szCs w:val="21"/>
                <w:highlight w:val="none"/>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407DCE83">
            <w:pPr>
              <w:spacing w:line="360" w:lineRule="auto"/>
              <w:jc w:val="left"/>
              <w:rPr>
                <w:rFonts w:ascii="宋体" w:hAnsi="宋体" w:cs="宋体"/>
                <w:b/>
                <w:kern w:val="0"/>
                <w:szCs w:val="21"/>
                <w:highlight w:val="none"/>
              </w:rPr>
            </w:pPr>
            <w:r>
              <w:rPr>
                <w:rFonts w:hint="eastAsia" w:ascii="宋体" w:hAnsi="宋体" w:cs="宋体"/>
                <w:b/>
                <w:kern w:val="0"/>
                <w:szCs w:val="21"/>
                <w:highlight w:val="none"/>
              </w:rPr>
              <w:t>符合中小企业划分标准的个体工商户，在政府采购活动中视同中小企业。</w:t>
            </w:r>
          </w:p>
          <w:p w14:paraId="729574A7">
            <w:pPr>
              <w:spacing w:line="360" w:lineRule="auto"/>
              <w:jc w:val="left"/>
              <w:rPr>
                <w:rFonts w:ascii="宋体" w:hAnsi="宋体" w:cs="宋体"/>
                <w:b/>
                <w:kern w:val="0"/>
                <w:szCs w:val="21"/>
                <w:highlight w:val="none"/>
              </w:rPr>
            </w:pPr>
            <w:r>
              <w:rPr>
                <w:rFonts w:hint="eastAsia" w:ascii="宋体" w:hAnsi="宋体" w:cs="宋体"/>
                <w:b/>
                <w:kern w:val="0"/>
                <w:szCs w:val="21"/>
                <w:highlight w:val="none"/>
              </w:rPr>
              <w:t>2、在政府采购活动中，供应商提供的货物、工程或者服务符合下列情形的，享受本办法规定的中小企业扶持政策：</w:t>
            </w:r>
          </w:p>
          <w:p w14:paraId="2F0E1913">
            <w:pPr>
              <w:spacing w:line="360" w:lineRule="auto"/>
              <w:jc w:val="left"/>
              <w:rPr>
                <w:rFonts w:ascii="宋体" w:hAnsi="宋体" w:cs="宋体"/>
                <w:b/>
                <w:kern w:val="0"/>
                <w:szCs w:val="21"/>
                <w:highlight w:val="none"/>
              </w:rPr>
            </w:pPr>
            <w:r>
              <w:rPr>
                <w:rFonts w:hint="eastAsia" w:ascii="宋体" w:hAnsi="宋体" w:cs="宋体"/>
                <w:b/>
                <w:kern w:val="0"/>
                <w:szCs w:val="21"/>
                <w:highlight w:val="none"/>
              </w:rPr>
              <w:t xml:space="preserve">（1）在货物采购项目中，货物由中小企业制造，即货物由中小企业生产且使用该中小企业商号或者注册商标； </w:t>
            </w:r>
          </w:p>
          <w:p w14:paraId="3225B117">
            <w:pPr>
              <w:spacing w:line="360" w:lineRule="auto"/>
              <w:jc w:val="left"/>
              <w:rPr>
                <w:rFonts w:ascii="宋体" w:hAnsi="宋体" w:cs="宋体"/>
                <w:b/>
                <w:kern w:val="0"/>
                <w:szCs w:val="21"/>
                <w:highlight w:val="none"/>
              </w:rPr>
            </w:pPr>
            <w:r>
              <w:rPr>
                <w:rFonts w:hint="eastAsia" w:ascii="宋体" w:hAnsi="宋体" w:cs="宋体"/>
                <w:b/>
                <w:kern w:val="0"/>
                <w:szCs w:val="21"/>
                <w:highlight w:val="none"/>
              </w:rPr>
              <w:t xml:space="preserve">（2）在工程采购项目中，工程由中小企业承建，即工程施工单位为中小企业； </w:t>
            </w:r>
          </w:p>
          <w:p w14:paraId="0DBCA34E">
            <w:pPr>
              <w:spacing w:line="360" w:lineRule="auto"/>
              <w:jc w:val="left"/>
              <w:rPr>
                <w:rFonts w:ascii="宋体" w:hAnsi="宋体" w:cs="宋体"/>
                <w:b/>
                <w:kern w:val="0"/>
                <w:szCs w:val="21"/>
                <w:highlight w:val="none"/>
              </w:rPr>
            </w:pPr>
            <w:r>
              <w:rPr>
                <w:rFonts w:hint="eastAsia" w:ascii="宋体" w:hAnsi="宋体" w:cs="宋体"/>
                <w:b/>
                <w:kern w:val="0"/>
                <w:szCs w:val="21"/>
                <w:highlight w:val="none"/>
              </w:rPr>
              <w:t xml:space="preserve">（3）在服务采购项目中，服务由中小企业承接，即提供服务的人员为中小企业依照《中华人民共和国劳动合同法》订立劳动合同的从业人员。 </w:t>
            </w:r>
          </w:p>
          <w:p w14:paraId="7FCA9923">
            <w:pPr>
              <w:spacing w:line="360" w:lineRule="auto"/>
              <w:jc w:val="left"/>
              <w:rPr>
                <w:rFonts w:ascii="宋体" w:hAnsi="宋体" w:cs="宋体"/>
                <w:b/>
                <w:kern w:val="0"/>
                <w:szCs w:val="21"/>
                <w:highlight w:val="none"/>
              </w:rPr>
            </w:pPr>
            <w:r>
              <w:rPr>
                <w:rFonts w:hint="eastAsia" w:ascii="宋体" w:hAnsi="宋体" w:cs="宋体"/>
                <w:b/>
                <w:kern w:val="0"/>
                <w:szCs w:val="21"/>
                <w:highlight w:val="none"/>
              </w:rPr>
              <w:t>在货物采购项目中，供应商提供的货物既有中小企业制造货物，也有大型企业制造货物的，不享受本办法规定的中小企业扶持政策。</w:t>
            </w:r>
          </w:p>
          <w:p w14:paraId="1291C7E3">
            <w:pPr>
              <w:spacing w:line="360" w:lineRule="auto"/>
              <w:jc w:val="left"/>
              <w:rPr>
                <w:rFonts w:ascii="宋体" w:hAnsi="宋体" w:cs="宋体"/>
                <w:b/>
                <w:kern w:val="0"/>
                <w:szCs w:val="21"/>
                <w:highlight w:val="none"/>
              </w:rPr>
            </w:pPr>
            <w:r>
              <w:rPr>
                <w:rFonts w:hint="eastAsia" w:ascii="宋体" w:hAnsi="宋体" w:cs="宋体"/>
                <w:b/>
                <w:kern w:val="0"/>
                <w:szCs w:val="21"/>
                <w:highlight w:val="none"/>
              </w:rPr>
              <w:t>3、在政府采购活动中，监狱企业、残疾人福利性单位视同小型、微型企业，享受本办法规定的中小企业扶持政策；监狱企业、残疾人福利性单位属于小型、微型企业的，不重复享受政策。</w:t>
            </w:r>
          </w:p>
          <w:p w14:paraId="4670668A">
            <w:pPr>
              <w:spacing w:line="360" w:lineRule="auto"/>
              <w:jc w:val="left"/>
              <w:rPr>
                <w:rFonts w:hint="eastAsia" w:ascii="宋体" w:hAnsi="宋体" w:cs="宋体"/>
                <w:b/>
                <w:kern w:val="0"/>
                <w:szCs w:val="21"/>
                <w:highlight w:val="none"/>
              </w:rPr>
            </w:pPr>
            <w:r>
              <w:rPr>
                <w:rFonts w:hint="eastAsia" w:ascii="宋体" w:hAnsi="宋体" w:cs="宋体"/>
                <w:b/>
                <w:kern w:val="0"/>
                <w:szCs w:val="21"/>
                <w:highlight w:val="none"/>
              </w:rPr>
              <w:t>本项目中小企业扶持政策：</w:t>
            </w:r>
          </w:p>
          <w:p w14:paraId="0E31256B">
            <w:pPr>
              <w:spacing w:line="360" w:lineRule="auto"/>
              <w:jc w:val="left"/>
              <w:rPr>
                <w:rFonts w:hint="eastAsia" w:ascii="宋体" w:hAnsi="宋体" w:cs="宋体"/>
                <w:b/>
                <w:kern w:val="0"/>
                <w:szCs w:val="21"/>
                <w:highlight w:val="none"/>
              </w:rPr>
            </w:pPr>
            <w:r>
              <w:rPr>
                <w:rFonts w:hint="eastAsia" w:ascii="宋体" w:hAnsi="宋体" w:cs="宋体"/>
                <w:b/>
                <w:kern w:val="0"/>
                <w:szCs w:val="21"/>
                <w:highlight w:val="none"/>
              </w:rPr>
              <w:t>【评审中价格扣除政策】本项目对符合本办法规定的小微企业报价给予10%的扣除，用扣除后的价格参加评审：</w:t>
            </w:r>
          </w:p>
          <w:p w14:paraId="799ADE45">
            <w:pPr>
              <w:spacing w:line="360" w:lineRule="auto"/>
              <w:jc w:val="left"/>
              <w:rPr>
                <w:rFonts w:hint="eastAsia" w:ascii="宋体" w:hAnsi="宋体" w:cs="宋体"/>
                <w:b/>
                <w:kern w:val="0"/>
                <w:szCs w:val="21"/>
                <w:highlight w:val="none"/>
              </w:rPr>
            </w:pPr>
            <w:r>
              <w:rPr>
                <w:rFonts w:hint="eastAsia" w:ascii="宋体" w:hAnsi="宋体" w:cs="宋体"/>
                <w:b/>
                <w:kern w:val="0"/>
                <w:szCs w:val="21"/>
                <w:highlight w:val="none"/>
              </w:rPr>
              <w:t>（1）小微企业须提供《中小企业声明函》，附在报价文件内，否则不享受评审中价格扣除政策；</w:t>
            </w:r>
          </w:p>
          <w:p w14:paraId="471A5692">
            <w:pPr>
              <w:spacing w:line="360" w:lineRule="auto"/>
              <w:jc w:val="left"/>
              <w:rPr>
                <w:rFonts w:hint="eastAsia" w:ascii="宋体" w:hAnsi="宋体" w:cs="宋体"/>
                <w:b/>
                <w:kern w:val="0"/>
                <w:szCs w:val="21"/>
                <w:highlight w:val="none"/>
              </w:rPr>
            </w:pPr>
            <w:r>
              <w:rPr>
                <w:rFonts w:hint="eastAsia" w:ascii="宋体" w:hAnsi="宋体" w:cs="宋体"/>
                <w:b/>
                <w:kern w:val="0"/>
                <w:szCs w:val="21"/>
                <w:highlight w:val="none"/>
              </w:rPr>
              <w:t>（2）监狱企业须提供由省级以上监狱管理局、戒毒管理局（含新疆生产建设兵团）出具的属于监狱企业的证明文件，附在报价文件内，否则不享受评审中价格扣除政策；</w:t>
            </w:r>
          </w:p>
          <w:p w14:paraId="5467FEA3">
            <w:pPr>
              <w:spacing w:line="360" w:lineRule="auto"/>
              <w:jc w:val="left"/>
              <w:rPr>
                <w:rFonts w:ascii="宋体" w:hAnsi="宋体" w:cs="宋体"/>
                <w:b/>
                <w:kern w:val="0"/>
                <w:szCs w:val="21"/>
                <w:highlight w:val="none"/>
              </w:rPr>
            </w:pPr>
            <w:r>
              <w:rPr>
                <w:rFonts w:hint="eastAsia" w:ascii="宋体" w:hAnsi="宋体" w:cs="宋体"/>
                <w:b/>
                <w:kern w:val="0"/>
                <w:szCs w:val="21"/>
                <w:highlight w:val="none"/>
              </w:rPr>
              <w:t>（3）残疾人福利性单位须提供《残疾人福利性单位声明函》，附在报价文件内，否则不享受评审中价格扣除政策。</w:t>
            </w:r>
          </w:p>
        </w:tc>
      </w:tr>
    </w:tbl>
    <w:p w14:paraId="6648B006">
      <w:pPr>
        <w:rPr>
          <w:rFonts w:ascii="宋体" w:hAnsi="宋体" w:cs="宋体"/>
          <w:b/>
          <w:szCs w:val="21"/>
          <w:highlight w:val="none"/>
        </w:rPr>
      </w:pPr>
    </w:p>
    <w:p w14:paraId="42CCEE75">
      <w:pPr>
        <w:jc w:val="center"/>
        <w:outlineLvl w:val="1"/>
        <w:rPr>
          <w:rFonts w:ascii="宋体" w:hAnsi="宋体" w:cs="宋体"/>
          <w:b/>
          <w:szCs w:val="21"/>
          <w:highlight w:val="none"/>
        </w:rPr>
      </w:pPr>
      <w:r>
        <w:rPr>
          <w:rFonts w:hint="eastAsia" w:ascii="宋体" w:hAnsi="宋体" w:cs="宋体"/>
          <w:b/>
          <w:szCs w:val="21"/>
          <w:highlight w:val="none"/>
        </w:rPr>
        <w:t>一、总  则</w:t>
      </w:r>
    </w:p>
    <w:p w14:paraId="3666D06D">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（一）适用范围</w:t>
      </w:r>
    </w:p>
    <w:p w14:paraId="3D88144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本磋商文件适用于本次项目的评标、定标、验收、合同履约、付款等（法律、法规另有规定的，从其规定）。</w:t>
      </w:r>
    </w:p>
    <w:p w14:paraId="78DE50F6">
      <w:pP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rPr>
        <w:t>（二）定义</w:t>
      </w:r>
    </w:p>
    <w:p w14:paraId="41C46CAD">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1、“采购人”系指组织本次采购的单位：</w:t>
      </w:r>
      <w:r>
        <w:rPr>
          <w:rFonts w:hint="eastAsia" w:hAnsi="宋体" w:eastAsia="宋体" w:cs="宋体"/>
          <w:sz w:val="21"/>
          <w:szCs w:val="21"/>
          <w:highlight w:val="none"/>
          <w:lang w:eastAsia="zh-CN"/>
        </w:rPr>
        <w:t>舟山市定海区人民政府办公室</w:t>
      </w:r>
      <w:r>
        <w:rPr>
          <w:rFonts w:hint="eastAsia" w:hAnsi="宋体" w:eastAsia="宋体" w:cs="宋体"/>
          <w:sz w:val="21"/>
          <w:szCs w:val="21"/>
          <w:highlight w:val="none"/>
        </w:rPr>
        <w:t>。</w:t>
      </w:r>
    </w:p>
    <w:p w14:paraId="57D25984">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2、“招标代理机构”系指</w:t>
      </w:r>
      <w:r>
        <w:rPr>
          <w:rFonts w:hint="eastAsia" w:hAnsi="宋体" w:eastAsia="宋体" w:cs="宋体"/>
          <w:sz w:val="21"/>
          <w:szCs w:val="21"/>
          <w:highlight w:val="none"/>
          <w:lang w:eastAsia="zh-CN"/>
        </w:rPr>
        <w:t>浙江天勤信息技术监理有限公司</w:t>
      </w:r>
      <w:r>
        <w:rPr>
          <w:rFonts w:hint="eastAsia" w:hAnsi="宋体" w:eastAsia="宋体" w:cs="宋体"/>
          <w:sz w:val="21"/>
          <w:szCs w:val="21"/>
          <w:highlight w:val="none"/>
        </w:rPr>
        <w:t>。</w:t>
      </w:r>
    </w:p>
    <w:p w14:paraId="724F54F5">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3、“</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”系指向招标代理机构提交</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的供应商。</w:t>
      </w:r>
    </w:p>
    <w:p w14:paraId="291BA534">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4、“</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”系指经磋商小组评定，且审查通过，并经公示无异议的合格</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w:t>
      </w:r>
    </w:p>
    <w:p w14:paraId="416AF2E6">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5、“</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代表”系指全权代表</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参加本次磋商活动并签署</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的人，如果</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代表不是</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的法定代表人，须提供《法定代表人授权函》。</w:t>
      </w:r>
    </w:p>
    <w:p w14:paraId="281AE11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6、“产品”系指按磋商文件规定，须向采购人提供的一切产品、保险、税金、备品备件、工具、手册及其它有关技术资料和材料。</w:t>
      </w:r>
    </w:p>
    <w:p w14:paraId="64A3DA6A">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7、“服务”系指磋商文件规定</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须承担的须承担的安装、调试、技术协助、校准、培训、数据服务以及其他类似的义务。</w:t>
      </w:r>
    </w:p>
    <w:p w14:paraId="7A19917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8、“项目”系指</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按磋商文件规定向采购人提供的产品和服务。</w:t>
      </w:r>
    </w:p>
    <w:p w14:paraId="3A70C206">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9、“书面形式”包括信函、传真、快递、电报等。</w:t>
      </w:r>
    </w:p>
    <w:p w14:paraId="241B97B3">
      <w:pPr>
        <w:snapToGrid w:val="0"/>
        <w:spacing w:line="360" w:lineRule="auto"/>
        <w:ind w:firstLine="422" w:firstLineChars="200"/>
        <w:outlineLvl w:val="9"/>
        <w:rPr>
          <w:rFonts w:ascii="宋体" w:hAnsi="宋体" w:cs="宋体"/>
          <w:b/>
          <w:szCs w:val="21"/>
          <w:highlight w:val="none"/>
        </w:rPr>
      </w:pPr>
      <w:r>
        <w:rPr>
          <w:rFonts w:hint="eastAsia" w:ascii="宋体" w:hAnsi="宋体" w:cs="宋体"/>
          <w:b/>
          <w:szCs w:val="21"/>
          <w:highlight w:val="none"/>
        </w:rPr>
        <w:t>（三）采购方式</w:t>
      </w:r>
    </w:p>
    <w:p w14:paraId="141BA1EF">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本次采用竞争性磋商方式进行。</w:t>
      </w:r>
    </w:p>
    <w:p w14:paraId="4FB27EA5">
      <w:pPr>
        <w:pStyle w:val="13"/>
        <w:snapToGrid w:val="0"/>
        <w:spacing w:line="360" w:lineRule="auto"/>
        <w:ind w:firstLine="422" w:firstLineChars="200"/>
        <w:rPr>
          <w:rFonts w:hint="default" w:hAnsi="宋体" w:eastAsia="宋体" w:cs="宋体"/>
          <w:b/>
          <w:sz w:val="21"/>
          <w:szCs w:val="21"/>
          <w:highlight w:val="none"/>
          <w:lang w:val="en-US" w:eastAsia="zh-CN"/>
        </w:rPr>
      </w:pPr>
      <w:r>
        <w:rPr>
          <w:rFonts w:hint="eastAsia" w:hAnsi="宋体" w:eastAsia="宋体" w:cs="宋体"/>
          <w:b/>
          <w:sz w:val="21"/>
          <w:szCs w:val="21"/>
          <w:highlight w:val="none"/>
        </w:rPr>
        <w:t>（四）</w:t>
      </w:r>
      <w:r>
        <w:rPr>
          <w:rFonts w:hint="eastAsia" w:hAnsi="宋体" w:eastAsia="宋体" w:cs="宋体"/>
          <w:b/>
          <w:sz w:val="21"/>
          <w:szCs w:val="21"/>
          <w:highlight w:val="none"/>
          <w:lang w:val="en-US" w:eastAsia="zh-CN"/>
        </w:rPr>
        <w:t>预算金额</w:t>
      </w:r>
    </w:p>
    <w:p w14:paraId="557AA75D">
      <w:pPr>
        <w:shd w:val="clear"/>
        <w:snapToGrid w:val="0"/>
        <w:spacing w:line="360" w:lineRule="auto"/>
        <w:ind w:firstLine="422" w:firstLineChars="200"/>
        <w:rPr>
          <w:rFonts w:hint="eastAsia" w:ascii="宋体" w:hAnsi="宋体" w:cs="宋体"/>
          <w:b/>
          <w:szCs w:val="21"/>
          <w:highlight w:val="none"/>
        </w:rPr>
      </w:pPr>
      <w:r>
        <w:rPr>
          <w:rFonts w:hint="eastAsia" w:ascii="宋体" w:hAnsi="宋体" w:cs="宋体"/>
          <w:b/>
          <w:szCs w:val="21"/>
          <w:highlight w:val="none"/>
          <w:shd w:val="clear"/>
        </w:rPr>
        <w:t>本项目</w:t>
      </w:r>
      <w:r>
        <w:rPr>
          <w:rFonts w:hint="eastAsia" w:hAnsi="宋体" w:eastAsia="宋体" w:cs="宋体"/>
          <w:b/>
          <w:sz w:val="21"/>
          <w:szCs w:val="21"/>
          <w:highlight w:val="none"/>
          <w:lang w:val="en-US" w:eastAsia="zh-CN"/>
        </w:rPr>
        <w:t>预算金额</w:t>
      </w:r>
      <w:r>
        <w:rPr>
          <w:rFonts w:hint="eastAsia" w:ascii="宋体" w:hAnsi="宋体" w:cs="宋体"/>
          <w:b/>
          <w:szCs w:val="21"/>
          <w:highlight w:val="none"/>
          <w:shd w:val="clear"/>
          <w:lang w:val="en-US" w:eastAsia="zh-CN"/>
        </w:rPr>
        <w:t>500000.00</w:t>
      </w:r>
      <w:r>
        <w:rPr>
          <w:rFonts w:hint="eastAsia" w:ascii="宋体" w:hAnsi="宋体" w:cs="宋体"/>
          <w:b/>
          <w:bCs/>
          <w:szCs w:val="21"/>
          <w:highlight w:val="none"/>
          <w:shd w:val="clear"/>
        </w:rPr>
        <w:t>元</w:t>
      </w:r>
      <w:r>
        <w:rPr>
          <w:rFonts w:hint="eastAsia" w:ascii="宋体" w:hAnsi="宋体" w:cs="宋体"/>
          <w:b/>
          <w:szCs w:val="21"/>
          <w:highlight w:val="none"/>
        </w:rPr>
        <w:t>，超过作投标无效处理。</w:t>
      </w:r>
    </w:p>
    <w:p w14:paraId="47BCB426">
      <w:pPr>
        <w:shd w:val="clea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rPr>
        <w:t>（五）联合体投标</w:t>
      </w:r>
    </w:p>
    <w:p w14:paraId="2065E56D">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不接受联合体投标。</w:t>
      </w:r>
    </w:p>
    <w:p w14:paraId="43FDB343">
      <w:pPr>
        <w:snapToGrid w:val="0"/>
        <w:spacing w:line="360" w:lineRule="auto"/>
        <w:ind w:firstLine="422" w:firstLineChars="200"/>
        <w:outlineLvl w:val="9"/>
        <w:rPr>
          <w:rFonts w:ascii="宋体" w:hAnsi="宋体" w:cs="宋体"/>
          <w:b/>
          <w:szCs w:val="21"/>
          <w:highlight w:val="none"/>
        </w:rPr>
      </w:pPr>
      <w:r>
        <w:rPr>
          <w:rFonts w:hint="eastAsia" w:ascii="宋体" w:hAnsi="宋体" w:cs="宋体"/>
          <w:b/>
          <w:szCs w:val="21"/>
          <w:highlight w:val="none"/>
        </w:rPr>
        <w:t>（六）转包与分包</w:t>
      </w:r>
    </w:p>
    <w:p w14:paraId="2422E756">
      <w:pPr>
        <w:pStyle w:val="13"/>
        <w:snapToGrid w:val="0"/>
        <w:spacing w:line="360" w:lineRule="auto"/>
        <w:ind w:firstLine="420" w:firstLineChars="200"/>
        <w:rPr>
          <w:rFonts w:hint="eastAsia" w:ascii="Times New Roman" w:hAnsi="宋体" w:eastAsia="宋体" w:cs="宋体"/>
          <w:kern w:val="2"/>
          <w:sz w:val="21"/>
          <w:szCs w:val="21"/>
          <w:highlight w:val="none"/>
          <w:lang w:val="en-US" w:eastAsia="zh-CN" w:bidi="ar-SA"/>
        </w:rPr>
      </w:pPr>
      <w:r>
        <w:rPr>
          <w:rFonts w:hint="eastAsia" w:ascii="Times New Roman" w:hAnsi="宋体" w:eastAsia="宋体" w:cs="宋体"/>
          <w:kern w:val="2"/>
          <w:sz w:val="21"/>
          <w:szCs w:val="21"/>
          <w:highlight w:val="none"/>
          <w:lang w:val="en-US" w:eastAsia="zh-CN" w:bidi="ar-SA"/>
        </w:rPr>
        <w:t>1、本项目不允许转包。</w:t>
      </w:r>
    </w:p>
    <w:p w14:paraId="60638C0A">
      <w:pPr>
        <w:snapToGrid w:val="0"/>
        <w:spacing w:line="360" w:lineRule="auto"/>
        <w:ind w:firstLine="420" w:firstLineChars="200"/>
        <w:outlineLvl w:val="9"/>
        <w:rPr>
          <w:rFonts w:hint="eastAsia" w:hAnsi="宋体" w:eastAsia="宋体" w:cs="宋体"/>
          <w:sz w:val="21"/>
          <w:szCs w:val="21"/>
          <w:highlight w:val="none"/>
          <w:lang w:val="en-US" w:eastAsia="zh-CN"/>
        </w:rPr>
      </w:pPr>
      <w:r>
        <w:rPr>
          <w:rFonts w:hint="eastAsia" w:hAnsi="宋体" w:eastAsia="宋体" w:cs="宋体"/>
          <w:sz w:val="21"/>
          <w:szCs w:val="21"/>
          <w:highlight w:val="none"/>
          <w:lang w:val="en-US" w:eastAsia="zh-CN"/>
        </w:rPr>
        <w:t>2、本项目不允许分包。</w:t>
      </w:r>
    </w:p>
    <w:p w14:paraId="67D95C5E">
      <w:pPr>
        <w:snapToGrid w:val="0"/>
        <w:spacing w:line="360" w:lineRule="auto"/>
        <w:ind w:firstLine="422" w:firstLineChars="200"/>
        <w:outlineLvl w:val="9"/>
        <w:rPr>
          <w:rFonts w:ascii="宋体" w:hAnsi="宋体" w:cs="宋体"/>
          <w:b/>
          <w:szCs w:val="21"/>
          <w:highlight w:val="none"/>
        </w:rPr>
      </w:pPr>
      <w:r>
        <w:rPr>
          <w:rFonts w:hint="eastAsia" w:ascii="宋体" w:hAnsi="宋体" w:cs="宋体"/>
          <w:b/>
          <w:szCs w:val="21"/>
          <w:highlight w:val="none"/>
        </w:rPr>
        <w:t>（七）磋商相关费用</w:t>
      </w:r>
    </w:p>
    <w:p w14:paraId="67693FB2">
      <w:pPr>
        <w:snapToGrid w:val="0"/>
        <w:spacing w:line="360" w:lineRule="auto"/>
        <w:ind w:firstLine="420" w:firstLineChars="200"/>
        <w:rPr>
          <w:rFonts w:ascii="宋体" w:hAnsi="宋体" w:cs="宋体"/>
          <w:szCs w:val="21"/>
          <w:highlight w:val="none"/>
        </w:rPr>
      </w:pPr>
      <w:r>
        <w:rPr>
          <w:rFonts w:hint="eastAsia" w:ascii="宋体" w:hAnsi="宋体" w:cs="宋体"/>
          <w:szCs w:val="21"/>
          <w:highlight w:val="none"/>
        </w:rPr>
        <w:t>不论竞争性磋商结果如何，</w:t>
      </w:r>
      <w:r>
        <w:rPr>
          <w:rFonts w:hint="eastAsia" w:ascii="宋体" w:hAnsi="宋体" w:cs="宋体"/>
          <w:szCs w:val="21"/>
          <w:highlight w:val="none"/>
          <w:lang w:eastAsia="zh-CN"/>
        </w:rPr>
        <w:t>响应人</w:t>
      </w:r>
      <w:r>
        <w:rPr>
          <w:rFonts w:hint="eastAsia" w:ascii="宋体" w:hAnsi="宋体" w:cs="宋体"/>
          <w:szCs w:val="21"/>
          <w:highlight w:val="none"/>
        </w:rPr>
        <w:t>均应自行承担所有与磋商响应有关的全部费用。</w:t>
      </w:r>
    </w:p>
    <w:p w14:paraId="70AD5B2B">
      <w:pPr>
        <w:pStyle w:val="13"/>
        <w:snapToGrid w:val="0"/>
        <w:spacing w:line="360" w:lineRule="auto"/>
        <w:ind w:firstLine="422" w:firstLineChars="200"/>
        <w:outlineLvl w:val="9"/>
        <w:rPr>
          <w:rFonts w:hAnsi="宋体" w:eastAsia="宋体" w:cs="宋体"/>
          <w:b/>
          <w:kern w:val="0"/>
          <w:sz w:val="21"/>
          <w:szCs w:val="21"/>
          <w:highlight w:val="none"/>
        </w:rPr>
      </w:pPr>
      <w:r>
        <w:rPr>
          <w:rFonts w:hint="eastAsia" w:hAnsi="宋体" w:eastAsia="宋体" w:cs="宋体"/>
          <w:b/>
          <w:kern w:val="0"/>
          <w:sz w:val="21"/>
          <w:szCs w:val="21"/>
          <w:highlight w:val="none"/>
        </w:rPr>
        <w:t>（八）答疑与澄清</w:t>
      </w:r>
    </w:p>
    <w:p w14:paraId="747662AD">
      <w:pPr>
        <w:pStyle w:val="13"/>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9"/>
        <w:rPr>
          <w:rFonts w:hAnsi="宋体" w:eastAsia="宋体" w:cs="宋体"/>
          <w:kern w:val="0"/>
          <w:sz w:val="21"/>
          <w:szCs w:val="21"/>
          <w:highlight w:val="none"/>
        </w:rPr>
      </w:pPr>
      <w:r>
        <w:rPr>
          <w:rFonts w:hint="eastAsia" w:hAnsi="宋体" w:eastAsia="宋体" w:cs="宋体"/>
          <w:kern w:val="0"/>
          <w:sz w:val="21"/>
          <w:szCs w:val="21"/>
          <w:highlight w:val="none"/>
          <w:lang w:eastAsia="zh-CN"/>
        </w:rPr>
        <w:t>响应人</w:t>
      </w:r>
      <w:r>
        <w:rPr>
          <w:rFonts w:hint="eastAsia" w:hAnsi="宋体" w:eastAsia="宋体" w:cs="宋体"/>
          <w:kern w:val="0"/>
          <w:sz w:val="21"/>
          <w:szCs w:val="21"/>
          <w:highlight w:val="none"/>
        </w:rPr>
        <w:t>如认为磋商文件表述不清晰、存在歧视性、排他性或者其他违法内容的，应当于</w:t>
      </w:r>
      <w:r>
        <w:rPr>
          <w:rFonts w:hint="eastAsia" w:hAnsi="宋体" w:eastAsia="宋体" w:cs="宋体"/>
          <w:kern w:val="0"/>
          <w:sz w:val="21"/>
          <w:szCs w:val="21"/>
          <w:highlight w:val="none"/>
          <w:lang w:eastAsia="zh-CN"/>
        </w:rPr>
        <w:t>202</w:t>
      </w:r>
      <w:r>
        <w:rPr>
          <w:rFonts w:hint="eastAsia" w:hAnsi="宋体" w:eastAsia="宋体" w:cs="宋体"/>
          <w:kern w:val="0"/>
          <w:sz w:val="21"/>
          <w:szCs w:val="21"/>
          <w:highlight w:val="none"/>
          <w:lang w:val="en-US" w:eastAsia="zh-CN"/>
        </w:rPr>
        <w:t>5</w:t>
      </w:r>
      <w:r>
        <w:rPr>
          <w:rFonts w:hint="eastAsia" w:hAnsi="宋体" w:eastAsia="宋体" w:cs="宋体"/>
          <w:kern w:val="0"/>
          <w:sz w:val="21"/>
          <w:szCs w:val="21"/>
          <w:highlight w:val="none"/>
          <w:lang w:eastAsia="zh-CN"/>
        </w:rPr>
        <w:t>年</w:t>
      </w:r>
      <w:r>
        <w:rPr>
          <w:rFonts w:hint="eastAsia" w:hAnsi="宋体" w:eastAsia="宋体" w:cs="宋体"/>
          <w:kern w:val="0"/>
          <w:sz w:val="21"/>
          <w:szCs w:val="21"/>
          <w:highlight w:val="none"/>
          <w:lang w:val="en-US" w:eastAsia="zh-CN"/>
        </w:rPr>
        <w:t>4</w:t>
      </w:r>
      <w:r>
        <w:rPr>
          <w:rFonts w:hint="eastAsia" w:hAnsi="宋体" w:eastAsia="宋体" w:cs="宋体"/>
          <w:kern w:val="0"/>
          <w:sz w:val="21"/>
          <w:szCs w:val="21"/>
          <w:highlight w:val="none"/>
          <w:lang w:eastAsia="zh-CN"/>
        </w:rPr>
        <w:t>月</w:t>
      </w:r>
      <w:r>
        <w:rPr>
          <w:rFonts w:hint="eastAsia" w:hAnsi="宋体" w:eastAsia="宋体" w:cs="宋体"/>
          <w:kern w:val="0"/>
          <w:sz w:val="21"/>
          <w:szCs w:val="21"/>
          <w:highlight w:val="none"/>
          <w:lang w:val="en-US" w:eastAsia="zh-CN"/>
        </w:rPr>
        <w:t>25</w:t>
      </w:r>
      <w:r>
        <w:rPr>
          <w:rFonts w:hint="eastAsia" w:hAnsi="宋体" w:eastAsia="宋体" w:cs="宋体"/>
          <w:kern w:val="0"/>
          <w:sz w:val="21"/>
          <w:szCs w:val="21"/>
          <w:highlight w:val="none"/>
          <w:lang w:eastAsia="zh-CN"/>
        </w:rPr>
        <w:t>日17：00</w:t>
      </w:r>
      <w:r>
        <w:rPr>
          <w:rFonts w:hint="eastAsia" w:hAnsi="宋体" w:eastAsia="宋体" w:cs="宋体"/>
          <w:kern w:val="0"/>
          <w:sz w:val="21"/>
          <w:szCs w:val="21"/>
          <w:highlight w:val="none"/>
        </w:rPr>
        <w:t>前</w:t>
      </w:r>
      <w:r>
        <w:rPr>
          <w:rFonts w:hint="eastAsia" w:hAnsi="宋体" w:eastAsia="宋体" w:cs="宋体"/>
          <w:kern w:val="0"/>
          <w:sz w:val="21"/>
          <w:szCs w:val="21"/>
          <w:highlight w:val="none"/>
        </w:rPr>
        <w:t>，以书面形式要求采购人作出书面解释、澄清或者向采购人提出一次性书面质疑；采购人将组织答疑；答疑内容是磋商文件的组成部份，并将以书面形式送达所有已依法获取磋商文件的</w:t>
      </w:r>
      <w:r>
        <w:rPr>
          <w:rFonts w:hint="eastAsia" w:hAnsi="宋体" w:eastAsia="宋体" w:cs="宋体"/>
          <w:kern w:val="0"/>
          <w:sz w:val="21"/>
          <w:szCs w:val="21"/>
          <w:highlight w:val="none"/>
          <w:lang w:eastAsia="zh-CN"/>
        </w:rPr>
        <w:t>响应人</w:t>
      </w:r>
      <w:r>
        <w:rPr>
          <w:rFonts w:hint="eastAsia" w:hAnsi="宋体" w:eastAsia="宋体" w:cs="宋体"/>
          <w:kern w:val="0"/>
          <w:sz w:val="21"/>
          <w:szCs w:val="21"/>
          <w:highlight w:val="none"/>
        </w:rPr>
        <w:t>。</w:t>
      </w:r>
    </w:p>
    <w:p w14:paraId="55628351">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1、根据《中华人民共和国政府采购法实施条例》第五十三条：政府采购法第五十二条规定的供应商应知其权益受到损害之日，是指：</w:t>
      </w:r>
    </w:p>
    <w:p w14:paraId="38FD7A9C">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①对可以质疑的采购文件提出质疑的，为收到采购文件之日或者采购文件公告期限届满之日；</w:t>
      </w:r>
    </w:p>
    <w:p w14:paraId="7D4FA3A7">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②对采购过程提出质疑的，为各采购程序环节结束之日；</w:t>
      </w:r>
    </w:p>
    <w:p w14:paraId="7A14D6BF">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③对中标或者成交结果提出质疑的，为中标或者成交结果公告期限届满之日。</w:t>
      </w:r>
    </w:p>
    <w:p w14:paraId="28BCD293">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2、质疑书应包括下列主要内容：</w:t>
      </w:r>
    </w:p>
    <w:p w14:paraId="31A8C75F">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①质疑人的名称、地址、邮政编码、联系人、联系电话，以及被质疑人名称及联系方式；</w:t>
      </w:r>
    </w:p>
    <w:p w14:paraId="7A96D42C">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②被质疑采购项目名称、编号及采购内容；</w:t>
      </w:r>
    </w:p>
    <w:p w14:paraId="585A685D">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③具体的质疑事项及事实依据；</w:t>
      </w:r>
    </w:p>
    <w:p w14:paraId="2C83D10C">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④认为自己合法权益受到损害或可能受到损害的相关证据材料；</w:t>
      </w:r>
    </w:p>
    <w:p w14:paraId="52B28257">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⑤提出质疑的日期。</w:t>
      </w:r>
    </w:p>
    <w:p w14:paraId="435723EF">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3、采购人或者招标代理机构应当在3个工作日内对供应商依法提出的询问作出答复。采购人或者招标代理机构应当在7个工作日内对供应商依法提出的质疑作出答复。供应商提出的询问或者质疑超出采购人对招标代理机构委托授权范围的，招标代理机构应当告知供应商向采购人提出。政府采购评审专家应当配合采购人或者招标代理机构答复供应商的询问和质疑。</w:t>
      </w:r>
    </w:p>
    <w:p w14:paraId="46EC4ECB">
      <w:pPr>
        <w:pStyle w:val="13"/>
        <w:snapToGrid w:val="0"/>
        <w:spacing w:line="360" w:lineRule="auto"/>
        <w:ind w:firstLine="420" w:firstLineChars="200"/>
        <w:outlineLvl w:val="9"/>
        <w:rPr>
          <w:rFonts w:hAnsi="宋体" w:eastAsia="宋体" w:cs="宋体"/>
          <w:kern w:val="0"/>
          <w:sz w:val="21"/>
          <w:szCs w:val="21"/>
          <w:highlight w:val="none"/>
        </w:rPr>
      </w:pPr>
      <w:r>
        <w:rPr>
          <w:rFonts w:hint="eastAsia" w:hAnsi="宋体" w:eastAsia="宋体" w:cs="宋体"/>
          <w:kern w:val="0"/>
          <w:sz w:val="21"/>
          <w:szCs w:val="21"/>
          <w:highlight w:val="none"/>
        </w:rPr>
        <w:t>4、质疑供应商对采购人、招标代理机构的答复不满意或者采购人、招标代理机构未在规定的时间内作出答复的，可以在答复期满后15个工作日内向同级政府采购监督管理部门投诉。</w:t>
      </w:r>
    </w:p>
    <w:p w14:paraId="54F028EE">
      <w:pPr>
        <w:pStyle w:val="13"/>
        <w:snapToGrid w:val="0"/>
        <w:spacing w:line="360" w:lineRule="auto"/>
        <w:ind w:firstLine="420" w:firstLineChars="200"/>
        <w:outlineLvl w:val="9"/>
        <w:rPr>
          <w:rFonts w:hAnsi="宋体" w:eastAsia="宋体" w:cs="宋体"/>
          <w:b/>
          <w:kern w:val="0"/>
          <w:sz w:val="21"/>
          <w:szCs w:val="21"/>
          <w:highlight w:val="none"/>
        </w:rPr>
      </w:pPr>
      <w:r>
        <w:rPr>
          <w:rFonts w:hint="eastAsia" w:hAnsi="宋体" w:eastAsia="宋体" w:cs="宋体"/>
          <w:kern w:val="0"/>
          <w:sz w:val="21"/>
          <w:szCs w:val="21"/>
          <w:highlight w:val="none"/>
        </w:rPr>
        <w:t>5、供应商质疑、投诉应当有明确的请求和必要的证明材料。供应商投诉的事项不得超出已质疑事项的范围。投诉人捏造事实、提供虚假材料或者以非法手段取得证明材料进行投诉的，财政部门应当予以驳回。财政部门受理投诉后，投诉人书面申请撤回投诉的，财政部门应当终止投诉处理程序。</w:t>
      </w:r>
    </w:p>
    <w:p w14:paraId="7E237F4A">
      <w:pPr>
        <w:snapToGrid w:val="0"/>
        <w:spacing w:line="360" w:lineRule="auto"/>
        <w:ind w:firstLine="422" w:firstLineChars="200"/>
        <w:outlineLvl w:val="9"/>
        <w:rPr>
          <w:rFonts w:ascii="宋体" w:hAnsi="宋体" w:cs="宋体"/>
          <w:b/>
          <w:szCs w:val="21"/>
          <w:highlight w:val="none"/>
        </w:rPr>
      </w:pPr>
      <w:r>
        <w:rPr>
          <w:rFonts w:hint="eastAsia" w:ascii="宋体" w:hAnsi="宋体" w:cs="宋体"/>
          <w:b/>
          <w:szCs w:val="21"/>
          <w:highlight w:val="none"/>
        </w:rPr>
        <w:t>（九）信用记录：</w:t>
      </w:r>
    </w:p>
    <w:p w14:paraId="0A124558">
      <w:pPr>
        <w:snapToGrid w:val="0"/>
        <w:spacing w:line="360" w:lineRule="auto"/>
        <w:ind w:firstLine="420" w:firstLineChars="200"/>
        <w:outlineLvl w:val="9"/>
        <w:rPr>
          <w:rFonts w:ascii="宋体" w:hAnsi="宋体" w:cs="宋体"/>
          <w:szCs w:val="21"/>
          <w:highlight w:val="none"/>
        </w:rPr>
      </w:pPr>
      <w:r>
        <w:rPr>
          <w:rFonts w:hint="eastAsia" w:ascii="宋体" w:hAnsi="宋体" w:cs="宋体"/>
          <w:szCs w:val="21"/>
          <w:highlight w:val="none"/>
        </w:rPr>
        <w:t>根据财库[2016]125号《关于在政府采购活动中查询及使用信用记录有关问题的通知》要求，招标代理机构会对供应商信用记录进行查询并甄别。</w:t>
      </w:r>
    </w:p>
    <w:p w14:paraId="0BF235D0">
      <w:pPr>
        <w:snapToGrid w:val="0"/>
        <w:spacing w:line="360" w:lineRule="auto"/>
        <w:ind w:firstLine="420" w:firstLineChars="200"/>
        <w:outlineLvl w:val="9"/>
        <w:rPr>
          <w:rFonts w:ascii="宋体" w:hAnsi="宋体" w:cs="宋体"/>
          <w:szCs w:val="21"/>
          <w:highlight w:val="none"/>
        </w:rPr>
      </w:pPr>
      <w:r>
        <w:rPr>
          <w:rFonts w:hint="eastAsia" w:ascii="宋体" w:hAnsi="宋体" w:cs="宋体"/>
          <w:szCs w:val="21"/>
          <w:highlight w:val="none"/>
        </w:rPr>
        <w:t>1、信用信息查询的截止时点：投标截止时间前查询；</w:t>
      </w:r>
    </w:p>
    <w:p w14:paraId="47185401">
      <w:pPr>
        <w:snapToGrid w:val="0"/>
        <w:spacing w:line="360" w:lineRule="auto"/>
        <w:ind w:firstLine="420" w:firstLineChars="200"/>
        <w:outlineLvl w:val="9"/>
        <w:rPr>
          <w:rFonts w:ascii="宋体" w:hAnsi="宋体" w:cs="宋体"/>
          <w:szCs w:val="21"/>
          <w:highlight w:val="none"/>
        </w:rPr>
      </w:pPr>
      <w:r>
        <w:rPr>
          <w:rFonts w:hint="eastAsia" w:ascii="宋体" w:hAnsi="宋体" w:cs="宋体"/>
          <w:szCs w:val="21"/>
          <w:highlight w:val="none"/>
        </w:rPr>
        <w:t>2、查询渠道：</w:t>
      </w:r>
    </w:p>
    <w:p w14:paraId="1D0005F3">
      <w:pPr>
        <w:snapToGrid w:val="0"/>
        <w:spacing w:line="360" w:lineRule="auto"/>
        <w:ind w:firstLine="420" w:firstLineChars="200"/>
        <w:outlineLvl w:val="9"/>
        <w:rPr>
          <w:rFonts w:ascii="宋体" w:hAnsi="宋体" w:cs="宋体"/>
          <w:szCs w:val="21"/>
          <w:highlight w:val="none"/>
        </w:rPr>
      </w:pPr>
      <w:r>
        <w:rPr>
          <w:rFonts w:hint="eastAsia" w:ascii="宋体" w:hAnsi="宋体" w:cs="宋体"/>
          <w:szCs w:val="21"/>
          <w:highlight w:val="none"/>
        </w:rPr>
        <w:t>信用中国（www.creditchina.gov.cn）；</w:t>
      </w:r>
    </w:p>
    <w:p w14:paraId="75E3B44E">
      <w:pPr>
        <w:snapToGrid w:val="0"/>
        <w:spacing w:line="360" w:lineRule="auto"/>
        <w:ind w:firstLine="420" w:firstLineChars="200"/>
        <w:outlineLvl w:val="9"/>
        <w:rPr>
          <w:rFonts w:ascii="宋体" w:hAnsi="宋体" w:cs="宋体"/>
          <w:szCs w:val="21"/>
          <w:highlight w:val="none"/>
        </w:rPr>
      </w:pPr>
      <w:r>
        <w:rPr>
          <w:rFonts w:hint="eastAsia" w:ascii="宋体" w:hAnsi="宋体" w:cs="宋体"/>
          <w:szCs w:val="21"/>
          <w:highlight w:val="none"/>
        </w:rPr>
        <w:t>中国政府采购网（www.ccgp.gov.cn）；</w:t>
      </w:r>
    </w:p>
    <w:p w14:paraId="089E9B59">
      <w:pPr>
        <w:snapToGrid w:val="0"/>
        <w:spacing w:line="360" w:lineRule="auto"/>
        <w:ind w:firstLine="420" w:firstLineChars="200"/>
        <w:outlineLvl w:val="9"/>
        <w:rPr>
          <w:rFonts w:ascii="宋体" w:hAnsi="宋体" w:cs="宋体"/>
          <w:szCs w:val="21"/>
          <w:highlight w:val="none"/>
        </w:rPr>
      </w:pPr>
      <w:r>
        <w:rPr>
          <w:rFonts w:hint="eastAsia" w:ascii="宋体" w:hAnsi="宋体" w:cs="宋体"/>
          <w:szCs w:val="21"/>
          <w:highlight w:val="none"/>
        </w:rPr>
        <w:t>3、信用信息查询记录和证据留存具体方式：招标代理机构经办人和监督人员将查询网页打印、签字与其他采购文件一并保存；</w:t>
      </w:r>
    </w:p>
    <w:p w14:paraId="701EE847">
      <w:pPr>
        <w:snapToGrid w:val="0"/>
        <w:spacing w:line="360" w:lineRule="auto"/>
        <w:ind w:firstLine="420" w:firstLineChars="200"/>
        <w:outlineLvl w:val="9"/>
        <w:rPr>
          <w:rFonts w:ascii="宋体" w:hAnsi="宋体" w:cs="宋体"/>
          <w:szCs w:val="21"/>
          <w:highlight w:val="none"/>
        </w:rPr>
      </w:pPr>
      <w:r>
        <w:rPr>
          <w:rFonts w:hint="eastAsia" w:ascii="宋体" w:hAnsi="宋体" w:cs="宋体"/>
          <w:szCs w:val="21"/>
          <w:highlight w:val="none"/>
        </w:rPr>
        <w:t>4、信用信息的使用规则：</w:t>
      </w:r>
      <w:r>
        <w:rPr>
          <w:rFonts w:hint="eastAsia" w:ascii="宋体" w:hAnsi="宋体" w:cs="宋体"/>
          <w:szCs w:val="21"/>
          <w:highlight w:val="none"/>
          <w:lang w:eastAsia="zh-CN"/>
        </w:rPr>
        <w:t>响应人</w:t>
      </w:r>
      <w:r>
        <w:rPr>
          <w:rFonts w:hint="eastAsia" w:ascii="宋体" w:hAnsi="宋体" w:cs="宋体"/>
          <w:szCs w:val="21"/>
          <w:highlight w:val="none"/>
        </w:rPr>
        <w:t>存在不良信用记录的，其投标将被作为无效响应被拒绝。</w:t>
      </w:r>
    </w:p>
    <w:p w14:paraId="1F3904F8">
      <w:pPr>
        <w:snapToGrid w:val="0"/>
        <w:spacing w:line="360" w:lineRule="auto"/>
        <w:ind w:firstLine="420" w:firstLineChars="200"/>
        <w:outlineLvl w:val="9"/>
        <w:rPr>
          <w:rFonts w:ascii="宋体" w:hAnsi="宋体" w:cs="宋体"/>
          <w:szCs w:val="21"/>
          <w:highlight w:val="none"/>
        </w:rPr>
      </w:pPr>
      <w:r>
        <w:rPr>
          <w:rFonts w:hint="eastAsia" w:ascii="宋体" w:hAnsi="宋体" w:cs="宋体"/>
          <w:szCs w:val="21"/>
          <w:highlight w:val="none"/>
        </w:rPr>
        <w:t>不良信用记录指：被列入失信被执行人、重大税收违法案件当事人名单、政府采购严重违法失信行为记录名单。</w:t>
      </w:r>
    </w:p>
    <w:p w14:paraId="4C4E0A27">
      <w:pPr>
        <w:snapToGrid w:val="0"/>
        <w:spacing w:line="360" w:lineRule="auto"/>
        <w:ind w:firstLine="422" w:firstLineChars="200"/>
        <w:rPr>
          <w:rFonts w:ascii="宋体" w:hAnsi="宋体" w:cs="宋体"/>
          <w:b/>
          <w:bCs/>
          <w:szCs w:val="21"/>
          <w:highlight w:val="none"/>
        </w:rPr>
      </w:pPr>
      <w:r>
        <w:rPr>
          <w:rFonts w:hint="eastAsia" w:ascii="宋体" w:hAnsi="宋体" w:cs="宋体"/>
          <w:b/>
          <w:bCs/>
          <w:szCs w:val="21"/>
          <w:highlight w:val="none"/>
        </w:rPr>
        <w:t>（十）信贷政策</w:t>
      </w:r>
    </w:p>
    <w:p w14:paraId="16845525">
      <w:pPr>
        <w:snapToGrid w:val="0"/>
        <w:spacing w:line="360" w:lineRule="auto"/>
        <w:ind w:firstLine="420" w:firstLineChars="200"/>
        <w:rPr>
          <w:rFonts w:ascii="宋体" w:hAnsi="宋体" w:cs="宋体"/>
          <w:szCs w:val="21"/>
          <w:highlight w:val="none"/>
        </w:rPr>
      </w:pPr>
      <w:r>
        <w:rPr>
          <w:rFonts w:hint="eastAsia" w:ascii="宋体" w:hAnsi="宋体" w:cs="宋体"/>
          <w:szCs w:val="21"/>
          <w:highlight w:val="none"/>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6"/>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56"/>
        <w:gridCol w:w="3706"/>
        <w:gridCol w:w="1605"/>
        <w:gridCol w:w="1797"/>
      </w:tblGrid>
      <w:tr w14:paraId="05718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00" w:type="pct"/>
            <w:gridSpan w:val="4"/>
            <w:vAlign w:val="center"/>
          </w:tcPr>
          <w:p w14:paraId="54DFDDB4">
            <w:pPr>
              <w:spacing w:line="360" w:lineRule="auto"/>
              <w:ind w:firstLine="422" w:firstLineChars="200"/>
              <w:jc w:val="center"/>
              <w:rPr>
                <w:rFonts w:ascii="宋体" w:hAnsi="宋体" w:cs="宋体"/>
                <w:b/>
                <w:szCs w:val="21"/>
                <w:highlight w:val="none"/>
              </w:rPr>
            </w:pPr>
            <w:r>
              <w:rPr>
                <w:rFonts w:hint="eastAsia" w:ascii="宋体" w:hAnsi="宋体" w:cs="宋体"/>
                <w:b/>
                <w:szCs w:val="21"/>
                <w:highlight w:val="none"/>
              </w:rPr>
              <w:t>舟山市政府采购信用融资合作银行</w:t>
            </w:r>
          </w:p>
        </w:tc>
      </w:tr>
      <w:tr w14:paraId="7BE5B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360" w:type="pct"/>
            <w:vAlign w:val="center"/>
          </w:tcPr>
          <w:p w14:paraId="5CC5C312">
            <w:pPr>
              <w:spacing w:line="360" w:lineRule="auto"/>
              <w:jc w:val="center"/>
              <w:rPr>
                <w:rFonts w:ascii="宋体" w:hAnsi="宋体" w:cs="宋体"/>
                <w:b/>
                <w:szCs w:val="21"/>
                <w:highlight w:val="none"/>
              </w:rPr>
            </w:pPr>
            <w:r>
              <w:rPr>
                <w:rFonts w:hint="eastAsia" w:ascii="宋体" w:hAnsi="宋体" w:cs="宋体"/>
                <w:b/>
                <w:szCs w:val="21"/>
                <w:highlight w:val="none"/>
              </w:rPr>
              <w:t>银行名称</w:t>
            </w:r>
          </w:p>
        </w:tc>
        <w:tc>
          <w:tcPr>
            <w:tcW w:w="1898" w:type="pct"/>
            <w:vAlign w:val="center"/>
          </w:tcPr>
          <w:p w14:paraId="521F5EBD">
            <w:pPr>
              <w:spacing w:line="360" w:lineRule="auto"/>
              <w:jc w:val="center"/>
              <w:rPr>
                <w:rFonts w:ascii="宋体" w:hAnsi="宋体" w:cs="宋体"/>
                <w:b/>
                <w:szCs w:val="21"/>
                <w:highlight w:val="none"/>
              </w:rPr>
            </w:pPr>
            <w:r>
              <w:rPr>
                <w:rFonts w:hint="eastAsia" w:ascii="宋体" w:hAnsi="宋体" w:cs="宋体"/>
                <w:b/>
                <w:szCs w:val="21"/>
                <w:highlight w:val="none"/>
              </w:rPr>
              <w:t>产品特点</w:t>
            </w:r>
          </w:p>
        </w:tc>
        <w:tc>
          <w:tcPr>
            <w:tcW w:w="822" w:type="pct"/>
            <w:vAlign w:val="center"/>
          </w:tcPr>
          <w:p w14:paraId="52EAFC55">
            <w:pPr>
              <w:spacing w:line="360" w:lineRule="auto"/>
              <w:jc w:val="center"/>
              <w:rPr>
                <w:rFonts w:ascii="宋体" w:hAnsi="宋体" w:cs="宋体"/>
                <w:b/>
                <w:szCs w:val="21"/>
                <w:highlight w:val="none"/>
              </w:rPr>
            </w:pPr>
            <w:r>
              <w:rPr>
                <w:rFonts w:hint="eastAsia" w:ascii="宋体" w:hAnsi="宋体" w:cs="宋体"/>
                <w:b/>
                <w:szCs w:val="21"/>
                <w:highlight w:val="none"/>
              </w:rPr>
              <w:t>经办人</w:t>
            </w:r>
          </w:p>
        </w:tc>
        <w:tc>
          <w:tcPr>
            <w:tcW w:w="917" w:type="pct"/>
            <w:vAlign w:val="center"/>
          </w:tcPr>
          <w:p w14:paraId="1502AFB2">
            <w:pPr>
              <w:spacing w:line="360" w:lineRule="auto"/>
              <w:jc w:val="center"/>
              <w:rPr>
                <w:rFonts w:ascii="宋体" w:hAnsi="宋体" w:cs="宋体"/>
                <w:b/>
                <w:szCs w:val="21"/>
                <w:highlight w:val="none"/>
              </w:rPr>
            </w:pPr>
            <w:r>
              <w:rPr>
                <w:rFonts w:hint="eastAsia" w:ascii="宋体" w:hAnsi="宋体" w:cs="宋体"/>
                <w:b/>
                <w:szCs w:val="21"/>
                <w:highlight w:val="none"/>
              </w:rPr>
              <w:t>联系方式</w:t>
            </w:r>
          </w:p>
        </w:tc>
      </w:tr>
      <w:tr w14:paraId="13C8A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4" w:hRule="atLeast"/>
          <w:jc w:val="center"/>
        </w:trPr>
        <w:tc>
          <w:tcPr>
            <w:tcW w:w="1360" w:type="pct"/>
            <w:vAlign w:val="center"/>
          </w:tcPr>
          <w:p w14:paraId="0D857CBD">
            <w:pPr>
              <w:spacing w:line="360" w:lineRule="auto"/>
              <w:jc w:val="center"/>
              <w:rPr>
                <w:rFonts w:ascii="宋体" w:hAnsi="宋体" w:cs="宋体"/>
                <w:bCs/>
                <w:szCs w:val="21"/>
                <w:highlight w:val="none"/>
              </w:rPr>
            </w:pPr>
            <w:r>
              <w:rPr>
                <w:rFonts w:hint="eastAsia" w:ascii="宋体" w:hAnsi="宋体" w:cs="宋体"/>
                <w:bCs/>
                <w:szCs w:val="21"/>
                <w:highlight w:val="none"/>
              </w:rPr>
              <w:t>中国工商银行股份有限公司舟山分行</w:t>
            </w:r>
          </w:p>
        </w:tc>
        <w:tc>
          <w:tcPr>
            <w:tcW w:w="1898" w:type="pct"/>
            <w:vAlign w:val="center"/>
          </w:tcPr>
          <w:p w14:paraId="40C31DF6">
            <w:pPr>
              <w:spacing w:line="360" w:lineRule="auto"/>
              <w:rPr>
                <w:rFonts w:ascii="宋体" w:hAnsi="宋体" w:cs="宋体"/>
                <w:bCs/>
                <w:szCs w:val="21"/>
                <w:highlight w:val="none"/>
              </w:rPr>
            </w:pPr>
            <w:r>
              <w:rPr>
                <w:rFonts w:hint="eastAsia" w:ascii="宋体" w:hAnsi="宋体" w:cs="宋体"/>
                <w:bCs/>
                <w:szCs w:val="21"/>
                <w:highlight w:val="none"/>
              </w:rPr>
              <w:t>“采购贷”业务是指符合条件的中小企业供应商客户，在其取得政府采购合同后，以合同项下的预期销货款抵押为基础，为其提供的融资业务。融资额度根据政府采购合同实有金额（合同哦金额减去预收货款）及供应商资金需求确定，融资本息最高可达政府采购合同实有金额的100%。</w:t>
            </w:r>
          </w:p>
        </w:tc>
        <w:tc>
          <w:tcPr>
            <w:tcW w:w="822" w:type="pct"/>
            <w:vAlign w:val="center"/>
          </w:tcPr>
          <w:p w14:paraId="7C8061EF">
            <w:pPr>
              <w:spacing w:line="360" w:lineRule="auto"/>
              <w:jc w:val="center"/>
              <w:rPr>
                <w:rFonts w:ascii="宋体" w:hAnsi="宋体" w:cs="宋体"/>
                <w:bCs/>
                <w:szCs w:val="21"/>
                <w:highlight w:val="none"/>
              </w:rPr>
            </w:pPr>
            <w:r>
              <w:rPr>
                <w:rFonts w:hint="eastAsia" w:ascii="宋体" w:hAnsi="宋体" w:cs="宋体"/>
                <w:bCs/>
                <w:szCs w:val="21"/>
                <w:highlight w:val="none"/>
              </w:rPr>
              <w:t>柳超颖</w:t>
            </w:r>
          </w:p>
        </w:tc>
        <w:tc>
          <w:tcPr>
            <w:tcW w:w="917" w:type="pct"/>
            <w:vAlign w:val="center"/>
          </w:tcPr>
          <w:p w14:paraId="7E64C71E">
            <w:pPr>
              <w:spacing w:line="360" w:lineRule="auto"/>
              <w:jc w:val="center"/>
              <w:rPr>
                <w:rFonts w:ascii="宋体" w:hAnsi="宋体" w:cs="宋体"/>
                <w:bCs/>
                <w:szCs w:val="21"/>
                <w:highlight w:val="none"/>
              </w:rPr>
            </w:pPr>
            <w:r>
              <w:rPr>
                <w:rFonts w:hint="eastAsia" w:ascii="宋体" w:hAnsi="宋体" w:cs="宋体"/>
                <w:bCs/>
                <w:szCs w:val="21"/>
                <w:highlight w:val="none"/>
              </w:rPr>
              <w:t>15858076468</w:t>
            </w:r>
          </w:p>
        </w:tc>
      </w:tr>
      <w:tr w14:paraId="792B5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360" w:type="pct"/>
            <w:vAlign w:val="center"/>
          </w:tcPr>
          <w:p w14:paraId="41430333">
            <w:pPr>
              <w:spacing w:line="360" w:lineRule="auto"/>
              <w:jc w:val="center"/>
              <w:rPr>
                <w:rFonts w:ascii="宋体" w:hAnsi="宋体" w:cs="宋体"/>
                <w:bCs/>
                <w:szCs w:val="21"/>
                <w:highlight w:val="none"/>
              </w:rPr>
            </w:pPr>
            <w:r>
              <w:rPr>
                <w:rFonts w:hint="eastAsia" w:ascii="宋体" w:hAnsi="宋体" w:cs="宋体"/>
                <w:bCs/>
                <w:szCs w:val="21"/>
                <w:highlight w:val="none"/>
              </w:rPr>
              <w:t>中国建设银行股份有限公司舟山分行</w:t>
            </w:r>
          </w:p>
        </w:tc>
        <w:tc>
          <w:tcPr>
            <w:tcW w:w="1898" w:type="pct"/>
            <w:vAlign w:val="center"/>
          </w:tcPr>
          <w:p w14:paraId="3401E924">
            <w:pPr>
              <w:numPr>
                <w:ilvl w:val="0"/>
                <w:numId w:val="4"/>
              </w:numPr>
              <w:spacing w:line="360" w:lineRule="auto"/>
              <w:rPr>
                <w:rFonts w:ascii="宋体" w:hAnsi="宋体" w:cs="宋体"/>
                <w:bCs/>
                <w:szCs w:val="21"/>
                <w:highlight w:val="none"/>
              </w:rPr>
            </w:pPr>
            <w:r>
              <w:rPr>
                <w:rFonts w:hint="eastAsia" w:ascii="宋体" w:hAnsi="宋体" w:cs="宋体"/>
                <w:bCs/>
                <w:szCs w:val="21"/>
                <w:highlight w:val="none"/>
              </w:rPr>
              <w:t>快速便捷：全流程线上操作，通过浙江省政府采购网数据审核信用额度，建行供应链平台快速放款。</w:t>
            </w:r>
          </w:p>
          <w:p w14:paraId="77C18594">
            <w:pPr>
              <w:numPr>
                <w:ilvl w:val="0"/>
                <w:numId w:val="4"/>
              </w:numPr>
              <w:spacing w:line="360" w:lineRule="auto"/>
              <w:rPr>
                <w:rFonts w:ascii="宋体" w:hAnsi="宋体" w:cs="宋体"/>
                <w:bCs/>
                <w:szCs w:val="21"/>
                <w:highlight w:val="none"/>
              </w:rPr>
            </w:pPr>
            <w:r>
              <w:rPr>
                <w:rFonts w:hint="eastAsia" w:ascii="宋体" w:hAnsi="宋体" w:cs="宋体"/>
                <w:bCs/>
                <w:szCs w:val="21"/>
                <w:highlight w:val="none"/>
              </w:rPr>
              <w:t>申请额度高：单笔融资额度最高可达政府采购合同金额的90%，单户额度最高可达3000万。</w:t>
            </w:r>
          </w:p>
          <w:p w14:paraId="4E072BB1">
            <w:pPr>
              <w:numPr>
                <w:ilvl w:val="0"/>
                <w:numId w:val="4"/>
              </w:numPr>
              <w:spacing w:line="360" w:lineRule="auto"/>
              <w:rPr>
                <w:rFonts w:ascii="宋体" w:hAnsi="宋体" w:cs="宋体"/>
                <w:bCs/>
                <w:szCs w:val="21"/>
                <w:highlight w:val="none"/>
              </w:rPr>
            </w:pPr>
            <w:r>
              <w:rPr>
                <w:rFonts w:hint="eastAsia" w:ascii="宋体" w:hAnsi="宋体" w:cs="宋体"/>
                <w:bCs/>
                <w:szCs w:val="21"/>
                <w:highlight w:val="none"/>
              </w:rPr>
              <w:t>无需额外抵押：以浙江省政府采购网备案公示的政府采购合同进行融资，无需额外抵押担保。</w:t>
            </w:r>
          </w:p>
          <w:p w14:paraId="54F2D174">
            <w:pPr>
              <w:numPr>
                <w:ilvl w:val="0"/>
                <w:numId w:val="4"/>
              </w:numPr>
              <w:spacing w:line="360" w:lineRule="auto"/>
              <w:rPr>
                <w:rFonts w:ascii="宋体" w:hAnsi="宋体" w:cs="宋体"/>
                <w:bCs/>
                <w:szCs w:val="21"/>
                <w:highlight w:val="none"/>
              </w:rPr>
            </w:pPr>
            <w:r>
              <w:rPr>
                <w:rFonts w:hint="eastAsia" w:ascii="宋体" w:hAnsi="宋体" w:cs="宋体"/>
                <w:bCs/>
                <w:szCs w:val="21"/>
                <w:highlight w:val="none"/>
              </w:rPr>
              <w:t>利率优惠：给予流动资金贷款最优惠利率。</w:t>
            </w:r>
          </w:p>
        </w:tc>
        <w:tc>
          <w:tcPr>
            <w:tcW w:w="822" w:type="pct"/>
            <w:vAlign w:val="center"/>
          </w:tcPr>
          <w:p w14:paraId="64A48DB1">
            <w:pPr>
              <w:spacing w:line="360" w:lineRule="auto"/>
              <w:jc w:val="center"/>
              <w:rPr>
                <w:rFonts w:ascii="宋体" w:hAnsi="宋体" w:cs="宋体"/>
                <w:bCs/>
                <w:szCs w:val="21"/>
                <w:highlight w:val="none"/>
              </w:rPr>
            </w:pPr>
            <w:r>
              <w:rPr>
                <w:rFonts w:hint="eastAsia" w:ascii="宋体" w:hAnsi="宋体" w:cs="宋体"/>
                <w:bCs/>
                <w:szCs w:val="21"/>
                <w:highlight w:val="none"/>
              </w:rPr>
              <w:t>普陀片区：</w:t>
            </w:r>
          </w:p>
          <w:p w14:paraId="6381A1A2">
            <w:pPr>
              <w:spacing w:line="360" w:lineRule="auto"/>
              <w:jc w:val="center"/>
              <w:rPr>
                <w:rFonts w:ascii="宋体" w:hAnsi="宋体" w:cs="宋体"/>
                <w:bCs/>
                <w:szCs w:val="21"/>
                <w:highlight w:val="none"/>
              </w:rPr>
            </w:pPr>
            <w:r>
              <w:rPr>
                <w:rFonts w:hint="eastAsia" w:ascii="宋体" w:hAnsi="宋体" w:cs="宋体"/>
                <w:bCs/>
                <w:szCs w:val="21"/>
                <w:highlight w:val="none"/>
              </w:rPr>
              <w:t>蔡妮妮</w:t>
            </w:r>
          </w:p>
          <w:p w14:paraId="5BE60EB0">
            <w:pPr>
              <w:spacing w:line="360" w:lineRule="auto"/>
              <w:jc w:val="center"/>
              <w:rPr>
                <w:rFonts w:ascii="宋体" w:hAnsi="宋体" w:cs="宋体"/>
                <w:bCs/>
                <w:szCs w:val="21"/>
                <w:highlight w:val="none"/>
              </w:rPr>
            </w:pPr>
            <w:r>
              <w:rPr>
                <w:rFonts w:hint="eastAsia" w:ascii="宋体" w:hAnsi="宋体" w:cs="宋体"/>
                <w:bCs/>
                <w:szCs w:val="21"/>
                <w:highlight w:val="none"/>
              </w:rPr>
              <w:t>定海片区：</w:t>
            </w:r>
          </w:p>
          <w:p w14:paraId="6B186927">
            <w:pPr>
              <w:spacing w:line="360" w:lineRule="auto"/>
              <w:jc w:val="center"/>
              <w:rPr>
                <w:rFonts w:ascii="宋体" w:hAnsi="宋体" w:cs="宋体"/>
                <w:bCs/>
                <w:szCs w:val="21"/>
                <w:highlight w:val="none"/>
              </w:rPr>
            </w:pPr>
            <w:r>
              <w:rPr>
                <w:rFonts w:hint="eastAsia" w:ascii="宋体" w:hAnsi="宋体" w:cs="宋体"/>
                <w:bCs/>
                <w:szCs w:val="21"/>
                <w:highlight w:val="none"/>
              </w:rPr>
              <w:t>杨莹</w:t>
            </w:r>
          </w:p>
          <w:p w14:paraId="259A839E">
            <w:pPr>
              <w:spacing w:line="360" w:lineRule="auto"/>
              <w:jc w:val="center"/>
              <w:rPr>
                <w:rFonts w:ascii="宋体" w:hAnsi="宋体" w:cs="宋体"/>
                <w:bCs/>
                <w:szCs w:val="21"/>
                <w:highlight w:val="none"/>
              </w:rPr>
            </w:pPr>
            <w:r>
              <w:rPr>
                <w:rFonts w:hint="eastAsia" w:ascii="宋体" w:hAnsi="宋体" w:cs="宋体"/>
                <w:bCs/>
                <w:szCs w:val="21"/>
                <w:highlight w:val="none"/>
              </w:rPr>
              <w:t>自贸区片区：郑佳奇</w:t>
            </w:r>
          </w:p>
        </w:tc>
        <w:tc>
          <w:tcPr>
            <w:tcW w:w="917" w:type="pct"/>
            <w:vAlign w:val="center"/>
          </w:tcPr>
          <w:p w14:paraId="4DDF6086">
            <w:pPr>
              <w:spacing w:line="360" w:lineRule="auto"/>
              <w:jc w:val="center"/>
              <w:rPr>
                <w:rFonts w:ascii="宋体" w:hAnsi="宋体" w:cs="宋体"/>
                <w:bCs/>
                <w:szCs w:val="21"/>
                <w:highlight w:val="none"/>
              </w:rPr>
            </w:pPr>
            <w:r>
              <w:rPr>
                <w:rFonts w:hint="eastAsia" w:ascii="宋体" w:hAnsi="宋体" w:cs="宋体"/>
                <w:bCs/>
                <w:szCs w:val="21"/>
                <w:highlight w:val="none"/>
              </w:rPr>
              <w:t>普陀片区：13957201791</w:t>
            </w:r>
          </w:p>
          <w:p w14:paraId="7C174184">
            <w:pPr>
              <w:spacing w:line="360" w:lineRule="auto"/>
              <w:jc w:val="center"/>
              <w:rPr>
                <w:rFonts w:ascii="宋体" w:hAnsi="宋体" w:cs="宋体"/>
                <w:bCs/>
                <w:szCs w:val="21"/>
                <w:highlight w:val="none"/>
              </w:rPr>
            </w:pPr>
            <w:r>
              <w:rPr>
                <w:rFonts w:hint="eastAsia" w:ascii="宋体" w:hAnsi="宋体" w:cs="宋体"/>
                <w:bCs/>
                <w:szCs w:val="21"/>
                <w:highlight w:val="none"/>
              </w:rPr>
              <w:t>定海片区：13655803997</w:t>
            </w:r>
          </w:p>
          <w:p w14:paraId="1A1C3255">
            <w:pPr>
              <w:spacing w:line="360" w:lineRule="auto"/>
              <w:jc w:val="center"/>
              <w:rPr>
                <w:rFonts w:ascii="宋体" w:hAnsi="宋体" w:cs="宋体"/>
                <w:bCs/>
                <w:szCs w:val="21"/>
                <w:highlight w:val="none"/>
              </w:rPr>
            </w:pPr>
            <w:r>
              <w:rPr>
                <w:rFonts w:hint="eastAsia" w:ascii="宋体" w:hAnsi="宋体" w:cs="宋体"/>
                <w:bCs/>
                <w:szCs w:val="21"/>
                <w:highlight w:val="none"/>
              </w:rPr>
              <w:t>自贸区片区：13857208408</w:t>
            </w:r>
          </w:p>
        </w:tc>
      </w:tr>
      <w:tr w14:paraId="57DFC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0" w:type="pct"/>
            <w:vAlign w:val="center"/>
          </w:tcPr>
          <w:p w14:paraId="111F43A3">
            <w:pPr>
              <w:spacing w:line="360" w:lineRule="auto"/>
              <w:jc w:val="center"/>
              <w:rPr>
                <w:rFonts w:ascii="宋体" w:hAnsi="宋体" w:cs="宋体"/>
                <w:bCs/>
                <w:szCs w:val="21"/>
                <w:highlight w:val="none"/>
              </w:rPr>
            </w:pPr>
            <w:r>
              <w:rPr>
                <w:rFonts w:hint="eastAsia" w:ascii="宋体" w:hAnsi="宋体" w:cs="宋体"/>
                <w:bCs/>
                <w:szCs w:val="21"/>
                <w:highlight w:val="none"/>
              </w:rPr>
              <w:t>杭州银行股份有限公司舟山市分行</w:t>
            </w:r>
          </w:p>
        </w:tc>
        <w:tc>
          <w:tcPr>
            <w:tcW w:w="1898" w:type="pct"/>
            <w:vAlign w:val="center"/>
          </w:tcPr>
          <w:p w14:paraId="60FDBEEC">
            <w:pPr>
              <w:spacing w:line="360" w:lineRule="auto"/>
              <w:rPr>
                <w:rFonts w:ascii="宋体" w:hAnsi="宋体" w:cs="宋体"/>
                <w:bCs/>
                <w:szCs w:val="21"/>
                <w:highlight w:val="none"/>
              </w:rPr>
            </w:pPr>
            <w:r>
              <w:rPr>
                <w:rFonts w:hint="eastAsia" w:ascii="宋体" w:hAnsi="宋体" w:cs="宋体"/>
                <w:bCs/>
                <w:szCs w:val="21"/>
                <w:highlight w:val="none"/>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822" w:type="pct"/>
            <w:vAlign w:val="center"/>
          </w:tcPr>
          <w:p w14:paraId="7C821A55">
            <w:pPr>
              <w:spacing w:line="360" w:lineRule="auto"/>
              <w:jc w:val="center"/>
              <w:rPr>
                <w:rFonts w:ascii="宋体" w:hAnsi="宋体" w:cs="宋体"/>
                <w:bCs/>
                <w:szCs w:val="21"/>
                <w:highlight w:val="none"/>
              </w:rPr>
            </w:pPr>
            <w:r>
              <w:rPr>
                <w:rFonts w:hint="eastAsia" w:ascii="宋体" w:hAnsi="宋体" w:cs="宋体"/>
                <w:bCs/>
                <w:szCs w:val="21"/>
                <w:highlight w:val="none"/>
              </w:rPr>
              <w:t>方经理</w:t>
            </w:r>
          </w:p>
        </w:tc>
        <w:tc>
          <w:tcPr>
            <w:tcW w:w="917" w:type="pct"/>
            <w:vAlign w:val="center"/>
          </w:tcPr>
          <w:p w14:paraId="54693DE3">
            <w:pPr>
              <w:spacing w:line="360" w:lineRule="auto"/>
              <w:jc w:val="center"/>
              <w:rPr>
                <w:rFonts w:ascii="宋体" w:hAnsi="宋体" w:cs="宋体"/>
                <w:bCs/>
                <w:szCs w:val="21"/>
                <w:highlight w:val="none"/>
              </w:rPr>
            </w:pPr>
            <w:r>
              <w:rPr>
                <w:rFonts w:hint="eastAsia" w:ascii="宋体" w:hAnsi="宋体" w:cs="宋体"/>
                <w:bCs/>
                <w:szCs w:val="21"/>
                <w:highlight w:val="none"/>
              </w:rPr>
              <w:t>0580-2185201、18205800451</w:t>
            </w:r>
          </w:p>
        </w:tc>
      </w:tr>
      <w:tr w14:paraId="3AC89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0" w:type="pct"/>
            <w:vAlign w:val="center"/>
          </w:tcPr>
          <w:p w14:paraId="721AE71D">
            <w:pPr>
              <w:spacing w:line="360" w:lineRule="auto"/>
              <w:jc w:val="center"/>
              <w:rPr>
                <w:rFonts w:ascii="宋体" w:hAnsi="宋体" w:cs="宋体"/>
                <w:bCs/>
                <w:szCs w:val="21"/>
                <w:highlight w:val="none"/>
              </w:rPr>
            </w:pPr>
            <w:r>
              <w:rPr>
                <w:rFonts w:hint="eastAsia" w:ascii="宋体" w:hAnsi="宋体" w:cs="宋体"/>
                <w:bCs/>
                <w:szCs w:val="21"/>
                <w:highlight w:val="none"/>
              </w:rPr>
              <w:t>招商银行股份有限公司浙江自贸试验区舟山分行</w:t>
            </w:r>
          </w:p>
        </w:tc>
        <w:tc>
          <w:tcPr>
            <w:tcW w:w="1898" w:type="pct"/>
            <w:vAlign w:val="center"/>
          </w:tcPr>
          <w:p w14:paraId="1DBDBDA8">
            <w:pPr>
              <w:spacing w:line="360" w:lineRule="auto"/>
              <w:rPr>
                <w:rFonts w:ascii="宋体" w:hAnsi="宋体" w:cs="宋体"/>
                <w:bCs/>
                <w:szCs w:val="21"/>
                <w:highlight w:val="none"/>
              </w:rPr>
            </w:pPr>
            <w:r>
              <w:rPr>
                <w:rFonts w:hint="eastAsia" w:ascii="宋体" w:hAnsi="宋体" w:cs="宋体"/>
                <w:bCs/>
                <w:szCs w:val="21"/>
                <w:highlight w:val="none"/>
              </w:rPr>
              <w:t>小企业政采贷是招商银行为政府采购中标供应商提供的用于履行政府采购合同的专属融资产品。优势：一、额度高。根据企业上一年或近一年获得政府采购中标及成交通知的一定比例给予额度，最高可达3000万元。二、操作简便、模式丰富。客户通过我行一网通等渠道在线申请。支持线上用款，按日计息，随借随还。三、担保方式灵活。实际控制人夫妇担保＋融资项下应收账款质押作为辅助，无需抵押，一次性签署合作协议。</w:t>
            </w:r>
          </w:p>
        </w:tc>
        <w:tc>
          <w:tcPr>
            <w:tcW w:w="822" w:type="pct"/>
            <w:vAlign w:val="center"/>
          </w:tcPr>
          <w:p w14:paraId="55CB3C4F">
            <w:pPr>
              <w:spacing w:line="360" w:lineRule="auto"/>
              <w:jc w:val="center"/>
              <w:rPr>
                <w:rFonts w:ascii="宋体" w:hAnsi="宋体" w:cs="宋体"/>
                <w:bCs/>
                <w:szCs w:val="21"/>
                <w:highlight w:val="none"/>
              </w:rPr>
            </w:pPr>
            <w:r>
              <w:rPr>
                <w:rFonts w:hint="eastAsia" w:ascii="宋体" w:hAnsi="宋体" w:cs="宋体"/>
                <w:bCs/>
                <w:szCs w:val="21"/>
                <w:highlight w:val="none"/>
              </w:rPr>
              <w:t>李玲</w:t>
            </w:r>
          </w:p>
        </w:tc>
        <w:tc>
          <w:tcPr>
            <w:tcW w:w="917" w:type="pct"/>
            <w:vAlign w:val="center"/>
          </w:tcPr>
          <w:p w14:paraId="586B58EE">
            <w:pPr>
              <w:spacing w:line="360" w:lineRule="auto"/>
              <w:jc w:val="center"/>
              <w:rPr>
                <w:rFonts w:ascii="宋体" w:hAnsi="宋体" w:cs="宋体"/>
                <w:bCs/>
                <w:szCs w:val="21"/>
                <w:highlight w:val="none"/>
              </w:rPr>
            </w:pPr>
            <w:r>
              <w:rPr>
                <w:rFonts w:hint="eastAsia" w:ascii="宋体" w:hAnsi="宋体" w:cs="宋体"/>
                <w:bCs/>
                <w:szCs w:val="21"/>
                <w:highlight w:val="none"/>
              </w:rPr>
              <w:t>0580-2061710、13957227971</w:t>
            </w:r>
          </w:p>
        </w:tc>
      </w:tr>
      <w:tr w14:paraId="7B801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360" w:type="pct"/>
            <w:vAlign w:val="center"/>
          </w:tcPr>
          <w:p w14:paraId="58709EA6">
            <w:pPr>
              <w:spacing w:line="360" w:lineRule="auto"/>
              <w:jc w:val="center"/>
              <w:rPr>
                <w:rFonts w:ascii="宋体" w:hAnsi="宋体" w:cs="宋体"/>
                <w:bCs/>
                <w:szCs w:val="21"/>
                <w:highlight w:val="none"/>
              </w:rPr>
            </w:pPr>
            <w:r>
              <w:rPr>
                <w:rFonts w:hint="eastAsia" w:ascii="宋体" w:hAnsi="宋体" w:cs="宋体"/>
                <w:bCs/>
                <w:szCs w:val="21"/>
                <w:highlight w:val="none"/>
              </w:rPr>
              <w:t>温州银行股份有限公司舟山市分行</w:t>
            </w:r>
          </w:p>
        </w:tc>
        <w:tc>
          <w:tcPr>
            <w:tcW w:w="1898" w:type="pct"/>
            <w:vAlign w:val="center"/>
          </w:tcPr>
          <w:p w14:paraId="70F10744">
            <w:pPr>
              <w:spacing w:line="360" w:lineRule="auto"/>
              <w:rPr>
                <w:rFonts w:ascii="宋体" w:hAnsi="宋体" w:cs="宋体"/>
                <w:bCs/>
                <w:szCs w:val="21"/>
                <w:highlight w:val="none"/>
              </w:rPr>
            </w:pPr>
            <w:r>
              <w:rPr>
                <w:rFonts w:hint="eastAsia" w:ascii="宋体" w:hAnsi="宋体" w:cs="宋体"/>
                <w:bCs/>
                <w:szCs w:val="21"/>
                <w:highlight w:val="none"/>
              </w:rPr>
              <w:t>“政采订单贷” ：单户授信最高为500万，单笔申请最高可按中标金额0.8折，贷款期限最少三个月、最长一年，可通过政采云平台向本行发起政采订单贷业务申请。</w:t>
            </w:r>
          </w:p>
        </w:tc>
        <w:tc>
          <w:tcPr>
            <w:tcW w:w="822" w:type="pct"/>
            <w:vAlign w:val="center"/>
          </w:tcPr>
          <w:p w14:paraId="2D19EF31">
            <w:pPr>
              <w:spacing w:line="360" w:lineRule="auto"/>
              <w:jc w:val="center"/>
              <w:rPr>
                <w:rFonts w:ascii="宋体" w:hAnsi="宋体" w:cs="宋体"/>
                <w:bCs/>
                <w:szCs w:val="21"/>
                <w:highlight w:val="none"/>
              </w:rPr>
            </w:pPr>
            <w:r>
              <w:rPr>
                <w:rFonts w:hint="eastAsia" w:ascii="宋体" w:hAnsi="宋体" w:cs="宋体"/>
                <w:bCs/>
                <w:szCs w:val="21"/>
                <w:highlight w:val="none"/>
              </w:rPr>
              <w:t>郑贤栋</w:t>
            </w:r>
          </w:p>
        </w:tc>
        <w:tc>
          <w:tcPr>
            <w:tcW w:w="917" w:type="pct"/>
            <w:vAlign w:val="center"/>
          </w:tcPr>
          <w:p w14:paraId="16BD08D9">
            <w:pPr>
              <w:spacing w:line="360" w:lineRule="auto"/>
              <w:jc w:val="center"/>
              <w:rPr>
                <w:rFonts w:ascii="宋体" w:hAnsi="宋体" w:cs="宋体"/>
                <w:bCs/>
                <w:szCs w:val="21"/>
                <w:highlight w:val="none"/>
              </w:rPr>
            </w:pPr>
            <w:r>
              <w:rPr>
                <w:rFonts w:hint="eastAsia" w:ascii="宋体" w:hAnsi="宋体" w:cs="宋体"/>
                <w:bCs/>
                <w:szCs w:val="21"/>
                <w:highlight w:val="none"/>
              </w:rPr>
              <w:t>0580—8866086</w:t>
            </w:r>
          </w:p>
        </w:tc>
      </w:tr>
      <w:tr w14:paraId="3620D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0" w:type="pct"/>
            <w:vAlign w:val="center"/>
          </w:tcPr>
          <w:p w14:paraId="2C73E44C">
            <w:pPr>
              <w:spacing w:line="360" w:lineRule="auto"/>
              <w:jc w:val="center"/>
              <w:rPr>
                <w:rFonts w:ascii="宋体" w:hAnsi="宋体" w:cs="宋体"/>
                <w:bCs/>
                <w:szCs w:val="21"/>
                <w:highlight w:val="none"/>
              </w:rPr>
            </w:pPr>
            <w:r>
              <w:rPr>
                <w:rFonts w:hint="eastAsia" w:ascii="宋体" w:hAnsi="宋体" w:cs="宋体"/>
                <w:bCs/>
                <w:szCs w:val="21"/>
                <w:highlight w:val="none"/>
              </w:rPr>
              <w:t>交通银行股份有限公司舟山分行</w:t>
            </w:r>
          </w:p>
        </w:tc>
        <w:tc>
          <w:tcPr>
            <w:tcW w:w="1898" w:type="pct"/>
            <w:vAlign w:val="center"/>
          </w:tcPr>
          <w:p w14:paraId="353934C3">
            <w:pPr>
              <w:spacing w:line="360" w:lineRule="auto"/>
              <w:rPr>
                <w:rFonts w:ascii="宋体" w:hAnsi="宋体" w:cs="宋体"/>
                <w:bCs/>
                <w:szCs w:val="21"/>
                <w:highlight w:val="none"/>
              </w:rPr>
            </w:pPr>
            <w:r>
              <w:rPr>
                <w:rFonts w:hint="eastAsia" w:ascii="宋体" w:hAnsi="宋体" w:cs="宋体"/>
                <w:bCs/>
                <w:szCs w:val="21"/>
                <w:highlight w:val="none"/>
              </w:rPr>
              <w:t>交通银行政采贷，最长期限1年，融资金额一般不超过1000万元，单笔提款金额最高至采购合同金额的70%。担保方式为信用（附加该笔业务项下未来应收账款质押、实际控制人及配偶个人保证），随借随还，利率最低至当期LPR。</w:t>
            </w:r>
          </w:p>
        </w:tc>
        <w:tc>
          <w:tcPr>
            <w:tcW w:w="822" w:type="pct"/>
            <w:vAlign w:val="center"/>
          </w:tcPr>
          <w:p w14:paraId="21053330">
            <w:pPr>
              <w:spacing w:line="360" w:lineRule="auto"/>
              <w:jc w:val="center"/>
              <w:rPr>
                <w:rFonts w:ascii="宋体" w:hAnsi="宋体" w:cs="宋体"/>
                <w:bCs/>
                <w:szCs w:val="21"/>
                <w:highlight w:val="none"/>
              </w:rPr>
            </w:pPr>
            <w:r>
              <w:rPr>
                <w:rFonts w:hint="eastAsia" w:ascii="宋体" w:hAnsi="宋体" w:cs="宋体"/>
                <w:bCs/>
                <w:szCs w:val="21"/>
                <w:highlight w:val="none"/>
              </w:rPr>
              <w:t>赵争艳</w:t>
            </w:r>
          </w:p>
        </w:tc>
        <w:tc>
          <w:tcPr>
            <w:tcW w:w="917" w:type="pct"/>
            <w:vAlign w:val="center"/>
          </w:tcPr>
          <w:p w14:paraId="4A635406">
            <w:pPr>
              <w:spacing w:line="360" w:lineRule="auto"/>
              <w:jc w:val="center"/>
              <w:rPr>
                <w:rFonts w:ascii="宋体" w:hAnsi="宋体" w:cs="宋体"/>
                <w:bCs/>
                <w:szCs w:val="21"/>
                <w:highlight w:val="none"/>
              </w:rPr>
            </w:pPr>
            <w:r>
              <w:rPr>
                <w:rFonts w:hint="eastAsia" w:ascii="宋体" w:hAnsi="宋体" w:cs="宋体"/>
                <w:bCs/>
                <w:szCs w:val="21"/>
                <w:highlight w:val="none"/>
              </w:rPr>
              <w:t>0580-2260728、</w:t>
            </w:r>
          </w:p>
          <w:p w14:paraId="6D8F7559">
            <w:pPr>
              <w:spacing w:line="360" w:lineRule="auto"/>
              <w:jc w:val="center"/>
              <w:rPr>
                <w:rFonts w:ascii="宋体" w:hAnsi="宋体" w:cs="宋体"/>
                <w:bCs/>
                <w:szCs w:val="21"/>
                <w:highlight w:val="none"/>
              </w:rPr>
            </w:pPr>
            <w:r>
              <w:rPr>
                <w:rFonts w:hint="eastAsia" w:ascii="宋体" w:hAnsi="宋体" w:cs="宋体"/>
                <w:bCs/>
                <w:szCs w:val="21"/>
                <w:highlight w:val="none"/>
              </w:rPr>
              <w:t>13758007280</w:t>
            </w:r>
          </w:p>
        </w:tc>
      </w:tr>
      <w:tr w14:paraId="03299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360" w:type="pct"/>
            <w:vAlign w:val="center"/>
          </w:tcPr>
          <w:p w14:paraId="3E0E3ED0">
            <w:pPr>
              <w:spacing w:line="360" w:lineRule="auto"/>
              <w:jc w:val="center"/>
              <w:rPr>
                <w:rFonts w:ascii="宋体" w:hAnsi="宋体" w:cs="宋体"/>
                <w:bCs/>
                <w:szCs w:val="21"/>
                <w:highlight w:val="none"/>
              </w:rPr>
            </w:pPr>
            <w:r>
              <w:rPr>
                <w:rFonts w:hint="eastAsia" w:ascii="宋体" w:hAnsi="宋体" w:cs="宋体"/>
                <w:bCs/>
                <w:szCs w:val="21"/>
                <w:highlight w:val="none"/>
              </w:rPr>
              <w:t>中信银行股份有限公司舟山分行</w:t>
            </w:r>
          </w:p>
        </w:tc>
        <w:tc>
          <w:tcPr>
            <w:tcW w:w="1898" w:type="pct"/>
            <w:vAlign w:val="center"/>
          </w:tcPr>
          <w:p w14:paraId="0028D694">
            <w:pPr>
              <w:spacing w:line="360" w:lineRule="auto"/>
              <w:rPr>
                <w:rFonts w:ascii="宋体" w:hAnsi="宋体" w:cs="宋体"/>
                <w:bCs/>
                <w:szCs w:val="21"/>
                <w:highlight w:val="none"/>
              </w:rPr>
            </w:pPr>
            <w:r>
              <w:rPr>
                <w:rFonts w:hint="eastAsia" w:ascii="宋体" w:hAnsi="宋体" w:cs="宋体"/>
                <w:bCs/>
                <w:szCs w:val="21"/>
                <w:highlight w:val="none"/>
              </w:rPr>
              <w:t>中信银行“政采e贷”产品特点：根据政府采购中标通知书或合同，以政府财政支付资金为主要还款来源，为中标小微企业提供流动资金贷款。产品实现预授信、贷款申请、应收账款质押、授信审批、自助提款等环节的线上化、自动化处理，操作便利，授信额度最高不超过1000万元，贷款期限最长1年，利率低。</w:t>
            </w:r>
          </w:p>
        </w:tc>
        <w:tc>
          <w:tcPr>
            <w:tcW w:w="822" w:type="pct"/>
            <w:vAlign w:val="center"/>
          </w:tcPr>
          <w:p w14:paraId="2E45BA5D">
            <w:pPr>
              <w:spacing w:line="360" w:lineRule="auto"/>
              <w:jc w:val="center"/>
              <w:rPr>
                <w:rFonts w:ascii="宋体" w:hAnsi="宋体" w:cs="宋体"/>
                <w:bCs/>
                <w:szCs w:val="21"/>
                <w:highlight w:val="none"/>
              </w:rPr>
            </w:pPr>
            <w:r>
              <w:rPr>
                <w:rFonts w:hint="eastAsia" w:ascii="宋体" w:hAnsi="宋体" w:cs="宋体"/>
                <w:bCs/>
                <w:szCs w:val="21"/>
                <w:highlight w:val="none"/>
              </w:rPr>
              <w:t>杨莉丹</w:t>
            </w:r>
          </w:p>
        </w:tc>
        <w:tc>
          <w:tcPr>
            <w:tcW w:w="917" w:type="pct"/>
            <w:vAlign w:val="center"/>
          </w:tcPr>
          <w:p w14:paraId="46E53549">
            <w:pPr>
              <w:spacing w:line="360" w:lineRule="auto"/>
              <w:jc w:val="center"/>
              <w:rPr>
                <w:rFonts w:ascii="宋体" w:hAnsi="宋体" w:cs="宋体"/>
                <w:bCs/>
                <w:szCs w:val="21"/>
                <w:highlight w:val="none"/>
              </w:rPr>
            </w:pPr>
            <w:r>
              <w:rPr>
                <w:rFonts w:hint="eastAsia" w:ascii="宋体" w:hAnsi="宋体" w:cs="宋体"/>
                <w:bCs/>
                <w:szCs w:val="21"/>
                <w:highlight w:val="none"/>
              </w:rPr>
              <w:t>13905809681</w:t>
            </w:r>
          </w:p>
        </w:tc>
      </w:tr>
      <w:tr w14:paraId="34583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360" w:type="pct"/>
            <w:vAlign w:val="center"/>
          </w:tcPr>
          <w:p w14:paraId="2A1A78A8">
            <w:pPr>
              <w:spacing w:line="360" w:lineRule="auto"/>
              <w:jc w:val="center"/>
              <w:rPr>
                <w:rFonts w:ascii="宋体" w:hAnsi="宋体" w:cs="宋体"/>
                <w:bCs/>
                <w:szCs w:val="21"/>
                <w:highlight w:val="none"/>
              </w:rPr>
            </w:pPr>
            <w:r>
              <w:rPr>
                <w:rFonts w:hint="eastAsia" w:ascii="宋体" w:hAnsi="宋体" w:cs="宋体"/>
                <w:bCs/>
                <w:szCs w:val="21"/>
                <w:highlight w:val="none"/>
              </w:rPr>
              <w:t>泰隆银行舟山市分行</w:t>
            </w:r>
          </w:p>
        </w:tc>
        <w:tc>
          <w:tcPr>
            <w:tcW w:w="1898" w:type="pct"/>
            <w:vAlign w:val="center"/>
          </w:tcPr>
          <w:p w14:paraId="5AF17267">
            <w:pPr>
              <w:spacing w:line="360" w:lineRule="auto"/>
              <w:rPr>
                <w:rFonts w:ascii="宋体" w:hAnsi="宋体" w:cs="宋体"/>
                <w:bCs/>
                <w:szCs w:val="21"/>
                <w:highlight w:val="none"/>
              </w:rPr>
            </w:pPr>
            <w:r>
              <w:rPr>
                <w:rFonts w:hint="eastAsia" w:ascii="宋体" w:hAnsi="宋体" w:cs="宋体"/>
                <w:bCs/>
                <w:szCs w:val="21"/>
                <w:highlight w:val="none"/>
              </w:rPr>
              <w:t>符合我行基本准入，期限对照订单最长不超过1年，额度最高1000万，担保方式享受信用贷款执行，可由中标企业或其实际控制人出面申请，利率最低可至当期LPR ，对于合同期限确实超过一年的，可享受无还本续</w:t>
            </w:r>
          </w:p>
          <w:p w14:paraId="70CFF54F">
            <w:pPr>
              <w:spacing w:line="360" w:lineRule="auto"/>
              <w:rPr>
                <w:rFonts w:ascii="宋体" w:hAnsi="宋体" w:cs="宋体"/>
                <w:bCs/>
                <w:szCs w:val="21"/>
                <w:highlight w:val="none"/>
              </w:rPr>
            </w:pPr>
            <w:r>
              <w:rPr>
                <w:rFonts w:hint="eastAsia" w:ascii="宋体" w:hAnsi="宋体" w:cs="宋体"/>
                <w:bCs/>
                <w:szCs w:val="21"/>
                <w:highlight w:val="none"/>
              </w:rPr>
              <w:t>贷至合同付款日。</w:t>
            </w:r>
          </w:p>
        </w:tc>
        <w:tc>
          <w:tcPr>
            <w:tcW w:w="822" w:type="pct"/>
            <w:vAlign w:val="center"/>
          </w:tcPr>
          <w:p w14:paraId="6BBEEAD0">
            <w:pPr>
              <w:spacing w:line="360" w:lineRule="auto"/>
              <w:jc w:val="center"/>
              <w:rPr>
                <w:rFonts w:ascii="宋体" w:hAnsi="宋体" w:cs="宋体"/>
                <w:bCs/>
                <w:szCs w:val="21"/>
                <w:highlight w:val="none"/>
              </w:rPr>
            </w:pPr>
            <w:r>
              <w:rPr>
                <w:rFonts w:hint="eastAsia" w:ascii="宋体" w:hAnsi="宋体" w:cs="宋体"/>
                <w:bCs/>
                <w:szCs w:val="21"/>
                <w:highlight w:val="none"/>
              </w:rPr>
              <w:t>胡亢宇</w:t>
            </w:r>
          </w:p>
        </w:tc>
        <w:tc>
          <w:tcPr>
            <w:tcW w:w="917" w:type="pct"/>
            <w:vAlign w:val="center"/>
          </w:tcPr>
          <w:p w14:paraId="42672600">
            <w:pPr>
              <w:spacing w:line="360" w:lineRule="auto"/>
              <w:jc w:val="center"/>
              <w:rPr>
                <w:rFonts w:ascii="宋体" w:hAnsi="宋体" w:cs="宋体"/>
                <w:bCs/>
                <w:szCs w:val="21"/>
                <w:highlight w:val="none"/>
              </w:rPr>
            </w:pPr>
            <w:r>
              <w:rPr>
                <w:rFonts w:hint="eastAsia" w:ascii="宋体" w:hAnsi="宋体" w:cs="宋体"/>
                <w:bCs/>
                <w:szCs w:val="21"/>
                <w:highlight w:val="none"/>
              </w:rPr>
              <w:t>17605868703</w:t>
            </w:r>
          </w:p>
        </w:tc>
      </w:tr>
      <w:tr w14:paraId="09362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360" w:type="pct"/>
            <w:vAlign w:val="center"/>
          </w:tcPr>
          <w:p w14:paraId="1DD957A7">
            <w:pPr>
              <w:spacing w:line="360" w:lineRule="auto"/>
              <w:jc w:val="center"/>
              <w:rPr>
                <w:rFonts w:ascii="宋体" w:hAnsi="宋体" w:cs="宋体"/>
                <w:bCs/>
                <w:szCs w:val="21"/>
                <w:highlight w:val="none"/>
              </w:rPr>
            </w:pPr>
            <w:r>
              <w:rPr>
                <w:rFonts w:hint="eastAsia" w:ascii="宋体" w:hAnsi="宋体" w:cs="宋体"/>
                <w:bCs/>
                <w:szCs w:val="21"/>
                <w:highlight w:val="none"/>
              </w:rPr>
              <w:t>中国农业银行股份有限公司舟山分行</w:t>
            </w:r>
          </w:p>
        </w:tc>
        <w:tc>
          <w:tcPr>
            <w:tcW w:w="1898" w:type="pct"/>
            <w:vAlign w:val="center"/>
          </w:tcPr>
          <w:p w14:paraId="1DE26A37">
            <w:pPr>
              <w:spacing w:line="360" w:lineRule="auto"/>
              <w:rPr>
                <w:rFonts w:ascii="宋体" w:hAnsi="宋体" w:cs="宋体"/>
                <w:bCs/>
                <w:szCs w:val="21"/>
                <w:highlight w:val="none"/>
              </w:rPr>
            </w:pPr>
            <w:r>
              <w:rPr>
                <w:rFonts w:hint="eastAsia" w:ascii="宋体" w:hAnsi="宋体" w:cs="宋体"/>
                <w:bCs/>
                <w:szCs w:val="21"/>
                <w:highlight w:val="none"/>
              </w:rPr>
              <w:t>政采贷业务是指农业银行向政府采购中标供应商发放的，用于满足其采购货物、服务等资金需求，并以该政府采购合同项下预期销售收入为主要还款来源的中短期信用业务，适用对象为在政府采购中标的中小微企业。贷款额度原则上不超过政府采购合同实有金额的80%,单户借款额度不超过500万元。</w:t>
            </w:r>
          </w:p>
        </w:tc>
        <w:tc>
          <w:tcPr>
            <w:tcW w:w="822" w:type="pct"/>
            <w:vAlign w:val="center"/>
          </w:tcPr>
          <w:p w14:paraId="3C047AAD">
            <w:pPr>
              <w:spacing w:line="360" w:lineRule="auto"/>
              <w:jc w:val="center"/>
              <w:rPr>
                <w:rFonts w:ascii="宋体" w:hAnsi="宋体" w:cs="宋体"/>
                <w:bCs/>
                <w:szCs w:val="21"/>
                <w:highlight w:val="none"/>
              </w:rPr>
            </w:pPr>
            <w:r>
              <w:rPr>
                <w:rFonts w:hint="eastAsia" w:ascii="宋体" w:hAnsi="宋体" w:cs="宋体"/>
                <w:bCs/>
                <w:szCs w:val="21"/>
                <w:highlight w:val="none"/>
              </w:rPr>
              <w:t>邵琼</w:t>
            </w:r>
          </w:p>
        </w:tc>
        <w:tc>
          <w:tcPr>
            <w:tcW w:w="917" w:type="pct"/>
            <w:vAlign w:val="center"/>
          </w:tcPr>
          <w:p w14:paraId="4DE4BB98">
            <w:pPr>
              <w:spacing w:line="360" w:lineRule="auto"/>
              <w:jc w:val="center"/>
              <w:rPr>
                <w:rFonts w:ascii="宋体" w:hAnsi="宋体" w:cs="宋体"/>
                <w:bCs/>
                <w:szCs w:val="21"/>
                <w:highlight w:val="none"/>
              </w:rPr>
            </w:pPr>
            <w:r>
              <w:rPr>
                <w:rFonts w:hint="eastAsia" w:ascii="宋体" w:hAnsi="宋体" w:cs="宋体"/>
                <w:bCs/>
                <w:szCs w:val="21"/>
                <w:highlight w:val="none"/>
              </w:rPr>
              <w:t>13587049595</w:t>
            </w:r>
          </w:p>
        </w:tc>
      </w:tr>
      <w:tr w14:paraId="4AE3C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360" w:type="pct"/>
            <w:vAlign w:val="center"/>
          </w:tcPr>
          <w:p w14:paraId="45B48CF5">
            <w:pPr>
              <w:spacing w:line="360" w:lineRule="auto"/>
              <w:jc w:val="center"/>
              <w:rPr>
                <w:rFonts w:ascii="宋体" w:hAnsi="宋体" w:cs="宋体"/>
                <w:bCs/>
                <w:szCs w:val="21"/>
                <w:highlight w:val="none"/>
              </w:rPr>
            </w:pPr>
            <w:r>
              <w:rPr>
                <w:rFonts w:hint="eastAsia" w:ascii="宋体" w:hAnsi="宋体" w:cs="宋体"/>
                <w:bCs/>
                <w:szCs w:val="21"/>
                <w:highlight w:val="none"/>
              </w:rPr>
              <w:t>中国邮政储蓄银行股份有限公司舟山市分行</w:t>
            </w:r>
          </w:p>
        </w:tc>
        <w:tc>
          <w:tcPr>
            <w:tcW w:w="1898" w:type="pct"/>
            <w:vAlign w:val="center"/>
          </w:tcPr>
          <w:p w14:paraId="0B0F735C">
            <w:pPr>
              <w:spacing w:line="360" w:lineRule="auto"/>
              <w:rPr>
                <w:rFonts w:ascii="宋体" w:hAnsi="宋体" w:cs="宋体"/>
                <w:bCs/>
                <w:szCs w:val="21"/>
                <w:highlight w:val="none"/>
              </w:rPr>
            </w:pPr>
            <w:r>
              <w:rPr>
                <w:rFonts w:hint="eastAsia" w:ascii="宋体" w:hAnsi="宋体" w:cs="宋体"/>
                <w:bCs/>
                <w:szCs w:val="21"/>
                <w:highlight w:val="none"/>
              </w:rPr>
              <w:t>邮储银行“政采贷”产品指我行向在政府采购活动中中标的企业发放的，用于中标企业合法生产经营活动的短期流动资金贷款。融资模式根据融资行为所处采购合同的履行阶段确定，包括应收账款融资模式与采购合同融资模式。授信金额最高不超过500万元，期限最长不超过1年。</w:t>
            </w:r>
          </w:p>
        </w:tc>
        <w:tc>
          <w:tcPr>
            <w:tcW w:w="822" w:type="pct"/>
            <w:vAlign w:val="center"/>
          </w:tcPr>
          <w:p w14:paraId="77965B8F">
            <w:pPr>
              <w:spacing w:line="360" w:lineRule="auto"/>
              <w:jc w:val="center"/>
              <w:rPr>
                <w:rFonts w:ascii="宋体" w:hAnsi="宋体" w:cs="宋体"/>
                <w:bCs/>
                <w:szCs w:val="21"/>
                <w:highlight w:val="none"/>
              </w:rPr>
            </w:pPr>
            <w:r>
              <w:rPr>
                <w:rFonts w:hint="eastAsia" w:ascii="宋体" w:hAnsi="宋体" w:cs="宋体"/>
                <w:bCs/>
                <w:szCs w:val="21"/>
                <w:highlight w:val="none"/>
              </w:rPr>
              <w:t>曾超</w:t>
            </w:r>
          </w:p>
        </w:tc>
        <w:tc>
          <w:tcPr>
            <w:tcW w:w="917" w:type="pct"/>
            <w:vAlign w:val="center"/>
          </w:tcPr>
          <w:p w14:paraId="3381ECDC">
            <w:pPr>
              <w:spacing w:line="360" w:lineRule="auto"/>
              <w:jc w:val="center"/>
              <w:rPr>
                <w:rFonts w:ascii="宋体" w:hAnsi="宋体" w:cs="宋体"/>
                <w:bCs/>
                <w:szCs w:val="21"/>
                <w:highlight w:val="none"/>
              </w:rPr>
            </w:pPr>
            <w:r>
              <w:rPr>
                <w:rFonts w:hint="eastAsia" w:ascii="宋体" w:hAnsi="宋体" w:cs="宋体"/>
                <w:bCs/>
                <w:szCs w:val="21"/>
                <w:highlight w:val="none"/>
              </w:rPr>
              <w:t>15924008387</w:t>
            </w:r>
          </w:p>
        </w:tc>
      </w:tr>
    </w:tbl>
    <w:p w14:paraId="1C14A5C4">
      <w:pPr>
        <w:spacing w:line="360" w:lineRule="auto"/>
        <w:ind w:firstLine="420" w:firstLineChars="200"/>
        <w:rPr>
          <w:rFonts w:ascii="宋体" w:hAnsi="宋体" w:cs="宋体"/>
          <w:bCs/>
          <w:szCs w:val="21"/>
          <w:highlight w:val="none"/>
        </w:rPr>
      </w:pPr>
      <w:r>
        <w:rPr>
          <w:rFonts w:hint="eastAsia" w:ascii="宋体" w:hAnsi="宋体" w:cs="宋体"/>
          <w:bCs/>
          <w:szCs w:val="21"/>
          <w:highlight w:val="none"/>
        </w:rPr>
        <w:t>2、一般步骤</w:t>
      </w:r>
    </w:p>
    <w:p w14:paraId="72E6FE14">
      <w:pPr>
        <w:spacing w:line="360" w:lineRule="auto"/>
        <w:ind w:firstLine="420" w:firstLineChars="200"/>
        <w:rPr>
          <w:rFonts w:ascii="宋体" w:hAnsi="宋体" w:cs="宋体"/>
          <w:bCs/>
          <w:szCs w:val="21"/>
          <w:highlight w:val="none"/>
        </w:rPr>
      </w:pPr>
      <w:r>
        <w:rPr>
          <w:rFonts w:hint="eastAsia" w:ascii="宋体" w:hAnsi="宋体" w:cs="宋体"/>
          <w:bCs/>
          <w:szCs w:val="21"/>
          <w:highlight w:val="none"/>
        </w:rPr>
        <w:t>（1）供应商先与银行对接，办理融资前期手续；</w:t>
      </w:r>
    </w:p>
    <w:p w14:paraId="28D6DB18">
      <w:pPr>
        <w:spacing w:line="360" w:lineRule="auto"/>
        <w:ind w:firstLine="420" w:firstLineChars="200"/>
        <w:rPr>
          <w:rFonts w:ascii="宋体" w:hAnsi="宋体" w:cs="宋体"/>
          <w:bCs/>
          <w:szCs w:val="21"/>
          <w:highlight w:val="none"/>
        </w:rPr>
      </w:pPr>
      <w:r>
        <w:rPr>
          <w:rFonts w:hint="eastAsia" w:ascii="宋体" w:hAnsi="宋体" w:cs="宋体"/>
          <w:bCs/>
          <w:szCs w:val="21"/>
          <w:highlight w:val="none"/>
        </w:rPr>
        <w:t>（2）供应商中标后，凭中标通知书等材料，向相关合作银行发出融资申请；</w:t>
      </w:r>
    </w:p>
    <w:p w14:paraId="5BF43A2A">
      <w:pPr>
        <w:spacing w:line="360" w:lineRule="auto"/>
        <w:ind w:firstLine="420" w:firstLineChars="200"/>
        <w:rPr>
          <w:rFonts w:ascii="宋体" w:hAnsi="宋体" w:cs="宋体"/>
          <w:bCs/>
          <w:szCs w:val="21"/>
          <w:highlight w:val="none"/>
        </w:rPr>
      </w:pPr>
      <w:r>
        <w:rPr>
          <w:rFonts w:hint="eastAsia" w:ascii="宋体" w:hAnsi="宋体" w:cs="宋体"/>
          <w:bCs/>
          <w:szCs w:val="21"/>
          <w:highlight w:val="none"/>
        </w:rPr>
        <w:t>（3）银行、供应商线上办理审批、放贷事宜。</w:t>
      </w:r>
    </w:p>
    <w:p w14:paraId="7DFE61CB">
      <w:pPr>
        <w:spacing w:line="360" w:lineRule="auto"/>
        <w:ind w:firstLine="420" w:firstLineChars="200"/>
        <w:rPr>
          <w:rFonts w:ascii="宋体" w:hAnsi="宋体" w:cs="宋体"/>
          <w:bCs/>
          <w:szCs w:val="21"/>
          <w:highlight w:val="none"/>
        </w:rPr>
      </w:pPr>
      <w:r>
        <w:rPr>
          <w:rFonts w:hint="eastAsia" w:ascii="宋体" w:hAnsi="宋体" w:cs="宋体"/>
          <w:bCs/>
          <w:szCs w:val="21"/>
          <w:highlight w:val="none"/>
        </w:rPr>
        <w:t>3、注意事项</w:t>
      </w:r>
    </w:p>
    <w:p w14:paraId="64F3EAC9">
      <w:pPr>
        <w:spacing w:line="360" w:lineRule="auto"/>
        <w:ind w:firstLine="420" w:firstLineChars="200"/>
        <w:rPr>
          <w:rFonts w:ascii="宋体" w:hAnsi="宋体" w:cs="宋体"/>
          <w:bCs/>
          <w:szCs w:val="21"/>
          <w:highlight w:val="none"/>
        </w:rPr>
      </w:pPr>
      <w:r>
        <w:rPr>
          <w:rFonts w:hint="eastAsia" w:ascii="宋体" w:hAnsi="宋体" w:cs="宋体"/>
          <w:bCs/>
          <w:szCs w:val="21"/>
          <w:highlight w:val="none"/>
        </w:rPr>
        <w:t>（1）中标供应商需确保政府采购合同的收款账户与融资银行开户账户一致。</w:t>
      </w:r>
    </w:p>
    <w:p w14:paraId="595BFE2D">
      <w:pPr>
        <w:spacing w:line="360" w:lineRule="auto"/>
        <w:ind w:firstLine="420" w:firstLineChars="200"/>
        <w:rPr>
          <w:rFonts w:ascii="宋体" w:hAnsi="宋体" w:cs="宋体"/>
          <w:bCs/>
          <w:szCs w:val="21"/>
          <w:highlight w:val="none"/>
        </w:rPr>
      </w:pPr>
      <w:r>
        <w:rPr>
          <w:rFonts w:hint="eastAsia" w:ascii="宋体" w:hAnsi="宋体" w:cs="宋体"/>
          <w:bCs/>
          <w:szCs w:val="21"/>
          <w:highlight w:val="none"/>
        </w:rPr>
        <w:t>（2）用于政府采购信用融资的政府采购合同，应当包含如下条款：“第</w:t>
      </w:r>
      <w:r>
        <w:rPr>
          <w:rFonts w:hint="eastAsia" w:ascii="宋体" w:hAnsi="宋体" w:cs="宋体"/>
          <w:bCs/>
          <w:szCs w:val="21"/>
          <w:highlight w:val="none"/>
          <w:u w:val="single"/>
        </w:rPr>
        <w:t xml:space="preserve">   </w:t>
      </w:r>
      <w:r>
        <w:rPr>
          <w:rFonts w:hint="eastAsia" w:ascii="宋体" w:hAnsi="宋体" w:cs="宋体"/>
          <w:bCs/>
          <w:szCs w:val="21"/>
          <w:highlight w:val="none"/>
        </w:rPr>
        <w:t>条：政府采购合同贷款</w:t>
      </w:r>
    </w:p>
    <w:p w14:paraId="0D7E241B">
      <w:pPr>
        <w:spacing w:line="360" w:lineRule="auto"/>
        <w:ind w:firstLine="420" w:firstLineChars="200"/>
        <w:rPr>
          <w:rFonts w:ascii="宋体" w:hAnsi="宋体" w:cs="宋体"/>
          <w:bCs/>
          <w:szCs w:val="21"/>
          <w:highlight w:val="none"/>
        </w:rPr>
      </w:pPr>
      <w:r>
        <w:rPr>
          <w:rFonts w:hint="eastAsia" w:ascii="宋体" w:hAnsi="宋体" w:cs="宋体"/>
          <w:bCs/>
          <w:szCs w:val="21"/>
          <w:highlight w:val="none"/>
        </w:rPr>
        <w:t xml:space="preserve">本合同同时用于乙方向 </w:t>
      </w:r>
      <w:r>
        <w:rPr>
          <w:rFonts w:hint="eastAsia" w:ascii="宋体" w:hAnsi="宋体" w:cs="宋体"/>
          <w:bCs/>
          <w:szCs w:val="21"/>
          <w:highlight w:val="none"/>
          <w:u w:val="single"/>
        </w:rPr>
        <w:t xml:space="preserve">     </w:t>
      </w:r>
      <w:r>
        <w:rPr>
          <w:rFonts w:hint="eastAsia" w:ascii="宋体" w:hAnsi="宋体" w:cs="宋体"/>
          <w:bCs/>
          <w:szCs w:val="21"/>
          <w:highlight w:val="none"/>
        </w:rPr>
        <w:t>银行（金融机构）申请政府采购信用贷款。</w:t>
      </w:r>
    </w:p>
    <w:p w14:paraId="3D0AA115">
      <w:pPr>
        <w:spacing w:line="360" w:lineRule="auto"/>
        <w:ind w:firstLine="420" w:firstLineChars="200"/>
        <w:rPr>
          <w:rFonts w:ascii="宋体" w:hAnsi="宋体" w:cs="宋体"/>
          <w:szCs w:val="21"/>
          <w:highlight w:val="none"/>
        </w:rPr>
      </w:pPr>
      <w:r>
        <w:rPr>
          <w:rFonts w:hint="eastAsia" w:ascii="宋体" w:hAnsi="宋体" w:cs="宋体"/>
          <w:bCs/>
          <w:szCs w:val="21"/>
          <w:highlight w:val="none"/>
        </w:rPr>
        <w:t>本合同一经签订，原则上不得更改乙方收款账户信息。确须更改的，乙方应取得原合同收款账户开户银行书面同意，否则修改后的合同不予备案，采购资金不予支付。”</w:t>
      </w:r>
    </w:p>
    <w:p w14:paraId="0C4C1114">
      <w:pP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rPr>
        <w:t>（十一）</w:t>
      </w:r>
      <w:r>
        <w:rPr>
          <w:rFonts w:hint="eastAsia" w:ascii="宋体" w:hAnsi="宋体" w:cs="宋体"/>
          <w:b/>
          <w:szCs w:val="21"/>
          <w:highlight w:val="none"/>
          <w:lang w:eastAsia="zh-CN"/>
        </w:rPr>
        <w:t>浙江天勤信息技术监理有限公司</w:t>
      </w:r>
      <w:r>
        <w:rPr>
          <w:rFonts w:hint="eastAsia" w:ascii="宋体" w:hAnsi="宋体" w:cs="宋体"/>
          <w:b/>
          <w:szCs w:val="21"/>
          <w:highlight w:val="none"/>
        </w:rPr>
        <w:t>拥有本磋商文件最终解释权。</w:t>
      </w:r>
    </w:p>
    <w:p w14:paraId="770CAB4D">
      <w:pPr>
        <w:snapToGrid w:val="0"/>
        <w:spacing w:line="360" w:lineRule="auto"/>
        <w:jc w:val="center"/>
        <w:rPr>
          <w:rFonts w:hint="eastAsia" w:ascii="宋体" w:hAnsi="宋体" w:cs="宋体"/>
          <w:b/>
          <w:szCs w:val="21"/>
          <w:highlight w:val="none"/>
        </w:rPr>
      </w:pPr>
    </w:p>
    <w:p w14:paraId="5B48CD53">
      <w:pPr>
        <w:snapToGrid w:val="0"/>
        <w:spacing w:line="360" w:lineRule="auto"/>
        <w:jc w:val="center"/>
        <w:outlineLvl w:val="1"/>
        <w:rPr>
          <w:rFonts w:ascii="宋体" w:hAnsi="宋体" w:cs="宋体"/>
          <w:b/>
          <w:szCs w:val="21"/>
          <w:highlight w:val="none"/>
        </w:rPr>
      </w:pPr>
      <w:r>
        <w:rPr>
          <w:rFonts w:hint="eastAsia" w:ascii="宋体" w:hAnsi="宋体" w:cs="宋体"/>
          <w:b/>
          <w:szCs w:val="21"/>
          <w:highlight w:val="none"/>
        </w:rPr>
        <w:t>二、磋商文件</w:t>
      </w:r>
    </w:p>
    <w:p w14:paraId="2085F731">
      <w:pP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rPr>
        <w:t>（一）磋商文件的构成</w:t>
      </w:r>
    </w:p>
    <w:p w14:paraId="0627554B">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第一章  竞争性磋商公告</w:t>
      </w:r>
    </w:p>
    <w:p w14:paraId="6FA6075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第二章  采购需求</w:t>
      </w:r>
    </w:p>
    <w:p w14:paraId="19F5F18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 xml:space="preserve">第三章  </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须知</w:t>
      </w:r>
    </w:p>
    <w:p w14:paraId="2E33149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第四章  评标办法及标准</w:t>
      </w:r>
    </w:p>
    <w:p w14:paraId="305E64C5">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第五章  合同主要条款</w:t>
      </w:r>
    </w:p>
    <w:p w14:paraId="6CAEB26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 xml:space="preserve">第六章  </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组成</w:t>
      </w:r>
    </w:p>
    <w:p w14:paraId="1F965BCA">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其他有关补充文件</w:t>
      </w:r>
    </w:p>
    <w:p w14:paraId="2DBD55CD">
      <w:pPr>
        <w:pStyle w:val="6"/>
        <w:widowControl w:val="0"/>
        <w:snapToGrid w:val="0"/>
        <w:spacing w:after="0" w:afterLines="0" w:line="360" w:lineRule="auto"/>
        <w:ind w:left="0" w:firstLine="422" w:firstLineChars="200"/>
        <w:jc w:val="both"/>
        <w:rPr>
          <w:rFonts w:ascii="宋体" w:hAnsi="宋体" w:cs="宋体"/>
          <w:b/>
          <w:kern w:val="2"/>
          <w:sz w:val="21"/>
          <w:szCs w:val="21"/>
          <w:highlight w:val="none"/>
        </w:rPr>
      </w:pPr>
      <w:r>
        <w:rPr>
          <w:rFonts w:hint="eastAsia" w:ascii="宋体" w:hAnsi="宋体" w:cs="宋体"/>
          <w:b/>
          <w:sz w:val="21"/>
          <w:szCs w:val="21"/>
          <w:highlight w:val="none"/>
        </w:rPr>
        <w:t>（</w:t>
      </w:r>
      <w:r>
        <w:rPr>
          <w:rFonts w:hint="eastAsia" w:ascii="宋体" w:hAnsi="宋体" w:cs="宋体"/>
          <w:b/>
          <w:kern w:val="2"/>
          <w:sz w:val="21"/>
          <w:szCs w:val="21"/>
          <w:highlight w:val="none"/>
        </w:rPr>
        <w:t xml:space="preserve">二）磋商文件的澄清与修改 </w:t>
      </w:r>
    </w:p>
    <w:p w14:paraId="48EE97FF">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应认真阅读本磋商文件，发现其中有误或有要求不合理的，</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必须在投标截止前5天内以书面形式要求采购人澄清。</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对已发出的磋商文件进行必要澄清、答复、修改或补充的，应当在磋商文件要求提交</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截止时间5天前，在相关的采购信息发布媒体上发布更正公告，并通知所有已购买磋商文件的潜在</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w:t>
      </w:r>
    </w:p>
    <w:p w14:paraId="14B67867">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2、采购人以书面形式答复</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要求澄清的问题，并将不包含问题来源的答复书面通知所有购买磋商文件的潜在</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；除书面答复以外的其他澄清方式及澄清内容均无效。</w:t>
      </w:r>
    </w:p>
    <w:p w14:paraId="43571BCE">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3、磋商文件的答复、澄清、修改、补充通知实质上改变采购需求相关内容，且自磋商文件的答复、澄清、修改、补充通知发出之日起至投标截止时间止不足5天的，采购人可视情况推迟投标截止时间和开标时间，按规定在相关的采购信息发布媒体上发布变更公告，并将变更后的时间通知所有已购买磋商文件的潜在</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w:t>
      </w:r>
    </w:p>
    <w:p w14:paraId="52C7D46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4、磋商文件澄清、答复、修改、补充的内容为磋商文件的组成部分。当磋商文件与磋商文件的答复、澄清、修改、补充通知就同一内容的表述不一致时，以最后发出的书面文件为准。</w:t>
      </w:r>
    </w:p>
    <w:p w14:paraId="2BFBE6A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5、磋商文件的澄清、答复、修改或补充都应该通过本招标代理机构以法定形式发布，采购人非通过本招标代理机构的，不得擅自澄清、答复、修改或补充磋商文件。</w:t>
      </w:r>
    </w:p>
    <w:p w14:paraId="1B968D7D">
      <w:pPr>
        <w:pStyle w:val="13"/>
        <w:snapToGrid w:val="0"/>
        <w:spacing w:line="360" w:lineRule="auto"/>
        <w:ind w:firstLine="415" w:firstLineChars="198"/>
        <w:rPr>
          <w:rFonts w:hAnsi="宋体" w:eastAsia="宋体" w:cs="宋体"/>
          <w:sz w:val="21"/>
          <w:szCs w:val="21"/>
          <w:highlight w:val="none"/>
        </w:rPr>
      </w:pPr>
    </w:p>
    <w:p w14:paraId="70B264A4">
      <w:pPr>
        <w:snapToGrid w:val="0"/>
        <w:spacing w:line="360" w:lineRule="auto"/>
        <w:jc w:val="center"/>
        <w:outlineLvl w:val="1"/>
        <w:rPr>
          <w:rFonts w:ascii="宋体" w:hAnsi="宋体" w:cs="宋体"/>
          <w:b/>
          <w:szCs w:val="21"/>
          <w:highlight w:val="none"/>
        </w:rPr>
      </w:pPr>
      <w:r>
        <w:rPr>
          <w:rFonts w:hint="eastAsia" w:ascii="宋体" w:hAnsi="宋体" w:cs="宋体"/>
          <w:b/>
          <w:szCs w:val="21"/>
          <w:highlight w:val="none"/>
        </w:rPr>
        <w:t>三、</w:t>
      </w:r>
      <w:r>
        <w:rPr>
          <w:rFonts w:hint="eastAsia" w:ascii="宋体" w:hAnsi="宋体" w:cs="宋体"/>
          <w:b/>
          <w:szCs w:val="21"/>
          <w:highlight w:val="none"/>
          <w:lang w:eastAsia="zh-CN"/>
        </w:rPr>
        <w:t>响应文件</w:t>
      </w:r>
      <w:r>
        <w:rPr>
          <w:rFonts w:hint="eastAsia" w:ascii="宋体" w:hAnsi="宋体" w:cs="宋体"/>
          <w:b/>
          <w:szCs w:val="21"/>
          <w:highlight w:val="none"/>
        </w:rPr>
        <w:t>的编制</w:t>
      </w:r>
    </w:p>
    <w:p w14:paraId="6B4688F8">
      <w:pPr>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rPr>
        <w:t>（一）</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的形式和效力</w:t>
      </w:r>
    </w:p>
    <w:p w14:paraId="7776FCC2">
      <w:pPr>
        <w:adjustRightInd w:val="0"/>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分为电子</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以及备份</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，备份</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为以介质存储的数据电文形式的</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w:t>
      </w:r>
    </w:p>
    <w:p w14:paraId="664455AE">
      <w:pPr>
        <w:adjustRightInd w:val="0"/>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rPr>
        <w:t>1、电子</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，按“政采云供应商项目采购-电子招投标操作指南”及本磋商文件要求制作、加密并递交。</w:t>
      </w:r>
    </w:p>
    <w:p w14:paraId="211FAADF">
      <w:pPr>
        <w:adjustRightInd w:val="0"/>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rPr>
        <w:t>2、以介质存储的数据电文形式的备份</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，按政采云供应商项目采购-电子招投标操作指南中制作的电子</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w:t>
      </w:r>
    </w:p>
    <w:p w14:paraId="42489B39">
      <w:pPr>
        <w:adjustRightInd w:val="0"/>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的启用，按先后顺位分别为电子</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、以介质存储的数据电文形式的备份</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。在下一顺位的</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启用时，前一顺位的</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自动失效。</w:t>
      </w:r>
    </w:p>
    <w:p w14:paraId="0E64DA46">
      <w:pPr>
        <w:snapToGrid w:val="0"/>
        <w:spacing w:line="360" w:lineRule="auto"/>
        <w:ind w:firstLine="422" w:firstLineChars="200"/>
        <w:outlineLvl w:val="9"/>
        <w:rPr>
          <w:rFonts w:ascii="宋体" w:hAnsi="宋体" w:cs="宋体"/>
          <w:b/>
          <w:color w:val="000000"/>
          <w:szCs w:val="21"/>
          <w:highlight w:val="none"/>
        </w:rPr>
      </w:pPr>
      <w:r>
        <w:rPr>
          <w:rFonts w:hint="eastAsia" w:ascii="宋体" w:hAnsi="宋体" w:cs="宋体"/>
          <w:b/>
          <w:color w:val="000000"/>
          <w:szCs w:val="21"/>
          <w:highlight w:val="none"/>
        </w:rPr>
        <w:t>（二）</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的组成</w:t>
      </w:r>
    </w:p>
    <w:p w14:paraId="65E58851">
      <w:pPr>
        <w:snapToGrid w:val="0"/>
        <w:spacing w:line="360" w:lineRule="auto"/>
        <w:ind w:firstLine="420" w:firstLineChars="200"/>
        <w:rPr>
          <w:rFonts w:ascii="宋体" w:hAnsi="宋体" w:cs="宋体"/>
          <w:color w:val="000000"/>
          <w:szCs w:val="21"/>
          <w:highlight w:val="none"/>
        </w:rPr>
      </w:pPr>
      <w:r>
        <w:rPr>
          <w:rFonts w:hint="eastAsia" w:ascii="宋体" w:hAnsi="宋体" w:cs="宋体"/>
          <w:szCs w:val="21"/>
          <w:highlight w:val="none"/>
          <w:lang w:eastAsia="zh-CN"/>
        </w:rPr>
        <w:t>响应文件</w:t>
      </w:r>
      <w:r>
        <w:rPr>
          <w:rFonts w:hint="eastAsia" w:ascii="宋体" w:hAnsi="宋体" w:cs="宋体"/>
          <w:szCs w:val="21"/>
          <w:highlight w:val="none"/>
        </w:rPr>
        <w:t>由磋商报价文件、资格证明文件、商务技术文件组成。</w:t>
      </w:r>
      <w:r>
        <w:rPr>
          <w:rFonts w:hint="eastAsia" w:ascii="宋体" w:hAnsi="宋体" w:cs="宋体"/>
          <w:color w:val="000000"/>
          <w:szCs w:val="21"/>
          <w:highlight w:val="none"/>
        </w:rPr>
        <w:t>电子</w:t>
      </w:r>
      <w:r>
        <w:rPr>
          <w:rFonts w:hint="eastAsia" w:ascii="宋体" w:hAnsi="宋体" w:cs="宋体"/>
          <w:color w:val="000000"/>
          <w:szCs w:val="21"/>
          <w:highlight w:val="none"/>
          <w:lang w:eastAsia="zh-CN"/>
        </w:rPr>
        <w:t>响应文件</w:t>
      </w:r>
      <w:r>
        <w:rPr>
          <w:rFonts w:hint="eastAsia" w:ascii="宋体" w:hAnsi="宋体" w:cs="宋体"/>
          <w:color w:val="000000"/>
          <w:szCs w:val="21"/>
          <w:highlight w:val="none"/>
        </w:rPr>
        <w:t xml:space="preserve">中所须加盖公章部分均采用CA签章。（具体要求详见第六章 </w:t>
      </w:r>
      <w:r>
        <w:rPr>
          <w:rFonts w:hint="eastAsia" w:ascii="宋体" w:hAnsi="宋体" w:cs="宋体"/>
          <w:color w:val="000000"/>
          <w:szCs w:val="21"/>
          <w:highlight w:val="none"/>
          <w:lang w:eastAsia="zh-CN"/>
        </w:rPr>
        <w:t>响应文件</w:t>
      </w:r>
      <w:r>
        <w:rPr>
          <w:rFonts w:hint="eastAsia" w:ascii="宋体" w:hAnsi="宋体" w:cs="宋体"/>
          <w:color w:val="000000"/>
          <w:szCs w:val="21"/>
          <w:highlight w:val="none"/>
        </w:rPr>
        <w:t>组成）</w:t>
      </w:r>
    </w:p>
    <w:p w14:paraId="0F863B00">
      <w:pPr>
        <w:snapToGrid w:val="0"/>
        <w:spacing w:line="360" w:lineRule="auto"/>
        <w:ind w:firstLine="422" w:firstLineChars="200"/>
        <w:outlineLvl w:val="9"/>
        <w:rPr>
          <w:rFonts w:ascii="宋体" w:hAnsi="宋体" w:cs="宋体"/>
          <w:b/>
          <w:szCs w:val="21"/>
          <w:highlight w:val="none"/>
        </w:rPr>
      </w:pPr>
      <w:r>
        <w:rPr>
          <w:rFonts w:hint="eastAsia" w:ascii="宋体" w:hAnsi="宋体" w:cs="宋体"/>
          <w:b/>
          <w:szCs w:val="21"/>
          <w:highlight w:val="none"/>
        </w:rPr>
        <w:t>（三）</w:t>
      </w:r>
      <w:r>
        <w:rPr>
          <w:rFonts w:hint="eastAsia" w:ascii="宋体" w:hAnsi="宋体" w:cs="宋体"/>
          <w:b/>
          <w:szCs w:val="21"/>
          <w:highlight w:val="none"/>
          <w:lang w:eastAsia="zh-CN"/>
        </w:rPr>
        <w:t>响应文件</w:t>
      </w:r>
      <w:r>
        <w:rPr>
          <w:rFonts w:hint="eastAsia" w:ascii="宋体" w:hAnsi="宋体" w:cs="宋体"/>
          <w:b/>
          <w:szCs w:val="21"/>
          <w:highlight w:val="none"/>
        </w:rPr>
        <w:t>的语言及计量</w:t>
      </w:r>
    </w:p>
    <w:p w14:paraId="00A67318">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以及</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与招标代理机构就有关投标事宜的所有来往函电，均应以中文汉语书写。除签名、盖章、专用名称、特殊证明材料等情形外，以中文汉语以外的文字表述的</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视同未提供。</w:t>
      </w:r>
    </w:p>
    <w:p w14:paraId="5D24E1C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2、投标计量单位，应采用中华人民共和国法定计量单位（货币单位：人民币元），否则视同未响应。</w:t>
      </w:r>
    </w:p>
    <w:p w14:paraId="1C936049">
      <w:pPr>
        <w:snapToGrid w:val="0"/>
        <w:spacing w:line="360" w:lineRule="auto"/>
        <w:ind w:firstLine="422" w:firstLineChars="200"/>
        <w:outlineLvl w:val="9"/>
        <w:rPr>
          <w:rFonts w:ascii="宋体" w:hAnsi="宋体" w:cs="宋体"/>
          <w:b/>
          <w:szCs w:val="21"/>
          <w:highlight w:val="none"/>
        </w:rPr>
      </w:pPr>
      <w:r>
        <w:rPr>
          <w:rFonts w:hint="eastAsia" w:ascii="宋体" w:hAnsi="宋体" w:cs="宋体"/>
          <w:b/>
          <w:szCs w:val="21"/>
          <w:highlight w:val="none"/>
        </w:rPr>
        <w:t>（四）磋商报价与相关费用</w:t>
      </w:r>
    </w:p>
    <w:p w14:paraId="7A07956F">
      <w:pPr>
        <w:pStyle w:val="13"/>
        <w:snapToGrid w:val="0"/>
        <w:spacing w:line="360" w:lineRule="auto"/>
        <w:ind w:firstLine="420" w:firstLineChars="200"/>
        <w:rPr>
          <w:rFonts w:hAnsi="宋体" w:eastAsia="宋体" w:cs="宋体"/>
          <w:bCs/>
          <w:sz w:val="21"/>
          <w:szCs w:val="21"/>
          <w:highlight w:val="none"/>
        </w:rPr>
      </w:pPr>
      <w:r>
        <w:rPr>
          <w:rFonts w:hint="eastAsia" w:hAnsi="宋体" w:eastAsia="宋体" w:cs="宋体"/>
          <w:bCs/>
          <w:sz w:val="21"/>
          <w:szCs w:val="21"/>
          <w:highlight w:val="none"/>
        </w:rPr>
        <w:t>详见《</w:t>
      </w:r>
      <w:r>
        <w:rPr>
          <w:rFonts w:hint="eastAsia" w:hAnsi="宋体" w:eastAsia="宋体" w:cs="宋体"/>
          <w:bCs/>
          <w:sz w:val="21"/>
          <w:szCs w:val="21"/>
          <w:highlight w:val="none"/>
          <w:lang w:eastAsia="zh-CN"/>
        </w:rPr>
        <w:t>响应人</w:t>
      </w:r>
      <w:r>
        <w:rPr>
          <w:rFonts w:hint="eastAsia" w:hAnsi="宋体" w:eastAsia="宋体" w:cs="宋体"/>
          <w:bCs/>
          <w:sz w:val="21"/>
          <w:szCs w:val="21"/>
          <w:highlight w:val="none"/>
        </w:rPr>
        <w:t>须知前附表》</w:t>
      </w:r>
    </w:p>
    <w:p w14:paraId="335DC185">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（五）</w:t>
      </w:r>
      <w:r>
        <w:rPr>
          <w:rFonts w:hint="eastAsia" w:hAnsi="宋体" w:eastAsia="宋体" w:cs="宋体"/>
          <w:b/>
          <w:sz w:val="21"/>
          <w:szCs w:val="21"/>
          <w:highlight w:val="none"/>
          <w:lang w:eastAsia="zh-CN"/>
        </w:rPr>
        <w:t>响应文件</w:t>
      </w:r>
      <w:r>
        <w:rPr>
          <w:rFonts w:hint="eastAsia" w:hAnsi="宋体" w:eastAsia="宋体" w:cs="宋体"/>
          <w:b/>
          <w:sz w:val="21"/>
          <w:szCs w:val="21"/>
          <w:highlight w:val="none"/>
        </w:rPr>
        <w:t>的有效期</w:t>
      </w:r>
    </w:p>
    <w:p w14:paraId="27EDFE3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1、自投标截止日起90天</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应保持有效。有效期不足的</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将被拒绝。</w:t>
      </w:r>
    </w:p>
    <w:p w14:paraId="709325B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2、在特殊情况下，采购人可与</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协商延长</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的有效期，这种要求和答复均以书面形式进行。</w:t>
      </w:r>
    </w:p>
    <w:p w14:paraId="0F03D851">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3、</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的</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自开标之日起至合同履行完毕止均应保持有效。</w:t>
      </w:r>
    </w:p>
    <w:p w14:paraId="1C6B15BF">
      <w:pPr>
        <w:snapToGrid w:val="0"/>
        <w:spacing w:line="360" w:lineRule="auto"/>
        <w:ind w:firstLine="422" w:firstLineChars="200"/>
        <w:outlineLvl w:val="9"/>
        <w:rPr>
          <w:rFonts w:ascii="宋体" w:hAnsi="宋体" w:cs="宋体"/>
          <w:b/>
          <w:szCs w:val="21"/>
          <w:highlight w:val="none"/>
        </w:rPr>
      </w:pPr>
      <w:r>
        <w:rPr>
          <w:rFonts w:hint="eastAsia" w:ascii="宋体" w:hAnsi="宋体" w:cs="宋体"/>
          <w:b/>
          <w:szCs w:val="21"/>
          <w:highlight w:val="none"/>
        </w:rPr>
        <w:t>（六）</w:t>
      </w:r>
      <w:r>
        <w:rPr>
          <w:rFonts w:hint="eastAsia" w:ascii="宋体" w:hAnsi="宋体" w:cs="宋体"/>
          <w:b/>
          <w:szCs w:val="21"/>
          <w:highlight w:val="none"/>
          <w:lang w:eastAsia="zh-CN"/>
        </w:rPr>
        <w:t>响应文件</w:t>
      </w:r>
      <w:r>
        <w:rPr>
          <w:rFonts w:hint="eastAsia" w:ascii="宋体" w:hAnsi="宋体" w:cs="宋体"/>
          <w:b/>
          <w:szCs w:val="21"/>
          <w:highlight w:val="none"/>
        </w:rPr>
        <w:t>的签署和编制</w:t>
      </w:r>
    </w:p>
    <w:p w14:paraId="6E2B9304">
      <w:pPr>
        <w:adjustRightInd w:val="0"/>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rPr>
        <w:t>1、电子</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部分：</w:t>
      </w:r>
    </w:p>
    <w:p w14:paraId="0D106806">
      <w:pPr>
        <w:adjustRightInd w:val="0"/>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lang w:eastAsia="zh-CN"/>
        </w:rPr>
        <w:t>响应人</w:t>
      </w:r>
      <w:r>
        <w:rPr>
          <w:rFonts w:hint="eastAsia" w:ascii="宋体" w:hAnsi="宋体" w:cs="宋体"/>
          <w:b/>
          <w:color w:val="000000"/>
          <w:szCs w:val="21"/>
          <w:highlight w:val="none"/>
        </w:rPr>
        <w:t>应根据“政采云供应商项目采购-电子招投标操作指南”及本磋商文件规定的格式和顺序编制电子</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并进行关联定位。</w:t>
      </w:r>
    </w:p>
    <w:p w14:paraId="53CF2523">
      <w:pPr>
        <w:adjustRightInd w:val="0"/>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rPr>
        <w:t>2、以介质存储的数据电文形式的备份</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部分：</w:t>
      </w:r>
    </w:p>
    <w:p w14:paraId="42EEB291">
      <w:pPr>
        <w:adjustRightInd w:val="0"/>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rPr>
        <w:t>备份电子</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，以DVD光盘、U盘形式存储。</w:t>
      </w:r>
    </w:p>
    <w:p w14:paraId="7AB85C97">
      <w:pPr>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rPr>
        <w:t>（七）备份</w:t>
      </w:r>
      <w:r>
        <w:rPr>
          <w:rFonts w:hint="eastAsia" w:ascii="宋体" w:hAnsi="宋体" w:cs="宋体"/>
          <w:b/>
          <w:color w:val="000000"/>
          <w:szCs w:val="21"/>
          <w:highlight w:val="none"/>
          <w:lang w:eastAsia="zh-CN"/>
        </w:rPr>
        <w:t>响应文件</w:t>
      </w:r>
      <w:r>
        <w:rPr>
          <w:rFonts w:hint="eastAsia" w:ascii="宋体" w:hAnsi="宋体" w:cs="宋体"/>
          <w:b/>
          <w:color w:val="000000"/>
          <w:szCs w:val="21"/>
          <w:highlight w:val="none"/>
        </w:rPr>
        <w:t>的修改和撤回</w:t>
      </w:r>
    </w:p>
    <w:p w14:paraId="1EDE4F4F">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lang w:eastAsia="zh-CN"/>
        </w:rPr>
        <w:t>响应人</w:t>
      </w:r>
      <w:r>
        <w:rPr>
          <w:rFonts w:hint="eastAsia" w:hAnsi="宋体" w:eastAsia="宋体" w:cs="宋体"/>
          <w:sz w:val="21"/>
          <w:szCs w:val="21"/>
          <w:highlight w:val="none"/>
        </w:rPr>
        <w:t>在投标截止时间之前，可以对已提交的</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进行修改或撤回，并书面形式（</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代表签字）通知招标代理机构；投标截止时间后，</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不得撤回、修改</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。修改后重新递交的</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应当按本磋商文件的要求密封和签字。</w:t>
      </w:r>
    </w:p>
    <w:p w14:paraId="66ABA26C">
      <w:pPr>
        <w:snapToGrid w:val="0"/>
        <w:spacing w:line="360" w:lineRule="auto"/>
        <w:ind w:firstLine="422" w:firstLineChars="200"/>
        <w:outlineLvl w:val="9"/>
        <w:rPr>
          <w:rFonts w:ascii="宋体" w:hAnsi="宋体" w:cs="宋体"/>
          <w:b/>
          <w:szCs w:val="21"/>
          <w:highlight w:val="none"/>
        </w:rPr>
      </w:pPr>
      <w:r>
        <w:rPr>
          <w:rFonts w:hint="eastAsia" w:ascii="宋体" w:hAnsi="宋体" w:cs="宋体"/>
          <w:b/>
          <w:szCs w:val="21"/>
          <w:highlight w:val="none"/>
        </w:rPr>
        <w:t>（八）响应无效的情形</w:t>
      </w:r>
    </w:p>
    <w:p w14:paraId="00F6F007">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实质上没有响应磋商文件要求的投标将被视为无效投标。</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不得通过修正或撤消不合要求的偏离或保留从而使其投标成为实质上响应的投标。经磋商小组认定属于</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笔误所造成的差错，应当允许其在评标结束之前进行修改或者补正（可以是复印件、传真件等）。修改或者补正</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必须以书面形式进行，并应在中标结果公告之前查核原件。限期内不补正或经补正后仍不符合磋商文件要求的，应认定其投标无效。</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修改、补正</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后，不影响磋商小组对其</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所作的评价和评分结果。</w:t>
      </w:r>
    </w:p>
    <w:p w14:paraId="3C4E92B6">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1、在符合性审查和商务评审时，如发现下列情形之一的，</w:t>
      </w:r>
      <w:r>
        <w:rPr>
          <w:rFonts w:hint="eastAsia" w:hAnsi="宋体" w:eastAsia="宋体" w:cs="宋体"/>
          <w:b/>
          <w:sz w:val="21"/>
          <w:szCs w:val="21"/>
          <w:highlight w:val="none"/>
          <w:lang w:eastAsia="zh-CN"/>
        </w:rPr>
        <w:t>响应文件</w:t>
      </w:r>
      <w:r>
        <w:rPr>
          <w:rFonts w:hint="eastAsia" w:hAnsi="宋体" w:eastAsia="宋体" w:cs="宋体"/>
          <w:b/>
          <w:sz w:val="21"/>
          <w:szCs w:val="21"/>
          <w:highlight w:val="none"/>
        </w:rPr>
        <w:t>将被视为无效响应：</w:t>
      </w:r>
    </w:p>
    <w:p w14:paraId="1C37CB45">
      <w:pPr>
        <w:snapToGrid w:val="0"/>
        <w:spacing w:line="360" w:lineRule="auto"/>
        <w:ind w:firstLine="420" w:firstLineChars="200"/>
        <w:rPr>
          <w:rFonts w:ascii="宋体" w:hAnsi="宋体" w:cs="宋体"/>
          <w:b w:val="0"/>
          <w:bCs w:val="0"/>
          <w:color w:val="000000"/>
          <w:szCs w:val="21"/>
          <w:highlight w:val="none"/>
        </w:rPr>
      </w:pPr>
      <w:r>
        <w:rPr>
          <w:rFonts w:hint="eastAsia" w:ascii="宋体" w:hAnsi="宋体" w:cs="宋体"/>
          <w:b w:val="0"/>
          <w:bCs w:val="0"/>
          <w:color w:val="000000"/>
          <w:szCs w:val="21"/>
          <w:highlight w:val="none"/>
        </w:rPr>
        <w:t>1.1电子</w:t>
      </w:r>
      <w:r>
        <w:rPr>
          <w:rFonts w:hint="eastAsia" w:ascii="宋体" w:hAnsi="宋体" w:cs="宋体"/>
          <w:b w:val="0"/>
          <w:bCs w:val="0"/>
          <w:color w:val="000000"/>
          <w:szCs w:val="21"/>
          <w:highlight w:val="none"/>
          <w:lang w:eastAsia="zh-CN"/>
        </w:rPr>
        <w:t>响应文件</w:t>
      </w:r>
      <w:r>
        <w:rPr>
          <w:rFonts w:hint="eastAsia" w:ascii="宋体" w:hAnsi="宋体" w:cs="宋体"/>
          <w:b w:val="0"/>
          <w:bCs w:val="0"/>
          <w:color w:val="000000"/>
          <w:szCs w:val="21"/>
          <w:highlight w:val="none"/>
        </w:rPr>
        <w:t>解密失败的，且未在规定时间内提交有效备份</w:t>
      </w:r>
      <w:r>
        <w:rPr>
          <w:rFonts w:hint="eastAsia" w:ascii="宋体" w:hAnsi="宋体" w:cs="宋体"/>
          <w:b w:val="0"/>
          <w:bCs w:val="0"/>
          <w:color w:val="000000"/>
          <w:szCs w:val="21"/>
          <w:highlight w:val="none"/>
          <w:lang w:eastAsia="zh-CN"/>
        </w:rPr>
        <w:t>响应文件</w:t>
      </w:r>
      <w:r>
        <w:rPr>
          <w:rFonts w:hint="eastAsia" w:ascii="宋体" w:hAnsi="宋体" w:cs="宋体"/>
          <w:b w:val="0"/>
          <w:bCs w:val="0"/>
          <w:color w:val="000000"/>
          <w:szCs w:val="21"/>
          <w:highlight w:val="none"/>
        </w:rPr>
        <w:t>的；</w:t>
      </w:r>
    </w:p>
    <w:p w14:paraId="711555EF">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1.2未按磋商文件要求密封、签字、盖章的；</w:t>
      </w:r>
    </w:p>
    <w:p w14:paraId="124C72AF">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1.3资格证明文件不全的，或者不符合磋商文件标明的资格要求的；</w:t>
      </w:r>
    </w:p>
    <w:p w14:paraId="741F61F0">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1.4</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组成不全的；</w:t>
      </w:r>
    </w:p>
    <w:p w14:paraId="1963279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1.5</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的实质性内容未使用中文表述、意思表述不明确、前后矛盾或者使用计量单位不符合磋商文件要求的；（经磋商小组认定允许其当场更正的笔误除外）</w:t>
      </w:r>
    </w:p>
    <w:p w14:paraId="15CD1DE4">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1.6</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的关键内容字迹模糊、无法辨认的，或者</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中经修正的内容字迹模糊难以辩认或者修改处未按规定签名盖章的；</w:t>
      </w:r>
    </w:p>
    <w:p w14:paraId="54A67914">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1.7实质性条款不能满足磋商文件要求的；</w:t>
      </w:r>
    </w:p>
    <w:p w14:paraId="13474A2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1.8不响应磋商文件要求或者</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有采购人不能接受的附加条件的；</w:t>
      </w:r>
    </w:p>
    <w:p w14:paraId="64B8F12F">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 xml:space="preserve">1.9 </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没有按磋商文件要求提供有标“▲”的条款的资料和材料的；</w:t>
      </w:r>
    </w:p>
    <w:p w14:paraId="32B4FD94">
      <w:pPr>
        <w:pStyle w:val="13"/>
        <w:snapToGrid w:val="0"/>
        <w:spacing w:line="360" w:lineRule="auto"/>
        <w:ind w:firstLine="420" w:firstLineChars="200"/>
        <w:rPr>
          <w:rFonts w:hint="eastAsia" w:hAnsi="宋体" w:eastAsia="宋体" w:cs="宋体"/>
          <w:sz w:val="21"/>
          <w:szCs w:val="21"/>
          <w:highlight w:val="none"/>
        </w:rPr>
      </w:pPr>
      <w:r>
        <w:rPr>
          <w:rFonts w:hint="eastAsia" w:hAnsi="宋体" w:eastAsia="宋体" w:cs="宋体"/>
          <w:sz w:val="21"/>
          <w:szCs w:val="21"/>
          <w:highlight w:val="none"/>
        </w:rPr>
        <w:t>1.10</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资格证明、商务、技术部分中出现磋商报价信息的。</w:t>
      </w:r>
    </w:p>
    <w:p w14:paraId="7A9074B0">
      <w:pPr>
        <w:pStyle w:val="13"/>
        <w:snapToGrid w:val="0"/>
        <w:spacing w:line="360" w:lineRule="auto"/>
        <w:ind w:firstLine="420" w:firstLineChars="200"/>
        <w:rPr>
          <w:rFonts w:hint="eastAsia" w:hAnsi="宋体" w:eastAsia="宋体" w:cs="宋体"/>
          <w:sz w:val="21"/>
          <w:szCs w:val="21"/>
          <w:highlight w:val="none"/>
        </w:rPr>
      </w:pPr>
      <w:r>
        <w:rPr>
          <w:rFonts w:hint="eastAsia" w:hAnsi="宋体" w:eastAsia="宋体" w:cs="宋体"/>
          <w:sz w:val="21"/>
          <w:szCs w:val="21"/>
          <w:highlight w:val="none"/>
        </w:rPr>
        <w:t>1.11除政府采购法律法规规章规定的属于恶意串通、视为串通投标情形外，在不影响公平竞争的前提下，采购人在采购文件中明确规定参与同一个采购包（标段）的供应商存在下列情形之一且无法合理解释的，其投标文件无效：</w:t>
      </w:r>
    </w:p>
    <w:p w14:paraId="170FD975">
      <w:pPr>
        <w:pStyle w:val="13"/>
        <w:snapToGrid w:val="0"/>
        <w:spacing w:line="360" w:lineRule="auto"/>
        <w:ind w:firstLine="420" w:firstLineChars="200"/>
        <w:rPr>
          <w:rFonts w:hint="eastAsia" w:hAnsi="宋体" w:eastAsia="宋体" w:cs="宋体"/>
          <w:sz w:val="21"/>
          <w:szCs w:val="21"/>
          <w:highlight w:val="none"/>
        </w:rPr>
      </w:pPr>
      <w:r>
        <w:rPr>
          <w:rFonts w:hint="eastAsia" w:hAnsi="宋体" w:eastAsia="宋体" w:cs="宋体"/>
          <w:sz w:val="21"/>
          <w:szCs w:val="21"/>
          <w:highlight w:val="none"/>
        </w:rPr>
        <w:t>（1）不同供应商的电子投标文件上传计算机的网卡MAC地址或硬盘序列号等硬件信息相同的；</w:t>
      </w:r>
    </w:p>
    <w:p w14:paraId="395CCD4C">
      <w:pPr>
        <w:pStyle w:val="13"/>
        <w:snapToGrid w:val="0"/>
        <w:spacing w:line="360" w:lineRule="auto"/>
        <w:ind w:firstLine="420" w:firstLineChars="200"/>
        <w:rPr>
          <w:rFonts w:hint="eastAsia" w:hAnsi="宋体" w:eastAsia="宋体" w:cs="宋体"/>
          <w:sz w:val="21"/>
          <w:szCs w:val="21"/>
          <w:highlight w:val="none"/>
        </w:rPr>
      </w:pPr>
      <w:r>
        <w:rPr>
          <w:rFonts w:hint="eastAsia" w:hAnsi="宋体" w:eastAsia="宋体" w:cs="宋体"/>
          <w:sz w:val="21"/>
          <w:szCs w:val="21"/>
          <w:highlight w:val="none"/>
        </w:rPr>
        <w:t>（2）上传的电子投标文件若出现使用本项目其他投标供应商的数字证书加密的，或者加盖本项目其他投标供应商的电子印章的；</w:t>
      </w:r>
    </w:p>
    <w:p w14:paraId="53EA6CAD">
      <w:pPr>
        <w:pStyle w:val="13"/>
        <w:snapToGrid w:val="0"/>
        <w:spacing w:line="360" w:lineRule="auto"/>
        <w:ind w:firstLine="420" w:firstLineChars="200"/>
        <w:rPr>
          <w:rFonts w:hint="eastAsia" w:hAnsi="宋体" w:eastAsia="宋体" w:cs="宋体"/>
          <w:sz w:val="21"/>
          <w:szCs w:val="21"/>
          <w:highlight w:val="none"/>
        </w:rPr>
      </w:pPr>
      <w:r>
        <w:rPr>
          <w:rFonts w:hint="eastAsia" w:hAnsi="宋体" w:eastAsia="宋体" w:cs="宋体"/>
          <w:sz w:val="21"/>
          <w:szCs w:val="21"/>
          <w:highlight w:val="none"/>
        </w:rPr>
        <w:t>（3）不同供应商的投标文件的内容存在3处以上错误一致的；</w:t>
      </w:r>
    </w:p>
    <w:p w14:paraId="14EDCA55">
      <w:pPr>
        <w:pStyle w:val="13"/>
        <w:snapToGrid w:val="0"/>
        <w:spacing w:line="360" w:lineRule="auto"/>
        <w:ind w:firstLine="420" w:firstLineChars="200"/>
        <w:rPr>
          <w:rFonts w:hint="eastAsia" w:hAnsi="宋体" w:eastAsia="宋体" w:cs="宋体"/>
          <w:sz w:val="21"/>
          <w:szCs w:val="21"/>
          <w:highlight w:val="none"/>
        </w:rPr>
      </w:pPr>
      <w:r>
        <w:rPr>
          <w:rFonts w:hint="eastAsia" w:hAnsi="宋体" w:eastAsia="宋体" w:cs="宋体"/>
          <w:sz w:val="21"/>
          <w:szCs w:val="21"/>
          <w:highlight w:val="none"/>
        </w:rPr>
        <w:t>（4）不同供应商联系人为同一人或不同联系人的联系电话一致的。</w:t>
      </w:r>
    </w:p>
    <w:p w14:paraId="02E6A949">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2、在技术评审时，如发现下列情形之一的，</w:t>
      </w:r>
      <w:r>
        <w:rPr>
          <w:rFonts w:hint="eastAsia" w:hAnsi="宋体" w:eastAsia="宋体" w:cs="宋体"/>
          <w:b/>
          <w:sz w:val="21"/>
          <w:szCs w:val="21"/>
          <w:highlight w:val="none"/>
          <w:lang w:eastAsia="zh-CN"/>
        </w:rPr>
        <w:t>响应文件</w:t>
      </w:r>
      <w:r>
        <w:rPr>
          <w:rFonts w:hint="eastAsia" w:hAnsi="宋体" w:eastAsia="宋体" w:cs="宋体"/>
          <w:b/>
          <w:sz w:val="21"/>
          <w:szCs w:val="21"/>
          <w:highlight w:val="none"/>
        </w:rPr>
        <w:t>将被视为无效响应标：</w:t>
      </w:r>
    </w:p>
    <w:p w14:paraId="3759F9C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2.1</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标明的响应或偏离与事实不符或虚假响应的；</w:t>
      </w:r>
    </w:p>
    <w:p w14:paraId="4CC42C45">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2.2明显不符合磋商文件中标“▲”的技术指标、主要功能项目发生实质性偏离的；</w:t>
      </w:r>
    </w:p>
    <w:p w14:paraId="54E12B86">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2.3响应技术方案不明确，存在一个或一个以上备选（替代）响应的；</w:t>
      </w:r>
    </w:p>
    <w:p w14:paraId="601576C8">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3、在磋商报价文件评审时，如发现下列情形之一的，</w:t>
      </w:r>
      <w:r>
        <w:rPr>
          <w:rFonts w:hint="eastAsia" w:hAnsi="宋体" w:eastAsia="宋体" w:cs="宋体"/>
          <w:b/>
          <w:sz w:val="21"/>
          <w:szCs w:val="21"/>
          <w:highlight w:val="none"/>
          <w:lang w:eastAsia="zh-CN"/>
        </w:rPr>
        <w:t>响应文件</w:t>
      </w:r>
      <w:r>
        <w:rPr>
          <w:rFonts w:hint="eastAsia" w:hAnsi="宋体" w:eastAsia="宋体" w:cs="宋体"/>
          <w:b/>
          <w:sz w:val="21"/>
          <w:szCs w:val="21"/>
          <w:highlight w:val="none"/>
        </w:rPr>
        <w:t>将被视为无效响应：</w:t>
      </w:r>
    </w:p>
    <w:p w14:paraId="30C246CC">
      <w:pPr>
        <w:pStyle w:val="13"/>
        <w:tabs>
          <w:tab w:val="left" w:pos="1680"/>
        </w:tabs>
        <w:snapToGrid w:val="0"/>
        <w:spacing w:line="360" w:lineRule="auto"/>
        <w:ind w:firstLine="420" w:firstLineChars="200"/>
        <w:rPr>
          <w:rFonts w:hAnsi="宋体" w:eastAsia="宋体" w:cs="宋体"/>
          <w:b w:val="0"/>
          <w:bCs/>
          <w:sz w:val="21"/>
          <w:szCs w:val="21"/>
          <w:highlight w:val="none"/>
        </w:rPr>
      </w:pPr>
      <w:r>
        <w:rPr>
          <w:rFonts w:hint="eastAsia" w:hAnsi="宋体" w:eastAsia="宋体" w:cs="宋体"/>
          <w:b w:val="0"/>
          <w:bCs/>
          <w:sz w:val="21"/>
          <w:szCs w:val="21"/>
          <w:highlight w:val="none"/>
        </w:rPr>
        <w:t>3.1超过项目的</w:t>
      </w:r>
      <w:r>
        <w:rPr>
          <w:rFonts w:hint="eastAsia" w:hAnsi="宋体" w:eastAsia="宋体" w:cs="宋体"/>
          <w:b w:val="0"/>
          <w:bCs/>
          <w:sz w:val="21"/>
          <w:szCs w:val="21"/>
          <w:highlight w:val="none"/>
          <w:lang w:val="en-US" w:eastAsia="zh-CN"/>
        </w:rPr>
        <w:t>预算金额</w:t>
      </w:r>
      <w:r>
        <w:rPr>
          <w:rFonts w:hint="eastAsia" w:hAnsi="宋体" w:eastAsia="宋体" w:cs="宋体"/>
          <w:b w:val="0"/>
          <w:bCs/>
          <w:sz w:val="21"/>
          <w:szCs w:val="21"/>
          <w:highlight w:val="none"/>
        </w:rPr>
        <w:t>的；</w:t>
      </w:r>
    </w:p>
    <w:p w14:paraId="6742978A">
      <w:pPr>
        <w:pStyle w:val="13"/>
        <w:snapToGrid w:val="0"/>
        <w:spacing w:line="360" w:lineRule="auto"/>
        <w:ind w:firstLine="420" w:firstLineChars="200"/>
        <w:rPr>
          <w:rFonts w:hAnsi="宋体" w:eastAsia="宋体" w:cs="宋体"/>
          <w:b w:val="0"/>
          <w:bCs/>
          <w:sz w:val="21"/>
          <w:szCs w:val="21"/>
          <w:highlight w:val="none"/>
        </w:rPr>
      </w:pPr>
      <w:r>
        <w:rPr>
          <w:rFonts w:hint="eastAsia" w:hAnsi="宋体" w:eastAsia="宋体" w:cs="宋体"/>
          <w:b w:val="0"/>
          <w:bCs/>
          <w:sz w:val="21"/>
          <w:szCs w:val="21"/>
          <w:highlight w:val="none"/>
        </w:rPr>
        <w:t>3.2有选择或有条件的报价的；</w:t>
      </w:r>
    </w:p>
    <w:p w14:paraId="2558EECD">
      <w:pPr>
        <w:pStyle w:val="13"/>
        <w:snapToGrid w:val="0"/>
        <w:spacing w:line="360" w:lineRule="auto"/>
        <w:ind w:firstLine="420" w:firstLineChars="200"/>
        <w:rPr>
          <w:rFonts w:hAnsi="宋体" w:eastAsia="宋体" w:cs="宋体"/>
          <w:b w:val="0"/>
          <w:bCs/>
          <w:sz w:val="21"/>
          <w:szCs w:val="21"/>
          <w:highlight w:val="none"/>
        </w:rPr>
      </w:pPr>
      <w:r>
        <w:rPr>
          <w:rFonts w:hint="eastAsia" w:hAnsi="宋体" w:eastAsia="宋体" w:cs="宋体"/>
          <w:b w:val="0"/>
          <w:bCs/>
          <w:sz w:val="21"/>
          <w:szCs w:val="21"/>
          <w:highlight w:val="none"/>
        </w:rPr>
        <w:t>3.3 报价文件中缺失报价的。</w:t>
      </w:r>
    </w:p>
    <w:p w14:paraId="64E819CB">
      <w:pPr>
        <w:snapToGrid w:val="0"/>
        <w:spacing w:line="360" w:lineRule="auto"/>
        <w:ind w:firstLine="422" w:firstLineChars="200"/>
        <w:rPr>
          <w:rFonts w:ascii="宋体" w:hAnsi="宋体" w:cs="宋体"/>
          <w:b/>
          <w:color w:val="000000"/>
          <w:szCs w:val="21"/>
          <w:highlight w:val="none"/>
        </w:rPr>
      </w:pPr>
      <w:r>
        <w:rPr>
          <w:rFonts w:hint="eastAsia" w:ascii="宋体" w:hAnsi="宋体" w:cs="宋体"/>
          <w:b/>
          <w:color w:val="000000"/>
          <w:szCs w:val="21"/>
          <w:highlight w:val="none"/>
        </w:rPr>
        <w:t>（九）出现以下情形，导致电子交易平台无法正常运行，或者无法保证电子交易的公平、公正和安全时，中止电子交易活动：</w:t>
      </w:r>
    </w:p>
    <w:p w14:paraId="7FD2780A">
      <w:pPr>
        <w:snapToGrid w:val="0"/>
        <w:spacing w:line="360" w:lineRule="auto"/>
        <w:ind w:firstLine="420" w:firstLineChars="200"/>
        <w:rPr>
          <w:rFonts w:ascii="宋体" w:hAnsi="宋体" w:cs="宋体"/>
          <w:bCs/>
          <w:color w:val="000000"/>
          <w:szCs w:val="21"/>
          <w:highlight w:val="none"/>
        </w:rPr>
      </w:pPr>
      <w:r>
        <w:rPr>
          <w:rFonts w:hint="eastAsia" w:ascii="宋体" w:hAnsi="宋体" w:cs="宋体"/>
          <w:bCs/>
          <w:color w:val="000000"/>
          <w:szCs w:val="21"/>
          <w:highlight w:val="none"/>
        </w:rPr>
        <w:t>1、电子交易平台发生故障而无法登录访问的；</w:t>
      </w:r>
    </w:p>
    <w:p w14:paraId="0F85F47B">
      <w:pPr>
        <w:snapToGrid w:val="0"/>
        <w:spacing w:line="360" w:lineRule="auto"/>
        <w:ind w:firstLine="420" w:firstLineChars="200"/>
        <w:rPr>
          <w:rFonts w:ascii="宋体" w:hAnsi="宋体" w:cs="宋体"/>
          <w:bCs/>
          <w:color w:val="000000"/>
          <w:szCs w:val="21"/>
          <w:highlight w:val="none"/>
        </w:rPr>
      </w:pPr>
      <w:r>
        <w:rPr>
          <w:rFonts w:hint="eastAsia" w:ascii="宋体" w:hAnsi="宋体" w:cs="宋体"/>
          <w:bCs/>
          <w:color w:val="000000"/>
          <w:szCs w:val="21"/>
          <w:highlight w:val="none"/>
        </w:rPr>
        <w:t>2、电子交易平台应用或数据库出现错误，不能进行正常操作的；</w:t>
      </w:r>
    </w:p>
    <w:p w14:paraId="1F6F78AD">
      <w:pPr>
        <w:snapToGrid w:val="0"/>
        <w:spacing w:line="360" w:lineRule="auto"/>
        <w:ind w:firstLine="420" w:firstLineChars="200"/>
        <w:rPr>
          <w:rFonts w:ascii="宋体" w:hAnsi="宋体" w:cs="宋体"/>
          <w:bCs/>
          <w:color w:val="000000"/>
          <w:szCs w:val="21"/>
          <w:highlight w:val="none"/>
        </w:rPr>
      </w:pPr>
      <w:r>
        <w:rPr>
          <w:rFonts w:hint="eastAsia" w:ascii="宋体" w:hAnsi="宋体" w:cs="宋体"/>
          <w:bCs/>
          <w:color w:val="000000"/>
          <w:szCs w:val="21"/>
          <w:highlight w:val="none"/>
        </w:rPr>
        <w:t>3、电子交易平台发现严重安全漏洞，有潜在泄密危险的；</w:t>
      </w:r>
    </w:p>
    <w:p w14:paraId="2DDD6EA4">
      <w:pPr>
        <w:snapToGrid w:val="0"/>
        <w:spacing w:line="360" w:lineRule="auto"/>
        <w:ind w:firstLine="420" w:firstLineChars="200"/>
        <w:rPr>
          <w:rFonts w:ascii="宋体" w:hAnsi="宋体" w:cs="宋体"/>
          <w:bCs/>
          <w:color w:val="000000"/>
          <w:szCs w:val="21"/>
          <w:highlight w:val="none"/>
        </w:rPr>
      </w:pPr>
      <w:r>
        <w:rPr>
          <w:rFonts w:hint="eastAsia" w:ascii="宋体" w:hAnsi="宋体" w:cs="宋体"/>
          <w:bCs/>
          <w:color w:val="000000"/>
          <w:szCs w:val="21"/>
          <w:highlight w:val="none"/>
        </w:rPr>
        <w:t>4、病毒发作导致不能进行正常操作的；</w:t>
      </w:r>
    </w:p>
    <w:p w14:paraId="35973E10">
      <w:pPr>
        <w:snapToGrid w:val="0"/>
        <w:spacing w:line="360" w:lineRule="auto"/>
        <w:ind w:firstLine="420" w:firstLineChars="200"/>
        <w:rPr>
          <w:rFonts w:ascii="宋体" w:hAnsi="宋体" w:cs="宋体"/>
          <w:bCs/>
          <w:color w:val="000000"/>
          <w:szCs w:val="21"/>
          <w:highlight w:val="none"/>
        </w:rPr>
      </w:pPr>
      <w:r>
        <w:rPr>
          <w:rFonts w:hint="eastAsia" w:ascii="宋体" w:hAnsi="宋体" w:cs="宋体"/>
          <w:bCs/>
          <w:color w:val="000000"/>
          <w:szCs w:val="21"/>
          <w:highlight w:val="none"/>
        </w:rPr>
        <w:t>5、其他无法保证电子交易的公平、公正和安全的情况。</w:t>
      </w:r>
    </w:p>
    <w:p w14:paraId="41CA3171">
      <w:pPr>
        <w:snapToGrid w:val="0"/>
        <w:spacing w:line="360" w:lineRule="auto"/>
        <w:ind w:firstLine="420" w:firstLineChars="200"/>
        <w:rPr>
          <w:rFonts w:ascii="宋体" w:hAnsi="宋体" w:cs="宋体"/>
          <w:bCs/>
          <w:color w:val="00B050"/>
          <w:szCs w:val="21"/>
          <w:highlight w:val="none"/>
        </w:rPr>
      </w:pPr>
      <w:r>
        <w:rPr>
          <w:rFonts w:hint="eastAsia" w:ascii="宋体" w:hAnsi="宋体" w:cs="宋体"/>
          <w:bCs/>
          <w:color w:val="000000"/>
          <w:szCs w:val="21"/>
          <w:highlight w:val="none"/>
        </w:rPr>
        <w:t>出现前款规定情形，不影响采购公平、公正性的，招标代理机构可以待上述情形消除后继续组织电子交易活动，也可以决定某些环节以纸质形式进行；影响或可能影响采购公平、公正性的，重新采购。</w:t>
      </w:r>
    </w:p>
    <w:p w14:paraId="34C2C72D">
      <w:pPr>
        <w:snapToGrid w:val="0"/>
        <w:spacing w:line="360" w:lineRule="auto"/>
        <w:jc w:val="center"/>
        <w:rPr>
          <w:rFonts w:ascii="宋体" w:hAnsi="宋体" w:cs="宋体"/>
          <w:b/>
          <w:szCs w:val="21"/>
          <w:highlight w:val="none"/>
        </w:rPr>
      </w:pPr>
    </w:p>
    <w:p w14:paraId="1FDC4DE6">
      <w:pPr>
        <w:snapToGrid w:val="0"/>
        <w:spacing w:line="360" w:lineRule="auto"/>
        <w:jc w:val="center"/>
        <w:outlineLvl w:val="1"/>
        <w:rPr>
          <w:rFonts w:ascii="宋体" w:hAnsi="宋体" w:cs="宋体"/>
          <w:b/>
          <w:szCs w:val="21"/>
          <w:highlight w:val="none"/>
        </w:rPr>
      </w:pPr>
      <w:r>
        <w:rPr>
          <w:rFonts w:hint="eastAsia" w:ascii="宋体" w:hAnsi="宋体" w:cs="宋体"/>
          <w:b/>
          <w:szCs w:val="21"/>
          <w:highlight w:val="none"/>
        </w:rPr>
        <w:t>四、开标</w:t>
      </w:r>
    </w:p>
    <w:p w14:paraId="3971167C">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（一）开标准备</w:t>
      </w:r>
    </w:p>
    <w:p w14:paraId="3C203EB0">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招标代理机构将在规定的时间和地点进行开标。本项目不要求</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授权代表参加现场开标、开启</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活动。</w:t>
      </w:r>
    </w:p>
    <w:p w14:paraId="0CE997B6">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（二）开标程序</w:t>
      </w:r>
    </w:p>
    <w:p w14:paraId="7F2DA667">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1、开标会由招标代理机构相关工作人员主持，主持人宣布开标会议开始。</w:t>
      </w:r>
    </w:p>
    <w:p w14:paraId="60FBA964">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2、介绍参加开标会的人员名单。</w:t>
      </w:r>
    </w:p>
    <w:p w14:paraId="4D62D09B">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3、宣布开标纪律和有关事项，告知应当回避的情形，提请有关人员回避。</w:t>
      </w:r>
    </w:p>
    <w:p w14:paraId="394E6850">
      <w:pPr>
        <w:snapToGrid w:val="0"/>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4、电子招投标开标及评审程序</w:t>
      </w:r>
    </w:p>
    <w:p w14:paraId="3832E5B9">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4.1投标截止时间后，</w:t>
      </w:r>
      <w:r>
        <w:rPr>
          <w:rFonts w:hint="eastAsia" w:ascii="宋体" w:hAnsi="宋体" w:cs="宋体"/>
          <w:b/>
          <w:bCs/>
          <w:color w:val="000000"/>
          <w:szCs w:val="21"/>
          <w:highlight w:val="none"/>
          <w:lang w:eastAsia="zh-CN"/>
        </w:rPr>
        <w:t>响应人</w:t>
      </w:r>
      <w:r>
        <w:rPr>
          <w:rFonts w:hint="eastAsia" w:ascii="宋体" w:hAnsi="宋体" w:cs="宋体"/>
          <w:b/>
          <w:bCs/>
          <w:color w:val="000000"/>
          <w:szCs w:val="21"/>
          <w:highlight w:val="none"/>
        </w:rPr>
        <w:t>登录政采云平台，用“项目采购-开标评标”功能对电子</w:t>
      </w:r>
      <w:r>
        <w:rPr>
          <w:rFonts w:hint="eastAsia" w:ascii="宋体" w:hAnsi="宋体" w:cs="宋体"/>
          <w:b/>
          <w:bCs/>
          <w:color w:val="000000"/>
          <w:szCs w:val="21"/>
          <w:highlight w:val="none"/>
          <w:lang w:eastAsia="zh-CN"/>
        </w:rPr>
        <w:t>响应文件</w:t>
      </w:r>
      <w:r>
        <w:rPr>
          <w:rFonts w:hint="eastAsia" w:ascii="宋体" w:hAnsi="宋体" w:cs="宋体"/>
          <w:b/>
          <w:bCs/>
          <w:color w:val="000000"/>
          <w:szCs w:val="21"/>
          <w:highlight w:val="none"/>
        </w:rPr>
        <w:t>进行在线解密。</w:t>
      </w:r>
    </w:p>
    <w:p w14:paraId="7F7F23F2">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4.2磋商小组对资格进行评审；</w:t>
      </w:r>
    </w:p>
    <w:p w14:paraId="46625C32">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4.3公布资格评审结果；</w:t>
      </w:r>
    </w:p>
    <w:p w14:paraId="1AEC5043">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4.4磋商小组就价格、服务等认为需要磋商的内容分别与各</w:t>
      </w:r>
      <w:r>
        <w:rPr>
          <w:rFonts w:hint="eastAsia" w:ascii="宋体" w:hAnsi="宋体" w:cs="宋体"/>
          <w:b/>
          <w:bCs/>
          <w:color w:val="000000"/>
          <w:szCs w:val="21"/>
          <w:highlight w:val="none"/>
          <w:lang w:eastAsia="zh-CN"/>
        </w:rPr>
        <w:t>响应人</w:t>
      </w:r>
      <w:r>
        <w:rPr>
          <w:rFonts w:hint="eastAsia" w:ascii="宋体" w:hAnsi="宋体" w:cs="宋体"/>
          <w:b/>
          <w:bCs/>
          <w:color w:val="000000"/>
          <w:szCs w:val="21"/>
          <w:highlight w:val="none"/>
        </w:rPr>
        <w:t>进行磋商。</w:t>
      </w:r>
    </w:p>
    <w:p w14:paraId="5730EA23">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4.5磋商小组对商务技术</w:t>
      </w:r>
      <w:r>
        <w:rPr>
          <w:rFonts w:hint="eastAsia" w:ascii="宋体" w:hAnsi="宋体" w:cs="宋体"/>
          <w:b/>
          <w:bCs/>
          <w:color w:val="000000"/>
          <w:szCs w:val="21"/>
          <w:highlight w:val="none"/>
          <w:lang w:eastAsia="zh-CN"/>
        </w:rPr>
        <w:t>响应文件</w:t>
      </w:r>
      <w:r>
        <w:rPr>
          <w:rFonts w:hint="eastAsia" w:ascii="宋体" w:hAnsi="宋体" w:cs="宋体"/>
          <w:b/>
          <w:bCs/>
          <w:color w:val="000000"/>
          <w:szCs w:val="21"/>
          <w:highlight w:val="none"/>
        </w:rPr>
        <w:t>进行评审；</w:t>
      </w:r>
    </w:p>
    <w:p w14:paraId="7007D0AD">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4.6各</w:t>
      </w:r>
      <w:r>
        <w:rPr>
          <w:rFonts w:hint="eastAsia" w:ascii="宋体" w:hAnsi="宋体" w:cs="宋体"/>
          <w:b/>
          <w:bCs/>
          <w:color w:val="000000"/>
          <w:szCs w:val="21"/>
          <w:highlight w:val="none"/>
          <w:lang w:eastAsia="zh-CN"/>
        </w:rPr>
        <w:t>响应人</w:t>
      </w:r>
      <w:r>
        <w:rPr>
          <w:rFonts w:hint="eastAsia" w:ascii="宋体" w:hAnsi="宋体" w:cs="宋体"/>
          <w:b/>
          <w:bCs/>
          <w:color w:val="000000"/>
          <w:szCs w:val="21"/>
          <w:highlight w:val="none"/>
        </w:rPr>
        <w:t>在规定时间内于系统上提交最终报价，最终报价不得超过自身的初次报价。</w:t>
      </w:r>
    </w:p>
    <w:p w14:paraId="6362A236">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4.7公布商务技术评审结果；</w:t>
      </w:r>
    </w:p>
    <w:p w14:paraId="0B8D5FFE">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4.8公布报价开标情况；</w:t>
      </w:r>
    </w:p>
    <w:p w14:paraId="2198E562">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4.9磋商小组对报价情况进行评审；</w:t>
      </w:r>
    </w:p>
    <w:p w14:paraId="591BFDC6">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4.10公布评审结果。</w:t>
      </w:r>
    </w:p>
    <w:p w14:paraId="16093ED1">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特别说明：政采云公司如对电子化开标及评审程序有调整的，按调整后的程序操作。</w:t>
      </w:r>
    </w:p>
    <w:p w14:paraId="43C43DBB">
      <w:pPr>
        <w:spacing w:line="360" w:lineRule="auto"/>
        <w:ind w:firstLine="422" w:firstLineChars="200"/>
        <w:rPr>
          <w:rFonts w:hint="eastAsia" w:ascii="宋体" w:hAnsi="宋体" w:eastAsia="宋体" w:cs="宋体"/>
          <w:b/>
          <w:bCs/>
          <w:color w:val="000000"/>
          <w:szCs w:val="21"/>
          <w:highlight w:val="none"/>
          <w:lang w:eastAsia="zh-CN"/>
        </w:rPr>
      </w:pPr>
      <w:r>
        <w:rPr>
          <w:rFonts w:hint="eastAsia" w:ascii="宋体" w:hAnsi="宋体" w:cs="宋体"/>
          <w:b/>
          <w:bCs/>
          <w:color w:val="000000"/>
          <w:szCs w:val="21"/>
          <w:highlight w:val="none"/>
        </w:rPr>
        <w:t>5、如遇电子招投标系统故障的，启用备份</w:t>
      </w:r>
      <w:r>
        <w:rPr>
          <w:rFonts w:hint="eastAsia" w:ascii="宋体" w:hAnsi="宋体" w:cs="宋体"/>
          <w:b/>
          <w:bCs/>
          <w:color w:val="000000"/>
          <w:szCs w:val="21"/>
          <w:highlight w:val="none"/>
          <w:lang w:eastAsia="zh-CN"/>
        </w:rPr>
        <w:t>响应文件</w:t>
      </w:r>
    </w:p>
    <w:p w14:paraId="2FCFF5C0">
      <w:pPr>
        <w:snapToGrid w:val="0"/>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6、本项目原则上采用政采云电子招投标开标及评审程序，但若</w:t>
      </w:r>
      <w:r>
        <w:rPr>
          <w:rFonts w:hint="eastAsia" w:ascii="宋体" w:hAnsi="宋体" w:cs="宋体"/>
          <w:b/>
          <w:bCs/>
          <w:color w:val="000000"/>
          <w:szCs w:val="21"/>
          <w:highlight w:val="none"/>
          <w:lang w:eastAsia="zh-CN"/>
        </w:rPr>
        <w:t>响应人</w:t>
      </w:r>
      <w:r>
        <w:rPr>
          <w:rFonts w:hint="eastAsia" w:ascii="宋体" w:hAnsi="宋体" w:cs="宋体"/>
          <w:b/>
          <w:bCs/>
          <w:color w:val="000000"/>
          <w:szCs w:val="21"/>
          <w:highlight w:val="none"/>
        </w:rPr>
        <w:t>在规定时间内无法解密或解密失败，招标代理机构将开启未能在规定时间内解密的</w:t>
      </w:r>
      <w:r>
        <w:rPr>
          <w:rFonts w:hint="eastAsia" w:ascii="宋体" w:hAnsi="宋体" w:cs="宋体"/>
          <w:b/>
          <w:bCs/>
          <w:color w:val="000000"/>
          <w:szCs w:val="21"/>
          <w:highlight w:val="none"/>
          <w:lang w:eastAsia="zh-CN"/>
        </w:rPr>
        <w:t>响应人</w:t>
      </w:r>
      <w:r>
        <w:rPr>
          <w:rFonts w:hint="eastAsia" w:ascii="宋体" w:hAnsi="宋体" w:cs="宋体"/>
          <w:b/>
          <w:bCs/>
          <w:color w:val="000000"/>
          <w:szCs w:val="21"/>
          <w:highlight w:val="none"/>
        </w:rPr>
        <w:t>递交的备份</w:t>
      </w:r>
      <w:r>
        <w:rPr>
          <w:rFonts w:hint="eastAsia" w:ascii="宋体" w:hAnsi="宋体" w:cs="宋体"/>
          <w:b/>
          <w:bCs/>
          <w:color w:val="000000"/>
          <w:szCs w:val="21"/>
          <w:highlight w:val="none"/>
          <w:lang w:eastAsia="zh-CN"/>
        </w:rPr>
        <w:t>响应文件</w:t>
      </w:r>
      <w:r>
        <w:rPr>
          <w:rFonts w:hint="eastAsia" w:ascii="宋体" w:hAnsi="宋体" w:cs="宋体"/>
          <w:b/>
          <w:bCs/>
          <w:color w:val="000000"/>
          <w:szCs w:val="21"/>
          <w:highlight w:val="none"/>
        </w:rPr>
        <w:t>。</w:t>
      </w:r>
    </w:p>
    <w:p w14:paraId="33798A52">
      <w:pPr>
        <w:snapToGrid w:val="0"/>
        <w:spacing w:line="360" w:lineRule="auto"/>
        <w:ind w:firstLine="422" w:firstLineChars="200"/>
        <w:jc w:val="center"/>
        <w:rPr>
          <w:rFonts w:ascii="宋体" w:hAnsi="宋体" w:cs="宋体"/>
          <w:b/>
          <w:szCs w:val="21"/>
          <w:highlight w:val="none"/>
        </w:rPr>
      </w:pPr>
    </w:p>
    <w:p w14:paraId="0AB1F4B9">
      <w:pPr>
        <w:snapToGrid w:val="0"/>
        <w:spacing w:line="360" w:lineRule="auto"/>
        <w:jc w:val="center"/>
        <w:outlineLvl w:val="1"/>
        <w:rPr>
          <w:rFonts w:ascii="宋体" w:hAnsi="宋体" w:cs="宋体"/>
          <w:b/>
          <w:szCs w:val="21"/>
          <w:highlight w:val="none"/>
        </w:rPr>
      </w:pPr>
      <w:r>
        <w:rPr>
          <w:rFonts w:hint="eastAsia" w:ascii="宋体" w:hAnsi="宋体" w:cs="宋体"/>
          <w:b/>
          <w:szCs w:val="21"/>
          <w:highlight w:val="none"/>
        </w:rPr>
        <w:t>五、评标</w:t>
      </w:r>
    </w:p>
    <w:p w14:paraId="55B63F0D">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（一）组建磋商小组</w:t>
      </w:r>
    </w:p>
    <w:p w14:paraId="562CC37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 xml:space="preserve">磋商小组由采购人代表和评审专家共 </w:t>
      </w:r>
      <w:r>
        <w:rPr>
          <w:rFonts w:hint="eastAsia" w:hAnsi="宋体" w:eastAsia="宋体" w:cs="宋体"/>
          <w:sz w:val="21"/>
          <w:szCs w:val="21"/>
          <w:highlight w:val="none"/>
          <w:lang w:val="en-US" w:eastAsia="zh-CN"/>
        </w:rPr>
        <w:t>5</w:t>
      </w:r>
      <w:r>
        <w:rPr>
          <w:rFonts w:hint="eastAsia" w:hAnsi="宋体" w:eastAsia="宋体" w:cs="宋体"/>
          <w:sz w:val="21"/>
          <w:szCs w:val="21"/>
          <w:highlight w:val="none"/>
        </w:rPr>
        <w:t xml:space="preserve"> 人以上单数组成，其中评审专家人数不得少于磋商小组成员总数的 2/3。</w:t>
      </w:r>
    </w:p>
    <w:p w14:paraId="1AF05299">
      <w:pPr>
        <w:pStyle w:val="13"/>
        <w:snapToGrid w:val="0"/>
        <w:spacing w:line="360" w:lineRule="auto"/>
        <w:ind w:firstLine="422" w:firstLineChars="200"/>
        <w:rPr>
          <w:rFonts w:hAnsi="宋体" w:eastAsia="宋体" w:cs="宋体"/>
          <w:sz w:val="21"/>
          <w:szCs w:val="21"/>
          <w:highlight w:val="none"/>
        </w:rPr>
      </w:pPr>
      <w:r>
        <w:rPr>
          <w:rFonts w:hint="eastAsia" w:hAnsi="宋体" w:eastAsia="宋体" w:cs="宋体"/>
          <w:b/>
          <w:sz w:val="21"/>
          <w:szCs w:val="21"/>
          <w:highlight w:val="none"/>
        </w:rPr>
        <w:t>（二）评标程序</w:t>
      </w:r>
    </w:p>
    <w:p w14:paraId="62ABCD5C">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1、资格审查</w:t>
      </w:r>
    </w:p>
    <w:p w14:paraId="5FA2DCCC">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磋商小组对</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的资格进行审查。</w:t>
      </w:r>
    </w:p>
    <w:p w14:paraId="45B6CC74">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2、实质审查与比较</w:t>
      </w:r>
    </w:p>
    <w:p w14:paraId="6D62E236">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2.1磋商小组审查</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的实质性内容是否符合磋商文件的实质性要求。</w:t>
      </w:r>
    </w:p>
    <w:p w14:paraId="60895DA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2.2磋商小组将根据</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的</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进行审查、核对，如有疑问，将对</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进行询标，</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要向磋商小组澄清有关问题，并最终以书面形式进行答复。</w:t>
      </w:r>
    </w:p>
    <w:p w14:paraId="4F816D9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2.3</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代表未到场或者拒绝澄清或者澄清的内容改变了</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的实质性内容的，磋商小组有权对该</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作出不利于</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的评判。</w:t>
      </w:r>
    </w:p>
    <w:p w14:paraId="72FFE804">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2.4各</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的商务技术得分由指定专人进行计算复核。</w:t>
      </w:r>
    </w:p>
    <w:p w14:paraId="7CBB83F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2.5各</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报价得分根据评分标准计算。</w:t>
      </w:r>
    </w:p>
    <w:p w14:paraId="139790AB">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2.6磋商小组完成评标后，对各部分得分汇总，得出本项目最终得分，磋商小组按评标原则推荐成交候选人同时起草评审报告。</w:t>
      </w:r>
    </w:p>
    <w:p w14:paraId="44EFE0FB">
      <w:pP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rPr>
        <w:t>（三）澄清问题的形式</w:t>
      </w:r>
    </w:p>
    <w:p w14:paraId="11C7C18C">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对</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中含义不明确、同类问题表述不一致或者有明显文字和计算错误的内容，磋商小组可要求</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作出必要的澄清、说明或者纠正。</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的澄清、说明或者补正应当采用书面形式，由其全权代表签字或盖章确认，并不得超出</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的范围或者改变</w:t>
      </w:r>
      <w:r>
        <w:rPr>
          <w:rFonts w:hint="eastAsia" w:hAnsi="宋体" w:eastAsia="宋体" w:cs="宋体"/>
          <w:sz w:val="21"/>
          <w:szCs w:val="21"/>
          <w:highlight w:val="none"/>
          <w:lang w:eastAsia="zh-CN"/>
        </w:rPr>
        <w:t>响应文件</w:t>
      </w:r>
      <w:r>
        <w:rPr>
          <w:rFonts w:hint="eastAsia" w:hAnsi="宋体" w:eastAsia="宋体" w:cs="宋体"/>
          <w:sz w:val="21"/>
          <w:szCs w:val="21"/>
          <w:highlight w:val="none"/>
        </w:rPr>
        <w:t>的实质性内容。</w:t>
      </w:r>
    </w:p>
    <w:p w14:paraId="6403FCEF">
      <w:pPr>
        <w:spacing w:line="360" w:lineRule="auto"/>
        <w:ind w:firstLine="422" w:firstLineChars="200"/>
        <w:rPr>
          <w:rFonts w:ascii="宋体" w:hAnsi="宋体" w:cs="宋体"/>
          <w:b/>
          <w:bCs/>
          <w:color w:val="000000"/>
          <w:szCs w:val="21"/>
          <w:highlight w:val="none"/>
        </w:rPr>
      </w:pPr>
      <w:r>
        <w:rPr>
          <w:rFonts w:hint="eastAsia" w:ascii="宋体" w:hAnsi="宋体" w:cs="宋体"/>
          <w:b/>
          <w:bCs/>
          <w:color w:val="000000"/>
          <w:szCs w:val="21"/>
          <w:highlight w:val="none"/>
        </w:rPr>
        <w:t>（四）报价错误修正</w:t>
      </w:r>
    </w:p>
    <w:p w14:paraId="52D67368">
      <w:pPr>
        <w:spacing w:line="360" w:lineRule="auto"/>
        <w:ind w:firstLine="420" w:firstLineChars="200"/>
        <w:rPr>
          <w:rFonts w:ascii="宋体" w:hAnsi="宋体" w:cs="宋体"/>
          <w:szCs w:val="21"/>
          <w:highlight w:val="none"/>
        </w:rPr>
      </w:pPr>
      <w:r>
        <w:rPr>
          <w:rFonts w:hint="eastAsia" w:ascii="宋体" w:hAnsi="宋体" w:cs="宋体"/>
          <w:color w:val="000000"/>
          <w:szCs w:val="21"/>
          <w:highlight w:val="none"/>
        </w:rPr>
        <w:t>评标委员会对确定</w:t>
      </w:r>
      <w:r>
        <w:rPr>
          <w:rFonts w:hint="eastAsia" w:ascii="宋体" w:hAnsi="宋体" w:cs="宋体"/>
          <w:color w:val="000000"/>
          <w:szCs w:val="21"/>
          <w:highlight w:val="none"/>
          <w:lang w:eastAsia="zh-CN"/>
        </w:rPr>
        <w:t>响应文件</w:t>
      </w:r>
      <w:r>
        <w:rPr>
          <w:rFonts w:hint="eastAsia" w:ascii="宋体" w:hAnsi="宋体" w:cs="宋体"/>
          <w:color w:val="000000"/>
          <w:szCs w:val="21"/>
          <w:highlight w:val="none"/>
        </w:rPr>
        <w:t>为实质上响应磋商文件要求的，磋商文件报价出现前后不一致的，按照下列规定修正：</w:t>
      </w:r>
    </w:p>
    <w:p w14:paraId="07D45BF6">
      <w:pPr>
        <w:spacing w:line="360" w:lineRule="auto"/>
        <w:ind w:firstLine="420" w:firstLineChars="200"/>
        <w:rPr>
          <w:rFonts w:ascii="宋体" w:hAnsi="宋体" w:cs="宋体"/>
          <w:szCs w:val="21"/>
          <w:highlight w:val="none"/>
        </w:rPr>
      </w:pPr>
      <w:r>
        <w:rPr>
          <w:rFonts w:hint="eastAsia" w:ascii="宋体" w:hAnsi="宋体" w:cs="宋体"/>
          <w:szCs w:val="21"/>
          <w:highlight w:val="none"/>
        </w:rPr>
        <w:t>1、</w:t>
      </w:r>
      <w:r>
        <w:rPr>
          <w:rFonts w:hint="eastAsia" w:ascii="宋体" w:hAnsi="宋体" w:cs="宋体"/>
          <w:color w:val="000000"/>
          <w:szCs w:val="21"/>
          <w:highlight w:val="none"/>
          <w:shd w:val="clear" w:color="auto" w:fill="FFFFFF"/>
          <w:lang w:eastAsia="zh-CN"/>
        </w:rPr>
        <w:t>响应文件</w:t>
      </w:r>
      <w:r>
        <w:rPr>
          <w:rFonts w:hint="eastAsia" w:ascii="宋体" w:hAnsi="宋体" w:cs="宋体"/>
          <w:color w:val="000000"/>
          <w:szCs w:val="21"/>
          <w:highlight w:val="none"/>
          <w:shd w:val="clear" w:color="auto" w:fill="FFFFFF"/>
        </w:rPr>
        <w:t>开标一览表（报价表）内容与</w:t>
      </w:r>
      <w:r>
        <w:rPr>
          <w:rFonts w:hint="eastAsia" w:ascii="宋体" w:hAnsi="宋体" w:cs="宋体"/>
          <w:color w:val="000000"/>
          <w:szCs w:val="21"/>
          <w:highlight w:val="none"/>
          <w:shd w:val="clear" w:color="auto" w:fill="FFFFFF"/>
          <w:lang w:eastAsia="zh-CN"/>
        </w:rPr>
        <w:t>响应文件</w:t>
      </w:r>
      <w:r>
        <w:rPr>
          <w:rFonts w:hint="eastAsia" w:ascii="宋体" w:hAnsi="宋体" w:cs="宋体"/>
          <w:color w:val="000000"/>
          <w:szCs w:val="21"/>
          <w:highlight w:val="none"/>
          <w:shd w:val="clear" w:color="auto" w:fill="FFFFFF"/>
        </w:rPr>
        <w:t>中相应内容不一致的，以开标一览表（报价表）为准；</w:t>
      </w:r>
    </w:p>
    <w:p w14:paraId="25CB7C58">
      <w:pPr>
        <w:spacing w:line="360" w:lineRule="auto"/>
        <w:ind w:firstLine="420" w:firstLineChars="200"/>
        <w:rPr>
          <w:rFonts w:ascii="宋体" w:hAnsi="宋体" w:cs="宋体"/>
          <w:szCs w:val="21"/>
          <w:highlight w:val="none"/>
        </w:rPr>
      </w:pPr>
      <w:r>
        <w:rPr>
          <w:rFonts w:hint="eastAsia" w:ascii="宋体" w:hAnsi="宋体" w:cs="宋体"/>
          <w:color w:val="000000"/>
          <w:szCs w:val="21"/>
          <w:highlight w:val="none"/>
          <w:shd w:val="clear" w:color="auto" w:fill="FFFFFF"/>
        </w:rPr>
        <w:t>2、大写金额和小写金额不一致的，以大写金额为准；</w:t>
      </w:r>
    </w:p>
    <w:p w14:paraId="736654A6">
      <w:pPr>
        <w:spacing w:line="360" w:lineRule="auto"/>
        <w:ind w:firstLine="420" w:firstLineChars="200"/>
        <w:rPr>
          <w:rFonts w:ascii="宋体" w:hAnsi="宋体" w:cs="宋体"/>
          <w:szCs w:val="21"/>
          <w:highlight w:val="none"/>
        </w:rPr>
      </w:pPr>
      <w:r>
        <w:rPr>
          <w:rFonts w:hint="eastAsia" w:ascii="宋体" w:hAnsi="宋体" w:cs="宋体"/>
          <w:color w:val="000000"/>
          <w:szCs w:val="21"/>
          <w:highlight w:val="none"/>
          <w:shd w:val="clear" w:color="auto" w:fill="FFFFFF"/>
        </w:rPr>
        <w:t>3、单价金额小数点或者百分比有明显错位的，以开标一览表的总价为准，并修改单价；</w:t>
      </w:r>
    </w:p>
    <w:p w14:paraId="192969B0">
      <w:pPr>
        <w:spacing w:line="360" w:lineRule="auto"/>
        <w:ind w:firstLine="420" w:firstLineChars="200"/>
        <w:rPr>
          <w:rFonts w:ascii="宋体" w:hAnsi="宋体" w:cs="宋体"/>
          <w:color w:val="000000"/>
          <w:szCs w:val="21"/>
          <w:highlight w:val="none"/>
          <w:shd w:val="clear" w:color="auto" w:fill="FFFFFF"/>
        </w:rPr>
      </w:pPr>
      <w:r>
        <w:rPr>
          <w:rFonts w:hint="eastAsia" w:ascii="宋体" w:hAnsi="宋体" w:cs="宋体"/>
          <w:color w:val="000000"/>
          <w:szCs w:val="21"/>
          <w:highlight w:val="none"/>
          <w:shd w:val="clear" w:color="auto" w:fill="FFFFFF"/>
        </w:rPr>
        <w:t>4、总价金额与按单价汇总金额不一致的，以单价金额计算结果为准。</w:t>
      </w:r>
    </w:p>
    <w:p w14:paraId="62CEC260">
      <w:pPr>
        <w:spacing w:line="360" w:lineRule="auto"/>
        <w:ind w:firstLine="420" w:firstLineChars="200"/>
        <w:rPr>
          <w:rFonts w:ascii="宋体" w:hAnsi="宋体" w:cs="宋体"/>
          <w:szCs w:val="21"/>
          <w:highlight w:val="none"/>
        </w:rPr>
      </w:pPr>
      <w:r>
        <w:rPr>
          <w:rFonts w:hint="eastAsia" w:ascii="宋体" w:hAnsi="宋体" w:cs="宋体"/>
          <w:color w:val="000000"/>
          <w:szCs w:val="21"/>
          <w:highlight w:val="none"/>
          <w:shd w:val="clear" w:color="auto" w:fill="FFFFFF"/>
        </w:rPr>
        <w:t>5、</w:t>
      </w:r>
      <w:r>
        <w:rPr>
          <w:rFonts w:hint="eastAsia" w:ascii="宋体" w:hAnsi="宋体" w:cs="宋体"/>
          <w:szCs w:val="21"/>
          <w:highlight w:val="none"/>
        </w:rPr>
        <w:t>电子交易平台客户端里开标一览表录入的信息与</w:t>
      </w:r>
      <w:r>
        <w:rPr>
          <w:rFonts w:hint="eastAsia" w:ascii="宋体" w:hAnsi="宋体" w:cs="宋体"/>
          <w:szCs w:val="21"/>
          <w:highlight w:val="none"/>
          <w:lang w:eastAsia="zh-CN"/>
        </w:rPr>
        <w:t>响应文件</w:t>
      </w:r>
      <w:r>
        <w:rPr>
          <w:rFonts w:hint="eastAsia" w:ascii="宋体" w:hAnsi="宋体" w:cs="宋体"/>
          <w:szCs w:val="21"/>
          <w:highlight w:val="none"/>
        </w:rPr>
        <w:t>不一致的，以</w:t>
      </w:r>
      <w:r>
        <w:rPr>
          <w:rFonts w:hint="eastAsia" w:ascii="宋体" w:hAnsi="宋体" w:cs="宋体"/>
          <w:szCs w:val="21"/>
          <w:highlight w:val="none"/>
          <w:lang w:eastAsia="zh-CN"/>
        </w:rPr>
        <w:t>响应文件</w:t>
      </w:r>
      <w:r>
        <w:rPr>
          <w:rFonts w:hint="eastAsia" w:ascii="宋体" w:hAnsi="宋体" w:cs="宋体"/>
          <w:szCs w:val="21"/>
          <w:highlight w:val="none"/>
        </w:rPr>
        <w:t>为准；</w:t>
      </w:r>
    </w:p>
    <w:p w14:paraId="0764319A">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同时出现两种以上不一致的，按上述顺序修正；按上述修正错误的原则及方法调整或修正</w:t>
      </w:r>
      <w:r>
        <w:rPr>
          <w:rFonts w:hint="eastAsia" w:hAnsi="宋体" w:eastAsia="宋体" w:cs="宋体"/>
          <w:b/>
          <w:sz w:val="21"/>
          <w:szCs w:val="21"/>
          <w:highlight w:val="none"/>
          <w:lang w:eastAsia="zh-CN"/>
        </w:rPr>
        <w:t>响应文件</w:t>
      </w:r>
      <w:r>
        <w:rPr>
          <w:rFonts w:hint="eastAsia" w:hAnsi="宋体" w:eastAsia="宋体" w:cs="宋体"/>
          <w:b/>
          <w:sz w:val="21"/>
          <w:szCs w:val="21"/>
          <w:highlight w:val="none"/>
        </w:rPr>
        <w:t>的投磋商报价，</w:t>
      </w:r>
      <w:r>
        <w:rPr>
          <w:rFonts w:hint="eastAsia" w:hAnsi="宋体" w:eastAsia="宋体" w:cs="宋体"/>
          <w:b/>
          <w:sz w:val="21"/>
          <w:szCs w:val="21"/>
          <w:highlight w:val="none"/>
          <w:lang w:eastAsia="zh-CN"/>
        </w:rPr>
        <w:t>响应人</w:t>
      </w:r>
      <w:r>
        <w:rPr>
          <w:rFonts w:hint="eastAsia" w:hAnsi="宋体" w:eastAsia="宋体" w:cs="宋体"/>
          <w:b/>
          <w:sz w:val="21"/>
          <w:szCs w:val="21"/>
          <w:highlight w:val="none"/>
        </w:rPr>
        <w:t>同意并签字确认后，调整后的磋商报价对</w:t>
      </w:r>
      <w:r>
        <w:rPr>
          <w:rFonts w:hint="eastAsia" w:hAnsi="宋体" w:eastAsia="宋体" w:cs="宋体"/>
          <w:b/>
          <w:sz w:val="21"/>
          <w:szCs w:val="21"/>
          <w:highlight w:val="none"/>
          <w:lang w:eastAsia="zh-CN"/>
        </w:rPr>
        <w:t>响应人</w:t>
      </w:r>
      <w:r>
        <w:rPr>
          <w:rFonts w:hint="eastAsia" w:hAnsi="宋体" w:eastAsia="宋体" w:cs="宋体"/>
          <w:b/>
          <w:sz w:val="21"/>
          <w:szCs w:val="21"/>
          <w:highlight w:val="none"/>
        </w:rPr>
        <w:t>具有约束作用。如果</w:t>
      </w:r>
      <w:r>
        <w:rPr>
          <w:rFonts w:hint="eastAsia" w:hAnsi="宋体" w:eastAsia="宋体" w:cs="宋体"/>
          <w:b/>
          <w:sz w:val="21"/>
          <w:szCs w:val="21"/>
          <w:highlight w:val="none"/>
          <w:lang w:eastAsia="zh-CN"/>
        </w:rPr>
        <w:t>响应人</w:t>
      </w:r>
      <w:r>
        <w:rPr>
          <w:rFonts w:hint="eastAsia" w:hAnsi="宋体" w:eastAsia="宋体" w:cs="宋体"/>
          <w:b/>
          <w:sz w:val="21"/>
          <w:szCs w:val="21"/>
          <w:highlight w:val="none"/>
        </w:rPr>
        <w:t>不接受修正后的报价，则其投标将作为无效投标处理。</w:t>
      </w:r>
    </w:p>
    <w:p w14:paraId="7F34D016">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（五）评标原则和评标办法</w:t>
      </w:r>
    </w:p>
    <w:p w14:paraId="2EE89D8E">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1、磋商小组必须公平、公正、客观，不带任何倾向性和启发性；不得向外界透露任何与评标有关的内容；任何单位和个人不得干扰、影响评标的正常进行；磋商小组及有关工作人员不得私下与</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接触。</w:t>
      </w:r>
    </w:p>
    <w:p w14:paraId="66E18F2F">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2、评标办法。本项目评标办法是</w:t>
      </w:r>
      <w:r>
        <w:rPr>
          <w:rFonts w:hint="eastAsia" w:hAnsi="宋体" w:eastAsia="宋体" w:cs="宋体"/>
          <w:sz w:val="21"/>
          <w:szCs w:val="21"/>
          <w:highlight w:val="none"/>
          <w:u w:val="single"/>
        </w:rPr>
        <w:t>综合评分法</w:t>
      </w:r>
      <w:r>
        <w:rPr>
          <w:rFonts w:hint="eastAsia" w:hAnsi="宋体" w:eastAsia="宋体" w:cs="宋体"/>
          <w:sz w:val="21"/>
          <w:szCs w:val="21"/>
          <w:highlight w:val="none"/>
        </w:rPr>
        <w:t>，具体评标内容及评分标准等详见《第四章：评标办法及评分标准》。</w:t>
      </w:r>
    </w:p>
    <w:p w14:paraId="035F70F8">
      <w:pPr>
        <w:pStyle w:val="13"/>
        <w:snapToGrid w:val="0"/>
        <w:spacing w:line="360" w:lineRule="auto"/>
        <w:ind w:firstLine="422" w:firstLineChars="200"/>
        <w:rPr>
          <w:rFonts w:hAnsi="宋体" w:eastAsia="宋体" w:cs="宋体"/>
          <w:b/>
          <w:sz w:val="21"/>
          <w:szCs w:val="21"/>
          <w:highlight w:val="none"/>
        </w:rPr>
      </w:pPr>
      <w:r>
        <w:rPr>
          <w:rFonts w:hint="eastAsia" w:hAnsi="宋体" w:eastAsia="宋体" w:cs="宋体"/>
          <w:b/>
          <w:sz w:val="21"/>
          <w:szCs w:val="21"/>
          <w:highlight w:val="none"/>
        </w:rPr>
        <w:t>（六）磋商过程的监控</w:t>
      </w:r>
    </w:p>
    <w:p w14:paraId="325F253A">
      <w:pPr>
        <w:pStyle w:val="13"/>
        <w:snapToGrid w:val="0"/>
        <w:spacing w:line="360" w:lineRule="auto"/>
        <w:ind w:firstLine="420" w:firstLineChars="200"/>
        <w:rPr>
          <w:rFonts w:hAnsi="宋体" w:eastAsia="宋体" w:cs="宋体"/>
          <w:b/>
          <w:sz w:val="21"/>
          <w:szCs w:val="21"/>
          <w:highlight w:val="none"/>
        </w:rPr>
      </w:pPr>
      <w:r>
        <w:rPr>
          <w:rFonts w:hint="eastAsia" w:hAnsi="宋体" w:eastAsia="宋体" w:cs="宋体"/>
          <w:sz w:val="21"/>
          <w:szCs w:val="21"/>
          <w:highlight w:val="none"/>
        </w:rPr>
        <w:t>本项目磋商过程实行全程录音、录像监控，</w:t>
      </w:r>
      <w:r>
        <w:rPr>
          <w:rFonts w:hint="eastAsia" w:hAnsi="宋体" w:eastAsia="宋体" w:cs="宋体"/>
          <w:sz w:val="21"/>
          <w:szCs w:val="21"/>
          <w:highlight w:val="none"/>
          <w:lang w:eastAsia="zh-CN"/>
        </w:rPr>
        <w:t>响应人</w:t>
      </w:r>
      <w:r>
        <w:rPr>
          <w:rFonts w:hint="eastAsia" w:hAnsi="宋体" w:eastAsia="宋体" w:cs="宋体"/>
          <w:sz w:val="21"/>
          <w:szCs w:val="21"/>
          <w:highlight w:val="none"/>
        </w:rPr>
        <w:t>在磋商过程中所进行的试图影响评标结果的不公正活动，可能导致其响应被拒绝。</w:t>
      </w:r>
    </w:p>
    <w:p w14:paraId="55DACD81">
      <w:pPr>
        <w:snapToGrid w:val="0"/>
        <w:spacing w:line="360" w:lineRule="auto"/>
        <w:jc w:val="center"/>
        <w:rPr>
          <w:rFonts w:ascii="宋体" w:hAnsi="宋体" w:cs="宋体"/>
          <w:b/>
          <w:szCs w:val="21"/>
          <w:highlight w:val="none"/>
        </w:rPr>
      </w:pPr>
    </w:p>
    <w:p w14:paraId="0CC4A083">
      <w:pPr>
        <w:snapToGrid w:val="0"/>
        <w:spacing w:line="360" w:lineRule="auto"/>
        <w:jc w:val="center"/>
        <w:outlineLvl w:val="1"/>
        <w:rPr>
          <w:rFonts w:ascii="宋体" w:hAnsi="宋体" w:cs="宋体"/>
          <w:b/>
          <w:szCs w:val="21"/>
          <w:highlight w:val="none"/>
        </w:rPr>
      </w:pPr>
      <w:r>
        <w:rPr>
          <w:rFonts w:hint="eastAsia" w:ascii="宋体" w:hAnsi="宋体" w:cs="宋体"/>
          <w:b/>
          <w:szCs w:val="21"/>
          <w:highlight w:val="none"/>
        </w:rPr>
        <w:t>六、废标</w:t>
      </w:r>
    </w:p>
    <w:p w14:paraId="79E75E72">
      <w:pPr>
        <w:snapToGrid w:val="0"/>
        <w:spacing w:line="360" w:lineRule="auto"/>
        <w:ind w:firstLine="420" w:firstLineChars="200"/>
        <w:rPr>
          <w:rFonts w:ascii="宋体" w:hAnsi="宋体" w:cs="宋体"/>
          <w:szCs w:val="21"/>
          <w:highlight w:val="none"/>
        </w:rPr>
      </w:pPr>
      <w:r>
        <w:rPr>
          <w:rFonts w:hint="eastAsia" w:ascii="宋体" w:hAnsi="宋体" w:cs="宋体"/>
          <w:szCs w:val="21"/>
          <w:highlight w:val="none"/>
        </w:rPr>
        <w:t>根据《财政部关于政府采购竞争性磋商采购人式管理暂行办法有关问题的补充通知》：</w:t>
      </w:r>
    </w:p>
    <w:p w14:paraId="5F543F34">
      <w:pPr>
        <w:snapToGrid w:val="0"/>
        <w:spacing w:line="360" w:lineRule="auto"/>
        <w:ind w:firstLine="420" w:firstLineChars="200"/>
        <w:rPr>
          <w:rFonts w:ascii="宋体" w:hAnsi="宋体" w:cs="宋体"/>
          <w:szCs w:val="21"/>
          <w:highlight w:val="none"/>
        </w:rPr>
      </w:pPr>
      <w:r>
        <w:rPr>
          <w:rFonts w:hint="eastAsia" w:ascii="宋体" w:hAnsi="宋体" w:cs="宋体"/>
          <w:szCs w:val="21"/>
          <w:highlight w:val="none"/>
        </w:rPr>
        <w:t>采用竞争性磋商采购人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招标代理机构应当终止竞争性磋商采购活动，发布项目终止公告并说明原因，重新开展采购活动。</w:t>
      </w:r>
    </w:p>
    <w:p w14:paraId="0ED29F94">
      <w:pPr>
        <w:snapToGrid w:val="0"/>
        <w:spacing w:line="360" w:lineRule="auto"/>
        <w:rPr>
          <w:rFonts w:ascii="宋体" w:hAnsi="宋体" w:cs="宋体"/>
          <w:b/>
          <w:szCs w:val="21"/>
          <w:highlight w:val="none"/>
        </w:rPr>
      </w:pPr>
    </w:p>
    <w:p w14:paraId="7211F91F">
      <w:pPr>
        <w:snapToGrid w:val="0"/>
        <w:spacing w:line="360" w:lineRule="auto"/>
        <w:jc w:val="center"/>
        <w:outlineLvl w:val="1"/>
        <w:rPr>
          <w:rFonts w:ascii="宋体" w:hAnsi="宋体" w:cs="宋体"/>
          <w:b/>
          <w:szCs w:val="21"/>
          <w:highlight w:val="none"/>
        </w:rPr>
      </w:pPr>
      <w:r>
        <w:rPr>
          <w:rFonts w:hint="eastAsia" w:ascii="宋体" w:hAnsi="宋体" w:cs="宋体"/>
          <w:b/>
          <w:szCs w:val="21"/>
          <w:highlight w:val="none"/>
        </w:rPr>
        <w:t>七、定标</w:t>
      </w:r>
    </w:p>
    <w:p w14:paraId="03C2BE25">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（一）确定</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。本项目由采购人事先授权磋商小组确定成交候选人3名。推荐第一名成交候选人为</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，经采购人确认后，确定项目</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，同时发布采购结果公告，发出成交通知书。</w:t>
      </w:r>
    </w:p>
    <w:p w14:paraId="5445BD45">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1、招标代理机构在评标结束后在2个工作日内将评审报告交采购人确认。</w:t>
      </w:r>
    </w:p>
    <w:p w14:paraId="26179BF3">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2、采购人应当自收到评审报告之日起5个工作日内在评审报告推荐的中标或者成交候选人中按顺序确定中标或者成交供应商。</w:t>
      </w:r>
    </w:p>
    <w:p w14:paraId="1A175836">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3、采购人或者招标代理机构应当自</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确定之日起2个工作日内，在省级以上财政部门指定的媒体上公告中标结果，磋商文件应当随中标结果同时公告。在公告中标结果的同时，采购人或者招标代理机构应当向</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发出成交通知书。</w:t>
      </w:r>
    </w:p>
    <w:p w14:paraId="5E57051A">
      <w:pPr>
        <w:pStyle w:val="13"/>
        <w:snapToGrid w:val="0"/>
        <w:spacing w:line="360" w:lineRule="auto"/>
        <w:ind w:firstLine="420" w:firstLineChars="200"/>
        <w:rPr>
          <w:rFonts w:hAnsi="宋体" w:cs="宋体"/>
          <w:b/>
          <w:szCs w:val="21"/>
          <w:highlight w:val="none"/>
        </w:rPr>
      </w:pPr>
      <w:r>
        <w:rPr>
          <w:rFonts w:hint="eastAsia" w:hAnsi="宋体" w:eastAsia="宋体" w:cs="宋体"/>
          <w:sz w:val="21"/>
          <w:szCs w:val="21"/>
          <w:highlight w:val="none"/>
        </w:rPr>
        <w:t>（二）</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因自身原因放弃中标或因不可抗力不能履行合同的；经质疑，招标代理机构审查确认因</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在本次采购活动中存在违法违规行为或其他原因使质疑成立的，如发生上述两种情况的，采购人可以与排位在</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之后第一位的成交候选人签订采购合同，以此类推。</w:t>
      </w:r>
    </w:p>
    <w:p w14:paraId="60B59F8F">
      <w:pPr>
        <w:snapToGrid w:val="0"/>
        <w:spacing w:line="360" w:lineRule="auto"/>
        <w:jc w:val="center"/>
        <w:rPr>
          <w:rFonts w:ascii="宋体" w:hAnsi="宋体" w:cs="宋体"/>
          <w:b/>
          <w:szCs w:val="21"/>
          <w:highlight w:val="none"/>
        </w:rPr>
      </w:pPr>
    </w:p>
    <w:p w14:paraId="2D352C29">
      <w:pPr>
        <w:snapToGrid w:val="0"/>
        <w:spacing w:line="360" w:lineRule="auto"/>
        <w:jc w:val="center"/>
        <w:outlineLvl w:val="1"/>
        <w:rPr>
          <w:rFonts w:ascii="宋体" w:hAnsi="宋体" w:cs="宋体"/>
          <w:b/>
          <w:szCs w:val="21"/>
          <w:highlight w:val="none"/>
        </w:rPr>
      </w:pPr>
      <w:r>
        <w:rPr>
          <w:rFonts w:hint="eastAsia" w:ascii="宋体" w:hAnsi="宋体" w:cs="宋体"/>
          <w:b/>
          <w:szCs w:val="21"/>
          <w:highlight w:val="none"/>
        </w:rPr>
        <w:t>八、合同授予</w:t>
      </w:r>
    </w:p>
    <w:p w14:paraId="16FE73C8">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（一）签订合同</w:t>
      </w:r>
    </w:p>
    <w:p w14:paraId="25DC1AB9">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1、</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应自接到成交通知书后30日内与采购人签定合同。同时，招标代理机构对合同内容进行审查，如发现与采购结果和响应承诺内容不一致的，应予以纠正。</w:t>
      </w:r>
    </w:p>
    <w:p w14:paraId="6B7B0F0D">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2、</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拖延、拒签合同的，将被取消中标资格。</w:t>
      </w:r>
    </w:p>
    <w:p w14:paraId="25064E77">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3、</w:t>
      </w:r>
      <w:r>
        <w:rPr>
          <w:rFonts w:hint="eastAsia" w:hAnsi="宋体" w:eastAsia="宋体" w:cs="宋体"/>
          <w:sz w:val="21"/>
          <w:szCs w:val="21"/>
          <w:highlight w:val="none"/>
          <w:lang w:eastAsia="zh-CN"/>
        </w:rPr>
        <w:t>成交人</w:t>
      </w:r>
      <w:r>
        <w:rPr>
          <w:rFonts w:hint="eastAsia" w:hAnsi="宋体" w:eastAsia="宋体" w:cs="宋体"/>
          <w:sz w:val="21"/>
          <w:szCs w:val="21"/>
          <w:highlight w:val="none"/>
        </w:rPr>
        <w:t>和采购人签订合同，按合同约定执行。</w:t>
      </w:r>
    </w:p>
    <w:p w14:paraId="0B115EC2">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4、中标或者成交供应商拒绝与采购人签订合同的，采购人可以按照评审报告推荐的中标或者成交候选人名单排序，确定下一候选人为中标或者成交供应商，也可以重新开展政府采购活动。</w:t>
      </w:r>
    </w:p>
    <w:p w14:paraId="7EE985F2">
      <w:pPr>
        <w:pStyle w:val="13"/>
        <w:snapToGrid w:val="0"/>
        <w:spacing w:line="360" w:lineRule="auto"/>
        <w:ind w:firstLine="420" w:firstLineChars="200"/>
        <w:rPr>
          <w:rFonts w:hAnsi="宋体" w:eastAsia="宋体" w:cs="宋体"/>
          <w:sz w:val="21"/>
          <w:szCs w:val="21"/>
          <w:highlight w:val="none"/>
        </w:rPr>
      </w:pPr>
      <w:r>
        <w:rPr>
          <w:rFonts w:hint="eastAsia" w:hAnsi="宋体" w:eastAsia="宋体" w:cs="宋体"/>
          <w:sz w:val="21"/>
          <w:szCs w:val="21"/>
          <w:highlight w:val="none"/>
        </w:rPr>
        <w:t>（二）合同公告：采购人应当自政府采购合同签订之日起2个工作日内，将政府采购合同在省级以上人民政府财政部门指定的媒体上公告，但政府采购合同中涉及国家秘密、商业秘密的内容除外。</w:t>
      </w:r>
    </w:p>
    <w:p w14:paraId="14CF2A13">
      <w:pPr>
        <w:pStyle w:val="13"/>
        <w:snapToGrid w:val="0"/>
        <w:spacing w:before="120" w:after="120" w:line="360" w:lineRule="auto"/>
        <w:jc w:val="center"/>
        <w:outlineLvl w:val="0"/>
        <w:rPr>
          <w:rFonts w:hAnsi="宋体" w:eastAsia="宋体" w:cs="宋体"/>
          <w:b/>
          <w:sz w:val="28"/>
          <w:szCs w:val="28"/>
          <w:highlight w:val="none"/>
        </w:rPr>
      </w:pPr>
      <w:r>
        <w:rPr>
          <w:rFonts w:hint="eastAsia" w:hAnsi="宋体" w:eastAsia="宋体" w:cs="宋体"/>
          <w:b/>
          <w:sz w:val="28"/>
          <w:szCs w:val="28"/>
          <w:highlight w:val="none"/>
        </w:rPr>
        <w:br w:type="page"/>
      </w:r>
      <w:r>
        <w:rPr>
          <w:rFonts w:hint="eastAsia" w:hAnsi="宋体" w:eastAsia="宋体" w:cs="宋体"/>
          <w:b/>
          <w:sz w:val="28"/>
          <w:szCs w:val="28"/>
          <w:highlight w:val="none"/>
        </w:rPr>
        <w:t>第四章  评标办法及标准</w:t>
      </w:r>
    </w:p>
    <w:p w14:paraId="2148C94A">
      <w:pPr>
        <w:spacing w:line="360" w:lineRule="auto"/>
        <w:ind w:firstLine="420" w:firstLineChars="200"/>
        <w:rPr>
          <w:rFonts w:ascii="宋体" w:hAnsi="宋体" w:cs="宋体"/>
          <w:szCs w:val="21"/>
          <w:highlight w:val="none"/>
        </w:rPr>
      </w:pPr>
      <w:r>
        <w:rPr>
          <w:rFonts w:hint="eastAsia" w:ascii="宋体" w:hAnsi="宋体" w:cs="宋体"/>
          <w:szCs w:val="21"/>
          <w:highlight w:val="none"/>
        </w:rPr>
        <w:t>为公正、公平、科学地选择</w:t>
      </w:r>
      <w:r>
        <w:rPr>
          <w:rFonts w:hint="eastAsia" w:ascii="宋体" w:hAnsi="宋体" w:cs="宋体"/>
          <w:szCs w:val="21"/>
          <w:highlight w:val="none"/>
          <w:lang w:eastAsia="zh-CN"/>
        </w:rPr>
        <w:t>成交人</w:t>
      </w:r>
      <w:r>
        <w:rPr>
          <w:rFonts w:hint="eastAsia" w:ascii="宋体" w:hAnsi="宋体" w:cs="宋体"/>
          <w:szCs w:val="21"/>
          <w:highlight w:val="none"/>
        </w:rPr>
        <w:t>，根据《中华人民共和国政府采购法》等有关法律法规的规定，并结合本项目的实际，制定本办法，本办法适用本项目的评标。</w:t>
      </w:r>
    </w:p>
    <w:p w14:paraId="1A08F419">
      <w:pPr>
        <w:autoSpaceDE w:val="0"/>
        <w:autoSpaceDN w:val="0"/>
        <w:adjustRightInd w:val="0"/>
        <w:spacing w:line="360" w:lineRule="auto"/>
        <w:outlineLvl w:val="1"/>
        <w:rPr>
          <w:rFonts w:ascii="宋体" w:hAnsi="宋体" w:cs="宋体"/>
          <w:b/>
          <w:szCs w:val="21"/>
          <w:highlight w:val="none"/>
        </w:rPr>
      </w:pPr>
      <w:r>
        <w:rPr>
          <w:rFonts w:hint="eastAsia" w:ascii="宋体" w:hAnsi="宋体" w:cs="宋体"/>
          <w:b/>
          <w:szCs w:val="21"/>
          <w:highlight w:val="none"/>
        </w:rPr>
        <w:t>一、资格审查</w:t>
      </w:r>
    </w:p>
    <w:p w14:paraId="657664C1">
      <w:pPr>
        <w:autoSpaceDE w:val="0"/>
        <w:autoSpaceDN w:val="0"/>
        <w:adjustRightInd w:val="0"/>
        <w:spacing w:line="360" w:lineRule="auto"/>
        <w:ind w:firstLine="420" w:firstLineChars="200"/>
        <w:rPr>
          <w:rFonts w:ascii="宋体" w:hAnsi="宋体" w:cs="宋体"/>
          <w:szCs w:val="21"/>
          <w:highlight w:val="none"/>
          <w:lang w:val="zh-CN"/>
        </w:rPr>
      </w:pPr>
      <w:r>
        <w:rPr>
          <w:rFonts w:hint="eastAsia" w:ascii="宋体" w:hAnsi="宋体" w:cs="宋体"/>
          <w:szCs w:val="21"/>
          <w:highlight w:val="none"/>
          <w:lang w:val="zh-CN"/>
        </w:rPr>
        <w:t>1、由</w:t>
      </w:r>
      <w:r>
        <w:rPr>
          <w:rFonts w:hint="eastAsia" w:ascii="宋体" w:hAnsi="宋体" w:cs="宋体"/>
          <w:szCs w:val="21"/>
          <w:highlight w:val="none"/>
        </w:rPr>
        <w:t>磋商小组</w:t>
      </w:r>
      <w:r>
        <w:rPr>
          <w:rFonts w:hint="eastAsia" w:ascii="宋体" w:hAnsi="宋体" w:cs="宋体"/>
          <w:szCs w:val="21"/>
          <w:highlight w:val="none"/>
          <w:lang w:val="zh-CN"/>
        </w:rPr>
        <w:t>对</w:t>
      </w:r>
      <w:r>
        <w:rPr>
          <w:rFonts w:hint="eastAsia" w:ascii="宋体" w:hAnsi="宋体" w:cs="宋体"/>
          <w:szCs w:val="21"/>
          <w:highlight w:val="none"/>
          <w:lang w:eastAsia="zh-CN"/>
        </w:rPr>
        <w:t>响应人</w:t>
      </w:r>
      <w:r>
        <w:rPr>
          <w:rFonts w:hint="eastAsia" w:ascii="宋体" w:hAnsi="宋体" w:cs="宋体"/>
          <w:szCs w:val="21"/>
          <w:highlight w:val="none"/>
          <w:lang w:val="zh-CN"/>
        </w:rPr>
        <w:t>的资格进行审查。</w:t>
      </w:r>
    </w:p>
    <w:p w14:paraId="1717B497">
      <w:pPr>
        <w:autoSpaceDE w:val="0"/>
        <w:autoSpaceDN w:val="0"/>
        <w:adjustRightInd w:val="0"/>
        <w:spacing w:line="360" w:lineRule="auto"/>
        <w:ind w:firstLine="420" w:firstLineChars="200"/>
        <w:rPr>
          <w:rFonts w:ascii="宋体" w:hAnsi="宋体" w:cs="宋体"/>
          <w:szCs w:val="21"/>
          <w:highlight w:val="none"/>
          <w:lang w:val="zh-CN"/>
        </w:rPr>
      </w:pPr>
      <w:r>
        <w:rPr>
          <w:rFonts w:hint="eastAsia" w:ascii="宋体" w:hAnsi="宋体" w:cs="宋体"/>
          <w:szCs w:val="21"/>
          <w:highlight w:val="none"/>
          <w:lang w:val="zh-CN"/>
        </w:rPr>
        <w:t>2、按以下内容审核</w:t>
      </w:r>
      <w:r>
        <w:rPr>
          <w:rFonts w:hint="eastAsia" w:ascii="宋体" w:hAnsi="宋体" w:cs="宋体"/>
          <w:szCs w:val="21"/>
          <w:highlight w:val="none"/>
          <w:lang w:eastAsia="zh-CN"/>
        </w:rPr>
        <w:t>响应文件</w:t>
      </w:r>
      <w:r>
        <w:rPr>
          <w:rFonts w:hint="eastAsia" w:ascii="宋体" w:hAnsi="宋体" w:cs="宋体"/>
          <w:szCs w:val="21"/>
          <w:highlight w:val="none"/>
          <w:lang w:val="zh-CN"/>
        </w:rPr>
        <w:t>是否符合</w:t>
      </w:r>
      <w:r>
        <w:rPr>
          <w:rFonts w:hint="eastAsia" w:ascii="宋体" w:hAnsi="宋体" w:cs="宋体"/>
          <w:szCs w:val="21"/>
          <w:highlight w:val="none"/>
        </w:rPr>
        <w:t>磋商</w:t>
      </w:r>
      <w:r>
        <w:rPr>
          <w:rFonts w:hint="eastAsia" w:ascii="宋体" w:hAnsi="宋体" w:cs="宋体"/>
          <w:szCs w:val="21"/>
          <w:highlight w:val="none"/>
          <w:lang w:val="zh-CN"/>
        </w:rPr>
        <w:t>文件的资格文件要求。</w:t>
      </w:r>
    </w:p>
    <w:tbl>
      <w:tblPr>
        <w:tblStyle w:val="26"/>
        <w:tblpPr w:leftFromText="180" w:rightFromText="180" w:vertAnchor="text" w:tblpXSpec="center" w:tblpY="1"/>
        <w:tblOverlap w:val="never"/>
        <w:tblW w:w="101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6853"/>
        <w:gridCol w:w="2056"/>
      </w:tblGrid>
      <w:tr w14:paraId="56D81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227" w:type="dxa"/>
            <w:noWrap w:val="0"/>
            <w:vAlign w:val="center"/>
          </w:tcPr>
          <w:p w14:paraId="1E56D8FC">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序号</w:t>
            </w:r>
          </w:p>
        </w:tc>
        <w:tc>
          <w:tcPr>
            <w:tcW w:w="6853" w:type="dxa"/>
            <w:tcBorders>
              <w:tl2br w:val="single" w:color="auto" w:sz="4" w:space="0"/>
            </w:tcBorders>
            <w:noWrap w:val="0"/>
            <w:vAlign w:val="top"/>
          </w:tcPr>
          <w:p w14:paraId="70A551FA">
            <w:pPr>
              <w:keepNext w:val="0"/>
              <w:keepLines w:val="0"/>
              <w:suppressLineNumbers w:val="0"/>
              <w:spacing w:before="0" w:beforeAutospacing="0" w:after="0" w:afterAutospacing="0" w:line="360" w:lineRule="auto"/>
              <w:ind w:left="0" w:right="0"/>
              <w:jc w:val="right"/>
              <w:rPr>
                <w:rFonts w:hint="eastAsia" w:ascii="宋体" w:hAnsi="宋体" w:eastAsia="宋体" w:cs="宋体"/>
                <w:b/>
                <w:color w:val="auto"/>
                <w:szCs w:val="21"/>
                <w:highlight w:val="none"/>
                <w:lang w:eastAsia="zh-CN"/>
              </w:rPr>
            </w:pPr>
            <w:r>
              <w:rPr>
                <w:rFonts w:hint="eastAsia" w:ascii="宋体" w:hAnsi="宋体" w:cs="宋体"/>
                <w:b/>
                <w:color w:val="auto"/>
                <w:szCs w:val="21"/>
                <w:highlight w:val="none"/>
                <w:lang w:eastAsia="zh-CN"/>
              </w:rPr>
              <w:t>响应人</w:t>
            </w:r>
          </w:p>
          <w:p w14:paraId="45B62080">
            <w:pPr>
              <w:keepNext w:val="0"/>
              <w:keepLines w:val="0"/>
              <w:suppressLineNumbers w:val="0"/>
              <w:spacing w:before="0" w:beforeAutospacing="0" w:after="0" w:afterAutospacing="0" w:line="360" w:lineRule="auto"/>
              <w:ind w:left="0" w:right="0"/>
              <w:rPr>
                <w:rFonts w:hint="default" w:ascii="宋体" w:hAnsi="宋体" w:cs="宋体"/>
                <w:b/>
                <w:color w:val="auto"/>
                <w:szCs w:val="21"/>
                <w:highlight w:val="none"/>
              </w:rPr>
            </w:pPr>
            <w:r>
              <w:rPr>
                <w:rFonts w:hint="eastAsia" w:ascii="宋体" w:hAnsi="宋体" w:cs="宋体"/>
                <w:b/>
                <w:color w:val="auto"/>
                <w:szCs w:val="21"/>
                <w:highlight w:val="none"/>
              </w:rPr>
              <w:t>内容</w:t>
            </w:r>
          </w:p>
        </w:tc>
        <w:tc>
          <w:tcPr>
            <w:tcW w:w="2056" w:type="dxa"/>
            <w:noWrap w:val="0"/>
            <w:vAlign w:val="center"/>
          </w:tcPr>
          <w:p w14:paraId="184383F3">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r>
              <w:rPr>
                <w:rFonts w:hint="eastAsia" w:ascii="宋体" w:hAnsi="宋体" w:cs="宋体"/>
                <w:b/>
                <w:color w:val="auto"/>
                <w:szCs w:val="21"/>
                <w:highlight w:val="none"/>
              </w:rPr>
              <w:t>审核标准</w:t>
            </w:r>
          </w:p>
        </w:tc>
      </w:tr>
      <w:tr w14:paraId="17A4F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1" w:hRule="atLeast"/>
        </w:trPr>
        <w:tc>
          <w:tcPr>
            <w:tcW w:w="1227" w:type="dxa"/>
            <w:noWrap w:val="0"/>
            <w:vAlign w:val="center"/>
          </w:tcPr>
          <w:p w14:paraId="3C6F07D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1</w:t>
            </w:r>
          </w:p>
        </w:tc>
        <w:tc>
          <w:tcPr>
            <w:tcW w:w="6853" w:type="dxa"/>
            <w:noWrap w:val="0"/>
            <w:vAlign w:val="center"/>
          </w:tcPr>
          <w:p w14:paraId="47A257FA">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eastAsia="zh-CN"/>
              </w:rPr>
              <w:t>响应人</w:t>
            </w:r>
            <w:r>
              <w:rPr>
                <w:rFonts w:hint="eastAsia" w:ascii="宋体" w:hAnsi="宋体" w:cs="宋体"/>
                <w:color w:val="auto"/>
                <w:szCs w:val="21"/>
                <w:highlight w:val="none"/>
              </w:rPr>
              <w:t>具有独立承担民事责任的能力证明资料</w:t>
            </w:r>
          </w:p>
        </w:tc>
        <w:tc>
          <w:tcPr>
            <w:tcW w:w="2056" w:type="dxa"/>
            <w:noWrap w:val="0"/>
            <w:vAlign w:val="center"/>
          </w:tcPr>
          <w:p w14:paraId="16DA79C6">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5E4D8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227" w:type="dxa"/>
            <w:noWrap w:val="0"/>
            <w:vAlign w:val="center"/>
          </w:tcPr>
          <w:p w14:paraId="787DA63F">
            <w:pPr>
              <w:keepNext w:val="0"/>
              <w:keepLines w:val="0"/>
              <w:suppressLineNumbers w:val="0"/>
              <w:spacing w:before="0" w:beforeAutospacing="0" w:after="0" w:afterAutospacing="0" w:line="360" w:lineRule="auto"/>
              <w:ind w:left="0" w:leftChars="0" w:right="0" w:rightChars="0"/>
              <w:jc w:val="center"/>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rPr>
              <w:t>2</w:t>
            </w:r>
          </w:p>
        </w:tc>
        <w:tc>
          <w:tcPr>
            <w:tcW w:w="6853" w:type="dxa"/>
            <w:noWrap w:val="0"/>
            <w:vAlign w:val="center"/>
          </w:tcPr>
          <w:p w14:paraId="25958F5B">
            <w:pPr>
              <w:pStyle w:val="92"/>
              <w:keepNext w:val="0"/>
              <w:keepLines w:val="0"/>
              <w:suppressLineNumbers w:val="0"/>
              <w:spacing w:before="0" w:beforeAutospacing="0" w:after="0" w:afterAutospacing="0"/>
              <w:ind w:left="0" w:leftChars="0" w:right="0" w:rightChars="0"/>
              <w:jc w:val="left"/>
              <w:rPr>
                <w:rFonts w:hint="eastAsia" w:ascii="宋体" w:hAnsi="宋体" w:eastAsia="宋体" w:cs="宋体"/>
                <w:kern w:val="2"/>
                <w:sz w:val="21"/>
                <w:szCs w:val="21"/>
                <w:highlight w:val="none"/>
                <w:lang w:val="en-US" w:eastAsia="zh-CN" w:bidi="ar-SA"/>
              </w:rPr>
            </w:pPr>
            <w:r>
              <w:rPr>
                <w:rFonts w:hint="eastAsia" w:hAnsi="宋体"/>
                <w:sz w:val="21"/>
                <w:szCs w:val="21"/>
                <w:highlight w:val="none"/>
              </w:rPr>
              <w:t>资格承诺函</w:t>
            </w:r>
          </w:p>
        </w:tc>
        <w:tc>
          <w:tcPr>
            <w:tcW w:w="2056" w:type="dxa"/>
            <w:noWrap w:val="0"/>
            <w:vAlign w:val="center"/>
          </w:tcPr>
          <w:p w14:paraId="44189E65">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24814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27" w:type="dxa"/>
            <w:noWrap w:val="0"/>
            <w:vAlign w:val="center"/>
          </w:tcPr>
          <w:p w14:paraId="0A253CD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3</w:t>
            </w:r>
          </w:p>
        </w:tc>
        <w:tc>
          <w:tcPr>
            <w:tcW w:w="6853" w:type="dxa"/>
            <w:noWrap w:val="0"/>
            <w:vAlign w:val="center"/>
          </w:tcPr>
          <w:p w14:paraId="6C3A2471">
            <w:pPr>
              <w:keepNext w:val="0"/>
              <w:keepLines w:val="0"/>
              <w:suppressLineNumbers w:val="0"/>
              <w:spacing w:before="0" w:beforeAutospacing="0" w:after="0" w:afterAutospacing="0"/>
              <w:ind w:left="0" w:right="0"/>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eastAsia="zh-CN"/>
              </w:rPr>
              <w:t>响应人</w:t>
            </w:r>
            <w:r>
              <w:rPr>
                <w:rFonts w:hint="eastAsia" w:ascii="宋体" w:hAnsi="宋体" w:cs="宋体"/>
                <w:color w:val="auto"/>
                <w:szCs w:val="21"/>
                <w:highlight w:val="none"/>
              </w:rPr>
              <w:t>法定代表人身份证复印件</w:t>
            </w:r>
          </w:p>
        </w:tc>
        <w:tc>
          <w:tcPr>
            <w:tcW w:w="2056" w:type="dxa"/>
            <w:noWrap w:val="0"/>
            <w:vAlign w:val="center"/>
          </w:tcPr>
          <w:p w14:paraId="1D26DE45">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269A8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27" w:type="dxa"/>
            <w:noWrap w:val="0"/>
            <w:vAlign w:val="center"/>
          </w:tcPr>
          <w:p w14:paraId="7CB20B56">
            <w:pPr>
              <w:keepNext w:val="0"/>
              <w:keepLines w:val="0"/>
              <w:suppressLineNumbers w:val="0"/>
              <w:spacing w:before="0" w:beforeAutospacing="0" w:after="0" w:afterAutospacing="0" w:line="360" w:lineRule="auto"/>
              <w:ind w:left="0" w:right="0"/>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4</w:t>
            </w:r>
          </w:p>
        </w:tc>
        <w:tc>
          <w:tcPr>
            <w:tcW w:w="6853" w:type="dxa"/>
            <w:noWrap w:val="0"/>
            <w:vAlign w:val="center"/>
          </w:tcPr>
          <w:p w14:paraId="531113FE">
            <w:pPr>
              <w:keepNext w:val="0"/>
              <w:keepLines w:val="0"/>
              <w:suppressLineNumbers w:val="0"/>
              <w:spacing w:before="0" w:beforeAutospacing="0" w:after="0" w:afterAutospacing="0"/>
              <w:ind w:left="0" w:right="0"/>
              <w:rPr>
                <w:rFonts w:hint="eastAsia" w:ascii="宋体" w:hAnsi="宋体" w:cs="宋体"/>
                <w:color w:val="auto"/>
                <w:szCs w:val="21"/>
                <w:highlight w:val="none"/>
              </w:rPr>
            </w:pPr>
            <w:r>
              <w:rPr>
                <w:rFonts w:hint="eastAsia" w:ascii="宋体" w:hAnsi="宋体" w:cs="宋体"/>
                <w:szCs w:val="21"/>
                <w:highlight w:val="none"/>
                <w:lang w:val="en-US" w:eastAsia="zh-CN"/>
              </w:rPr>
              <w:t>响应</w:t>
            </w:r>
            <w:r>
              <w:rPr>
                <w:rFonts w:hint="eastAsia" w:ascii="宋体" w:hAnsi="宋体" w:cs="宋体"/>
                <w:szCs w:val="21"/>
                <w:highlight w:val="none"/>
              </w:rPr>
              <w:t>函</w:t>
            </w:r>
          </w:p>
        </w:tc>
        <w:tc>
          <w:tcPr>
            <w:tcW w:w="2056" w:type="dxa"/>
            <w:noWrap w:val="0"/>
            <w:vAlign w:val="center"/>
          </w:tcPr>
          <w:p w14:paraId="1830C5B0">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1D7F9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227" w:type="dxa"/>
            <w:noWrap w:val="0"/>
            <w:vAlign w:val="center"/>
          </w:tcPr>
          <w:p w14:paraId="0FB8BF7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5</w:t>
            </w:r>
          </w:p>
        </w:tc>
        <w:tc>
          <w:tcPr>
            <w:tcW w:w="6853" w:type="dxa"/>
            <w:noWrap w:val="0"/>
            <w:vAlign w:val="center"/>
          </w:tcPr>
          <w:p w14:paraId="3DD1CFD3">
            <w:pPr>
              <w:keepNext w:val="0"/>
              <w:keepLines w:val="0"/>
              <w:suppressLineNumbers w:val="0"/>
              <w:spacing w:before="0" w:beforeAutospacing="0" w:after="0" w:afterAutospacing="0" w:line="360" w:lineRule="auto"/>
              <w:ind w:left="0" w:right="0"/>
              <w:jc w:val="left"/>
              <w:rPr>
                <w:rFonts w:hint="default" w:ascii="Calibri" w:hAnsi="宋体" w:eastAsia="宋体" w:cs="宋体"/>
                <w:color w:val="auto"/>
                <w:kern w:val="2"/>
                <w:sz w:val="21"/>
                <w:szCs w:val="21"/>
                <w:highlight w:val="none"/>
                <w:lang w:val="en-US" w:eastAsia="zh-CN" w:bidi="ar-SA"/>
              </w:rPr>
            </w:pPr>
            <w:r>
              <w:rPr>
                <w:rFonts w:hint="eastAsia" w:ascii="宋体" w:hAnsi="宋体" w:cs="宋体"/>
                <w:szCs w:val="21"/>
                <w:highlight w:val="none"/>
              </w:rPr>
              <w:t>法定代表人授权函，非法定代表人参加</w:t>
            </w:r>
            <w:r>
              <w:rPr>
                <w:rFonts w:hint="eastAsia" w:ascii="宋体" w:hAnsi="宋体" w:cs="宋体"/>
                <w:color w:val="auto"/>
                <w:szCs w:val="21"/>
                <w:highlight w:val="none"/>
              </w:rPr>
              <w:t>投标</w:t>
            </w:r>
            <w:r>
              <w:rPr>
                <w:rFonts w:hint="eastAsia" w:ascii="宋体" w:hAnsi="宋体" w:cs="宋体"/>
                <w:szCs w:val="21"/>
                <w:highlight w:val="none"/>
              </w:rPr>
              <w:t>时提供</w:t>
            </w:r>
          </w:p>
        </w:tc>
        <w:tc>
          <w:tcPr>
            <w:tcW w:w="2056" w:type="dxa"/>
            <w:noWrap w:val="0"/>
            <w:vAlign w:val="center"/>
          </w:tcPr>
          <w:p w14:paraId="79B2B5EF">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63743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227" w:type="dxa"/>
            <w:noWrap w:val="0"/>
            <w:vAlign w:val="center"/>
          </w:tcPr>
          <w:p w14:paraId="4D82783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6</w:t>
            </w:r>
          </w:p>
        </w:tc>
        <w:tc>
          <w:tcPr>
            <w:tcW w:w="6853" w:type="dxa"/>
            <w:noWrap w:val="0"/>
            <w:vAlign w:val="center"/>
          </w:tcPr>
          <w:p w14:paraId="011B0800">
            <w:pPr>
              <w:keepNext w:val="0"/>
              <w:keepLines w:val="0"/>
              <w:suppressLineNumbers w:val="0"/>
              <w:spacing w:before="0" w:beforeAutospacing="0" w:after="0" w:afterAutospacing="0" w:line="360" w:lineRule="auto"/>
              <w:ind w:left="0" w:right="0"/>
              <w:jc w:val="left"/>
              <w:rPr>
                <w:rFonts w:hint="default" w:ascii="宋体" w:hAnsi="宋体" w:eastAsia="宋体" w:cs="宋体"/>
                <w:color w:val="auto"/>
                <w:kern w:val="2"/>
                <w:sz w:val="21"/>
                <w:szCs w:val="21"/>
                <w:highlight w:val="none"/>
                <w:lang w:val="en-US" w:eastAsia="zh-CN" w:bidi="ar-SA"/>
              </w:rPr>
            </w:pPr>
            <w:r>
              <w:rPr>
                <w:rFonts w:hint="eastAsia" w:ascii="宋体" w:hAnsi="宋体" w:cs="宋体"/>
                <w:szCs w:val="21"/>
                <w:highlight w:val="none"/>
                <w:lang w:val="en-US" w:eastAsia="zh-CN"/>
              </w:rPr>
              <w:t>响应人</w:t>
            </w:r>
            <w:r>
              <w:rPr>
                <w:rFonts w:hint="default" w:ascii="宋体" w:hAnsi="宋体" w:cs="宋体"/>
                <w:szCs w:val="21"/>
                <w:highlight w:val="none"/>
              </w:rPr>
              <w:t>代表身份证复印件，非法定代表人参加</w:t>
            </w:r>
            <w:r>
              <w:rPr>
                <w:rFonts w:hint="eastAsia" w:ascii="宋体" w:hAnsi="宋体" w:cs="宋体"/>
                <w:color w:val="auto"/>
                <w:szCs w:val="21"/>
                <w:highlight w:val="none"/>
              </w:rPr>
              <w:t>投标</w:t>
            </w:r>
            <w:r>
              <w:rPr>
                <w:rFonts w:hint="default" w:ascii="宋体" w:hAnsi="宋体" w:cs="宋体"/>
                <w:szCs w:val="21"/>
                <w:highlight w:val="none"/>
              </w:rPr>
              <w:t>时提供</w:t>
            </w:r>
          </w:p>
        </w:tc>
        <w:tc>
          <w:tcPr>
            <w:tcW w:w="2056" w:type="dxa"/>
            <w:noWrap w:val="0"/>
            <w:vAlign w:val="center"/>
          </w:tcPr>
          <w:p w14:paraId="67A80707">
            <w:pPr>
              <w:keepNext w:val="0"/>
              <w:keepLines w:val="0"/>
              <w:suppressLineNumbers w:val="0"/>
              <w:spacing w:before="0" w:beforeAutospacing="0" w:after="0" w:afterAutospacing="0" w:line="360" w:lineRule="auto"/>
              <w:ind w:left="0" w:right="0"/>
              <w:jc w:val="center"/>
              <w:rPr>
                <w:rFonts w:hint="default" w:ascii="宋体" w:hAnsi="宋体" w:cs="宋体"/>
                <w:color w:val="auto"/>
                <w:szCs w:val="21"/>
                <w:highlight w:val="none"/>
              </w:rPr>
            </w:pPr>
          </w:p>
        </w:tc>
      </w:tr>
      <w:tr w14:paraId="06C9A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8080" w:type="dxa"/>
            <w:gridSpan w:val="2"/>
            <w:noWrap w:val="0"/>
            <w:vAlign w:val="top"/>
          </w:tcPr>
          <w:p w14:paraId="428B20FB">
            <w:pPr>
              <w:pStyle w:val="14"/>
              <w:keepNext w:val="0"/>
              <w:keepLines w:val="0"/>
              <w:suppressLineNumbers w:val="0"/>
              <w:spacing w:before="0" w:beforeAutospacing="0" w:after="0" w:afterAutospacing="0" w:line="360" w:lineRule="auto"/>
              <w:ind w:left="0" w:right="0" w:firstLine="0" w:firstLineChars="0"/>
              <w:jc w:val="center"/>
              <w:rPr>
                <w:rFonts w:hint="default" w:ascii="宋体" w:hAnsi="宋体" w:cs="宋体"/>
                <w:b/>
                <w:color w:val="auto"/>
                <w:sz w:val="21"/>
                <w:szCs w:val="21"/>
                <w:highlight w:val="none"/>
              </w:rPr>
            </w:pPr>
            <w:r>
              <w:rPr>
                <w:rFonts w:hint="eastAsia" w:ascii="宋体" w:hAnsi="宋体" w:cs="宋体"/>
                <w:b/>
                <w:color w:val="auto"/>
                <w:sz w:val="21"/>
                <w:szCs w:val="21"/>
                <w:highlight w:val="none"/>
              </w:rPr>
              <w:t>结   论</w:t>
            </w:r>
          </w:p>
        </w:tc>
        <w:tc>
          <w:tcPr>
            <w:tcW w:w="2056" w:type="dxa"/>
            <w:noWrap w:val="0"/>
            <w:vAlign w:val="center"/>
          </w:tcPr>
          <w:p w14:paraId="0FBA69DA">
            <w:pPr>
              <w:keepNext w:val="0"/>
              <w:keepLines w:val="0"/>
              <w:suppressLineNumbers w:val="0"/>
              <w:spacing w:before="0" w:beforeAutospacing="0" w:after="0" w:afterAutospacing="0" w:line="360" w:lineRule="auto"/>
              <w:ind w:left="0" w:right="0"/>
              <w:jc w:val="center"/>
              <w:rPr>
                <w:rFonts w:hint="default" w:ascii="宋体" w:hAnsi="宋体" w:cs="宋体"/>
                <w:b/>
                <w:color w:val="auto"/>
                <w:szCs w:val="21"/>
                <w:highlight w:val="none"/>
              </w:rPr>
            </w:pPr>
          </w:p>
        </w:tc>
      </w:tr>
    </w:tbl>
    <w:p w14:paraId="30112437">
      <w:pPr>
        <w:autoSpaceDE w:val="0"/>
        <w:autoSpaceDN w:val="0"/>
        <w:adjustRightInd w:val="0"/>
        <w:spacing w:line="360" w:lineRule="auto"/>
        <w:ind w:firstLine="420" w:firstLineChars="200"/>
        <w:rPr>
          <w:rFonts w:ascii="宋体" w:hAnsi="宋体" w:cs="宋体"/>
          <w:szCs w:val="21"/>
          <w:highlight w:val="none"/>
        </w:rPr>
      </w:pPr>
      <w:r>
        <w:rPr>
          <w:rFonts w:hint="eastAsia" w:ascii="宋体" w:hAnsi="宋体" w:cs="宋体"/>
          <w:szCs w:val="21"/>
          <w:highlight w:val="none"/>
          <w:lang w:val="zh-CN"/>
        </w:rPr>
        <w:t>注：1、表中只需填写“√”或“×”；</w:t>
      </w:r>
      <w:r>
        <w:rPr>
          <w:rFonts w:hint="eastAsia" w:ascii="宋体" w:hAnsi="宋体" w:cs="宋体"/>
          <w:szCs w:val="21"/>
          <w:highlight w:val="none"/>
        </w:rPr>
        <w:t xml:space="preserve"> </w:t>
      </w:r>
      <w:r>
        <w:rPr>
          <w:rFonts w:hint="eastAsia" w:ascii="宋体" w:hAnsi="宋体" w:cs="宋体"/>
          <w:szCs w:val="21"/>
          <w:highlight w:val="none"/>
          <w:lang w:val="zh-CN"/>
        </w:rPr>
        <w:t>2、在结论栏中填写“合格”或“不合格”。</w:t>
      </w:r>
    </w:p>
    <w:p w14:paraId="11D88AC7">
      <w:pPr>
        <w:autoSpaceDE w:val="0"/>
        <w:autoSpaceDN w:val="0"/>
        <w:adjustRightInd w:val="0"/>
        <w:spacing w:line="360" w:lineRule="auto"/>
        <w:outlineLvl w:val="1"/>
        <w:rPr>
          <w:rFonts w:ascii="宋体" w:hAnsi="宋体" w:cs="宋体"/>
          <w:b/>
          <w:szCs w:val="21"/>
          <w:highlight w:val="none"/>
        </w:rPr>
      </w:pPr>
      <w:r>
        <w:rPr>
          <w:rFonts w:hint="eastAsia" w:ascii="宋体" w:hAnsi="宋体" w:cs="宋体"/>
          <w:b/>
          <w:szCs w:val="21"/>
          <w:highlight w:val="none"/>
        </w:rPr>
        <w:t>二、</w:t>
      </w:r>
      <w:r>
        <w:rPr>
          <w:rFonts w:ascii="宋体" w:hAnsi="宋体" w:cs="宋体"/>
          <w:b/>
          <w:szCs w:val="21"/>
          <w:highlight w:val="none"/>
        </w:rPr>
        <w:t>成交</w:t>
      </w:r>
      <w:r>
        <w:rPr>
          <w:rFonts w:hint="eastAsia" w:ascii="宋体" w:hAnsi="宋体" w:cs="宋体"/>
          <w:b/>
          <w:szCs w:val="21"/>
          <w:highlight w:val="none"/>
        </w:rPr>
        <w:t>候选人的选取</w:t>
      </w:r>
    </w:p>
    <w:p w14:paraId="58ABEE84">
      <w:pPr>
        <w:spacing w:line="360" w:lineRule="auto"/>
        <w:ind w:firstLine="420" w:firstLineChars="200"/>
        <w:rPr>
          <w:rFonts w:ascii="宋体" w:hAnsi="宋体" w:cs="宋体"/>
          <w:b/>
          <w:szCs w:val="21"/>
          <w:highlight w:val="none"/>
          <w:lang w:val="zh-CN"/>
        </w:rPr>
      </w:pPr>
      <w:r>
        <w:rPr>
          <w:rFonts w:hint="eastAsia" w:ascii="宋体" w:hAnsi="宋体" w:cs="宋体"/>
          <w:szCs w:val="21"/>
          <w:highlight w:val="none"/>
        </w:rPr>
        <w:t>将综合评估分从高到低排序，得出</w:t>
      </w:r>
      <w:r>
        <w:rPr>
          <w:rFonts w:hint="eastAsia" w:ascii="宋体" w:hAnsi="宋体" w:cs="宋体"/>
          <w:szCs w:val="21"/>
          <w:highlight w:val="none"/>
          <w:lang w:eastAsia="zh-CN"/>
        </w:rPr>
        <w:t>响应人</w:t>
      </w:r>
      <w:r>
        <w:rPr>
          <w:rFonts w:hint="eastAsia" w:ascii="宋体" w:hAnsi="宋体" w:cs="宋体"/>
          <w:szCs w:val="21"/>
          <w:highlight w:val="none"/>
        </w:rPr>
        <w:t>名次,按照综合评估分名次推荐成交候选人3名。综合评估分相同时，按磋商报价由低到高顺序排列，综合评估分且磋商报价相同的，抽签决定排序（弃权视为自动放弃中标资格）。</w:t>
      </w:r>
    </w:p>
    <w:p w14:paraId="6CFAFC1A">
      <w:pPr>
        <w:spacing w:line="360" w:lineRule="auto"/>
        <w:outlineLvl w:val="1"/>
        <w:rPr>
          <w:rFonts w:ascii="宋体" w:hAnsi="宋体" w:cs="宋体"/>
          <w:b/>
          <w:szCs w:val="21"/>
          <w:highlight w:val="none"/>
        </w:rPr>
      </w:pPr>
      <w:r>
        <w:rPr>
          <w:rFonts w:hint="eastAsia" w:ascii="宋体" w:hAnsi="宋体" w:cs="宋体"/>
          <w:b/>
          <w:szCs w:val="21"/>
          <w:highlight w:val="none"/>
        </w:rPr>
        <w:t>三、</w:t>
      </w:r>
      <w:r>
        <w:rPr>
          <w:rFonts w:hint="eastAsia" w:ascii="宋体" w:hAnsi="宋体" w:cs="宋体"/>
          <w:b/>
          <w:szCs w:val="21"/>
          <w:highlight w:val="none"/>
          <w:lang w:eastAsia="zh-CN"/>
        </w:rPr>
        <w:t>成交人</w:t>
      </w:r>
      <w:r>
        <w:rPr>
          <w:rFonts w:hint="eastAsia" w:ascii="宋体" w:hAnsi="宋体" w:cs="宋体"/>
          <w:b/>
          <w:szCs w:val="21"/>
          <w:highlight w:val="none"/>
        </w:rPr>
        <w:t>选取依据</w:t>
      </w:r>
    </w:p>
    <w:p w14:paraId="29D696C7">
      <w:pPr>
        <w:spacing w:line="360" w:lineRule="auto"/>
        <w:ind w:firstLine="420" w:firstLineChars="200"/>
        <w:rPr>
          <w:rFonts w:ascii="宋体" w:hAnsi="宋体" w:cs="宋体"/>
          <w:szCs w:val="21"/>
          <w:highlight w:val="none"/>
        </w:rPr>
      </w:pPr>
      <w:r>
        <w:rPr>
          <w:rFonts w:hint="eastAsia" w:ascii="宋体" w:hAnsi="宋体" w:cs="宋体"/>
          <w:szCs w:val="21"/>
          <w:highlight w:val="none"/>
        </w:rPr>
        <w:t>磋商小组根据综合评估分得分排序，推荐第一名成交候选人为</w:t>
      </w:r>
      <w:r>
        <w:rPr>
          <w:rFonts w:hint="eastAsia" w:ascii="宋体" w:hAnsi="宋体" w:cs="宋体"/>
          <w:szCs w:val="21"/>
          <w:highlight w:val="none"/>
          <w:lang w:eastAsia="zh-CN"/>
        </w:rPr>
        <w:t>成交人</w:t>
      </w:r>
      <w:r>
        <w:rPr>
          <w:rFonts w:hint="eastAsia" w:ascii="宋体" w:hAnsi="宋体" w:cs="宋体"/>
          <w:szCs w:val="21"/>
          <w:highlight w:val="none"/>
        </w:rPr>
        <w:t>，经采购人确认后，确定项目</w:t>
      </w:r>
      <w:r>
        <w:rPr>
          <w:rFonts w:hint="eastAsia" w:ascii="宋体" w:hAnsi="宋体" w:cs="宋体"/>
          <w:szCs w:val="21"/>
          <w:highlight w:val="none"/>
          <w:lang w:eastAsia="zh-CN"/>
        </w:rPr>
        <w:t>成交人</w:t>
      </w:r>
      <w:r>
        <w:rPr>
          <w:rFonts w:hint="eastAsia" w:ascii="宋体" w:hAnsi="宋体" w:cs="宋体"/>
          <w:szCs w:val="21"/>
          <w:highlight w:val="none"/>
        </w:rPr>
        <w:t xml:space="preserve">，同时发布采购结果公告，发出成交通知书。 </w:t>
      </w:r>
    </w:p>
    <w:p w14:paraId="20E84F16">
      <w:pPr>
        <w:spacing w:line="360" w:lineRule="auto"/>
        <w:outlineLvl w:val="1"/>
        <w:rPr>
          <w:rFonts w:ascii="宋体" w:hAnsi="宋体" w:cs="宋体"/>
          <w:b/>
          <w:szCs w:val="21"/>
          <w:highlight w:val="none"/>
        </w:rPr>
      </w:pPr>
      <w:r>
        <w:rPr>
          <w:rFonts w:hint="eastAsia" w:ascii="宋体" w:hAnsi="宋体" w:cs="宋体"/>
          <w:b/>
          <w:szCs w:val="21"/>
          <w:highlight w:val="none"/>
        </w:rPr>
        <w:t>四、综合评估分计分方法</w:t>
      </w:r>
    </w:p>
    <w:p w14:paraId="6FFC8189">
      <w:pPr>
        <w:autoSpaceDE w:val="0"/>
        <w:autoSpaceDN w:val="0"/>
        <w:adjustRightInd w:val="0"/>
        <w:spacing w:line="360" w:lineRule="auto"/>
        <w:ind w:firstLine="420" w:firstLineChars="200"/>
        <w:rPr>
          <w:rFonts w:ascii="宋体" w:hAnsi="宋体" w:cs="宋体"/>
          <w:szCs w:val="21"/>
          <w:highlight w:val="none"/>
          <w:lang w:val="zh-CN"/>
        </w:rPr>
      </w:pPr>
      <w:r>
        <w:rPr>
          <w:rFonts w:hint="eastAsia" w:ascii="宋体" w:hAnsi="宋体" w:cs="宋体"/>
          <w:szCs w:val="21"/>
          <w:highlight w:val="none"/>
          <w:lang w:val="zh-CN"/>
        </w:rPr>
        <w:t>满足</w:t>
      </w:r>
      <w:r>
        <w:rPr>
          <w:rFonts w:hint="eastAsia" w:ascii="宋体" w:hAnsi="宋体" w:cs="宋体"/>
          <w:szCs w:val="21"/>
          <w:highlight w:val="none"/>
        </w:rPr>
        <w:t>磋商</w:t>
      </w:r>
      <w:r>
        <w:rPr>
          <w:rFonts w:hint="eastAsia" w:ascii="宋体" w:hAnsi="宋体" w:cs="宋体"/>
          <w:szCs w:val="21"/>
          <w:highlight w:val="none"/>
          <w:lang w:val="zh-CN"/>
        </w:rPr>
        <w:t>文件要求且</w:t>
      </w:r>
      <w:r>
        <w:rPr>
          <w:rFonts w:hint="eastAsia" w:ascii="宋体" w:hAnsi="宋体" w:cs="宋体"/>
          <w:szCs w:val="21"/>
          <w:highlight w:val="none"/>
        </w:rPr>
        <w:t>最后报价最低的供应商的价格为磋商基准价</w:t>
      </w:r>
      <w:r>
        <w:rPr>
          <w:rFonts w:hint="eastAsia" w:ascii="宋体" w:hAnsi="宋体" w:cs="宋体"/>
          <w:szCs w:val="21"/>
          <w:highlight w:val="none"/>
          <w:lang w:val="zh-CN"/>
        </w:rPr>
        <w:t>，其价格分为满分。其他</w:t>
      </w:r>
      <w:r>
        <w:rPr>
          <w:rFonts w:hint="eastAsia" w:ascii="宋体" w:hAnsi="宋体" w:cs="宋体"/>
          <w:szCs w:val="21"/>
          <w:highlight w:val="none"/>
        </w:rPr>
        <w:t>供应商</w:t>
      </w:r>
      <w:r>
        <w:rPr>
          <w:rFonts w:hint="eastAsia" w:ascii="宋体" w:hAnsi="宋体" w:cs="宋体"/>
          <w:szCs w:val="21"/>
          <w:highlight w:val="none"/>
          <w:lang w:val="zh-CN"/>
        </w:rPr>
        <w:t>的价格分</w:t>
      </w:r>
      <w:r>
        <w:rPr>
          <w:rFonts w:hint="eastAsia" w:ascii="宋体" w:hAnsi="宋体" w:cs="宋体"/>
          <w:szCs w:val="21"/>
          <w:highlight w:val="none"/>
        </w:rPr>
        <w:t>统一按照下</w:t>
      </w:r>
      <w:r>
        <w:rPr>
          <w:rFonts w:hint="eastAsia" w:ascii="宋体" w:hAnsi="宋体" w:cs="宋体"/>
          <w:szCs w:val="21"/>
          <w:highlight w:val="none"/>
          <w:lang w:val="zh-CN"/>
        </w:rPr>
        <w:t>列公式计算：</w:t>
      </w:r>
      <w:r>
        <w:rPr>
          <w:rFonts w:hint="eastAsia" w:ascii="宋体" w:hAnsi="宋体" w:cs="宋体"/>
          <w:szCs w:val="21"/>
          <w:highlight w:val="none"/>
        </w:rPr>
        <w:t>磋商</w:t>
      </w:r>
      <w:r>
        <w:rPr>
          <w:rFonts w:hint="eastAsia" w:ascii="宋体" w:hAnsi="宋体" w:cs="宋体"/>
          <w:szCs w:val="21"/>
          <w:highlight w:val="none"/>
          <w:lang w:val="zh-CN"/>
        </w:rPr>
        <w:t>报价得分＝（</w:t>
      </w:r>
      <w:r>
        <w:rPr>
          <w:rFonts w:hint="eastAsia" w:ascii="宋体" w:hAnsi="宋体" w:cs="宋体"/>
          <w:szCs w:val="21"/>
          <w:highlight w:val="none"/>
        </w:rPr>
        <w:t>磋商</w:t>
      </w:r>
      <w:r>
        <w:rPr>
          <w:rFonts w:hint="eastAsia" w:ascii="宋体" w:hAnsi="宋体" w:cs="宋体"/>
          <w:szCs w:val="21"/>
          <w:highlight w:val="none"/>
          <w:lang w:val="zh-CN"/>
        </w:rPr>
        <w:t>基准价/</w:t>
      </w:r>
      <w:r>
        <w:rPr>
          <w:rFonts w:hint="eastAsia" w:ascii="宋体" w:hAnsi="宋体" w:cs="宋体"/>
          <w:szCs w:val="21"/>
          <w:highlight w:val="none"/>
        </w:rPr>
        <w:t>最后磋商</w:t>
      </w:r>
      <w:r>
        <w:rPr>
          <w:rFonts w:hint="eastAsia" w:ascii="宋体" w:hAnsi="宋体" w:cs="宋体"/>
          <w:szCs w:val="21"/>
          <w:highlight w:val="none"/>
          <w:lang w:val="zh-CN"/>
        </w:rPr>
        <w:t>报价）×价格权重×100。</w:t>
      </w:r>
    </w:p>
    <w:p w14:paraId="6F4C8C94">
      <w:pPr>
        <w:autoSpaceDE w:val="0"/>
        <w:autoSpaceDN w:val="0"/>
        <w:adjustRightInd w:val="0"/>
        <w:spacing w:line="360" w:lineRule="auto"/>
        <w:ind w:firstLine="420" w:firstLineChars="200"/>
        <w:rPr>
          <w:rFonts w:ascii="宋体" w:hAnsi="宋体"/>
          <w:szCs w:val="21"/>
          <w:highlight w:val="none"/>
        </w:rPr>
      </w:pPr>
      <w:r>
        <w:rPr>
          <w:rFonts w:hint="eastAsia" w:ascii="宋体" w:hAnsi="宋体"/>
          <w:szCs w:val="21"/>
          <w:highlight w:val="none"/>
        </w:rPr>
        <w:t>根据相关法律法规：磋商小组认为</w:t>
      </w:r>
      <w:r>
        <w:rPr>
          <w:rFonts w:hint="eastAsia" w:ascii="宋体" w:hAnsi="宋体"/>
          <w:szCs w:val="21"/>
          <w:highlight w:val="none"/>
          <w:lang w:eastAsia="zh-CN"/>
        </w:rPr>
        <w:t>响应人</w:t>
      </w:r>
      <w:r>
        <w:rPr>
          <w:rFonts w:hint="eastAsia" w:ascii="宋体" w:hAnsi="宋体"/>
          <w:szCs w:val="21"/>
          <w:highlight w:val="none"/>
        </w:rPr>
        <w:t>的报价明显低于其他通过符合性审查</w:t>
      </w:r>
      <w:r>
        <w:rPr>
          <w:rFonts w:hint="eastAsia" w:ascii="宋体" w:hAnsi="宋体"/>
          <w:szCs w:val="21"/>
          <w:highlight w:val="none"/>
          <w:lang w:eastAsia="zh-CN"/>
        </w:rPr>
        <w:t>响应人</w:t>
      </w:r>
      <w:r>
        <w:rPr>
          <w:rFonts w:hint="eastAsia" w:ascii="宋体" w:hAnsi="宋体"/>
          <w:szCs w:val="21"/>
          <w:highlight w:val="none"/>
        </w:rPr>
        <w:t>的报价，有可能影响产品质量或者不能诚信履约的，应当要求其在评标现场合理的时间内提供书面说明，必要时提交相关证明材料；</w:t>
      </w:r>
      <w:r>
        <w:rPr>
          <w:rFonts w:hint="eastAsia" w:ascii="宋体" w:hAnsi="宋体"/>
          <w:szCs w:val="21"/>
          <w:highlight w:val="none"/>
          <w:lang w:eastAsia="zh-CN"/>
        </w:rPr>
        <w:t>响应人</w:t>
      </w:r>
      <w:r>
        <w:rPr>
          <w:rFonts w:hint="eastAsia" w:ascii="宋体" w:hAnsi="宋体"/>
          <w:szCs w:val="21"/>
          <w:highlight w:val="none"/>
        </w:rPr>
        <w:t>不能证明其报价合理性的，磋商小组应当将其作为无效投标处理。</w:t>
      </w:r>
    </w:p>
    <w:p w14:paraId="1377AA6D">
      <w:pPr>
        <w:autoSpaceDE w:val="0"/>
        <w:autoSpaceDN w:val="0"/>
        <w:adjustRightInd w:val="0"/>
        <w:spacing w:line="360" w:lineRule="auto"/>
        <w:ind w:firstLine="420" w:firstLineChars="200"/>
        <w:rPr>
          <w:rFonts w:ascii="宋体" w:hAnsi="宋体" w:cs="宋体"/>
          <w:szCs w:val="21"/>
          <w:highlight w:val="none"/>
          <w:lang w:val="zh-CN"/>
        </w:rPr>
      </w:pPr>
      <w:r>
        <w:rPr>
          <w:rFonts w:hint="eastAsia" w:ascii="宋体" w:hAnsi="宋体" w:cs="宋体"/>
          <w:szCs w:val="21"/>
          <w:highlight w:val="none"/>
        </w:rPr>
        <w:t>在评分时，各</w:t>
      </w:r>
      <w:r>
        <w:rPr>
          <w:rFonts w:hint="eastAsia" w:ascii="宋体" w:hAnsi="宋体" w:cs="宋体"/>
          <w:szCs w:val="21"/>
          <w:highlight w:val="none"/>
          <w:lang w:eastAsia="zh-CN"/>
        </w:rPr>
        <w:t>响应人</w:t>
      </w:r>
      <w:r>
        <w:rPr>
          <w:rFonts w:hint="eastAsia" w:ascii="宋体" w:hAnsi="宋体" w:cs="宋体"/>
          <w:szCs w:val="21"/>
          <w:highlight w:val="none"/>
        </w:rPr>
        <w:t>磋商报价得分保留小数点后二位，第三位四舍五入。评审专家打分准确到小数点后一位，综合评估分=商务技术部分得分＋投标报价得分，商务技术部分得分为所有评委评分的算术平均值，得分保留小数点后二位。</w:t>
      </w:r>
    </w:p>
    <w:p w14:paraId="03CB09FC">
      <w:pPr>
        <w:autoSpaceDE w:val="0"/>
        <w:autoSpaceDN w:val="0"/>
        <w:adjustRightInd w:val="0"/>
        <w:spacing w:line="360" w:lineRule="auto"/>
        <w:outlineLvl w:val="1"/>
        <w:rPr>
          <w:rFonts w:ascii="宋体" w:hAnsi="宋体" w:cs="宋体"/>
          <w:b/>
          <w:szCs w:val="21"/>
          <w:highlight w:val="none"/>
          <w:lang w:val="zh-CN"/>
        </w:rPr>
      </w:pPr>
      <w:r>
        <w:rPr>
          <w:rFonts w:hint="eastAsia" w:ascii="宋体" w:hAnsi="宋体" w:cs="宋体"/>
          <w:b/>
          <w:szCs w:val="21"/>
          <w:highlight w:val="none"/>
        </w:rPr>
        <w:t>五、</w:t>
      </w:r>
      <w:r>
        <w:rPr>
          <w:rFonts w:hint="eastAsia" w:ascii="宋体" w:hAnsi="宋体" w:cs="宋体"/>
          <w:b/>
          <w:szCs w:val="21"/>
          <w:highlight w:val="none"/>
          <w:lang w:val="zh-CN"/>
        </w:rPr>
        <w:t>评分表</w:t>
      </w:r>
    </w:p>
    <w:tbl>
      <w:tblPr>
        <w:tblStyle w:val="26"/>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3"/>
        <w:gridCol w:w="2379"/>
        <w:gridCol w:w="3352"/>
        <w:gridCol w:w="1408"/>
      </w:tblGrid>
      <w:tr w14:paraId="32C3D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3" w:type="pct"/>
            <w:vAlign w:val="center"/>
          </w:tcPr>
          <w:p w14:paraId="57BF4392">
            <w:pPr>
              <w:spacing w:line="360" w:lineRule="auto"/>
              <w:jc w:val="center"/>
              <w:rPr>
                <w:rFonts w:ascii="宋体" w:hAnsi="宋体" w:cs="宋体"/>
                <w:szCs w:val="21"/>
                <w:highlight w:val="none"/>
              </w:rPr>
            </w:pPr>
            <w:r>
              <w:rPr>
                <w:rFonts w:hint="eastAsia" w:ascii="宋体" w:hAnsi="宋体" w:cs="宋体"/>
                <w:szCs w:val="21"/>
                <w:highlight w:val="none"/>
              </w:rPr>
              <w:t>评标指标</w:t>
            </w:r>
          </w:p>
        </w:tc>
        <w:tc>
          <w:tcPr>
            <w:tcW w:w="1218" w:type="pct"/>
            <w:vAlign w:val="center"/>
          </w:tcPr>
          <w:p w14:paraId="07CB0682">
            <w:pPr>
              <w:spacing w:line="360" w:lineRule="auto"/>
              <w:jc w:val="center"/>
              <w:rPr>
                <w:rFonts w:ascii="宋体" w:hAnsi="宋体" w:cs="宋体"/>
                <w:szCs w:val="21"/>
                <w:highlight w:val="none"/>
              </w:rPr>
            </w:pPr>
            <w:r>
              <w:rPr>
                <w:rFonts w:hint="eastAsia" w:ascii="宋体" w:hAnsi="宋体" w:cs="宋体"/>
                <w:szCs w:val="21"/>
                <w:highlight w:val="none"/>
              </w:rPr>
              <w:t>磋商报价</w:t>
            </w:r>
          </w:p>
        </w:tc>
        <w:tc>
          <w:tcPr>
            <w:tcW w:w="1716" w:type="pct"/>
            <w:vAlign w:val="center"/>
          </w:tcPr>
          <w:p w14:paraId="532B2CA1">
            <w:pPr>
              <w:spacing w:line="360" w:lineRule="auto"/>
              <w:jc w:val="center"/>
              <w:rPr>
                <w:rFonts w:ascii="宋体" w:hAnsi="宋体" w:cs="宋体"/>
                <w:szCs w:val="21"/>
                <w:highlight w:val="none"/>
              </w:rPr>
            </w:pPr>
            <w:r>
              <w:rPr>
                <w:rFonts w:hint="eastAsia" w:ascii="宋体" w:hAnsi="宋体" w:cs="宋体"/>
                <w:szCs w:val="21"/>
                <w:highlight w:val="none"/>
              </w:rPr>
              <w:t>商务技术部分</w:t>
            </w:r>
          </w:p>
        </w:tc>
        <w:tc>
          <w:tcPr>
            <w:tcW w:w="721" w:type="pct"/>
            <w:vAlign w:val="center"/>
          </w:tcPr>
          <w:p w14:paraId="651F2C70">
            <w:pPr>
              <w:spacing w:line="360" w:lineRule="auto"/>
              <w:jc w:val="center"/>
              <w:rPr>
                <w:rFonts w:ascii="宋体" w:hAnsi="宋体" w:cs="宋体"/>
                <w:szCs w:val="21"/>
                <w:highlight w:val="none"/>
              </w:rPr>
            </w:pPr>
            <w:r>
              <w:rPr>
                <w:rFonts w:hint="eastAsia" w:ascii="宋体" w:hAnsi="宋体" w:cs="宋体"/>
                <w:szCs w:val="21"/>
                <w:highlight w:val="none"/>
              </w:rPr>
              <w:t>合计</w:t>
            </w:r>
          </w:p>
        </w:tc>
      </w:tr>
      <w:tr w14:paraId="3A438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43" w:type="pct"/>
            <w:vAlign w:val="center"/>
          </w:tcPr>
          <w:p w14:paraId="53D5DDF6">
            <w:pPr>
              <w:spacing w:line="360" w:lineRule="auto"/>
              <w:jc w:val="center"/>
              <w:rPr>
                <w:rFonts w:ascii="宋体" w:hAnsi="宋体" w:cs="宋体"/>
                <w:szCs w:val="21"/>
                <w:highlight w:val="none"/>
              </w:rPr>
            </w:pPr>
            <w:r>
              <w:rPr>
                <w:rFonts w:hint="eastAsia" w:ascii="宋体" w:hAnsi="宋体" w:cs="宋体"/>
                <w:szCs w:val="21"/>
                <w:highlight w:val="none"/>
              </w:rPr>
              <w:t>权重（%）</w:t>
            </w:r>
          </w:p>
        </w:tc>
        <w:tc>
          <w:tcPr>
            <w:tcW w:w="1218" w:type="pct"/>
            <w:vAlign w:val="center"/>
          </w:tcPr>
          <w:p w14:paraId="159106D0">
            <w:pPr>
              <w:spacing w:line="360" w:lineRule="auto"/>
              <w:jc w:val="center"/>
              <w:rPr>
                <w:rFonts w:ascii="宋体" w:hAnsi="宋体" w:cs="宋体"/>
                <w:szCs w:val="21"/>
                <w:highlight w:val="none"/>
              </w:rPr>
            </w:pPr>
            <w:r>
              <w:rPr>
                <w:rFonts w:hint="eastAsia" w:ascii="宋体" w:hAnsi="宋体" w:cs="宋体"/>
                <w:szCs w:val="21"/>
                <w:highlight w:val="none"/>
              </w:rPr>
              <w:t>10</w:t>
            </w:r>
          </w:p>
        </w:tc>
        <w:tc>
          <w:tcPr>
            <w:tcW w:w="1716" w:type="pct"/>
            <w:vAlign w:val="center"/>
          </w:tcPr>
          <w:p w14:paraId="58764591">
            <w:pPr>
              <w:spacing w:line="360" w:lineRule="auto"/>
              <w:jc w:val="center"/>
              <w:rPr>
                <w:rFonts w:ascii="宋体" w:hAnsi="宋体" w:cs="宋体"/>
                <w:szCs w:val="21"/>
                <w:highlight w:val="none"/>
              </w:rPr>
            </w:pPr>
            <w:r>
              <w:rPr>
                <w:rFonts w:hint="eastAsia" w:ascii="宋体" w:hAnsi="宋体" w:cs="宋体"/>
                <w:szCs w:val="21"/>
                <w:highlight w:val="none"/>
              </w:rPr>
              <w:t>90</w:t>
            </w:r>
          </w:p>
        </w:tc>
        <w:tc>
          <w:tcPr>
            <w:tcW w:w="721" w:type="pct"/>
            <w:vAlign w:val="center"/>
          </w:tcPr>
          <w:p w14:paraId="42EFE07D">
            <w:pPr>
              <w:spacing w:line="360" w:lineRule="auto"/>
              <w:jc w:val="center"/>
              <w:rPr>
                <w:rFonts w:ascii="宋体" w:hAnsi="宋体" w:cs="宋体"/>
                <w:szCs w:val="21"/>
                <w:highlight w:val="none"/>
              </w:rPr>
            </w:pPr>
            <w:r>
              <w:rPr>
                <w:rFonts w:hint="eastAsia" w:ascii="宋体" w:hAnsi="宋体" w:cs="宋体"/>
                <w:szCs w:val="21"/>
                <w:highlight w:val="none"/>
              </w:rPr>
              <w:t>100</w:t>
            </w:r>
          </w:p>
        </w:tc>
      </w:tr>
    </w:tbl>
    <w:p w14:paraId="510B4556">
      <w:pPr>
        <w:rPr>
          <w:rFonts w:ascii="宋体"/>
          <w:b/>
          <w:bCs/>
          <w:highlight w:val="none"/>
        </w:rPr>
      </w:pPr>
    </w:p>
    <w:p w14:paraId="3B6B2717">
      <w:pPr>
        <w:outlineLvl w:val="9"/>
        <w:rPr>
          <w:rFonts w:ascii="宋体" w:hAnsi="宋体" w:cs="宋体"/>
          <w:b/>
          <w:bCs/>
          <w:sz w:val="28"/>
          <w:szCs w:val="28"/>
          <w:highlight w:val="none"/>
        </w:rPr>
      </w:pPr>
      <w:r>
        <w:rPr>
          <w:rFonts w:hint="eastAsia" w:ascii="宋体"/>
          <w:b/>
          <w:bCs/>
          <w:highlight w:val="none"/>
        </w:rPr>
        <w:t>商务技术评分表</w:t>
      </w:r>
    </w:p>
    <w:tbl>
      <w:tblPr>
        <w:tblStyle w:val="26"/>
        <w:tblW w:w="5074" w:type="pct"/>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108" w:type="dxa"/>
          <w:bottom w:w="0" w:type="dxa"/>
          <w:right w:w="108" w:type="dxa"/>
        </w:tblCellMar>
      </w:tblPr>
      <w:tblGrid>
        <w:gridCol w:w="679"/>
        <w:gridCol w:w="668"/>
        <w:gridCol w:w="686"/>
        <w:gridCol w:w="7049"/>
        <w:gridCol w:w="827"/>
      </w:tblGrid>
      <w:tr w14:paraId="051417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6B26C20E">
            <w:pPr>
              <w:widowControl/>
              <w:jc w:val="center"/>
              <w:textAlignment w:val="bottom"/>
              <w:rPr>
                <w:rFonts w:hint="eastAsia" w:ascii="宋体" w:hAnsi="宋体" w:eastAsia="宋体" w:cs="宋体"/>
                <w:b/>
                <w:bCs/>
                <w:kern w:val="0"/>
                <w:sz w:val="21"/>
                <w:szCs w:val="21"/>
                <w:highlight w:val="none"/>
                <w:lang w:bidi="ar"/>
              </w:rPr>
            </w:pPr>
            <w:r>
              <w:rPr>
                <w:rFonts w:hint="eastAsia" w:ascii="宋体" w:hAnsi="宋体" w:eastAsia="宋体" w:cs="宋体"/>
                <w:b/>
                <w:bCs/>
                <w:kern w:val="0"/>
                <w:sz w:val="21"/>
                <w:szCs w:val="21"/>
                <w:highlight w:val="none"/>
                <w:lang w:bidi="ar"/>
              </w:rPr>
              <w:t>序号</w:t>
            </w:r>
          </w:p>
        </w:tc>
        <w:tc>
          <w:tcPr>
            <w:tcW w:w="337" w:type="pct"/>
            <w:noWrap w:val="0"/>
            <w:vAlign w:val="center"/>
          </w:tcPr>
          <w:p w14:paraId="2CCEC36E">
            <w:pPr>
              <w:widowControl/>
              <w:jc w:val="center"/>
              <w:textAlignment w:val="bottom"/>
              <w:rPr>
                <w:rFonts w:hint="eastAsia" w:ascii="宋体" w:hAnsi="宋体" w:eastAsia="宋体" w:cs="宋体"/>
                <w:b/>
                <w:bCs/>
                <w:sz w:val="21"/>
                <w:szCs w:val="21"/>
                <w:highlight w:val="none"/>
                <w:lang w:eastAsia="zh-CN"/>
              </w:rPr>
            </w:pPr>
            <w:r>
              <w:rPr>
                <w:rFonts w:hint="eastAsia" w:ascii="宋体" w:hAnsi="宋体" w:eastAsia="宋体" w:cs="宋体"/>
                <w:b/>
                <w:bCs/>
                <w:kern w:val="0"/>
                <w:sz w:val="21"/>
                <w:szCs w:val="21"/>
                <w:highlight w:val="none"/>
                <w:lang w:val="en-US" w:eastAsia="zh-CN" w:bidi="ar"/>
              </w:rPr>
              <w:t>内容</w:t>
            </w:r>
          </w:p>
        </w:tc>
        <w:tc>
          <w:tcPr>
            <w:tcW w:w="346" w:type="pct"/>
            <w:noWrap w:val="0"/>
            <w:vAlign w:val="center"/>
          </w:tcPr>
          <w:p w14:paraId="202314EF">
            <w:pPr>
              <w:widowControl/>
              <w:jc w:val="center"/>
              <w:textAlignment w:val="bottom"/>
              <w:rPr>
                <w:rFonts w:hint="eastAsia" w:ascii="宋体" w:hAnsi="宋体" w:eastAsia="宋体" w:cs="宋体"/>
                <w:b/>
                <w:bCs/>
                <w:sz w:val="21"/>
                <w:szCs w:val="21"/>
                <w:highlight w:val="none"/>
              </w:rPr>
            </w:pPr>
            <w:r>
              <w:rPr>
                <w:rFonts w:hint="eastAsia" w:ascii="宋体" w:hAnsi="宋体" w:eastAsia="宋体" w:cs="宋体"/>
                <w:b/>
                <w:bCs/>
                <w:kern w:val="0"/>
                <w:sz w:val="21"/>
                <w:szCs w:val="21"/>
                <w:highlight w:val="none"/>
                <w:lang w:bidi="ar"/>
              </w:rPr>
              <w:t>类别</w:t>
            </w:r>
          </w:p>
        </w:tc>
        <w:tc>
          <w:tcPr>
            <w:tcW w:w="3556" w:type="pct"/>
            <w:noWrap w:val="0"/>
            <w:vAlign w:val="center"/>
          </w:tcPr>
          <w:p w14:paraId="4127E215">
            <w:pPr>
              <w:widowControl/>
              <w:jc w:val="center"/>
              <w:textAlignment w:val="bottom"/>
              <w:rPr>
                <w:rFonts w:hint="eastAsia" w:ascii="宋体" w:hAnsi="宋体" w:eastAsia="宋体" w:cs="宋体"/>
                <w:b/>
                <w:bCs/>
                <w:sz w:val="21"/>
                <w:szCs w:val="21"/>
                <w:highlight w:val="none"/>
              </w:rPr>
            </w:pPr>
            <w:r>
              <w:rPr>
                <w:rFonts w:hint="eastAsia" w:ascii="宋体" w:hAnsi="宋体" w:eastAsia="宋体" w:cs="宋体"/>
                <w:b/>
                <w:bCs/>
                <w:kern w:val="0"/>
                <w:sz w:val="21"/>
                <w:szCs w:val="21"/>
                <w:highlight w:val="none"/>
                <w:lang w:bidi="ar"/>
              </w:rPr>
              <w:t>评分标准</w:t>
            </w:r>
          </w:p>
        </w:tc>
        <w:tc>
          <w:tcPr>
            <w:tcW w:w="417" w:type="pct"/>
            <w:noWrap w:val="0"/>
            <w:vAlign w:val="center"/>
          </w:tcPr>
          <w:p w14:paraId="6058C9A5">
            <w:pPr>
              <w:widowControl/>
              <w:jc w:val="center"/>
              <w:textAlignment w:val="center"/>
              <w:rPr>
                <w:rFonts w:hint="eastAsia" w:ascii="宋体" w:hAnsi="宋体" w:eastAsia="宋体" w:cs="宋体"/>
                <w:b/>
                <w:bCs/>
                <w:sz w:val="21"/>
                <w:szCs w:val="21"/>
                <w:highlight w:val="none"/>
                <w:lang w:eastAsia="zh-CN"/>
              </w:rPr>
            </w:pPr>
            <w:r>
              <w:rPr>
                <w:rFonts w:hint="eastAsia" w:ascii="宋体" w:hAnsi="宋体" w:eastAsia="宋体" w:cs="宋体"/>
                <w:b/>
                <w:bCs/>
                <w:kern w:val="0"/>
                <w:sz w:val="21"/>
                <w:szCs w:val="21"/>
                <w:highlight w:val="none"/>
                <w:lang w:val="en-US" w:eastAsia="zh-CN" w:bidi="ar"/>
              </w:rPr>
              <w:t>分值</w:t>
            </w:r>
          </w:p>
        </w:tc>
      </w:tr>
      <w:tr w14:paraId="7D7783D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2CBDB93B">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3EA956B8">
            <w:pPr>
              <w:widowControl/>
              <w:spacing w:line="360" w:lineRule="auto"/>
              <w:jc w:val="center"/>
              <w:textAlignment w:val="center"/>
              <w:rPr>
                <w:rFonts w:hint="default" w:ascii="宋体" w:hAnsi="宋体" w:eastAsia="宋体" w:cs="宋体"/>
                <w:sz w:val="21"/>
                <w:szCs w:val="21"/>
                <w:highlight w:val="none"/>
                <w:lang w:val="en-US" w:eastAsia="zh-CN"/>
              </w:rPr>
            </w:pPr>
            <w:r>
              <w:rPr>
                <w:rFonts w:hint="eastAsia" w:ascii="宋体" w:hAnsi="宋体" w:eastAsia="宋体" w:cs="宋体"/>
                <w:kern w:val="0"/>
                <w:sz w:val="21"/>
                <w:szCs w:val="21"/>
                <w:highlight w:val="none"/>
                <w:lang w:val="en-US" w:eastAsia="zh-CN" w:bidi="ar"/>
              </w:rPr>
              <w:t>相关资质</w:t>
            </w:r>
          </w:p>
        </w:tc>
        <w:tc>
          <w:tcPr>
            <w:tcW w:w="346" w:type="pct"/>
            <w:noWrap w:val="0"/>
            <w:vAlign w:val="center"/>
          </w:tcPr>
          <w:p w14:paraId="36543C56">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客观</w:t>
            </w:r>
          </w:p>
        </w:tc>
        <w:tc>
          <w:tcPr>
            <w:tcW w:w="3556" w:type="pct"/>
            <w:noWrap w:val="0"/>
            <w:vAlign w:val="center"/>
          </w:tcPr>
          <w:p w14:paraId="7F44AB4F">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w:t>
            </w:r>
            <w:r>
              <w:rPr>
                <w:rFonts w:hint="eastAsia" w:ascii="宋体" w:hAnsi="宋体" w:eastAsia="宋体" w:cs="宋体"/>
                <w:kern w:val="0"/>
                <w:sz w:val="21"/>
                <w:szCs w:val="21"/>
                <w:highlight w:val="none"/>
                <w:lang w:eastAsia="zh-CN" w:bidi="ar"/>
              </w:rPr>
              <w:t>响应人</w:t>
            </w:r>
            <w:r>
              <w:rPr>
                <w:rFonts w:hint="eastAsia" w:ascii="宋体" w:hAnsi="宋体" w:eastAsia="宋体" w:cs="宋体"/>
                <w:kern w:val="0"/>
                <w:sz w:val="21"/>
                <w:szCs w:val="21"/>
                <w:highlight w:val="none"/>
                <w:lang w:bidi="ar"/>
              </w:rPr>
              <w:t>具有有效期内的ISO27001信息安全体系认证证书</w:t>
            </w:r>
            <w:r>
              <w:rPr>
                <w:rFonts w:hint="eastAsia" w:ascii="宋体" w:hAnsi="宋体" w:eastAsia="宋体" w:cs="宋体"/>
                <w:kern w:val="0"/>
                <w:sz w:val="21"/>
                <w:szCs w:val="21"/>
                <w:highlight w:val="none"/>
                <w:lang w:eastAsia="zh-CN" w:bidi="ar"/>
              </w:rPr>
              <w:t>的，</w:t>
            </w:r>
            <w:r>
              <w:rPr>
                <w:rFonts w:hint="eastAsia" w:ascii="宋体" w:hAnsi="宋体" w:eastAsia="宋体" w:cs="宋体"/>
                <w:kern w:val="0"/>
                <w:sz w:val="21"/>
                <w:szCs w:val="21"/>
                <w:highlight w:val="none"/>
                <w:lang w:bidi="ar"/>
              </w:rPr>
              <w:t>得1分；</w:t>
            </w:r>
          </w:p>
          <w:p w14:paraId="3923B48C">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2、</w:t>
            </w:r>
            <w:r>
              <w:rPr>
                <w:rFonts w:hint="eastAsia" w:ascii="宋体" w:hAnsi="宋体" w:eastAsia="宋体" w:cs="宋体"/>
                <w:kern w:val="0"/>
                <w:sz w:val="21"/>
                <w:szCs w:val="21"/>
                <w:highlight w:val="none"/>
                <w:lang w:eastAsia="zh-CN" w:bidi="ar"/>
              </w:rPr>
              <w:t>响应人</w:t>
            </w:r>
            <w:r>
              <w:rPr>
                <w:rFonts w:hint="eastAsia" w:ascii="宋体" w:hAnsi="宋体" w:eastAsia="宋体" w:cs="宋体"/>
                <w:kern w:val="0"/>
                <w:sz w:val="21"/>
                <w:szCs w:val="21"/>
                <w:highlight w:val="none"/>
                <w:lang w:bidi="ar"/>
              </w:rPr>
              <w:t>具有有效期内的ISO22301业务连续性管理体系认证证书</w:t>
            </w:r>
            <w:r>
              <w:rPr>
                <w:rFonts w:hint="eastAsia" w:ascii="宋体" w:hAnsi="宋体" w:eastAsia="宋体" w:cs="宋体"/>
                <w:kern w:val="0"/>
                <w:sz w:val="21"/>
                <w:szCs w:val="21"/>
                <w:highlight w:val="none"/>
                <w:lang w:eastAsia="zh-CN" w:bidi="ar"/>
              </w:rPr>
              <w:t>的，</w:t>
            </w:r>
            <w:r>
              <w:rPr>
                <w:rFonts w:hint="eastAsia" w:ascii="宋体" w:hAnsi="宋体" w:eastAsia="宋体" w:cs="宋体"/>
                <w:kern w:val="0"/>
                <w:sz w:val="21"/>
                <w:szCs w:val="21"/>
                <w:highlight w:val="none"/>
                <w:lang w:bidi="ar"/>
              </w:rPr>
              <w:t>得1分；</w:t>
            </w:r>
          </w:p>
          <w:p w14:paraId="2BF16941">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3、</w:t>
            </w:r>
            <w:r>
              <w:rPr>
                <w:rFonts w:hint="eastAsia" w:ascii="宋体" w:hAnsi="宋体" w:eastAsia="宋体" w:cs="宋体"/>
                <w:kern w:val="0"/>
                <w:sz w:val="21"/>
                <w:szCs w:val="21"/>
                <w:highlight w:val="none"/>
                <w:lang w:eastAsia="zh-CN" w:bidi="ar"/>
              </w:rPr>
              <w:t>响应人</w:t>
            </w:r>
            <w:r>
              <w:rPr>
                <w:rFonts w:hint="eastAsia" w:ascii="宋体" w:hAnsi="宋体" w:eastAsia="宋体" w:cs="宋体"/>
                <w:kern w:val="0"/>
                <w:sz w:val="21"/>
                <w:szCs w:val="21"/>
                <w:highlight w:val="none"/>
                <w:lang w:bidi="ar"/>
              </w:rPr>
              <w:t>具有有效期内的ISO27040存储安全管理体系认证证书</w:t>
            </w:r>
            <w:r>
              <w:rPr>
                <w:rFonts w:hint="eastAsia" w:ascii="宋体" w:hAnsi="宋体" w:eastAsia="宋体" w:cs="宋体"/>
                <w:kern w:val="0"/>
                <w:sz w:val="21"/>
                <w:szCs w:val="21"/>
                <w:highlight w:val="none"/>
                <w:lang w:eastAsia="zh-CN" w:bidi="ar"/>
              </w:rPr>
              <w:t>的，</w:t>
            </w:r>
            <w:r>
              <w:rPr>
                <w:rFonts w:hint="eastAsia" w:ascii="宋体" w:hAnsi="宋体" w:eastAsia="宋体" w:cs="宋体"/>
                <w:kern w:val="0"/>
                <w:sz w:val="21"/>
                <w:szCs w:val="21"/>
                <w:highlight w:val="none"/>
                <w:lang w:bidi="ar"/>
              </w:rPr>
              <w:t>得1分；</w:t>
            </w:r>
          </w:p>
          <w:p w14:paraId="2FEF3507">
            <w:pPr>
              <w:widowControl/>
              <w:spacing w:line="360" w:lineRule="auto"/>
              <w:textAlignment w:val="center"/>
              <w:rPr>
                <w:rStyle w:val="58"/>
                <w:rFonts w:hint="eastAsia" w:ascii="宋体" w:hAnsi="宋体" w:eastAsia="宋体" w:cs="宋体"/>
                <w:color w:val="auto"/>
                <w:sz w:val="21"/>
                <w:szCs w:val="21"/>
                <w:highlight w:val="none"/>
                <w:lang w:eastAsia="zh-CN" w:bidi="ar"/>
              </w:rPr>
            </w:pPr>
            <w:r>
              <w:rPr>
                <w:rFonts w:hint="eastAsia" w:ascii="宋体" w:hAnsi="宋体" w:eastAsia="宋体" w:cs="宋体"/>
                <w:kern w:val="0"/>
                <w:sz w:val="21"/>
                <w:szCs w:val="21"/>
                <w:highlight w:val="none"/>
                <w:lang w:bidi="ar"/>
              </w:rPr>
              <w:t>4、</w:t>
            </w:r>
            <w:r>
              <w:rPr>
                <w:rFonts w:hint="eastAsia" w:ascii="宋体" w:hAnsi="宋体" w:eastAsia="宋体" w:cs="宋体"/>
                <w:kern w:val="0"/>
                <w:sz w:val="21"/>
                <w:szCs w:val="21"/>
                <w:highlight w:val="none"/>
                <w:lang w:eastAsia="zh-CN" w:bidi="ar"/>
              </w:rPr>
              <w:t>响应人</w:t>
            </w:r>
            <w:r>
              <w:rPr>
                <w:rFonts w:hint="eastAsia" w:ascii="宋体" w:hAnsi="宋体" w:eastAsia="宋体" w:cs="宋体"/>
                <w:kern w:val="0"/>
                <w:sz w:val="21"/>
                <w:szCs w:val="21"/>
                <w:highlight w:val="none"/>
                <w:lang w:bidi="ar"/>
              </w:rPr>
              <w:t>具有有效期内的DSMM数据安全能力成熟度证书三级以下</w:t>
            </w:r>
            <w:r>
              <w:rPr>
                <w:rFonts w:hint="eastAsia" w:ascii="宋体" w:hAnsi="宋体" w:eastAsia="宋体" w:cs="宋体"/>
                <w:kern w:val="0"/>
                <w:sz w:val="21"/>
                <w:szCs w:val="21"/>
                <w:highlight w:val="none"/>
                <w:lang w:eastAsia="zh-CN" w:bidi="ar"/>
              </w:rPr>
              <w:t>的</w:t>
            </w:r>
            <w:r>
              <w:rPr>
                <w:rFonts w:hint="eastAsia" w:ascii="宋体" w:hAnsi="宋体" w:eastAsia="宋体" w:cs="宋体"/>
                <w:kern w:val="0"/>
                <w:sz w:val="21"/>
                <w:szCs w:val="21"/>
                <w:highlight w:val="none"/>
                <w:lang w:bidi="ar"/>
              </w:rPr>
              <w:t>得1分，三级及以上得2分</w:t>
            </w:r>
            <w:r>
              <w:rPr>
                <w:rStyle w:val="58"/>
                <w:rFonts w:hint="eastAsia" w:ascii="宋体" w:hAnsi="宋体" w:eastAsia="宋体" w:cs="宋体"/>
                <w:color w:val="auto"/>
                <w:sz w:val="21"/>
                <w:szCs w:val="21"/>
                <w:highlight w:val="none"/>
                <w:lang w:eastAsia="zh-CN" w:bidi="ar"/>
              </w:rPr>
              <w:t>；</w:t>
            </w:r>
          </w:p>
          <w:p w14:paraId="1C6765D7">
            <w:pPr>
              <w:widowControl/>
              <w:spacing w:line="360" w:lineRule="auto"/>
              <w:textAlignment w:val="center"/>
              <w:rPr>
                <w:rStyle w:val="58"/>
                <w:rFonts w:hint="default" w:ascii="宋体" w:hAnsi="宋体" w:eastAsia="宋体" w:cs="宋体"/>
                <w:color w:val="auto"/>
                <w:sz w:val="21"/>
                <w:szCs w:val="21"/>
                <w:highlight w:val="none"/>
                <w:lang w:val="en-US" w:eastAsia="zh-CN" w:bidi="ar"/>
              </w:rPr>
            </w:pPr>
            <w:r>
              <w:rPr>
                <w:rStyle w:val="58"/>
                <w:rFonts w:hint="eastAsia" w:ascii="宋体" w:hAnsi="宋体" w:eastAsia="宋体" w:cs="宋体"/>
                <w:color w:val="auto"/>
                <w:sz w:val="21"/>
                <w:szCs w:val="21"/>
                <w:highlight w:val="none"/>
                <w:lang w:val="en-US" w:eastAsia="zh-CN" w:bidi="ar"/>
              </w:rPr>
              <w:t>5、</w:t>
            </w:r>
            <w:r>
              <w:rPr>
                <w:rFonts w:hint="eastAsia" w:ascii="宋体" w:hAnsi="宋体" w:eastAsia="宋体" w:cs="宋体"/>
                <w:kern w:val="0"/>
                <w:sz w:val="21"/>
                <w:szCs w:val="21"/>
                <w:highlight w:val="none"/>
                <w:lang w:eastAsia="zh-CN" w:bidi="ar"/>
              </w:rPr>
              <w:t>响应人</w:t>
            </w:r>
            <w:r>
              <w:rPr>
                <w:rFonts w:hint="eastAsia" w:ascii="宋体" w:hAnsi="宋体" w:eastAsia="宋体" w:cs="宋体"/>
                <w:kern w:val="0"/>
                <w:sz w:val="21"/>
                <w:szCs w:val="21"/>
                <w:highlight w:val="none"/>
                <w:lang w:bidi="ar"/>
              </w:rPr>
              <w:t>具有有效期内的DCMM数据管理能力成熟度证书三级以下</w:t>
            </w:r>
            <w:r>
              <w:rPr>
                <w:rFonts w:hint="eastAsia" w:ascii="宋体" w:hAnsi="宋体" w:eastAsia="宋体" w:cs="宋体"/>
                <w:kern w:val="0"/>
                <w:sz w:val="21"/>
                <w:szCs w:val="21"/>
                <w:highlight w:val="none"/>
                <w:lang w:eastAsia="zh-CN" w:bidi="ar"/>
              </w:rPr>
              <w:t>的</w:t>
            </w:r>
            <w:r>
              <w:rPr>
                <w:rFonts w:hint="eastAsia" w:ascii="宋体" w:hAnsi="宋体" w:eastAsia="宋体" w:cs="宋体"/>
                <w:kern w:val="0"/>
                <w:sz w:val="21"/>
                <w:szCs w:val="21"/>
                <w:highlight w:val="none"/>
                <w:lang w:bidi="ar"/>
              </w:rPr>
              <w:t>得1分，三级及以上得2分</w:t>
            </w:r>
            <w:r>
              <w:rPr>
                <w:rStyle w:val="58"/>
                <w:rFonts w:hint="eastAsia" w:ascii="宋体" w:hAnsi="宋体" w:cs="宋体"/>
                <w:color w:val="auto"/>
                <w:sz w:val="21"/>
                <w:szCs w:val="21"/>
                <w:highlight w:val="none"/>
                <w:lang w:eastAsia="zh-CN" w:bidi="ar"/>
              </w:rPr>
              <w:t>。</w:t>
            </w:r>
          </w:p>
          <w:p w14:paraId="326F7EC6">
            <w:pPr>
              <w:widowControl/>
              <w:spacing w:line="360" w:lineRule="auto"/>
              <w:textAlignment w:val="center"/>
              <w:rPr>
                <w:rFonts w:hint="eastAsia" w:ascii="宋体" w:hAnsi="宋体" w:eastAsia="宋体" w:cs="宋体"/>
                <w:b/>
                <w:bCs/>
                <w:sz w:val="21"/>
                <w:szCs w:val="21"/>
                <w:highlight w:val="none"/>
              </w:rPr>
            </w:pPr>
            <w:r>
              <w:rPr>
                <w:rStyle w:val="62"/>
                <w:rFonts w:hint="eastAsia" w:ascii="宋体" w:hAnsi="宋体" w:eastAsia="宋体" w:cs="宋体"/>
                <w:color w:val="auto"/>
                <w:sz w:val="21"/>
                <w:szCs w:val="21"/>
                <w:highlight w:val="none"/>
                <w:lang w:val="en-US" w:eastAsia="zh-CN" w:bidi="ar"/>
              </w:rPr>
              <w:t>注：</w:t>
            </w:r>
            <w:r>
              <w:rPr>
                <w:rStyle w:val="62"/>
                <w:rFonts w:hint="eastAsia" w:ascii="宋体" w:hAnsi="宋体" w:eastAsia="宋体" w:cs="宋体"/>
                <w:color w:val="auto"/>
                <w:sz w:val="21"/>
                <w:szCs w:val="21"/>
                <w:highlight w:val="none"/>
                <w:lang w:bidi="ar"/>
              </w:rPr>
              <w:t>提供证书复印件或相关证明材料并加盖响应人公章，未提供不得分。</w:t>
            </w:r>
            <w:r>
              <w:rPr>
                <w:rStyle w:val="94"/>
                <w:rFonts w:hint="eastAsia" w:ascii="宋体" w:hAnsi="宋体" w:eastAsia="宋体" w:cs="宋体"/>
                <w:color w:val="auto"/>
                <w:sz w:val="21"/>
                <w:szCs w:val="21"/>
                <w:highlight w:val="none"/>
                <w:lang w:bidi="ar"/>
              </w:rPr>
              <w:t xml:space="preserve"> </w:t>
            </w:r>
          </w:p>
        </w:tc>
        <w:tc>
          <w:tcPr>
            <w:tcW w:w="417" w:type="pct"/>
            <w:noWrap w:val="0"/>
            <w:vAlign w:val="center"/>
          </w:tcPr>
          <w:p w14:paraId="77B5E9C8">
            <w:pPr>
              <w:widowControl/>
              <w:spacing w:line="360" w:lineRule="auto"/>
              <w:jc w:val="center"/>
              <w:textAlignment w:val="center"/>
              <w:rPr>
                <w:rFonts w:hint="eastAsia" w:ascii="宋体" w:hAnsi="宋体" w:eastAsia="宋体" w:cs="宋体"/>
                <w:sz w:val="21"/>
                <w:szCs w:val="21"/>
                <w:highlight w:val="none"/>
                <w:lang w:eastAsia="zh-CN"/>
              </w:rPr>
            </w:pPr>
            <w:r>
              <w:rPr>
                <w:rFonts w:hint="eastAsia" w:ascii="宋体" w:hAnsi="宋体" w:eastAsia="宋体" w:cs="宋体"/>
                <w:kern w:val="0"/>
                <w:sz w:val="21"/>
                <w:szCs w:val="21"/>
                <w:highlight w:val="none"/>
                <w:lang w:val="en-US" w:eastAsia="zh-CN" w:bidi="ar"/>
              </w:rPr>
              <w:t>7</w:t>
            </w:r>
          </w:p>
        </w:tc>
      </w:tr>
      <w:tr w14:paraId="3FFC37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47" w:hRule="atLeast"/>
          <w:jc w:val="center"/>
        </w:trPr>
        <w:tc>
          <w:tcPr>
            <w:tcW w:w="343" w:type="pct"/>
            <w:noWrap w:val="0"/>
            <w:vAlign w:val="center"/>
          </w:tcPr>
          <w:p w14:paraId="1C0FB332">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5366BB0D">
            <w:pPr>
              <w:widowControl/>
              <w:spacing w:line="360" w:lineRule="auto"/>
              <w:jc w:val="center"/>
              <w:textAlignment w:val="center"/>
              <w:rPr>
                <w:rFonts w:hint="default" w:ascii="宋体" w:hAnsi="宋体" w:eastAsia="宋体" w:cs="宋体"/>
                <w:sz w:val="21"/>
                <w:szCs w:val="21"/>
                <w:highlight w:val="none"/>
                <w:lang w:val="en-US" w:eastAsia="zh-CN"/>
              </w:rPr>
            </w:pPr>
            <w:r>
              <w:rPr>
                <w:rFonts w:hint="eastAsia" w:ascii="宋体" w:hAnsi="宋体" w:eastAsia="宋体" w:cs="宋体"/>
                <w:kern w:val="0"/>
                <w:sz w:val="21"/>
                <w:szCs w:val="21"/>
                <w:highlight w:val="none"/>
                <w:lang w:val="en-US" w:eastAsia="zh-CN" w:bidi="ar"/>
              </w:rPr>
              <w:t>类似业绩</w:t>
            </w:r>
          </w:p>
        </w:tc>
        <w:tc>
          <w:tcPr>
            <w:tcW w:w="346" w:type="pct"/>
            <w:noWrap w:val="0"/>
            <w:vAlign w:val="center"/>
          </w:tcPr>
          <w:p w14:paraId="3BA522E0">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客观</w:t>
            </w:r>
          </w:p>
        </w:tc>
        <w:tc>
          <w:tcPr>
            <w:tcW w:w="3556" w:type="pct"/>
            <w:noWrap w:val="0"/>
            <w:vAlign w:val="center"/>
          </w:tcPr>
          <w:p w14:paraId="38210B8A">
            <w:pPr>
              <w:pStyle w:val="11"/>
              <w:keepNext w:val="0"/>
              <w:keepLines w:val="0"/>
              <w:pageBreakBefore w:val="0"/>
              <w:widowControl w:val="0"/>
              <w:kinsoku/>
              <w:wordWrap/>
              <w:overflowPunct/>
              <w:topLinePunct w:val="0"/>
              <w:autoSpaceDE/>
              <w:autoSpaceDN/>
              <w:bidi w:val="0"/>
              <w:adjustRightInd/>
              <w:snapToGrid/>
              <w:spacing w:after="0" w:line="360" w:lineRule="auto"/>
              <w:ind w:firstLine="0" w:firstLineChars="0"/>
              <w:textAlignment w:val="auto"/>
              <w:rPr>
                <w:rStyle w:val="58"/>
                <w:rFonts w:hint="eastAsia" w:ascii="宋体" w:hAnsi="宋体" w:eastAsia="宋体" w:cs="宋体"/>
                <w:color w:val="auto"/>
                <w:sz w:val="21"/>
                <w:szCs w:val="21"/>
                <w:highlight w:val="none"/>
                <w:lang w:val="en-US" w:eastAsia="zh-CN" w:bidi="ar"/>
              </w:rPr>
            </w:pPr>
            <w:r>
              <w:rPr>
                <w:rStyle w:val="58"/>
                <w:rFonts w:hint="eastAsia" w:ascii="宋体" w:hAnsi="宋体" w:eastAsia="宋体" w:cs="宋体"/>
                <w:color w:val="auto"/>
                <w:sz w:val="21"/>
                <w:szCs w:val="21"/>
                <w:highlight w:val="none"/>
                <w:lang w:val="en-US" w:eastAsia="zh-CN" w:bidi="ar"/>
              </w:rPr>
              <w:t>根据响应人自2022年1月1日以来（以合同签订日期为准）的包含公共数据平台建设项目的业绩，每个项目得0.5分，最多得1分。</w:t>
            </w:r>
          </w:p>
          <w:p w14:paraId="603B3A82">
            <w:pPr>
              <w:pStyle w:val="11"/>
              <w:ind w:firstLine="0" w:firstLineChars="0"/>
              <w:rPr>
                <w:rFonts w:hint="eastAsia" w:ascii="宋体" w:hAnsi="宋体" w:eastAsia="宋体" w:cs="宋体"/>
                <w:sz w:val="21"/>
                <w:szCs w:val="21"/>
                <w:highlight w:val="none"/>
              </w:rPr>
            </w:pPr>
            <w:r>
              <w:rPr>
                <w:rStyle w:val="62"/>
                <w:rFonts w:hint="eastAsia" w:ascii="宋体" w:hAnsi="宋体" w:eastAsia="宋体" w:cs="宋体"/>
                <w:color w:val="auto"/>
                <w:sz w:val="21"/>
                <w:szCs w:val="21"/>
                <w:highlight w:val="none"/>
                <w:lang w:val="en-US" w:eastAsia="zh-CN" w:bidi="ar"/>
              </w:rPr>
              <w:t>注：</w:t>
            </w:r>
            <w:r>
              <w:rPr>
                <w:rStyle w:val="62"/>
                <w:rFonts w:hint="eastAsia" w:ascii="宋体" w:hAnsi="宋体" w:eastAsia="宋体" w:cs="宋体"/>
                <w:color w:val="auto"/>
                <w:sz w:val="21"/>
                <w:szCs w:val="21"/>
                <w:highlight w:val="none"/>
                <w:lang w:bidi="ar"/>
              </w:rPr>
              <w:t>提供合同复印件并加盖响应人公章，未提供不得分。</w:t>
            </w:r>
          </w:p>
        </w:tc>
        <w:tc>
          <w:tcPr>
            <w:tcW w:w="417" w:type="pct"/>
            <w:noWrap w:val="0"/>
            <w:vAlign w:val="center"/>
          </w:tcPr>
          <w:p w14:paraId="4DB555BE">
            <w:pPr>
              <w:widowControl/>
              <w:spacing w:line="360" w:lineRule="auto"/>
              <w:jc w:val="center"/>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val="en-US" w:eastAsia="zh-CN" w:bidi="ar"/>
              </w:rPr>
              <w:t>1</w:t>
            </w:r>
          </w:p>
        </w:tc>
      </w:tr>
      <w:tr w14:paraId="1C9F7B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0F2A8AA9">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702E7BA9">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项目负责人</w:t>
            </w:r>
          </w:p>
        </w:tc>
        <w:tc>
          <w:tcPr>
            <w:tcW w:w="346" w:type="pct"/>
            <w:noWrap w:val="0"/>
            <w:vAlign w:val="center"/>
          </w:tcPr>
          <w:p w14:paraId="0ED7E062">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客观</w:t>
            </w:r>
          </w:p>
        </w:tc>
        <w:tc>
          <w:tcPr>
            <w:tcW w:w="3556" w:type="pct"/>
            <w:noWrap w:val="0"/>
            <w:vAlign w:val="center"/>
          </w:tcPr>
          <w:p w14:paraId="2C69BA95">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根据响应人拟派的项目经理</w:t>
            </w:r>
            <w:r>
              <w:rPr>
                <w:rFonts w:hint="eastAsia" w:ascii="宋体" w:hAnsi="宋体" w:eastAsia="宋体" w:cs="宋体"/>
                <w:kern w:val="0"/>
                <w:sz w:val="21"/>
                <w:szCs w:val="21"/>
                <w:highlight w:val="none"/>
                <w:lang w:eastAsia="zh-CN" w:bidi="ar"/>
              </w:rPr>
              <w:t>（</w:t>
            </w:r>
            <w:r>
              <w:rPr>
                <w:rFonts w:hint="eastAsia" w:ascii="宋体" w:hAnsi="宋体" w:eastAsia="宋体" w:cs="宋体"/>
                <w:kern w:val="0"/>
                <w:sz w:val="21"/>
                <w:szCs w:val="21"/>
                <w:highlight w:val="none"/>
                <w:lang w:val="en-US" w:eastAsia="zh-CN" w:bidi="ar"/>
              </w:rPr>
              <w:t>1人</w:t>
            </w:r>
            <w:r>
              <w:rPr>
                <w:rFonts w:hint="eastAsia" w:ascii="宋体" w:hAnsi="宋体" w:eastAsia="宋体" w:cs="宋体"/>
                <w:kern w:val="0"/>
                <w:sz w:val="21"/>
                <w:szCs w:val="21"/>
                <w:highlight w:val="none"/>
                <w:lang w:eastAsia="zh-CN" w:bidi="ar"/>
              </w:rPr>
              <w:t>）</w:t>
            </w:r>
            <w:r>
              <w:rPr>
                <w:rFonts w:hint="eastAsia" w:ascii="宋体" w:hAnsi="宋体" w:eastAsia="宋体" w:cs="宋体"/>
                <w:kern w:val="0"/>
                <w:sz w:val="21"/>
                <w:szCs w:val="21"/>
                <w:highlight w:val="none"/>
                <w:lang w:val="en-US" w:eastAsia="zh-CN" w:bidi="ar"/>
              </w:rPr>
              <w:t>进行综合评分</w:t>
            </w:r>
            <w:r>
              <w:rPr>
                <w:rFonts w:hint="eastAsia" w:ascii="宋体" w:hAnsi="宋体" w:eastAsia="宋体" w:cs="宋体"/>
                <w:kern w:val="0"/>
                <w:sz w:val="21"/>
                <w:szCs w:val="21"/>
                <w:highlight w:val="none"/>
                <w:lang w:bidi="ar"/>
              </w:rPr>
              <w:t>：</w:t>
            </w:r>
          </w:p>
          <w:p w14:paraId="07DE9004">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w:t>
            </w:r>
            <w:r>
              <w:rPr>
                <w:rFonts w:hint="eastAsia" w:ascii="宋体" w:hAnsi="宋体" w:eastAsia="宋体" w:cs="宋体"/>
                <w:kern w:val="0"/>
                <w:sz w:val="21"/>
                <w:szCs w:val="21"/>
                <w:highlight w:val="none"/>
                <w:lang w:eastAsia="zh-CN" w:bidi="ar"/>
              </w:rPr>
              <w:t>、</w:t>
            </w:r>
            <w:r>
              <w:rPr>
                <w:rFonts w:hint="eastAsia" w:ascii="宋体" w:hAnsi="宋体" w:eastAsia="宋体" w:cs="宋体"/>
                <w:kern w:val="0"/>
                <w:sz w:val="21"/>
                <w:szCs w:val="21"/>
                <w:highlight w:val="none"/>
                <w:lang w:bidi="ar"/>
              </w:rPr>
              <w:t>具有信息系统项目管理师（高级）资质证书或系统集成项目管理工程师（中级）得1分</w:t>
            </w:r>
            <w:r>
              <w:rPr>
                <w:rFonts w:hint="eastAsia" w:ascii="宋体" w:hAnsi="宋体" w:eastAsia="宋体" w:cs="宋体"/>
                <w:kern w:val="0"/>
                <w:sz w:val="21"/>
                <w:szCs w:val="21"/>
                <w:highlight w:val="none"/>
                <w:lang w:eastAsia="zh-CN" w:bidi="ar"/>
              </w:rPr>
              <w:t>，</w:t>
            </w:r>
            <w:r>
              <w:rPr>
                <w:rFonts w:hint="eastAsia" w:ascii="宋体" w:hAnsi="宋体" w:eastAsia="宋体" w:cs="宋体"/>
                <w:kern w:val="0"/>
                <w:sz w:val="21"/>
                <w:szCs w:val="21"/>
                <w:highlight w:val="none"/>
                <w:lang w:bidi="ar"/>
              </w:rPr>
              <w:t>此项最高得</w:t>
            </w:r>
            <w:r>
              <w:rPr>
                <w:rFonts w:hint="eastAsia" w:ascii="宋体" w:hAnsi="宋体" w:cs="宋体"/>
                <w:kern w:val="0"/>
                <w:sz w:val="21"/>
                <w:szCs w:val="21"/>
                <w:highlight w:val="none"/>
                <w:lang w:val="en-US" w:eastAsia="zh-CN" w:bidi="ar"/>
              </w:rPr>
              <w:t>1</w:t>
            </w:r>
            <w:r>
              <w:rPr>
                <w:rFonts w:hint="eastAsia" w:ascii="宋体" w:hAnsi="宋体" w:eastAsia="宋体" w:cs="宋体"/>
                <w:kern w:val="0"/>
                <w:sz w:val="21"/>
                <w:szCs w:val="21"/>
                <w:highlight w:val="none"/>
                <w:lang w:bidi="ar"/>
              </w:rPr>
              <w:t>分；</w:t>
            </w:r>
          </w:p>
          <w:p w14:paraId="709AD8E0">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w:t>
            </w:r>
            <w:r>
              <w:rPr>
                <w:rFonts w:hint="eastAsia" w:ascii="宋体" w:hAnsi="宋体" w:eastAsia="宋体" w:cs="宋体"/>
                <w:kern w:val="0"/>
                <w:sz w:val="21"/>
                <w:szCs w:val="21"/>
                <w:highlight w:val="none"/>
                <w:lang w:eastAsia="zh-CN" w:bidi="ar"/>
              </w:rPr>
              <w:t>、</w:t>
            </w:r>
            <w:r>
              <w:rPr>
                <w:rFonts w:hint="eastAsia" w:ascii="宋体" w:hAnsi="宋体" w:eastAsia="宋体" w:cs="宋体"/>
                <w:kern w:val="0"/>
                <w:sz w:val="21"/>
                <w:szCs w:val="21"/>
                <w:highlight w:val="none"/>
                <w:lang w:bidi="ar"/>
              </w:rPr>
              <w:t>具有信息技术相关专业高级工程师证书</w:t>
            </w:r>
            <w:r>
              <w:rPr>
                <w:rFonts w:hint="eastAsia" w:ascii="宋体" w:hAnsi="宋体" w:cs="宋体"/>
                <w:kern w:val="0"/>
                <w:sz w:val="21"/>
                <w:szCs w:val="21"/>
                <w:highlight w:val="none"/>
                <w:lang w:eastAsia="zh-CN" w:bidi="ar"/>
              </w:rPr>
              <w:t>的，</w:t>
            </w:r>
            <w:r>
              <w:rPr>
                <w:rFonts w:hint="eastAsia" w:ascii="宋体" w:hAnsi="宋体" w:eastAsia="宋体" w:cs="宋体"/>
                <w:kern w:val="0"/>
                <w:sz w:val="21"/>
                <w:szCs w:val="21"/>
                <w:highlight w:val="none"/>
                <w:lang w:bidi="ar"/>
              </w:rPr>
              <w:t>得2分，</w:t>
            </w:r>
            <w:r>
              <w:rPr>
                <w:rFonts w:hint="eastAsia" w:ascii="宋体" w:hAnsi="宋体" w:cs="宋体"/>
                <w:kern w:val="0"/>
                <w:sz w:val="21"/>
                <w:szCs w:val="21"/>
                <w:highlight w:val="none"/>
                <w:lang w:val="en-US" w:eastAsia="zh-CN" w:bidi="ar"/>
              </w:rPr>
              <w:t>具有</w:t>
            </w:r>
            <w:r>
              <w:rPr>
                <w:rFonts w:hint="eastAsia" w:ascii="宋体" w:hAnsi="宋体" w:eastAsia="宋体" w:cs="宋体"/>
                <w:kern w:val="0"/>
                <w:sz w:val="21"/>
                <w:szCs w:val="21"/>
                <w:highlight w:val="none"/>
                <w:lang w:bidi="ar"/>
              </w:rPr>
              <w:t>信息技术相关专业工程师得1分</w:t>
            </w:r>
            <w:r>
              <w:rPr>
                <w:rFonts w:hint="eastAsia" w:ascii="宋体" w:hAnsi="宋体" w:eastAsia="宋体" w:cs="宋体"/>
                <w:kern w:val="0"/>
                <w:sz w:val="21"/>
                <w:szCs w:val="21"/>
                <w:highlight w:val="none"/>
                <w:lang w:eastAsia="zh-CN" w:bidi="ar"/>
              </w:rPr>
              <w:t>，</w:t>
            </w:r>
            <w:r>
              <w:rPr>
                <w:rFonts w:hint="eastAsia" w:ascii="宋体" w:hAnsi="宋体" w:eastAsia="宋体" w:cs="宋体"/>
                <w:kern w:val="0"/>
                <w:sz w:val="21"/>
                <w:szCs w:val="21"/>
                <w:highlight w:val="none"/>
                <w:lang w:bidi="ar"/>
              </w:rPr>
              <w:t>此项最高得2分；</w:t>
            </w:r>
          </w:p>
          <w:p w14:paraId="134B4AD8">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bidi="ar"/>
              </w:rPr>
              <w:t>3</w:t>
            </w:r>
            <w:r>
              <w:rPr>
                <w:rFonts w:hint="eastAsia" w:ascii="宋体" w:hAnsi="宋体" w:eastAsia="宋体" w:cs="宋体"/>
                <w:kern w:val="0"/>
                <w:sz w:val="21"/>
                <w:szCs w:val="21"/>
                <w:highlight w:val="none"/>
                <w:lang w:eastAsia="zh-CN" w:bidi="ar"/>
              </w:rPr>
              <w:t>、</w:t>
            </w:r>
            <w:r>
              <w:rPr>
                <w:rFonts w:hint="eastAsia" w:ascii="宋体" w:hAnsi="宋体" w:eastAsia="宋体" w:cs="宋体"/>
                <w:kern w:val="0"/>
                <w:sz w:val="21"/>
                <w:szCs w:val="21"/>
                <w:highlight w:val="none"/>
                <w:lang w:bidi="ar"/>
              </w:rPr>
              <w:t>具有CISAW（信息安全保障人员认证）或CISP（注册信息安全专业人员）证书得1分</w:t>
            </w:r>
            <w:r>
              <w:rPr>
                <w:rFonts w:hint="eastAsia" w:ascii="宋体" w:hAnsi="宋体" w:eastAsia="宋体" w:cs="宋体"/>
                <w:kern w:val="0"/>
                <w:sz w:val="21"/>
                <w:szCs w:val="21"/>
                <w:highlight w:val="none"/>
                <w:lang w:eastAsia="zh-CN" w:bidi="ar"/>
              </w:rPr>
              <w:t>，</w:t>
            </w:r>
            <w:r>
              <w:rPr>
                <w:rFonts w:hint="eastAsia" w:ascii="宋体" w:hAnsi="宋体" w:eastAsia="宋体" w:cs="宋体"/>
                <w:kern w:val="0"/>
                <w:sz w:val="21"/>
                <w:szCs w:val="21"/>
                <w:highlight w:val="none"/>
                <w:lang w:bidi="ar"/>
              </w:rPr>
              <w:t>此项最高得</w:t>
            </w:r>
            <w:r>
              <w:rPr>
                <w:rFonts w:hint="eastAsia" w:ascii="宋体" w:hAnsi="宋体" w:cs="宋体"/>
                <w:kern w:val="0"/>
                <w:sz w:val="21"/>
                <w:szCs w:val="21"/>
                <w:highlight w:val="none"/>
                <w:lang w:val="en-US" w:eastAsia="zh-CN" w:bidi="ar"/>
              </w:rPr>
              <w:t>1</w:t>
            </w:r>
            <w:r>
              <w:rPr>
                <w:rFonts w:hint="eastAsia" w:ascii="宋体" w:hAnsi="宋体" w:eastAsia="宋体" w:cs="宋体"/>
                <w:kern w:val="0"/>
                <w:sz w:val="21"/>
                <w:szCs w:val="21"/>
                <w:highlight w:val="none"/>
                <w:lang w:bidi="ar"/>
              </w:rPr>
              <w:t>分</w:t>
            </w:r>
            <w:r>
              <w:rPr>
                <w:rFonts w:hint="eastAsia" w:ascii="宋体" w:hAnsi="宋体" w:cs="宋体"/>
                <w:kern w:val="0"/>
                <w:sz w:val="21"/>
                <w:szCs w:val="21"/>
                <w:highlight w:val="none"/>
                <w:lang w:eastAsia="zh-CN" w:bidi="ar"/>
              </w:rPr>
              <w:t>。</w:t>
            </w:r>
          </w:p>
          <w:p w14:paraId="6A2733BA">
            <w:pPr>
              <w:widowControl/>
              <w:spacing w:line="360" w:lineRule="auto"/>
              <w:textAlignment w:val="center"/>
              <w:rPr>
                <w:rFonts w:hint="eastAsia" w:ascii="宋体" w:hAnsi="宋体" w:eastAsia="宋体" w:cs="宋体"/>
                <w:b/>
                <w:bCs/>
                <w:sz w:val="21"/>
                <w:szCs w:val="21"/>
                <w:highlight w:val="none"/>
              </w:rPr>
            </w:pPr>
            <w:r>
              <w:rPr>
                <w:rFonts w:hint="eastAsia" w:ascii="宋体" w:hAnsi="宋体" w:eastAsia="宋体" w:cs="宋体"/>
                <w:b/>
                <w:bCs/>
                <w:kern w:val="0"/>
                <w:sz w:val="21"/>
                <w:szCs w:val="21"/>
                <w:highlight w:val="none"/>
                <w:lang w:val="en-US" w:eastAsia="zh-CN" w:bidi="ar"/>
              </w:rPr>
              <w:t>注：</w:t>
            </w:r>
            <w:r>
              <w:rPr>
                <w:rFonts w:hint="eastAsia" w:ascii="宋体" w:hAnsi="宋体" w:eastAsia="宋体" w:cs="宋体"/>
                <w:b/>
                <w:bCs/>
                <w:kern w:val="0"/>
                <w:sz w:val="21"/>
                <w:szCs w:val="21"/>
                <w:highlight w:val="none"/>
                <w:lang w:bidi="ar"/>
              </w:rPr>
              <w:t>提供相关证书复印件及响应人为其缴纳的近三个月中任意一个月社保证明并加盖响应人公章，未提供不得分。</w:t>
            </w:r>
          </w:p>
        </w:tc>
        <w:tc>
          <w:tcPr>
            <w:tcW w:w="417" w:type="pct"/>
            <w:noWrap w:val="0"/>
            <w:vAlign w:val="center"/>
          </w:tcPr>
          <w:p w14:paraId="71F3828F">
            <w:pPr>
              <w:widowControl/>
              <w:spacing w:line="360" w:lineRule="auto"/>
              <w:jc w:val="center"/>
              <w:textAlignment w:val="center"/>
              <w:rPr>
                <w:rFonts w:hint="eastAsia" w:ascii="宋体" w:hAnsi="宋体" w:eastAsia="宋体" w:cs="宋体"/>
                <w:sz w:val="21"/>
                <w:szCs w:val="21"/>
                <w:highlight w:val="none"/>
                <w:lang w:eastAsia="zh-CN"/>
              </w:rPr>
            </w:pPr>
            <w:r>
              <w:rPr>
                <w:rFonts w:hint="eastAsia" w:ascii="宋体" w:hAnsi="宋体" w:eastAsia="宋体" w:cs="宋体"/>
                <w:kern w:val="0"/>
                <w:sz w:val="21"/>
                <w:szCs w:val="21"/>
                <w:highlight w:val="none"/>
                <w:lang w:val="en-US" w:eastAsia="zh-CN" w:bidi="ar"/>
              </w:rPr>
              <w:t>4</w:t>
            </w:r>
          </w:p>
        </w:tc>
      </w:tr>
      <w:tr w14:paraId="5181D1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062" w:hRule="atLeast"/>
          <w:jc w:val="center"/>
        </w:trPr>
        <w:tc>
          <w:tcPr>
            <w:tcW w:w="343" w:type="pct"/>
            <w:noWrap w:val="0"/>
            <w:vAlign w:val="center"/>
          </w:tcPr>
          <w:p w14:paraId="5A29EEE8">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54626D79">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技术负责人</w:t>
            </w:r>
          </w:p>
        </w:tc>
        <w:tc>
          <w:tcPr>
            <w:tcW w:w="346" w:type="pct"/>
            <w:noWrap w:val="0"/>
            <w:vAlign w:val="center"/>
          </w:tcPr>
          <w:p w14:paraId="5E225149">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客观</w:t>
            </w:r>
          </w:p>
        </w:tc>
        <w:tc>
          <w:tcPr>
            <w:tcW w:w="3556" w:type="pct"/>
            <w:noWrap w:val="0"/>
            <w:vAlign w:val="center"/>
          </w:tcPr>
          <w:p w14:paraId="185922D6">
            <w:pPr>
              <w:pStyle w:val="10"/>
              <w:spacing w:line="360" w:lineRule="auto"/>
              <w:rPr>
                <w:rStyle w:val="62"/>
                <w:rFonts w:hint="eastAsia" w:ascii="宋体" w:hAnsi="宋体" w:eastAsia="宋体" w:cs="宋体"/>
                <w:b w:val="0"/>
                <w:bCs/>
                <w:color w:val="auto"/>
                <w:sz w:val="21"/>
                <w:szCs w:val="21"/>
                <w:highlight w:val="none"/>
                <w:lang w:eastAsia="zh-CN" w:bidi="ar"/>
              </w:rPr>
            </w:pPr>
            <w:r>
              <w:rPr>
                <w:rStyle w:val="62"/>
                <w:rFonts w:hint="eastAsia" w:ascii="宋体" w:hAnsi="宋体" w:eastAsia="宋体" w:cs="宋体"/>
                <w:b w:val="0"/>
                <w:bCs/>
                <w:color w:val="auto"/>
                <w:sz w:val="21"/>
                <w:szCs w:val="21"/>
                <w:highlight w:val="none"/>
                <w:lang w:eastAsia="zh-CN" w:bidi="ar"/>
              </w:rPr>
              <w:t>根据响应人拟派的技术负责人（</w:t>
            </w:r>
            <w:r>
              <w:rPr>
                <w:rStyle w:val="62"/>
                <w:rFonts w:hint="eastAsia" w:ascii="宋体" w:hAnsi="宋体" w:eastAsia="宋体" w:cs="宋体"/>
                <w:b w:val="0"/>
                <w:bCs/>
                <w:color w:val="auto"/>
                <w:sz w:val="21"/>
                <w:szCs w:val="21"/>
                <w:highlight w:val="none"/>
                <w:lang w:val="en-US" w:eastAsia="zh-CN" w:bidi="ar"/>
              </w:rPr>
              <w:t>1人</w:t>
            </w:r>
            <w:r>
              <w:rPr>
                <w:rStyle w:val="62"/>
                <w:rFonts w:hint="eastAsia" w:ascii="宋体" w:hAnsi="宋体" w:eastAsia="宋体" w:cs="宋体"/>
                <w:b w:val="0"/>
                <w:bCs/>
                <w:color w:val="auto"/>
                <w:sz w:val="21"/>
                <w:szCs w:val="21"/>
                <w:highlight w:val="none"/>
                <w:lang w:eastAsia="zh-CN" w:bidi="ar"/>
              </w:rPr>
              <w:t>）</w:t>
            </w:r>
            <w:r>
              <w:rPr>
                <w:rStyle w:val="62"/>
                <w:rFonts w:hint="eastAsia" w:ascii="宋体" w:hAnsi="宋体" w:eastAsia="宋体" w:cs="宋体"/>
                <w:b w:val="0"/>
                <w:bCs/>
                <w:color w:val="auto"/>
                <w:sz w:val="21"/>
                <w:szCs w:val="21"/>
                <w:highlight w:val="none"/>
                <w:lang w:val="en-US" w:eastAsia="zh-CN" w:bidi="ar"/>
              </w:rPr>
              <w:t>进行综合评分</w:t>
            </w:r>
            <w:r>
              <w:rPr>
                <w:rStyle w:val="62"/>
                <w:rFonts w:hint="eastAsia" w:ascii="宋体" w:hAnsi="宋体" w:eastAsia="宋体" w:cs="宋体"/>
                <w:b w:val="0"/>
                <w:bCs/>
                <w:color w:val="auto"/>
                <w:sz w:val="21"/>
                <w:szCs w:val="21"/>
                <w:highlight w:val="none"/>
                <w:lang w:eastAsia="zh-CN" w:bidi="ar"/>
              </w:rPr>
              <w:t>：</w:t>
            </w:r>
          </w:p>
          <w:p w14:paraId="71A96BCC">
            <w:pPr>
              <w:pStyle w:val="10"/>
              <w:keepNext w:val="0"/>
              <w:keepLines w:val="0"/>
              <w:pageBreakBefore w:val="0"/>
              <w:widowControl w:val="0"/>
              <w:kinsoku/>
              <w:wordWrap/>
              <w:overflowPunct/>
              <w:topLinePunct w:val="0"/>
              <w:autoSpaceDE/>
              <w:autoSpaceDN/>
              <w:bidi w:val="0"/>
              <w:adjustRightInd/>
              <w:snapToGrid/>
              <w:spacing w:line="360" w:lineRule="auto"/>
              <w:textAlignment w:val="auto"/>
              <w:rPr>
                <w:rStyle w:val="62"/>
                <w:rFonts w:hint="eastAsia" w:ascii="宋体" w:hAnsi="宋体" w:eastAsia="宋体" w:cs="宋体"/>
                <w:b w:val="0"/>
                <w:bCs/>
                <w:color w:val="auto"/>
                <w:sz w:val="21"/>
                <w:szCs w:val="21"/>
                <w:highlight w:val="none"/>
                <w:lang w:eastAsia="zh-CN" w:bidi="ar"/>
              </w:rPr>
            </w:pPr>
            <w:r>
              <w:rPr>
                <w:rStyle w:val="62"/>
                <w:rFonts w:hint="eastAsia" w:ascii="宋体" w:hAnsi="宋体" w:eastAsia="宋体" w:cs="宋体"/>
                <w:b w:val="0"/>
                <w:bCs/>
                <w:color w:val="auto"/>
                <w:sz w:val="21"/>
                <w:szCs w:val="21"/>
                <w:highlight w:val="none"/>
                <w:lang w:eastAsia="zh-CN" w:bidi="ar"/>
              </w:rPr>
              <w:t>1、具有信息系统项目管理师高级证书得1分；</w:t>
            </w:r>
          </w:p>
          <w:p w14:paraId="06A233DD">
            <w:pPr>
              <w:pStyle w:val="10"/>
              <w:keepNext w:val="0"/>
              <w:keepLines w:val="0"/>
              <w:pageBreakBefore w:val="0"/>
              <w:widowControl w:val="0"/>
              <w:kinsoku/>
              <w:wordWrap/>
              <w:overflowPunct/>
              <w:topLinePunct w:val="0"/>
              <w:autoSpaceDE/>
              <w:autoSpaceDN/>
              <w:bidi w:val="0"/>
              <w:adjustRightInd/>
              <w:snapToGrid/>
              <w:spacing w:line="360" w:lineRule="auto"/>
              <w:textAlignment w:val="auto"/>
              <w:rPr>
                <w:rStyle w:val="62"/>
                <w:rFonts w:hint="eastAsia" w:ascii="宋体" w:hAnsi="宋体" w:eastAsia="宋体" w:cs="宋体"/>
                <w:b w:val="0"/>
                <w:bCs/>
                <w:color w:val="auto"/>
                <w:sz w:val="21"/>
                <w:szCs w:val="21"/>
                <w:highlight w:val="none"/>
                <w:lang w:eastAsia="zh-CN" w:bidi="ar"/>
              </w:rPr>
            </w:pPr>
            <w:r>
              <w:rPr>
                <w:rStyle w:val="62"/>
                <w:rFonts w:hint="eastAsia" w:ascii="宋体" w:hAnsi="宋体" w:eastAsia="宋体" w:cs="宋体"/>
                <w:b w:val="0"/>
                <w:bCs/>
                <w:color w:val="auto"/>
                <w:sz w:val="21"/>
                <w:szCs w:val="21"/>
                <w:highlight w:val="none"/>
                <w:lang w:eastAsia="zh-CN" w:bidi="ar"/>
              </w:rPr>
              <w:t>2、具有系统集成项目管理工程师证书得1分。</w:t>
            </w:r>
          </w:p>
          <w:p w14:paraId="741036DD">
            <w:pPr>
              <w:pStyle w:val="10"/>
              <w:spacing w:line="360" w:lineRule="auto"/>
              <w:rPr>
                <w:rStyle w:val="62"/>
                <w:rFonts w:hint="eastAsia" w:ascii="宋体" w:hAnsi="宋体" w:eastAsia="宋体" w:cs="宋体"/>
                <w:color w:val="auto"/>
                <w:sz w:val="21"/>
                <w:szCs w:val="21"/>
                <w:highlight w:val="none"/>
                <w:lang w:bidi="ar"/>
              </w:rPr>
            </w:pPr>
            <w:r>
              <w:rPr>
                <w:rStyle w:val="62"/>
                <w:rFonts w:hint="eastAsia" w:ascii="宋体" w:hAnsi="宋体" w:eastAsia="宋体" w:cs="宋体"/>
                <w:color w:val="auto"/>
                <w:sz w:val="21"/>
                <w:szCs w:val="21"/>
                <w:highlight w:val="none"/>
                <w:lang w:val="en-US" w:eastAsia="zh-CN" w:bidi="ar"/>
              </w:rPr>
              <w:t>注：</w:t>
            </w:r>
            <w:r>
              <w:rPr>
                <w:rStyle w:val="62"/>
                <w:rFonts w:hint="eastAsia" w:ascii="宋体" w:hAnsi="宋体" w:eastAsia="宋体" w:cs="宋体"/>
                <w:color w:val="auto"/>
                <w:sz w:val="21"/>
                <w:szCs w:val="21"/>
                <w:highlight w:val="none"/>
                <w:lang w:eastAsia="zh-CN" w:bidi="ar"/>
              </w:rPr>
              <w:t>提供相关证书复印件及响应人为其缴纳的近三个月中任意一个月社保证明并加盖响应人公章，未提供不得分。</w:t>
            </w:r>
          </w:p>
        </w:tc>
        <w:tc>
          <w:tcPr>
            <w:tcW w:w="417" w:type="pct"/>
            <w:noWrap w:val="0"/>
            <w:vAlign w:val="center"/>
          </w:tcPr>
          <w:p w14:paraId="1ECFA336">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w:t>
            </w:r>
          </w:p>
        </w:tc>
      </w:tr>
      <w:tr w14:paraId="528ED88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286" w:hRule="atLeast"/>
          <w:jc w:val="center"/>
        </w:trPr>
        <w:tc>
          <w:tcPr>
            <w:tcW w:w="343" w:type="pct"/>
            <w:noWrap w:val="0"/>
            <w:vAlign w:val="center"/>
          </w:tcPr>
          <w:p w14:paraId="02816FC5">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15494E4B">
            <w:pPr>
              <w:widowControl/>
              <w:spacing w:line="360" w:lineRule="auto"/>
              <w:jc w:val="center"/>
              <w:textAlignment w:val="center"/>
              <w:rPr>
                <w:rFonts w:hint="default" w:ascii="宋体" w:hAnsi="宋体" w:eastAsia="宋体" w:cs="宋体"/>
                <w:sz w:val="21"/>
                <w:szCs w:val="21"/>
                <w:highlight w:val="none"/>
                <w:lang w:val="en-US" w:eastAsia="zh-CN"/>
              </w:rPr>
            </w:pPr>
            <w:r>
              <w:rPr>
                <w:rFonts w:hint="eastAsia" w:ascii="宋体" w:hAnsi="宋体" w:eastAsia="宋体" w:cs="宋体"/>
                <w:kern w:val="0"/>
                <w:sz w:val="21"/>
                <w:szCs w:val="21"/>
                <w:highlight w:val="none"/>
                <w:lang w:bidi="ar"/>
              </w:rPr>
              <w:t>项目</w:t>
            </w:r>
            <w:r>
              <w:rPr>
                <w:rFonts w:hint="eastAsia" w:ascii="宋体" w:hAnsi="宋体" w:eastAsia="宋体" w:cs="宋体"/>
                <w:kern w:val="0"/>
                <w:sz w:val="21"/>
                <w:szCs w:val="21"/>
                <w:highlight w:val="none"/>
                <w:lang w:val="en-US" w:eastAsia="zh-CN" w:bidi="ar"/>
              </w:rPr>
              <w:t>团队成员</w:t>
            </w:r>
          </w:p>
        </w:tc>
        <w:tc>
          <w:tcPr>
            <w:tcW w:w="346" w:type="pct"/>
            <w:noWrap w:val="0"/>
            <w:vAlign w:val="center"/>
          </w:tcPr>
          <w:p w14:paraId="2598867D">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客观</w:t>
            </w:r>
          </w:p>
        </w:tc>
        <w:tc>
          <w:tcPr>
            <w:tcW w:w="3556" w:type="pct"/>
            <w:noWrap w:val="0"/>
            <w:vAlign w:val="center"/>
          </w:tcPr>
          <w:p w14:paraId="2C9A4121">
            <w:pPr>
              <w:pStyle w:val="20"/>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bidi="ar"/>
              </w:rPr>
            </w:pPr>
            <w:r>
              <w:rPr>
                <w:rFonts w:hint="eastAsia" w:ascii="宋体" w:hAnsi="宋体" w:eastAsia="宋体" w:cs="宋体"/>
                <w:kern w:val="0"/>
                <w:sz w:val="21"/>
                <w:szCs w:val="21"/>
                <w:highlight w:val="none"/>
                <w:lang w:val="en-US" w:eastAsia="zh-CN" w:bidi="ar"/>
              </w:rPr>
              <w:t>根据响应人拟派团队成员（项目经理和技术负责人除外）进行综合评分：</w:t>
            </w:r>
          </w:p>
          <w:p w14:paraId="53D1E314">
            <w:pPr>
              <w:pStyle w:val="20"/>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kern w:val="0"/>
                <w:sz w:val="21"/>
                <w:szCs w:val="21"/>
                <w:highlight w:val="none"/>
                <w:lang w:val="en-US" w:eastAsia="zh-CN" w:bidi="ar"/>
              </w:rPr>
            </w:pPr>
            <w:r>
              <w:rPr>
                <w:rFonts w:hint="eastAsia" w:ascii="宋体" w:hAnsi="宋体" w:eastAsia="宋体" w:cs="宋体"/>
                <w:kern w:val="0"/>
                <w:sz w:val="21"/>
                <w:szCs w:val="21"/>
                <w:highlight w:val="none"/>
                <w:lang w:val="en-US" w:eastAsia="zh-CN" w:bidi="ar"/>
              </w:rPr>
              <w:t>具有数据治理工程师（CDGA）、ITSS-IT服务项目经理、数据库系统工程师（中级）、软件设计师（中级）、售后服务管理师证书的，每本证书得1分，本项最高得</w:t>
            </w:r>
            <w:r>
              <w:rPr>
                <w:rFonts w:hint="eastAsia" w:ascii="宋体" w:hAnsi="宋体" w:cs="宋体"/>
                <w:kern w:val="0"/>
                <w:sz w:val="21"/>
                <w:szCs w:val="21"/>
                <w:highlight w:val="none"/>
                <w:lang w:val="en-US" w:eastAsia="zh-CN" w:bidi="ar"/>
              </w:rPr>
              <w:t>5</w:t>
            </w:r>
            <w:r>
              <w:rPr>
                <w:rFonts w:hint="eastAsia" w:ascii="宋体" w:hAnsi="宋体" w:eastAsia="宋体" w:cs="宋体"/>
                <w:kern w:val="0"/>
                <w:sz w:val="21"/>
                <w:szCs w:val="21"/>
                <w:highlight w:val="none"/>
                <w:lang w:val="en-US" w:eastAsia="zh-CN" w:bidi="ar"/>
              </w:rPr>
              <w:t>分。</w:t>
            </w:r>
          </w:p>
          <w:p w14:paraId="084A7674">
            <w:pPr>
              <w:pStyle w:val="20"/>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1"/>
                <w:szCs w:val="21"/>
                <w:highlight w:val="none"/>
              </w:rPr>
            </w:pPr>
            <w:r>
              <w:rPr>
                <w:rFonts w:hint="eastAsia" w:ascii="宋体" w:hAnsi="宋体" w:eastAsia="宋体" w:cs="宋体"/>
                <w:b/>
                <w:bCs/>
                <w:kern w:val="0"/>
                <w:sz w:val="21"/>
                <w:szCs w:val="21"/>
                <w:lang w:val="en-US" w:eastAsia="zh-CN" w:bidi="ar"/>
              </w:rPr>
              <w:t>注：一人多证或多人同证的不重复得分。提供相关证书复印件及响应人为其缴纳的近三个月中任意一个月社保证明并加盖响应人公章，未提供不得分。</w:t>
            </w:r>
          </w:p>
        </w:tc>
        <w:tc>
          <w:tcPr>
            <w:tcW w:w="417" w:type="pct"/>
            <w:noWrap w:val="0"/>
            <w:vAlign w:val="center"/>
          </w:tcPr>
          <w:p w14:paraId="6EBE5D6D">
            <w:pPr>
              <w:widowControl/>
              <w:spacing w:line="360" w:lineRule="auto"/>
              <w:jc w:val="center"/>
              <w:textAlignment w:val="center"/>
              <w:rPr>
                <w:rFonts w:hint="eastAsia" w:ascii="宋体" w:hAnsi="宋体" w:eastAsia="宋体" w:cs="宋体"/>
                <w:sz w:val="21"/>
                <w:szCs w:val="21"/>
                <w:highlight w:val="none"/>
                <w:lang w:val="en-US" w:eastAsia="zh-CN"/>
              </w:rPr>
            </w:pPr>
            <w:r>
              <w:rPr>
                <w:rFonts w:hint="eastAsia" w:ascii="宋体" w:hAnsi="宋体" w:cs="宋体"/>
                <w:kern w:val="0"/>
                <w:sz w:val="21"/>
                <w:szCs w:val="21"/>
                <w:highlight w:val="none"/>
                <w:lang w:val="en-US" w:eastAsia="zh-CN" w:bidi="ar"/>
              </w:rPr>
              <w:t>5</w:t>
            </w:r>
          </w:p>
        </w:tc>
      </w:tr>
      <w:tr w14:paraId="53AB72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7103FB2E">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2BAFD215">
            <w:pPr>
              <w:widowControl/>
              <w:spacing w:line="360" w:lineRule="auto"/>
              <w:jc w:val="center"/>
              <w:textAlignment w:val="center"/>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项目现状分析</w:t>
            </w:r>
          </w:p>
        </w:tc>
        <w:tc>
          <w:tcPr>
            <w:tcW w:w="346" w:type="pct"/>
            <w:noWrap w:val="0"/>
            <w:vAlign w:val="center"/>
          </w:tcPr>
          <w:p w14:paraId="621B8F2B">
            <w:pPr>
              <w:widowControl/>
              <w:spacing w:line="360" w:lineRule="auto"/>
              <w:jc w:val="center"/>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val="en-US" w:eastAsia="zh-CN" w:bidi="ar"/>
              </w:rPr>
              <w:t>主观</w:t>
            </w:r>
          </w:p>
        </w:tc>
        <w:tc>
          <w:tcPr>
            <w:tcW w:w="3556" w:type="pct"/>
            <w:noWrap w:val="0"/>
            <w:vAlign w:val="center"/>
          </w:tcPr>
          <w:p w14:paraId="54CDB596">
            <w:pPr>
              <w:pStyle w:val="20"/>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根据响应人提供的项目整体现状分析、建设重点、定海区应用系统相符等情况，磋商小组据此进行综合评分：</w:t>
            </w:r>
          </w:p>
          <w:p w14:paraId="26D80D05">
            <w:pPr>
              <w:pStyle w:val="20"/>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1、对本项目的建设重点把握准确，与定海区应用系统的实际情况相符，熟悉定海区数据仓系统建设内容与运行现状，定海区内当前数据资源、应用系统的情况及现状考虑充分的，得5分；</w:t>
            </w:r>
          </w:p>
          <w:p w14:paraId="142D8759">
            <w:pPr>
              <w:pStyle w:val="20"/>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2、对本项目的建设重点把握基本准确，与定海区应用系统的实际情况基本相符，基本熟悉定海区数据仓系统建设内容与运行现状，定海区内当前数据资源、应用系统的情况及现状考虑基本充分的，得3分；</w:t>
            </w:r>
          </w:p>
          <w:p w14:paraId="658A1733">
            <w:pPr>
              <w:pStyle w:val="20"/>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3、对本项目的建设重点把握不够准确，与定海区应用系统的实际情况不够相符，不熟悉定海区数据仓系统建设内容与运行现状，定海区内当前数据资源、应用系统的情况及现状考虑不够充分的，得1分；</w:t>
            </w:r>
          </w:p>
          <w:p w14:paraId="16E03209">
            <w:pPr>
              <w:pStyle w:val="20"/>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4、未提供不得分</w:t>
            </w:r>
            <w:r>
              <w:rPr>
                <w:rFonts w:hint="eastAsia" w:ascii="宋体" w:hAnsi="宋体" w:cs="宋体"/>
                <w:sz w:val="21"/>
                <w:szCs w:val="21"/>
                <w:highlight w:val="none"/>
                <w:lang w:eastAsia="zh-CN"/>
              </w:rPr>
              <w:t>。</w:t>
            </w:r>
          </w:p>
        </w:tc>
        <w:tc>
          <w:tcPr>
            <w:tcW w:w="417" w:type="pct"/>
            <w:noWrap w:val="0"/>
            <w:vAlign w:val="center"/>
          </w:tcPr>
          <w:p w14:paraId="04E5F500">
            <w:pPr>
              <w:widowControl/>
              <w:spacing w:line="360" w:lineRule="auto"/>
              <w:jc w:val="center"/>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val="en-US" w:eastAsia="zh-CN" w:bidi="ar"/>
              </w:rPr>
              <w:t>5</w:t>
            </w:r>
          </w:p>
        </w:tc>
      </w:tr>
      <w:tr w14:paraId="7AD1E0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766E3DA2">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3A30B6E1">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sz w:val="21"/>
                <w:szCs w:val="21"/>
                <w:highlight w:val="none"/>
              </w:rPr>
              <w:t>整体解决方案</w:t>
            </w:r>
          </w:p>
        </w:tc>
        <w:tc>
          <w:tcPr>
            <w:tcW w:w="346" w:type="pct"/>
            <w:noWrap w:val="0"/>
            <w:vAlign w:val="center"/>
          </w:tcPr>
          <w:p w14:paraId="4C205851">
            <w:pPr>
              <w:widowControl/>
              <w:spacing w:line="360" w:lineRule="auto"/>
              <w:jc w:val="center"/>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val="en-US" w:eastAsia="zh-CN" w:bidi="ar"/>
              </w:rPr>
              <w:t>主观</w:t>
            </w:r>
          </w:p>
        </w:tc>
        <w:tc>
          <w:tcPr>
            <w:tcW w:w="3556" w:type="pct"/>
            <w:noWrap w:val="0"/>
            <w:vAlign w:val="center"/>
          </w:tcPr>
          <w:p w14:paraId="07886A6D">
            <w:pPr>
              <w:widowControl/>
              <w:spacing w:line="360" w:lineRule="auto"/>
              <w:textAlignment w:val="center"/>
              <w:rPr>
                <w:rFonts w:hint="eastAsia" w:ascii="宋体" w:hAnsi="宋体" w:eastAsia="宋体" w:cs="宋体"/>
                <w:kern w:val="0"/>
                <w:sz w:val="21"/>
                <w:szCs w:val="21"/>
                <w:highlight w:val="none"/>
                <w:lang w:val="en-US" w:eastAsia="zh-CN" w:bidi="ar"/>
              </w:rPr>
            </w:pPr>
            <w:r>
              <w:rPr>
                <w:rFonts w:hint="eastAsia" w:ascii="宋体" w:hAnsi="宋体" w:eastAsia="宋体" w:cs="宋体"/>
                <w:kern w:val="0"/>
                <w:sz w:val="21"/>
                <w:szCs w:val="21"/>
                <w:highlight w:val="none"/>
                <w:lang w:val="en-US" w:eastAsia="zh-CN" w:bidi="ar"/>
              </w:rPr>
              <w:t>根据响应人提供的项目需求分析、建设目标、任务理解、用户系统运行环境、性能指标要求、解决方案、技术架构等详细程度，磋商小组据此进行综合评分：</w:t>
            </w:r>
          </w:p>
          <w:p w14:paraId="6BC3D5EF">
            <w:pPr>
              <w:widowControl/>
              <w:spacing w:line="360" w:lineRule="auto"/>
              <w:textAlignment w:val="center"/>
              <w:rPr>
                <w:rFonts w:hint="eastAsia" w:ascii="宋体" w:hAnsi="宋体" w:eastAsia="宋体" w:cs="宋体"/>
                <w:kern w:val="0"/>
                <w:sz w:val="21"/>
                <w:szCs w:val="21"/>
                <w:highlight w:val="none"/>
                <w:lang w:val="en-US" w:eastAsia="zh-CN" w:bidi="ar"/>
              </w:rPr>
            </w:pPr>
            <w:r>
              <w:rPr>
                <w:rFonts w:hint="eastAsia" w:ascii="宋体" w:hAnsi="宋体" w:eastAsia="宋体" w:cs="宋体"/>
                <w:kern w:val="0"/>
                <w:sz w:val="21"/>
                <w:szCs w:val="21"/>
                <w:highlight w:val="none"/>
                <w:lang w:val="en-US" w:eastAsia="zh-CN" w:bidi="ar"/>
              </w:rPr>
              <w:t>1、整体技术方案编制完整、内容齐全，技术架构优秀，对用户需求、建设目标与任务的理解准确、完整，对用户系统运行环境、性能指标要求的理解准确的得5分；</w:t>
            </w:r>
          </w:p>
          <w:p w14:paraId="36153A90">
            <w:pPr>
              <w:widowControl/>
              <w:spacing w:line="360" w:lineRule="auto"/>
              <w:textAlignment w:val="center"/>
              <w:rPr>
                <w:rFonts w:hint="eastAsia" w:ascii="宋体" w:hAnsi="宋体" w:eastAsia="宋体" w:cs="宋体"/>
                <w:kern w:val="0"/>
                <w:sz w:val="21"/>
                <w:szCs w:val="21"/>
                <w:highlight w:val="none"/>
                <w:lang w:val="en-US" w:eastAsia="zh-CN" w:bidi="ar"/>
              </w:rPr>
            </w:pPr>
            <w:r>
              <w:rPr>
                <w:rFonts w:hint="eastAsia" w:ascii="宋体" w:hAnsi="宋体" w:eastAsia="宋体" w:cs="宋体"/>
                <w:kern w:val="0"/>
                <w:sz w:val="21"/>
                <w:szCs w:val="21"/>
                <w:highlight w:val="none"/>
                <w:lang w:val="en-US" w:eastAsia="zh-CN" w:bidi="ar"/>
              </w:rPr>
              <w:t>2、整体技术方案编制基本完整、内容基本齐全，技术架构比较优秀，对用户需求、建设目标与任务的理解基本准确，对用户系统运行环境、性能指标要求的理解基本准确的得3分；</w:t>
            </w:r>
          </w:p>
          <w:p w14:paraId="6E3FDE0D">
            <w:pPr>
              <w:widowControl/>
              <w:spacing w:line="360" w:lineRule="auto"/>
              <w:textAlignment w:val="center"/>
              <w:rPr>
                <w:rFonts w:hint="eastAsia" w:ascii="宋体" w:hAnsi="宋体" w:eastAsia="宋体" w:cs="宋体"/>
                <w:kern w:val="0"/>
                <w:sz w:val="21"/>
                <w:szCs w:val="21"/>
                <w:highlight w:val="none"/>
                <w:lang w:val="en-US" w:eastAsia="zh-CN" w:bidi="ar"/>
              </w:rPr>
            </w:pPr>
            <w:r>
              <w:rPr>
                <w:rFonts w:hint="eastAsia" w:ascii="宋体" w:hAnsi="宋体" w:eastAsia="宋体" w:cs="宋体"/>
                <w:kern w:val="0"/>
                <w:sz w:val="21"/>
                <w:szCs w:val="21"/>
                <w:highlight w:val="none"/>
                <w:lang w:val="en-US" w:eastAsia="zh-CN" w:bidi="ar"/>
              </w:rPr>
              <w:t>3、整体技术方案编制基本不够完整、内容不够齐全，技术架构一般，对用户需求、建设目标与任务的理解不够准确，对用户系统运行环境、性能指标要求的理解不够准确的，得1分；</w:t>
            </w:r>
          </w:p>
          <w:p w14:paraId="69379DEC">
            <w:pPr>
              <w:widowControl/>
              <w:spacing w:line="360" w:lineRule="auto"/>
              <w:textAlignment w:val="center"/>
              <w:rPr>
                <w:rFonts w:hint="eastAsia" w:ascii="宋体" w:hAnsi="宋体" w:eastAsia="宋体" w:cs="宋体"/>
                <w:kern w:val="0"/>
                <w:sz w:val="21"/>
                <w:szCs w:val="21"/>
                <w:highlight w:val="none"/>
                <w:lang w:val="en-US" w:eastAsia="zh-CN" w:bidi="ar"/>
              </w:rPr>
            </w:pPr>
            <w:r>
              <w:rPr>
                <w:rFonts w:hint="eastAsia" w:ascii="宋体" w:hAnsi="宋体" w:eastAsia="宋体" w:cs="宋体"/>
                <w:kern w:val="0"/>
                <w:sz w:val="21"/>
                <w:szCs w:val="21"/>
                <w:highlight w:val="none"/>
                <w:lang w:val="en-US" w:eastAsia="zh-CN" w:bidi="ar"/>
              </w:rPr>
              <w:t>4、未提供不得分。</w:t>
            </w:r>
          </w:p>
        </w:tc>
        <w:tc>
          <w:tcPr>
            <w:tcW w:w="417" w:type="pct"/>
            <w:noWrap w:val="0"/>
            <w:vAlign w:val="center"/>
          </w:tcPr>
          <w:p w14:paraId="08B257CD">
            <w:pPr>
              <w:widowControl/>
              <w:spacing w:line="360" w:lineRule="auto"/>
              <w:jc w:val="center"/>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val="en-US" w:eastAsia="zh-CN" w:bidi="ar"/>
              </w:rPr>
              <w:t>5</w:t>
            </w:r>
          </w:p>
        </w:tc>
      </w:tr>
      <w:tr w14:paraId="5B905F4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16B4D6CA">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vMerge w:val="restart"/>
            <w:noWrap w:val="0"/>
            <w:vAlign w:val="center"/>
          </w:tcPr>
          <w:p w14:paraId="2A9E6093">
            <w:pPr>
              <w:widowControl/>
              <w:spacing w:line="360" w:lineRule="auto"/>
              <w:jc w:val="center"/>
              <w:textAlignment w:val="center"/>
              <w:rPr>
                <w:rFonts w:hint="default" w:ascii="宋体" w:hAnsi="宋体" w:eastAsia="宋体" w:cs="宋体"/>
                <w:sz w:val="21"/>
                <w:szCs w:val="21"/>
                <w:highlight w:val="none"/>
                <w:lang w:val="en-US" w:eastAsia="zh-CN"/>
              </w:rPr>
            </w:pPr>
            <w:r>
              <w:rPr>
                <w:rFonts w:hint="eastAsia" w:ascii="宋体" w:hAnsi="宋体" w:eastAsia="宋体" w:cs="宋体"/>
                <w:kern w:val="0"/>
                <w:sz w:val="21"/>
                <w:szCs w:val="21"/>
                <w:highlight w:val="none"/>
                <w:lang w:val="en-US" w:eastAsia="zh-CN" w:bidi="ar"/>
              </w:rPr>
              <w:t>项目建设方案</w:t>
            </w:r>
          </w:p>
        </w:tc>
        <w:tc>
          <w:tcPr>
            <w:tcW w:w="346" w:type="pct"/>
            <w:shd w:val="clear" w:color="auto" w:fill="auto"/>
            <w:noWrap w:val="0"/>
            <w:vAlign w:val="center"/>
          </w:tcPr>
          <w:p w14:paraId="7A67156D">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0"/>
                <w:szCs w:val="20"/>
                <w:highlight w:val="none"/>
                <w:lang w:bidi="ar"/>
              </w:rPr>
              <w:t>主观</w:t>
            </w:r>
          </w:p>
        </w:tc>
        <w:tc>
          <w:tcPr>
            <w:tcW w:w="3556" w:type="pct"/>
            <w:noWrap w:val="0"/>
            <w:vAlign w:val="center"/>
          </w:tcPr>
          <w:p w14:paraId="0B5EE076">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根据响应人提供的</w:t>
            </w:r>
            <w:r>
              <w:rPr>
                <w:rFonts w:hint="eastAsia" w:ascii="宋体" w:hAnsi="宋体" w:cs="宋体"/>
                <w:kern w:val="0"/>
                <w:sz w:val="21"/>
                <w:szCs w:val="21"/>
                <w:highlight w:val="none"/>
                <w:lang w:val="en-US" w:eastAsia="zh-CN" w:bidi="ar"/>
              </w:rPr>
              <w:t>定海区数据标签建设服务</w:t>
            </w:r>
            <w:r>
              <w:rPr>
                <w:rFonts w:hint="eastAsia" w:ascii="宋体" w:hAnsi="宋体" w:eastAsia="宋体" w:cs="宋体"/>
                <w:kern w:val="0"/>
                <w:sz w:val="21"/>
                <w:szCs w:val="21"/>
                <w:highlight w:val="none"/>
                <w:lang w:bidi="ar"/>
              </w:rPr>
              <w:t>建设方案</w:t>
            </w:r>
            <w:r>
              <w:rPr>
                <w:rFonts w:hint="eastAsia" w:ascii="宋体" w:hAnsi="宋体" w:cs="宋体"/>
                <w:kern w:val="0"/>
                <w:sz w:val="21"/>
                <w:szCs w:val="21"/>
                <w:highlight w:val="none"/>
                <w:lang w:eastAsia="zh-CN" w:bidi="ar"/>
              </w:rPr>
              <w:t>：</w:t>
            </w:r>
            <w:r>
              <w:rPr>
                <w:rFonts w:hint="eastAsia" w:ascii="宋体" w:hAnsi="宋体" w:eastAsia="宋体" w:cs="宋体"/>
                <w:kern w:val="0"/>
                <w:sz w:val="21"/>
                <w:szCs w:val="21"/>
                <w:highlight w:val="none"/>
                <w:lang w:bidi="ar"/>
              </w:rPr>
              <w:t>对</w:t>
            </w:r>
            <w:r>
              <w:rPr>
                <w:rFonts w:hint="eastAsia" w:ascii="宋体" w:hAnsi="宋体" w:cs="宋体"/>
                <w:kern w:val="0"/>
                <w:sz w:val="21"/>
                <w:szCs w:val="21"/>
                <w:highlight w:val="none"/>
                <w:lang w:val="en-US" w:eastAsia="zh-CN" w:bidi="ar"/>
              </w:rPr>
              <w:t>方案中</w:t>
            </w:r>
            <w:r>
              <w:rPr>
                <w:rFonts w:hint="eastAsia" w:ascii="宋体" w:hAnsi="宋体" w:eastAsia="宋体" w:cs="宋体"/>
                <w:kern w:val="0"/>
                <w:sz w:val="21"/>
                <w:szCs w:val="21"/>
                <w:highlight w:val="none"/>
                <w:lang w:bidi="ar"/>
              </w:rPr>
              <w:t>省标签工具的使用情况，</w:t>
            </w:r>
            <w:r>
              <w:rPr>
                <w:rFonts w:hint="eastAsia" w:ascii="宋体" w:hAnsi="宋体" w:cs="宋体"/>
                <w:kern w:val="0"/>
                <w:sz w:val="21"/>
                <w:szCs w:val="21"/>
                <w:highlight w:val="none"/>
                <w:lang w:val="en-US" w:eastAsia="zh-CN" w:bidi="ar"/>
              </w:rPr>
              <w:t>技术要求的掌握情况</w:t>
            </w:r>
            <w:r>
              <w:rPr>
                <w:rFonts w:hint="eastAsia" w:ascii="宋体" w:hAnsi="宋体" w:eastAsia="宋体" w:cs="宋体"/>
                <w:kern w:val="0"/>
                <w:sz w:val="21"/>
                <w:szCs w:val="21"/>
                <w:highlight w:val="none"/>
                <w:lang w:bidi="ar"/>
              </w:rPr>
              <w:t>以及其对省、市、区（县）标签建设规范及要求的掌握程度</w:t>
            </w:r>
            <w:r>
              <w:rPr>
                <w:rFonts w:hint="eastAsia" w:ascii="宋体" w:hAnsi="宋体" w:cs="宋体"/>
                <w:kern w:val="0"/>
                <w:sz w:val="21"/>
                <w:szCs w:val="21"/>
                <w:highlight w:val="none"/>
                <w:lang w:eastAsia="zh-CN" w:bidi="ar"/>
              </w:rPr>
              <w:t>，</w:t>
            </w:r>
            <w:r>
              <w:rPr>
                <w:rFonts w:hint="eastAsia" w:ascii="宋体" w:hAnsi="宋体" w:eastAsia="宋体" w:cs="宋体"/>
                <w:kern w:val="0"/>
                <w:sz w:val="21"/>
                <w:szCs w:val="21"/>
                <w:highlight w:val="none"/>
                <w:lang w:val="en-US" w:eastAsia="zh-CN" w:bidi="ar"/>
              </w:rPr>
              <w:t>磋商小组据此进行综合评分</w:t>
            </w:r>
            <w:r>
              <w:rPr>
                <w:rFonts w:hint="eastAsia" w:ascii="宋体" w:hAnsi="宋体" w:eastAsia="宋体" w:cs="宋体"/>
                <w:kern w:val="0"/>
                <w:sz w:val="21"/>
                <w:szCs w:val="21"/>
                <w:highlight w:val="none"/>
                <w:lang w:bidi="ar"/>
              </w:rPr>
              <w:t>：</w:t>
            </w:r>
          </w:p>
          <w:p w14:paraId="4D2DC708">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w:t>
            </w:r>
            <w:r>
              <w:rPr>
                <w:rFonts w:hint="eastAsia" w:ascii="宋体" w:hAnsi="宋体" w:cs="宋体"/>
                <w:kern w:val="0"/>
                <w:sz w:val="21"/>
                <w:szCs w:val="21"/>
                <w:highlight w:val="none"/>
                <w:lang w:val="en-US" w:eastAsia="zh-CN" w:bidi="ar"/>
              </w:rPr>
              <w:t>使用情况阐述清晰，技术能力掌握扎实，熟悉省、市、区（县）标签建设规范及要求，完全满足用户需求的，得5分</w:t>
            </w:r>
          </w:p>
          <w:p w14:paraId="645338A3">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2.使用情况阐述基本清晰，技术能力掌握一般，基本了解省、市、区（县）标签建设规范及要求，部分满足用户需求的，得3分；</w:t>
            </w:r>
          </w:p>
          <w:p w14:paraId="20E4D7BD">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3、使用情况阐述模糊，技术能力掌握不足，对省、市、区（县）标签建设规范及要求了解有限，未能有效满足用户需求的，得1分；</w:t>
            </w:r>
          </w:p>
          <w:p w14:paraId="59557618">
            <w:pPr>
              <w:widowControl/>
              <w:spacing w:line="360" w:lineRule="auto"/>
              <w:textAlignment w:val="center"/>
              <w:rPr>
                <w:rStyle w:val="67"/>
                <w:rFonts w:hint="eastAsia" w:ascii="宋体" w:hAnsi="宋体" w:eastAsia="宋体" w:cs="宋体"/>
                <w:color w:val="auto"/>
                <w:sz w:val="21"/>
                <w:szCs w:val="21"/>
                <w:highlight w:val="none"/>
                <w:lang w:eastAsia="zh-CN" w:bidi="ar"/>
              </w:rPr>
            </w:pPr>
            <w:r>
              <w:rPr>
                <w:rFonts w:hint="eastAsia" w:ascii="宋体" w:hAnsi="宋体" w:eastAsia="宋体" w:cs="宋体"/>
                <w:kern w:val="0"/>
                <w:sz w:val="21"/>
                <w:szCs w:val="21"/>
                <w:highlight w:val="none"/>
                <w:lang w:bidi="ar"/>
              </w:rPr>
              <w:t>4、未提供使用情况说明，技术能力未达标，不掌握省、市、区（县）标签建设规范及要求，或完全不满足用户需求的，不得分</w:t>
            </w:r>
            <w:r>
              <w:rPr>
                <w:rFonts w:hint="eastAsia" w:ascii="宋体" w:hAnsi="宋体" w:cs="宋体"/>
                <w:kern w:val="0"/>
                <w:sz w:val="21"/>
                <w:szCs w:val="21"/>
                <w:highlight w:val="none"/>
                <w:lang w:eastAsia="zh-CN" w:bidi="ar"/>
              </w:rPr>
              <w:t>。</w:t>
            </w:r>
          </w:p>
        </w:tc>
        <w:tc>
          <w:tcPr>
            <w:tcW w:w="417" w:type="pct"/>
            <w:noWrap w:val="0"/>
            <w:vAlign w:val="center"/>
          </w:tcPr>
          <w:p w14:paraId="6127E29A">
            <w:pPr>
              <w:widowControl/>
              <w:spacing w:line="360" w:lineRule="auto"/>
              <w:jc w:val="center"/>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val="en-US" w:eastAsia="zh-CN" w:bidi="ar"/>
              </w:rPr>
              <w:t>5</w:t>
            </w:r>
          </w:p>
        </w:tc>
      </w:tr>
      <w:tr w14:paraId="6CE6A3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0E49925B">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vMerge w:val="continue"/>
            <w:noWrap w:val="0"/>
            <w:vAlign w:val="center"/>
          </w:tcPr>
          <w:p w14:paraId="0D586B40">
            <w:pPr>
              <w:widowControl/>
              <w:spacing w:line="360" w:lineRule="auto"/>
              <w:jc w:val="center"/>
              <w:textAlignment w:val="center"/>
              <w:rPr>
                <w:rFonts w:hint="eastAsia" w:ascii="宋体" w:hAnsi="宋体" w:eastAsia="宋体" w:cs="宋体"/>
                <w:sz w:val="21"/>
                <w:szCs w:val="21"/>
                <w:highlight w:val="none"/>
              </w:rPr>
            </w:pPr>
          </w:p>
        </w:tc>
        <w:tc>
          <w:tcPr>
            <w:tcW w:w="346" w:type="pct"/>
            <w:noWrap w:val="0"/>
            <w:vAlign w:val="center"/>
          </w:tcPr>
          <w:p w14:paraId="44D90CAE">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主观</w:t>
            </w:r>
          </w:p>
        </w:tc>
        <w:tc>
          <w:tcPr>
            <w:tcW w:w="3556" w:type="pct"/>
            <w:noWrap w:val="0"/>
            <w:vAlign w:val="center"/>
          </w:tcPr>
          <w:p w14:paraId="3B4FC5FC">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根据响应人提供的定海数据仓系统公共数据支撑技术解决方案，需根据舟山市发布的关于公共数据授权运营的相关意见材料，是否基于公共数据授权运营的支撑工具及支撑指标，磋商小组据此进行综合评分：</w:t>
            </w:r>
          </w:p>
          <w:p w14:paraId="535631A1">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1、充分掌握相关规范情况，提出符合实际、可行的授权运营支撑工具开发方案，满足用户数据授权运营需求的，得5分。</w:t>
            </w:r>
          </w:p>
          <w:p w14:paraId="49D4C19E">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2、基本掌握相关规范情况，提出基本可行的授权运营支撑工具开发方案，基本满足用户数据授权运营需求的得3分。</w:t>
            </w:r>
          </w:p>
          <w:p w14:paraId="4B0F4920">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3、相关规范情况掌握较差，没有提出符合实际、可行的授权运营支撑工具开发方案，部分满足用户数据授权运营需求的，得1分；</w:t>
            </w:r>
          </w:p>
          <w:p w14:paraId="68EE4EDE">
            <w:pPr>
              <w:widowControl/>
              <w:spacing w:line="360" w:lineRule="auto"/>
              <w:textAlignment w:val="center"/>
              <w:rPr>
                <w:rFonts w:hint="eastAsia" w:ascii="宋体" w:hAnsi="宋体" w:eastAsia="宋体" w:cs="宋体"/>
                <w:sz w:val="21"/>
                <w:szCs w:val="21"/>
                <w:highlight w:val="none"/>
                <w:lang w:eastAsia="zh-CN"/>
              </w:rPr>
            </w:pPr>
            <w:r>
              <w:rPr>
                <w:rFonts w:hint="eastAsia" w:ascii="宋体" w:hAnsi="宋体" w:eastAsia="宋体" w:cs="宋体"/>
                <w:kern w:val="0"/>
                <w:sz w:val="21"/>
                <w:szCs w:val="21"/>
                <w:highlight w:val="none"/>
                <w:lang w:bidi="ar"/>
              </w:rPr>
              <w:t>4、未提供不得分</w:t>
            </w:r>
            <w:r>
              <w:rPr>
                <w:rFonts w:hint="eastAsia" w:ascii="宋体" w:hAnsi="宋体" w:cs="宋体"/>
                <w:kern w:val="0"/>
                <w:sz w:val="21"/>
                <w:szCs w:val="21"/>
                <w:highlight w:val="none"/>
                <w:lang w:eastAsia="zh-CN" w:bidi="ar"/>
              </w:rPr>
              <w:t>。</w:t>
            </w:r>
          </w:p>
        </w:tc>
        <w:tc>
          <w:tcPr>
            <w:tcW w:w="417" w:type="pct"/>
            <w:noWrap w:val="0"/>
            <w:vAlign w:val="center"/>
          </w:tcPr>
          <w:p w14:paraId="2E4BDD7D">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5</w:t>
            </w:r>
          </w:p>
        </w:tc>
      </w:tr>
      <w:tr w14:paraId="3395F98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3B983AE7">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vMerge w:val="continue"/>
            <w:noWrap w:val="0"/>
            <w:vAlign w:val="center"/>
          </w:tcPr>
          <w:p w14:paraId="52CD100C">
            <w:pPr>
              <w:widowControl/>
              <w:spacing w:line="360" w:lineRule="auto"/>
              <w:jc w:val="center"/>
              <w:textAlignment w:val="center"/>
              <w:rPr>
                <w:rFonts w:hint="eastAsia" w:ascii="宋体" w:hAnsi="宋体" w:eastAsia="宋体" w:cs="宋体"/>
                <w:kern w:val="0"/>
                <w:sz w:val="21"/>
                <w:szCs w:val="21"/>
                <w:highlight w:val="none"/>
                <w:lang w:bidi="ar"/>
              </w:rPr>
            </w:pPr>
          </w:p>
        </w:tc>
        <w:tc>
          <w:tcPr>
            <w:tcW w:w="346" w:type="pct"/>
            <w:noWrap w:val="0"/>
            <w:vAlign w:val="center"/>
          </w:tcPr>
          <w:p w14:paraId="29BF79A0">
            <w:pPr>
              <w:widowControl/>
              <w:spacing w:line="360" w:lineRule="auto"/>
              <w:jc w:val="center"/>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val="en-US" w:eastAsia="zh-CN" w:bidi="ar"/>
              </w:rPr>
              <w:t>主观</w:t>
            </w:r>
          </w:p>
        </w:tc>
        <w:tc>
          <w:tcPr>
            <w:tcW w:w="3556" w:type="pct"/>
            <w:noWrap w:val="0"/>
            <w:vAlign w:val="center"/>
          </w:tcPr>
          <w:p w14:paraId="2A763C9E">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提供的数据运营运维服务实施方案是否结合定海区实际情况，是否充分考虑用户实际使用需求，是否提出切实可行的数据运营计划与技术方案，以及对定海区数据运营运维工作模式、业务流程的了解程度，磋商小组据此进行综合评分：</w:t>
            </w:r>
          </w:p>
          <w:p w14:paraId="57E96E4E">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1、方案描述全面，充分具体结合定海区实际情况，服务方案切实可行，充分考虑实际使用需求的，充分了解定海区数据运营运维工作模式、业务流程的得5分；</w:t>
            </w:r>
          </w:p>
          <w:p w14:paraId="71D3286B">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bidi="ar"/>
              </w:rPr>
              <w:t>2、方案描述较全面，基本结合了定海区实际情况，服务方案可行性一般，基本考虑实际使用需求的，基本了解定海区数据运营运维工作模式、业务流程的得3分</w:t>
            </w:r>
            <w:r>
              <w:rPr>
                <w:rFonts w:hint="eastAsia" w:ascii="宋体" w:hAnsi="宋体" w:cs="宋体"/>
                <w:kern w:val="0"/>
                <w:sz w:val="21"/>
                <w:szCs w:val="21"/>
                <w:highlight w:val="none"/>
                <w:lang w:eastAsia="zh-CN" w:bidi="ar"/>
              </w:rPr>
              <w:t>；</w:t>
            </w:r>
          </w:p>
          <w:p w14:paraId="16B23BEC">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bidi="ar"/>
              </w:rPr>
              <w:t>3、方案描述简略，未结合定海区实际情况，服务方案可行性较差，未考虑实际使用需求的，不了解定海区数据运营运维工作模式、业务流程的得1分</w:t>
            </w:r>
            <w:r>
              <w:rPr>
                <w:rFonts w:hint="eastAsia" w:ascii="宋体" w:hAnsi="宋体" w:cs="宋体"/>
                <w:kern w:val="0"/>
                <w:sz w:val="21"/>
                <w:szCs w:val="21"/>
                <w:highlight w:val="none"/>
                <w:lang w:eastAsia="zh-CN" w:bidi="ar"/>
              </w:rPr>
              <w:t>；</w:t>
            </w:r>
          </w:p>
          <w:p w14:paraId="5DE6D728">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4、未提供不得分。</w:t>
            </w:r>
          </w:p>
        </w:tc>
        <w:tc>
          <w:tcPr>
            <w:tcW w:w="417" w:type="pct"/>
            <w:noWrap w:val="0"/>
            <w:vAlign w:val="center"/>
          </w:tcPr>
          <w:p w14:paraId="10533272">
            <w:pPr>
              <w:widowControl/>
              <w:spacing w:line="360" w:lineRule="auto"/>
              <w:jc w:val="center"/>
              <w:textAlignment w:val="center"/>
              <w:rPr>
                <w:rFonts w:hint="eastAsia" w:ascii="宋体" w:hAnsi="宋体" w:eastAsia="宋体" w:cs="宋体"/>
                <w:kern w:val="0"/>
                <w:sz w:val="21"/>
                <w:szCs w:val="21"/>
                <w:highlight w:val="none"/>
                <w:lang w:val="en-US" w:eastAsia="zh-CN" w:bidi="ar"/>
              </w:rPr>
            </w:pPr>
            <w:r>
              <w:rPr>
                <w:rFonts w:hint="eastAsia" w:ascii="宋体" w:hAnsi="宋体" w:eastAsia="宋体" w:cs="宋体"/>
                <w:kern w:val="0"/>
                <w:sz w:val="21"/>
                <w:szCs w:val="21"/>
                <w:highlight w:val="none"/>
                <w:lang w:val="en-US" w:eastAsia="zh-CN" w:bidi="ar"/>
              </w:rPr>
              <w:t>5</w:t>
            </w:r>
          </w:p>
        </w:tc>
      </w:tr>
      <w:tr w14:paraId="1871A2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261" w:hRule="atLeast"/>
          <w:jc w:val="center"/>
        </w:trPr>
        <w:tc>
          <w:tcPr>
            <w:tcW w:w="343" w:type="pct"/>
            <w:noWrap w:val="0"/>
            <w:vAlign w:val="center"/>
          </w:tcPr>
          <w:p w14:paraId="23679B0F">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59945C53">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系统建设可行性方案</w:t>
            </w:r>
          </w:p>
        </w:tc>
        <w:tc>
          <w:tcPr>
            <w:tcW w:w="346" w:type="pct"/>
            <w:noWrap w:val="0"/>
            <w:vAlign w:val="center"/>
          </w:tcPr>
          <w:p w14:paraId="073925F2">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主观</w:t>
            </w:r>
          </w:p>
        </w:tc>
        <w:tc>
          <w:tcPr>
            <w:tcW w:w="3556" w:type="pct"/>
            <w:noWrap w:val="0"/>
            <w:vAlign w:val="center"/>
          </w:tcPr>
          <w:p w14:paraId="3BFC294E">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提供的系统建设可行性方案，包含其对原有定海区数据仓系统技术架构的理解，全面考虑了平台技术架构，并制定科学合理的定海区公共数据支撑平台二期项目建设方案。确保定海区数据标签建设服务、</w:t>
            </w:r>
            <w:r>
              <w:rPr>
                <w:rFonts w:hint="eastAsia" w:ascii="宋体" w:hAnsi="宋体" w:cs="宋体"/>
                <w:kern w:val="0"/>
                <w:sz w:val="21"/>
                <w:szCs w:val="21"/>
                <w:highlight w:val="none"/>
                <w:lang w:val="en-US" w:eastAsia="zh-CN" w:bidi="ar"/>
              </w:rPr>
              <w:t>公共</w:t>
            </w:r>
            <w:r>
              <w:rPr>
                <w:rFonts w:hint="eastAsia" w:ascii="宋体" w:hAnsi="宋体" w:eastAsia="宋体" w:cs="宋体"/>
                <w:kern w:val="0"/>
                <w:sz w:val="21"/>
                <w:szCs w:val="21"/>
                <w:highlight w:val="none"/>
                <w:lang w:bidi="ar"/>
              </w:rPr>
              <w:t>数据授权运营支撑工具与已建的定海区数据仓系统实现无缝对接，同时不影响区内各应用场景对公共数据的正常使用，磋商小组据此进行综合评分：</w:t>
            </w:r>
          </w:p>
          <w:p w14:paraId="63B9669D">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bidi="ar"/>
              </w:rPr>
              <w:t>1、系统建设可行性方案准确理解原系统架构，技术方案充分满足新建与已建系统无缝对接要求，得5分</w:t>
            </w:r>
            <w:r>
              <w:rPr>
                <w:rFonts w:hint="eastAsia" w:ascii="宋体" w:hAnsi="宋体" w:cs="宋体"/>
                <w:kern w:val="0"/>
                <w:sz w:val="21"/>
                <w:szCs w:val="21"/>
                <w:highlight w:val="none"/>
                <w:lang w:eastAsia="zh-CN" w:bidi="ar"/>
              </w:rPr>
              <w:t>；</w:t>
            </w:r>
          </w:p>
          <w:p w14:paraId="7C4D419D">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2、系统建设可行性方案对原系统架构理解基本清晰，且技术方案中关于新建系统与已建系统无缝对接的规划较为合理，基本满足需求，得3分；</w:t>
            </w:r>
          </w:p>
          <w:p w14:paraId="1D1110A3">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3、系统建设可行性方案对原系统架构的理解不充分，技术方案中关于新建系统与已建系统无缝对接的规划较为笼统的，得1分；</w:t>
            </w:r>
          </w:p>
          <w:p w14:paraId="45B99779">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4、未提供不得分。</w:t>
            </w:r>
          </w:p>
        </w:tc>
        <w:tc>
          <w:tcPr>
            <w:tcW w:w="417" w:type="pct"/>
            <w:noWrap w:val="0"/>
            <w:vAlign w:val="center"/>
          </w:tcPr>
          <w:p w14:paraId="05C57A12">
            <w:pPr>
              <w:widowControl/>
              <w:spacing w:line="360" w:lineRule="auto"/>
              <w:jc w:val="center"/>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val="en-US" w:eastAsia="zh-CN" w:bidi="ar"/>
              </w:rPr>
              <w:t>5</w:t>
            </w:r>
          </w:p>
        </w:tc>
      </w:tr>
      <w:tr w14:paraId="59C8B5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748" w:hRule="atLeast"/>
          <w:jc w:val="center"/>
        </w:trPr>
        <w:tc>
          <w:tcPr>
            <w:tcW w:w="343" w:type="pct"/>
            <w:noWrap w:val="0"/>
            <w:vAlign w:val="center"/>
          </w:tcPr>
          <w:p w14:paraId="3A87687B">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5278D156">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响应方案</w:t>
            </w:r>
          </w:p>
        </w:tc>
        <w:tc>
          <w:tcPr>
            <w:tcW w:w="346" w:type="pct"/>
            <w:noWrap w:val="0"/>
            <w:vAlign w:val="center"/>
          </w:tcPr>
          <w:p w14:paraId="623BC731">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主观</w:t>
            </w:r>
          </w:p>
        </w:tc>
        <w:tc>
          <w:tcPr>
            <w:tcW w:w="3556" w:type="pct"/>
            <w:noWrap w:val="0"/>
            <w:vAlign w:val="center"/>
          </w:tcPr>
          <w:p w14:paraId="4FE566AE">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根据响应人提供的响应方案与需求的符合程度，方案是否科学合理、安全严密，是否有独到的优势，磋商小组据此进行综合评分：</w:t>
            </w:r>
          </w:p>
          <w:p w14:paraId="386C83E2">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bidi="ar"/>
              </w:rPr>
              <w:t>1、响应方案描述全面，科学合理性强，具有独到优势的，得4分</w:t>
            </w:r>
            <w:r>
              <w:rPr>
                <w:rFonts w:hint="eastAsia" w:ascii="宋体" w:hAnsi="宋体" w:cs="宋体"/>
                <w:kern w:val="0"/>
                <w:sz w:val="21"/>
                <w:szCs w:val="21"/>
                <w:highlight w:val="none"/>
                <w:lang w:eastAsia="zh-CN" w:bidi="ar"/>
              </w:rPr>
              <w:t>；</w:t>
            </w:r>
          </w:p>
          <w:p w14:paraId="07CCC56C">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bidi="ar"/>
              </w:rPr>
              <w:t>2、响应方案描述较为全面，科学合理性一般，具有一定优势的，得2分</w:t>
            </w:r>
            <w:r>
              <w:rPr>
                <w:rFonts w:hint="eastAsia" w:ascii="宋体" w:hAnsi="宋体" w:cs="宋体"/>
                <w:kern w:val="0"/>
                <w:sz w:val="21"/>
                <w:szCs w:val="21"/>
                <w:highlight w:val="none"/>
                <w:lang w:eastAsia="zh-CN" w:bidi="ar"/>
              </w:rPr>
              <w:t>；</w:t>
            </w:r>
          </w:p>
          <w:p w14:paraId="08A2D300">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3、响应方案描述较简略，科学合理性弱，没有优势的，得1分；</w:t>
            </w:r>
          </w:p>
          <w:p w14:paraId="17608FDB">
            <w:pPr>
              <w:widowControl/>
              <w:spacing w:line="360" w:lineRule="auto"/>
              <w:textAlignment w:val="center"/>
              <w:rPr>
                <w:rFonts w:hint="eastAsia" w:ascii="宋体" w:hAnsi="宋体" w:eastAsia="宋体" w:cs="宋体"/>
                <w:b/>
                <w:bCs/>
                <w:sz w:val="21"/>
                <w:szCs w:val="21"/>
                <w:highlight w:val="none"/>
              </w:rPr>
            </w:pPr>
            <w:r>
              <w:rPr>
                <w:rFonts w:hint="eastAsia" w:ascii="宋体" w:hAnsi="宋体" w:eastAsia="宋体" w:cs="宋体"/>
                <w:kern w:val="0"/>
                <w:sz w:val="21"/>
                <w:szCs w:val="21"/>
                <w:highlight w:val="none"/>
                <w:lang w:bidi="ar"/>
              </w:rPr>
              <w:t>4、未提供不得分。</w:t>
            </w:r>
          </w:p>
        </w:tc>
        <w:tc>
          <w:tcPr>
            <w:tcW w:w="417" w:type="pct"/>
            <w:noWrap w:val="0"/>
            <w:vAlign w:val="center"/>
          </w:tcPr>
          <w:p w14:paraId="0B77C778">
            <w:pPr>
              <w:widowControl/>
              <w:spacing w:line="360" w:lineRule="auto"/>
              <w:jc w:val="center"/>
              <w:textAlignment w:val="center"/>
              <w:rPr>
                <w:rFonts w:hint="eastAsia" w:ascii="宋体" w:hAnsi="宋体" w:eastAsia="宋体" w:cs="宋体"/>
                <w:sz w:val="21"/>
                <w:szCs w:val="21"/>
                <w:highlight w:val="none"/>
                <w:lang w:eastAsia="zh-CN"/>
              </w:rPr>
            </w:pPr>
            <w:r>
              <w:rPr>
                <w:rFonts w:hint="eastAsia" w:ascii="宋体" w:hAnsi="宋体" w:eastAsia="宋体" w:cs="宋体"/>
                <w:kern w:val="0"/>
                <w:sz w:val="21"/>
                <w:szCs w:val="21"/>
                <w:highlight w:val="none"/>
                <w:lang w:val="en-US" w:eastAsia="zh-CN" w:bidi="ar"/>
              </w:rPr>
              <w:t>4</w:t>
            </w:r>
          </w:p>
        </w:tc>
      </w:tr>
      <w:tr w14:paraId="7B9465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36EDA253">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58481112">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软件功能设计方案</w:t>
            </w:r>
          </w:p>
        </w:tc>
        <w:tc>
          <w:tcPr>
            <w:tcW w:w="346" w:type="pct"/>
            <w:noWrap w:val="0"/>
            <w:vAlign w:val="center"/>
          </w:tcPr>
          <w:p w14:paraId="60AADB35">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主观</w:t>
            </w:r>
          </w:p>
        </w:tc>
        <w:tc>
          <w:tcPr>
            <w:tcW w:w="3556" w:type="pct"/>
            <w:noWrap w:val="0"/>
            <w:vAlign w:val="center"/>
          </w:tcPr>
          <w:p w14:paraId="018C63C9">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根据响应人提供的软件功能设计方案与需求的符合程度，比如软件功能设计方案是否兼具实用性与易用性、稳定性与可靠性、安全性与保密性等原则，磋商小组据此进行综合评分：</w:t>
            </w:r>
          </w:p>
          <w:p w14:paraId="273FF4BF">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1、软件功能设计方案稳定可靠、实用易用、安全保密等，有独到的优势的得5分；</w:t>
            </w:r>
          </w:p>
          <w:p w14:paraId="7D697DB9">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2、软件功能设计方案基本合理、逻辑自洽、具有一定的安全性，有一定的优势的得3分；</w:t>
            </w:r>
          </w:p>
          <w:p w14:paraId="57094824">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3、软件功能设计方案不够合理、逻辑有漏洞、无法保障安全保密性，没有优势的得1分；</w:t>
            </w:r>
          </w:p>
          <w:p w14:paraId="264E6296">
            <w:pPr>
              <w:widowControl/>
              <w:spacing w:line="360" w:lineRule="auto"/>
              <w:textAlignment w:val="center"/>
              <w:rPr>
                <w:rFonts w:hint="eastAsia" w:ascii="宋体" w:hAnsi="宋体" w:eastAsia="宋体" w:cs="宋体"/>
                <w:sz w:val="21"/>
                <w:szCs w:val="21"/>
                <w:highlight w:val="none"/>
                <w:lang w:eastAsia="zh-CN"/>
              </w:rPr>
            </w:pPr>
            <w:r>
              <w:rPr>
                <w:rFonts w:hint="eastAsia" w:ascii="宋体" w:hAnsi="宋体" w:eastAsia="宋体" w:cs="宋体"/>
                <w:kern w:val="0"/>
                <w:sz w:val="21"/>
                <w:szCs w:val="21"/>
                <w:highlight w:val="none"/>
                <w:lang w:bidi="ar"/>
              </w:rPr>
              <w:t>4、未提供不得分</w:t>
            </w:r>
            <w:r>
              <w:rPr>
                <w:rFonts w:hint="eastAsia" w:ascii="宋体" w:hAnsi="宋体" w:cs="宋体"/>
                <w:kern w:val="0"/>
                <w:sz w:val="21"/>
                <w:szCs w:val="21"/>
                <w:highlight w:val="none"/>
                <w:lang w:eastAsia="zh-CN" w:bidi="ar"/>
              </w:rPr>
              <w:t>。</w:t>
            </w:r>
          </w:p>
        </w:tc>
        <w:tc>
          <w:tcPr>
            <w:tcW w:w="417" w:type="pct"/>
            <w:noWrap w:val="0"/>
            <w:vAlign w:val="center"/>
          </w:tcPr>
          <w:p w14:paraId="707E7E6A">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5</w:t>
            </w:r>
          </w:p>
        </w:tc>
      </w:tr>
      <w:tr w14:paraId="17A4D2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0F6B8710">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0C9B944A">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施工组织方案</w:t>
            </w:r>
          </w:p>
        </w:tc>
        <w:tc>
          <w:tcPr>
            <w:tcW w:w="346" w:type="pct"/>
            <w:noWrap w:val="0"/>
            <w:vAlign w:val="center"/>
          </w:tcPr>
          <w:p w14:paraId="2C8AA888">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主观</w:t>
            </w:r>
          </w:p>
        </w:tc>
        <w:tc>
          <w:tcPr>
            <w:tcW w:w="3556" w:type="pct"/>
            <w:noWrap w:val="0"/>
            <w:vAlign w:val="center"/>
          </w:tcPr>
          <w:p w14:paraId="400A2A93">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根据响应人提供的施工组织方案，磋商小组据此进行综合评分：</w:t>
            </w:r>
          </w:p>
          <w:p w14:paraId="19595391">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1、施工组织方案到位清楚明了、各个实施环节和关键技术部分解释透彻到位，有利于项目优质完成的得4分；</w:t>
            </w:r>
          </w:p>
          <w:p w14:paraId="40F4F227">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2、施工组织方案较好、各个实施环节和关键技术部分较合理，较利于项目实施完成的得2分；</w:t>
            </w:r>
          </w:p>
          <w:p w14:paraId="5BF2F98F">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bidi="ar"/>
              </w:rPr>
              <w:t>3、施工组织方案一般、实现思路和关键技术部分存在遗漏的，方案存在缺陷的视情况或未提供此项的得1分</w:t>
            </w:r>
            <w:r>
              <w:rPr>
                <w:rFonts w:hint="eastAsia" w:ascii="宋体" w:hAnsi="宋体" w:cs="宋体"/>
                <w:kern w:val="0"/>
                <w:sz w:val="21"/>
                <w:szCs w:val="21"/>
                <w:highlight w:val="none"/>
                <w:lang w:eastAsia="zh-CN" w:bidi="ar"/>
              </w:rPr>
              <w:t>；</w:t>
            </w:r>
          </w:p>
          <w:p w14:paraId="2A2A1AB6">
            <w:pPr>
              <w:widowControl/>
              <w:spacing w:line="360" w:lineRule="auto"/>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4、未提供施工组织方案的不得分。</w:t>
            </w:r>
          </w:p>
        </w:tc>
        <w:tc>
          <w:tcPr>
            <w:tcW w:w="417" w:type="pct"/>
            <w:noWrap w:val="0"/>
            <w:vAlign w:val="center"/>
          </w:tcPr>
          <w:p w14:paraId="64CD637F">
            <w:pPr>
              <w:widowControl/>
              <w:spacing w:line="360" w:lineRule="auto"/>
              <w:jc w:val="center"/>
              <w:textAlignment w:val="center"/>
              <w:rPr>
                <w:rFonts w:hint="eastAsia" w:ascii="宋体" w:hAnsi="宋体" w:eastAsia="宋体" w:cs="宋体"/>
                <w:sz w:val="21"/>
                <w:szCs w:val="21"/>
                <w:highlight w:val="none"/>
                <w:lang w:eastAsia="zh-CN"/>
              </w:rPr>
            </w:pPr>
            <w:r>
              <w:rPr>
                <w:rFonts w:hint="eastAsia" w:ascii="宋体" w:hAnsi="宋体" w:cs="宋体"/>
                <w:kern w:val="0"/>
                <w:sz w:val="21"/>
                <w:szCs w:val="21"/>
                <w:highlight w:val="none"/>
                <w:lang w:val="en-US" w:eastAsia="zh-CN" w:bidi="ar"/>
              </w:rPr>
              <w:t>4</w:t>
            </w:r>
          </w:p>
        </w:tc>
      </w:tr>
      <w:tr w14:paraId="2D3D4B8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5D0BF90C">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4D453D22">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售后服务方案</w:t>
            </w:r>
          </w:p>
        </w:tc>
        <w:tc>
          <w:tcPr>
            <w:tcW w:w="346" w:type="pct"/>
            <w:noWrap w:val="0"/>
            <w:vAlign w:val="center"/>
          </w:tcPr>
          <w:p w14:paraId="1962C588">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主观</w:t>
            </w:r>
          </w:p>
        </w:tc>
        <w:tc>
          <w:tcPr>
            <w:tcW w:w="3556" w:type="pct"/>
            <w:noWrap w:val="0"/>
            <w:vAlign w:val="center"/>
          </w:tcPr>
          <w:p w14:paraId="041DFB26">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根据响应人为本项目提供的售后服务方案，磋商小组据此进行综合评分：</w:t>
            </w:r>
          </w:p>
          <w:p w14:paraId="5029D710">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1、售后服务方案完整，服务团队人员齐全，质保期内维护及时，有利于本项目的得4分；</w:t>
            </w:r>
          </w:p>
          <w:p w14:paraId="70718F4A">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2、售后服务方案完整，服务团队人员齐全，保期内维护较及时，较利于本项目的得2分；</w:t>
            </w:r>
          </w:p>
          <w:p w14:paraId="07CDBDBE">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eastAsia="宋体" w:cs="宋体"/>
                <w:kern w:val="0"/>
                <w:sz w:val="21"/>
                <w:szCs w:val="21"/>
                <w:highlight w:val="none"/>
                <w:lang w:bidi="ar"/>
              </w:rPr>
              <w:t>3、售后服务方案完整，服务团队人员齐全，与本项目服务要求存在较大偏差或未提供本项的得1分</w:t>
            </w:r>
            <w:r>
              <w:rPr>
                <w:rFonts w:hint="eastAsia" w:ascii="宋体" w:hAnsi="宋体" w:cs="宋体"/>
                <w:kern w:val="0"/>
                <w:sz w:val="21"/>
                <w:szCs w:val="21"/>
                <w:highlight w:val="none"/>
                <w:lang w:eastAsia="zh-CN" w:bidi="ar"/>
              </w:rPr>
              <w:t>；</w:t>
            </w:r>
          </w:p>
          <w:p w14:paraId="63A9DD6F">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4、未提供不得分。</w:t>
            </w:r>
          </w:p>
        </w:tc>
        <w:tc>
          <w:tcPr>
            <w:tcW w:w="417" w:type="pct"/>
            <w:noWrap w:val="0"/>
            <w:vAlign w:val="center"/>
          </w:tcPr>
          <w:p w14:paraId="4B3C8AB2">
            <w:pPr>
              <w:widowControl/>
              <w:spacing w:line="360" w:lineRule="auto"/>
              <w:jc w:val="center"/>
              <w:textAlignment w:val="center"/>
              <w:rPr>
                <w:rFonts w:hint="eastAsia" w:ascii="宋体" w:hAnsi="宋体" w:cs="宋体"/>
                <w:kern w:val="0"/>
                <w:sz w:val="21"/>
                <w:szCs w:val="21"/>
                <w:highlight w:val="none"/>
                <w:lang w:val="en-US" w:eastAsia="zh-CN" w:bidi="ar"/>
              </w:rPr>
            </w:pPr>
            <w:r>
              <w:rPr>
                <w:rFonts w:hint="eastAsia" w:ascii="宋体" w:hAnsi="宋体" w:cs="宋体"/>
                <w:kern w:val="0"/>
                <w:sz w:val="21"/>
                <w:szCs w:val="21"/>
                <w:highlight w:val="none"/>
                <w:lang w:val="en-US" w:eastAsia="zh-CN" w:bidi="ar"/>
              </w:rPr>
              <w:t>4</w:t>
            </w:r>
          </w:p>
        </w:tc>
      </w:tr>
      <w:tr w14:paraId="2C5D1A2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39C21D7A">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06126151">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培训方案</w:t>
            </w:r>
          </w:p>
        </w:tc>
        <w:tc>
          <w:tcPr>
            <w:tcW w:w="346" w:type="pct"/>
            <w:noWrap w:val="0"/>
            <w:vAlign w:val="center"/>
          </w:tcPr>
          <w:p w14:paraId="172DBB31">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主观</w:t>
            </w:r>
          </w:p>
        </w:tc>
        <w:tc>
          <w:tcPr>
            <w:tcW w:w="3556" w:type="pct"/>
            <w:noWrap w:val="0"/>
            <w:vAlign w:val="center"/>
          </w:tcPr>
          <w:p w14:paraId="20A8F4E4">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根据响应人提供的培训方案，内容合理、详细，培训时长，具有项目针对性等，磋商小组据此进行综合评分：</w:t>
            </w:r>
          </w:p>
          <w:p w14:paraId="777A1EFA">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1、培训方案详实、内容完整的，得</w:t>
            </w:r>
            <w:r>
              <w:rPr>
                <w:rFonts w:hint="eastAsia" w:ascii="宋体" w:hAnsi="宋体" w:cs="宋体"/>
                <w:kern w:val="0"/>
                <w:sz w:val="21"/>
                <w:szCs w:val="21"/>
                <w:highlight w:val="none"/>
                <w:lang w:val="en-US" w:eastAsia="zh-CN" w:bidi="ar"/>
              </w:rPr>
              <w:t>4</w:t>
            </w:r>
            <w:r>
              <w:rPr>
                <w:rFonts w:hint="eastAsia" w:ascii="宋体" w:hAnsi="宋体" w:eastAsia="宋体" w:cs="宋体"/>
                <w:kern w:val="0"/>
                <w:sz w:val="21"/>
                <w:szCs w:val="21"/>
                <w:highlight w:val="none"/>
                <w:lang w:bidi="ar"/>
              </w:rPr>
              <w:t>分；</w:t>
            </w:r>
          </w:p>
          <w:p w14:paraId="50DF9AF4">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2、培训方案较详实、内容较完整的得2分；</w:t>
            </w:r>
          </w:p>
          <w:p w14:paraId="6D04AE05">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3、培训方案不详实、内容不完整的得1分；</w:t>
            </w:r>
          </w:p>
          <w:p w14:paraId="6E37778B">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4、未提供培训方案的不得分。</w:t>
            </w:r>
          </w:p>
        </w:tc>
        <w:tc>
          <w:tcPr>
            <w:tcW w:w="417" w:type="pct"/>
            <w:noWrap w:val="0"/>
            <w:vAlign w:val="center"/>
          </w:tcPr>
          <w:p w14:paraId="16597CD6">
            <w:pPr>
              <w:widowControl/>
              <w:spacing w:line="360" w:lineRule="auto"/>
              <w:jc w:val="center"/>
              <w:textAlignment w:val="center"/>
              <w:rPr>
                <w:rFonts w:hint="default" w:ascii="宋体" w:hAnsi="宋体" w:cs="宋体"/>
                <w:kern w:val="0"/>
                <w:sz w:val="21"/>
                <w:szCs w:val="21"/>
                <w:highlight w:val="none"/>
                <w:lang w:val="en-US" w:eastAsia="zh-CN" w:bidi="ar"/>
              </w:rPr>
            </w:pPr>
            <w:r>
              <w:rPr>
                <w:rFonts w:hint="eastAsia" w:ascii="宋体" w:hAnsi="宋体" w:cs="宋体"/>
                <w:kern w:val="0"/>
                <w:sz w:val="21"/>
                <w:szCs w:val="21"/>
                <w:highlight w:val="none"/>
                <w:lang w:val="en-US" w:eastAsia="zh-CN" w:bidi="ar"/>
              </w:rPr>
              <w:t>4</w:t>
            </w:r>
          </w:p>
        </w:tc>
      </w:tr>
      <w:tr w14:paraId="4AEE44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343" w:type="pct"/>
            <w:noWrap w:val="0"/>
            <w:vAlign w:val="center"/>
          </w:tcPr>
          <w:p w14:paraId="20A0F44C">
            <w:pPr>
              <w:widowControl/>
              <w:numPr>
                <w:ilvl w:val="0"/>
                <w:numId w:val="5"/>
              </w:numPr>
              <w:spacing w:line="360" w:lineRule="auto"/>
              <w:ind w:firstLine="0"/>
              <w:jc w:val="center"/>
              <w:textAlignment w:val="center"/>
              <w:rPr>
                <w:rFonts w:hint="eastAsia" w:ascii="宋体" w:hAnsi="宋体" w:eastAsia="宋体" w:cs="宋体"/>
                <w:kern w:val="0"/>
                <w:sz w:val="21"/>
                <w:szCs w:val="21"/>
                <w:highlight w:val="none"/>
                <w:lang w:bidi="ar"/>
              </w:rPr>
            </w:pPr>
          </w:p>
        </w:tc>
        <w:tc>
          <w:tcPr>
            <w:tcW w:w="337" w:type="pct"/>
            <w:noWrap w:val="0"/>
            <w:vAlign w:val="center"/>
          </w:tcPr>
          <w:p w14:paraId="6B2312EA">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软件系统演示</w:t>
            </w:r>
          </w:p>
        </w:tc>
        <w:tc>
          <w:tcPr>
            <w:tcW w:w="346" w:type="pct"/>
            <w:shd w:val="clear" w:color="auto" w:fill="auto"/>
            <w:noWrap w:val="0"/>
            <w:vAlign w:val="center"/>
          </w:tcPr>
          <w:p w14:paraId="1D84BA2A">
            <w:pPr>
              <w:widowControl/>
              <w:spacing w:line="360" w:lineRule="auto"/>
              <w:jc w:val="center"/>
              <w:textAlignment w:val="center"/>
              <w:rPr>
                <w:rFonts w:hint="eastAsia" w:ascii="宋体" w:hAnsi="宋体" w:eastAsia="宋体" w:cs="宋体"/>
                <w:kern w:val="0"/>
                <w:sz w:val="21"/>
                <w:szCs w:val="21"/>
                <w:highlight w:val="none"/>
                <w:lang w:bidi="ar"/>
              </w:rPr>
            </w:pPr>
            <w:r>
              <w:rPr>
                <w:rFonts w:hint="eastAsia" w:ascii="宋体" w:hAnsi="宋体" w:eastAsia="宋体" w:cs="宋体"/>
                <w:kern w:val="0"/>
                <w:sz w:val="21"/>
                <w:szCs w:val="21"/>
                <w:highlight w:val="none"/>
                <w:lang w:bidi="ar"/>
              </w:rPr>
              <w:t>客观</w:t>
            </w:r>
          </w:p>
        </w:tc>
        <w:tc>
          <w:tcPr>
            <w:tcW w:w="3556" w:type="pct"/>
            <w:noWrap w:val="0"/>
            <w:vAlign w:val="center"/>
          </w:tcPr>
          <w:p w14:paraId="3BE91A4E">
            <w:pPr>
              <w:widowControl/>
              <w:spacing w:line="360" w:lineRule="auto"/>
              <w:textAlignment w:val="center"/>
              <w:rPr>
                <w:rFonts w:hint="eastAsia" w:ascii="宋体" w:hAnsi="宋体" w:eastAsia="宋体" w:cs="宋体"/>
                <w:kern w:val="0"/>
                <w:sz w:val="21"/>
                <w:szCs w:val="21"/>
                <w:highlight w:val="none"/>
                <w:lang w:eastAsia="zh-CN" w:bidi="ar"/>
              </w:rPr>
            </w:pPr>
            <w:r>
              <w:rPr>
                <w:rFonts w:hint="eastAsia" w:ascii="宋体" w:hAnsi="宋体" w:cs="宋体"/>
                <w:kern w:val="0"/>
                <w:sz w:val="21"/>
                <w:szCs w:val="21"/>
                <w:highlight w:val="none"/>
                <w:lang w:val="en-US" w:eastAsia="zh-CN" w:bidi="ar"/>
              </w:rPr>
              <w:t>为确保产品实际质量满足需求，响应人需提供录屏演示，磋商小组根据响应人</w:t>
            </w:r>
            <w:r>
              <w:rPr>
                <w:rFonts w:hint="eastAsia" w:ascii="宋体" w:hAnsi="宋体" w:eastAsia="宋体" w:cs="宋体"/>
                <w:kern w:val="0"/>
                <w:sz w:val="21"/>
                <w:szCs w:val="21"/>
                <w:highlight w:val="none"/>
                <w:lang w:bidi="ar"/>
              </w:rPr>
              <w:t>对以下内容的演示情况进行评分</w:t>
            </w:r>
            <w:r>
              <w:rPr>
                <w:rFonts w:hint="eastAsia" w:ascii="宋体" w:hAnsi="宋体" w:cs="宋体"/>
                <w:kern w:val="0"/>
                <w:sz w:val="21"/>
                <w:szCs w:val="21"/>
                <w:highlight w:val="none"/>
                <w:lang w:eastAsia="zh-CN" w:bidi="ar"/>
              </w:rPr>
              <w:t>：</w:t>
            </w:r>
          </w:p>
          <w:p w14:paraId="70D885C5">
            <w:pPr>
              <w:widowControl/>
              <w:spacing w:line="360" w:lineRule="auto"/>
              <w:textAlignment w:val="center"/>
              <w:rPr>
                <w:rFonts w:hint="eastAsia" w:ascii="宋体" w:hAnsi="宋体" w:eastAsia="宋体" w:cs="宋体"/>
                <w:b/>
                <w:bCs/>
                <w:color w:val="auto"/>
                <w:kern w:val="0"/>
                <w:sz w:val="22"/>
                <w:szCs w:val="22"/>
                <w:highlight w:val="none"/>
                <w:lang w:bidi="ar"/>
              </w:rPr>
            </w:pPr>
            <w:r>
              <w:rPr>
                <w:rFonts w:hint="eastAsia" w:ascii="宋体" w:hAnsi="宋体" w:eastAsia="宋体" w:cs="宋体"/>
                <w:b/>
                <w:bCs/>
                <w:color w:val="auto"/>
                <w:kern w:val="0"/>
                <w:sz w:val="22"/>
                <w:szCs w:val="22"/>
                <w:highlight w:val="none"/>
                <w:lang w:bidi="ar"/>
              </w:rPr>
              <w:t>1.</w:t>
            </w:r>
            <w:r>
              <w:rPr>
                <w:rFonts w:hint="eastAsia" w:ascii="宋体" w:hAnsi="宋体" w:cs="宋体"/>
                <w:b/>
                <w:bCs/>
                <w:color w:val="auto"/>
                <w:kern w:val="0"/>
                <w:sz w:val="22"/>
                <w:szCs w:val="22"/>
                <w:highlight w:val="none"/>
                <w:lang w:val="en-US" w:eastAsia="zh-CN" w:bidi="ar"/>
              </w:rPr>
              <w:t>公共数据运营运维服务</w:t>
            </w:r>
            <w:r>
              <w:rPr>
                <w:rFonts w:hint="eastAsia" w:ascii="宋体" w:hAnsi="宋体" w:eastAsia="宋体" w:cs="宋体"/>
                <w:b/>
                <w:bCs/>
                <w:color w:val="auto"/>
                <w:kern w:val="0"/>
                <w:sz w:val="22"/>
                <w:szCs w:val="22"/>
                <w:highlight w:val="none"/>
                <w:lang w:bidi="ar"/>
              </w:rPr>
              <w:t>（共13分）</w:t>
            </w:r>
          </w:p>
          <w:p w14:paraId="098467FF">
            <w:pPr>
              <w:keepNext w:val="0"/>
              <w:keepLines w:val="0"/>
              <w:pageBreakBefore w:val="0"/>
              <w:widowControl/>
              <w:kinsoku/>
              <w:wordWrap/>
              <w:overflowPunct/>
              <w:topLinePunct w:val="0"/>
              <w:autoSpaceDE/>
              <w:autoSpaceDN/>
              <w:bidi w:val="0"/>
              <w:adjustRightInd/>
              <w:snapToGrid/>
              <w:spacing w:line="360" w:lineRule="auto"/>
              <w:ind w:firstLine="422" w:firstLineChars="200"/>
              <w:textAlignment w:val="center"/>
              <w:rPr>
                <w:rFonts w:hint="eastAsia" w:ascii="宋体" w:hAnsi="宋体" w:eastAsia="宋体" w:cs="宋体"/>
                <w:color w:val="auto"/>
                <w:kern w:val="0"/>
                <w:sz w:val="21"/>
                <w:szCs w:val="21"/>
                <w:highlight w:val="none"/>
                <w:lang w:bidi="ar"/>
              </w:rPr>
            </w:pPr>
            <w:r>
              <w:rPr>
                <w:rFonts w:hint="eastAsia" w:ascii="宋体" w:hAnsi="宋体" w:cs="宋体"/>
                <w:b/>
                <w:bCs/>
                <w:color w:val="auto"/>
                <w:kern w:val="0"/>
                <w:sz w:val="21"/>
                <w:szCs w:val="21"/>
                <w:highlight w:val="none"/>
                <w:lang w:val="en-US" w:eastAsia="zh-CN" w:bidi="ar"/>
              </w:rPr>
              <w:t>（1）系统具备数据目录运维能力：</w:t>
            </w:r>
            <w:r>
              <w:rPr>
                <w:rFonts w:hint="eastAsia" w:ascii="宋体" w:hAnsi="宋体" w:cs="宋体"/>
                <w:color w:val="auto"/>
                <w:kern w:val="0"/>
                <w:sz w:val="21"/>
                <w:szCs w:val="21"/>
                <w:highlight w:val="none"/>
                <w:lang w:val="en-US" w:eastAsia="zh-CN" w:bidi="ar"/>
              </w:rPr>
              <w:t>充分具备手动、自动、模版等三种以上的资源接入功能；具备目录元数据管理功能，支持目录的编目、修改；具备应用关联、专题库关联能力，能够完成应用和专题库的关联。三个功能全部符合得3分，每缺一点扣1分，本项最高得3分（上述此功能，不体现不得分）</w:t>
            </w:r>
          </w:p>
          <w:p w14:paraId="32FB92F8">
            <w:pPr>
              <w:keepNext w:val="0"/>
              <w:keepLines w:val="0"/>
              <w:pageBreakBefore w:val="0"/>
              <w:widowControl/>
              <w:kinsoku/>
              <w:wordWrap/>
              <w:overflowPunct/>
              <w:topLinePunct w:val="0"/>
              <w:autoSpaceDE/>
              <w:autoSpaceDN/>
              <w:bidi w:val="0"/>
              <w:adjustRightInd/>
              <w:snapToGrid/>
              <w:spacing w:line="360" w:lineRule="auto"/>
              <w:ind w:firstLine="422" w:firstLineChars="200"/>
              <w:textAlignment w:val="center"/>
              <w:rPr>
                <w:rFonts w:hint="eastAsia" w:ascii="宋体" w:hAnsi="宋体" w:cs="宋体"/>
                <w:color w:val="auto"/>
                <w:kern w:val="0"/>
                <w:sz w:val="21"/>
                <w:szCs w:val="21"/>
                <w:highlight w:val="none"/>
                <w:lang w:eastAsia="zh-CN" w:bidi="ar"/>
              </w:rPr>
            </w:pPr>
            <w:r>
              <w:rPr>
                <w:rFonts w:hint="eastAsia" w:ascii="宋体" w:hAnsi="宋体" w:cs="宋体"/>
                <w:b/>
                <w:bCs/>
                <w:color w:val="auto"/>
                <w:kern w:val="0"/>
                <w:sz w:val="21"/>
                <w:szCs w:val="21"/>
                <w:highlight w:val="none"/>
                <w:lang w:val="en-US" w:eastAsia="zh-CN" w:bidi="ar"/>
              </w:rPr>
              <w:t>（2）系统具备数据归集能力：</w:t>
            </w:r>
            <w:r>
              <w:rPr>
                <w:rFonts w:hint="eastAsia" w:ascii="宋体" w:hAnsi="宋体" w:cs="宋体"/>
                <w:color w:val="auto"/>
                <w:kern w:val="0"/>
                <w:sz w:val="21"/>
                <w:szCs w:val="21"/>
                <w:highlight w:val="none"/>
                <w:lang w:val="en-US" w:eastAsia="zh-CN" w:bidi="ar"/>
              </w:rPr>
              <w:t>能够通过数据库、接口、文件等方式归集数据；数据库支持国产主流数据库；具备定时归集、增量或全量归集能力。三个功能全部符合得3分，每缺一点扣1分，本项最高得3分（上述此功能，不体现不得分）</w:t>
            </w:r>
          </w:p>
          <w:p w14:paraId="6B132125">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22" w:firstLineChars="200"/>
              <w:textAlignment w:val="center"/>
              <w:rPr>
                <w:rFonts w:hint="default" w:ascii="宋体" w:hAnsi="宋体" w:cs="宋体"/>
                <w:color w:val="auto"/>
                <w:kern w:val="0"/>
                <w:sz w:val="21"/>
                <w:szCs w:val="21"/>
                <w:highlight w:val="none"/>
                <w:lang w:val="en-US" w:eastAsia="zh-CN" w:bidi="ar"/>
              </w:rPr>
            </w:pPr>
            <w:r>
              <w:rPr>
                <w:rFonts w:hint="eastAsia" w:ascii="宋体" w:hAnsi="宋体" w:eastAsia="宋体" w:cs="宋体"/>
                <w:b/>
                <w:bCs/>
                <w:color w:val="auto"/>
                <w:kern w:val="0"/>
                <w:sz w:val="21"/>
                <w:szCs w:val="21"/>
                <w:highlight w:val="none"/>
                <w:lang w:val="en-US" w:eastAsia="zh-CN" w:bidi="ar"/>
              </w:rPr>
              <w:t>（3）</w:t>
            </w:r>
            <w:r>
              <w:rPr>
                <w:rFonts w:hint="eastAsia" w:ascii="宋体" w:hAnsi="宋体" w:cs="宋体"/>
                <w:b/>
                <w:bCs/>
                <w:color w:val="auto"/>
                <w:kern w:val="0"/>
                <w:sz w:val="21"/>
                <w:szCs w:val="21"/>
                <w:highlight w:val="none"/>
                <w:lang w:val="en-US" w:eastAsia="zh-CN" w:bidi="ar"/>
              </w:rPr>
              <w:t>系统具备数据共享能力：</w:t>
            </w:r>
            <w:r>
              <w:rPr>
                <w:rFonts w:hint="eastAsia" w:ascii="宋体" w:hAnsi="宋体" w:cs="宋体"/>
                <w:color w:val="auto"/>
                <w:kern w:val="0"/>
                <w:sz w:val="21"/>
                <w:szCs w:val="21"/>
                <w:highlight w:val="none"/>
                <w:lang w:val="en-US" w:eastAsia="zh-CN" w:bidi="ar"/>
              </w:rPr>
              <w:t>能够通过数据库、接口等方式推送数据；具备数据定时推送、增量或全量推送的能力。两个功能全部符合得4分，每缺一点扣2分，本项最高得4分（上述此功能，不体现不得分）</w:t>
            </w:r>
          </w:p>
          <w:p w14:paraId="4377B07D">
            <w:pPr>
              <w:keepNext w:val="0"/>
              <w:keepLines w:val="0"/>
              <w:pageBreakBefore w:val="0"/>
              <w:widowControl/>
              <w:kinsoku/>
              <w:wordWrap/>
              <w:overflowPunct/>
              <w:topLinePunct w:val="0"/>
              <w:autoSpaceDE/>
              <w:autoSpaceDN/>
              <w:bidi w:val="0"/>
              <w:adjustRightInd/>
              <w:snapToGrid/>
              <w:spacing w:line="360" w:lineRule="auto"/>
              <w:ind w:firstLine="422" w:firstLineChars="200"/>
              <w:textAlignment w:val="center"/>
              <w:rPr>
                <w:rFonts w:hint="eastAsia" w:ascii="宋体" w:hAnsi="宋体" w:cs="宋体"/>
                <w:color w:val="auto"/>
                <w:kern w:val="0"/>
                <w:sz w:val="21"/>
                <w:szCs w:val="21"/>
                <w:highlight w:val="none"/>
                <w:lang w:eastAsia="zh-CN" w:bidi="ar"/>
              </w:rPr>
            </w:pPr>
            <w:r>
              <w:rPr>
                <w:rFonts w:hint="eastAsia" w:ascii="宋体" w:hAnsi="宋体" w:eastAsia="宋体" w:cs="宋体"/>
                <w:b/>
                <w:bCs/>
                <w:color w:val="auto"/>
                <w:kern w:val="0"/>
                <w:sz w:val="21"/>
                <w:szCs w:val="21"/>
                <w:highlight w:val="none"/>
                <w:lang w:val="en-US" w:eastAsia="zh-CN" w:bidi="ar"/>
              </w:rPr>
              <w:t>（</w:t>
            </w:r>
            <w:r>
              <w:rPr>
                <w:rFonts w:hint="eastAsia" w:ascii="宋体" w:hAnsi="宋体" w:cs="宋体"/>
                <w:b/>
                <w:bCs/>
                <w:color w:val="auto"/>
                <w:kern w:val="0"/>
                <w:sz w:val="21"/>
                <w:szCs w:val="21"/>
                <w:highlight w:val="none"/>
                <w:lang w:val="en-US" w:eastAsia="zh-CN" w:bidi="ar"/>
              </w:rPr>
              <w:t>4</w:t>
            </w:r>
            <w:r>
              <w:rPr>
                <w:rFonts w:hint="eastAsia" w:ascii="宋体" w:hAnsi="宋体" w:eastAsia="宋体" w:cs="宋体"/>
                <w:b/>
                <w:bCs/>
                <w:color w:val="auto"/>
                <w:kern w:val="0"/>
                <w:sz w:val="21"/>
                <w:szCs w:val="21"/>
                <w:highlight w:val="none"/>
                <w:lang w:val="en-US" w:eastAsia="zh-CN" w:bidi="ar"/>
              </w:rPr>
              <w:t>）</w:t>
            </w:r>
            <w:r>
              <w:rPr>
                <w:rFonts w:hint="eastAsia" w:ascii="宋体" w:hAnsi="宋体" w:cs="宋体"/>
                <w:b/>
                <w:bCs/>
                <w:color w:val="auto"/>
                <w:kern w:val="0"/>
                <w:sz w:val="21"/>
                <w:szCs w:val="21"/>
                <w:highlight w:val="none"/>
                <w:lang w:val="en-US" w:eastAsia="zh-CN" w:bidi="ar"/>
              </w:rPr>
              <w:t>系统具备数据清洗和整合能力：</w:t>
            </w:r>
            <w:r>
              <w:rPr>
                <w:rFonts w:hint="eastAsia" w:ascii="宋体" w:hAnsi="宋体" w:cs="宋体"/>
                <w:color w:val="auto"/>
                <w:kern w:val="0"/>
                <w:sz w:val="21"/>
                <w:szCs w:val="21"/>
                <w:highlight w:val="none"/>
                <w:lang w:val="en-US" w:eastAsia="zh-CN" w:bidi="ar"/>
              </w:rPr>
              <w:t>具备数据过滤功能；具备数据质检功能；具备数据多表接入、整合功能。三个功能全部符合得3分，每缺一点扣1分，本项最高得3分（上述此功能，不体现不得分）</w:t>
            </w:r>
          </w:p>
          <w:p w14:paraId="2957B1A6">
            <w:pPr>
              <w:widowControl/>
              <w:spacing w:line="360" w:lineRule="auto"/>
              <w:textAlignment w:val="center"/>
              <w:rPr>
                <w:rFonts w:hint="eastAsia" w:ascii="宋体" w:hAnsi="宋体" w:eastAsia="宋体" w:cs="宋体"/>
                <w:b/>
                <w:bCs/>
                <w:kern w:val="0"/>
                <w:sz w:val="22"/>
                <w:szCs w:val="22"/>
                <w:highlight w:val="none"/>
                <w:lang w:bidi="ar"/>
              </w:rPr>
            </w:pPr>
            <w:r>
              <w:rPr>
                <w:rFonts w:hint="eastAsia" w:ascii="宋体" w:hAnsi="宋体" w:eastAsia="宋体" w:cs="宋体"/>
                <w:b/>
                <w:bCs/>
                <w:kern w:val="0"/>
                <w:sz w:val="22"/>
                <w:szCs w:val="22"/>
                <w:highlight w:val="none"/>
                <w:lang w:bidi="ar"/>
              </w:rPr>
              <w:t>2.公共数据授权运营支撑工具（共7分)</w:t>
            </w:r>
          </w:p>
          <w:p w14:paraId="3743A056">
            <w:pPr>
              <w:widowControl/>
              <w:spacing w:line="360" w:lineRule="auto"/>
              <w:ind w:firstLine="422" w:firstLineChars="200"/>
              <w:textAlignment w:val="center"/>
              <w:rPr>
                <w:rFonts w:hint="eastAsia" w:ascii="宋体" w:hAnsi="宋体" w:eastAsia="宋体" w:cs="宋体"/>
                <w:kern w:val="0"/>
                <w:sz w:val="21"/>
                <w:szCs w:val="21"/>
                <w:highlight w:val="none"/>
                <w:lang w:eastAsia="zh-CN" w:bidi="ar"/>
              </w:rPr>
            </w:pPr>
            <w:r>
              <w:rPr>
                <w:rFonts w:hint="eastAsia" w:ascii="宋体" w:hAnsi="宋体" w:cs="宋体"/>
                <w:b/>
                <w:bCs/>
                <w:kern w:val="0"/>
                <w:sz w:val="21"/>
                <w:szCs w:val="21"/>
                <w:highlight w:val="none"/>
                <w:lang w:eastAsia="zh-CN" w:bidi="ar"/>
              </w:rPr>
              <w:t>（</w:t>
            </w:r>
            <w:r>
              <w:rPr>
                <w:rFonts w:hint="eastAsia" w:ascii="宋体" w:hAnsi="宋体" w:cs="宋体"/>
                <w:b/>
                <w:bCs/>
                <w:kern w:val="0"/>
                <w:sz w:val="21"/>
                <w:szCs w:val="21"/>
                <w:highlight w:val="none"/>
                <w:lang w:val="en-US" w:eastAsia="zh-CN" w:bidi="ar"/>
              </w:rPr>
              <w:t>1</w:t>
            </w:r>
            <w:r>
              <w:rPr>
                <w:rFonts w:hint="eastAsia" w:ascii="宋体" w:hAnsi="宋体" w:cs="宋体"/>
                <w:b/>
                <w:bCs/>
                <w:kern w:val="0"/>
                <w:sz w:val="21"/>
                <w:szCs w:val="21"/>
                <w:highlight w:val="none"/>
                <w:lang w:eastAsia="zh-CN" w:bidi="ar"/>
              </w:rPr>
              <w:t>）</w:t>
            </w:r>
            <w:r>
              <w:rPr>
                <w:rFonts w:hint="eastAsia" w:ascii="宋体" w:hAnsi="宋体" w:eastAsia="宋体" w:cs="宋体"/>
                <w:b/>
                <w:bCs/>
                <w:kern w:val="0"/>
                <w:sz w:val="21"/>
                <w:szCs w:val="21"/>
                <w:highlight w:val="none"/>
                <w:lang w:bidi="ar"/>
              </w:rPr>
              <w:t>数据资产总览:</w:t>
            </w:r>
            <w:r>
              <w:rPr>
                <w:rFonts w:hint="eastAsia" w:ascii="宋体" w:hAnsi="宋体" w:eastAsia="宋体" w:cs="宋体"/>
                <w:kern w:val="0"/>
                <w:sz w:val="21"/>
                <w:szCs w:val="21"/>
                <w:highlight w:val="none"/>
                <w:lang w:bidi="ar"/>
              </w:rPr>
              <w:t>演示数据资产总览功能模块，可查看数据项指标情况，包括介入数据表数、作业数据量、数据推送任务、数据吞吐量四个功能，全部符合得2分，每缺一点扣0.5分，本项最高得2分（上述此功能，不体现不得分）</w:t>
            </w:r>
            <w:r>
              <w:rPr>
                <w:rFonts w:hint="eastAsia" w:ascii="宋体" w:hAnsi="宋体" w:cs="宋体"/>
                <w:kern w:val="0"/>
                <w:sz w:val="21"/>
                <w:szCs w:val="21"/>
                <w:highlight w:val="none"/>
                <w:lang w:eastAsia="zh-CN" w:bidi="ar"/>
              </w:rPr>
              <w:t>；</w:t>
            </w:r>
          </w:p>
          <w:p w14:paraId="66ED6FEA">
            <w:pPr>
              <w:widowControl/>
              <w:spacing w:line="360" w:lineRule="auto"/>
              <w:ind w:firstLine="422" w:firstLineChars="200"/>
              <w:textAlignment w:val="center"/>
              <w:rPr>
                <w:rFonts w:hint="eastAsia" w:ascii="宋体" w:hAnsi="宋体" w:eastAsia="宋体" w:cs="宋体"/>
                <w:kern w:val="0"/>
                <w:sz w:val="21"/>
                <w:szCs w:val="21"/>
                <w:highlight w:val="none"/>
                <w:lang w:eastAsia="zh-CN" w:bidi="ar"/>
              </w:rPr>
            </w:pPr>
            <w:r>
              <w:rPr>
                <w:rFonts w:hint="eastAsia" w:ascii="宋体" w:hAnsi="宋体" w:cs="宋体"/>
                <w:b/>
                <w:bCs/>
                <w:kern w:val="0"/>
                <w:sz w:val="21"/>
                <w:szCs w:val="21"/>
                <w:highlight w:val="none"/>
                <w:lang w:eastAsia="zh-CN" w:bidi="ar"/>
              </w:rPr>
              <w:t>（</w:t>
            </w:r>
            <w:r>
              <w:rPr>
                <w:rFonts w:hint="eastAsia" w:ascii="宋体" w:hAnsi="宋体" w:cs="宋体"/>
                <w:b/>
                <w:bCs/>
                <w:kern w:val="0"/>
                <w:sz w:val="21"/>
                <w:szCs w:val="21"/>
                <w:highlight w:val="none"/>
                <w:lang w:val="en-US" w:eastAsia="zh-CN" w:bidi="ar"/>
              </w:rPr>
              <w:t>2</w:t>
            </w:r>
            <w:r>
              <w:rPr>
                <w:rFonts w:hint="eastAsia" w:ascii="宋体" w:hAnsi="宋体" w:cs="宋体"/>
                <w:b/>
                <w:bCs/>
                <w:kern w:val="0"/>
                <w:sz w:val="21"/>
                <w:szCs w:val="21"/>
                <w:highlight w:val="none"/>
                <w:lang w:eastAsia="zh-CN" w:bidi="ar"/>
              </w:rPr>
              <w:t>）</w:t>
            </w:r>
            <w:r>
              <w:rPr>
                <w:rFonts w:hint="eastAsia" w:ascii="宋体" w:hAnsi="宋体" w:eastAsia="宋体" w:cs="宋体"/>
                <w:b/>
                <w:bCs/>
                <w:kern w:val="0"/>
                <w:sz w:val="21"/>
                <w:szCs w:val="21"/>
                <w:highlight w:val="none"/>
                <w:lang w:bidi="ar"/>
              </w:rPr>
              <w:t>运维数据总览:</w:t>
            </w:r>
            <w:r>
              <w:rPr>
                <w:rFonts w:hint="eastAsia" w:ascii="宋体" w:hAnsi="宋体" w:eastAsia="宋体" w:cs="宋体"/>
                <w:kern w:val="0"/>
                <w:sz w:val="21"/>
                <w:szCs w:val="21"/>
                <w:highlight w:val="none"/>
                <w:lang w:bidi="ar"/>
              </w:rPr>
              <w:t>演示运维数据总览模块，其中包括挂载组件列表、中间件和系统数据库运行状态两个功能模块，全部符合得2分，每缺一点扣1分，本项最高得2分（上述此功能，不体现不得分）</w:t>
            </w:r>
            <w:r>
              <w:rPr>
                <w:rFonts w:hint="eastAsia" w:ascii="宋体" w:hAnsi="宋体" w:cs="宋体"/>
                <w:kern w:val="0"/>
                <w:sz w:val="21"/>
                <w:szCs w:val="21"/>
                <w:highlight w:val="none"/>
                <w:lang w:eastAsia="zh-CN" w:bidi="ar"/>
              </w:rPr>
              <w:t>；</w:t>
            </w:r>
          </w:p>
          <w:p w14:paraId="02838E90">
            <w:pPr>
              <w:widowControl/>
              <w:spacing w:line="360" w:lineRule="auto"/>
              <w:ind w:firstLine="422" w:firstLineChars="200"/>
              <w:textAlignment w:val="center"/>
              <w:rPr>
                <w:rFonts w:hint="eastAsia" w:ascii="宋体" w:hAnsi="宋体" w:eastAsia="宋体" w:cs="宋体"/>
                <w:kern w:val="0"/>
                <w:sz w:val="21"/>
                <w:szCs w:val="21"/>
                <w:highlight w:val="none"/>
                <w:lang w:eastAsia="zh-CN" w:bidi="ar"/>
              </w:rPr>
            </w:pPr>
            <w:r>
              <w:rPr>
                <w:rFonts w:hint="eastAsia" w:ascii="宋体" w:hAnsi="宋体" w:cs="宋体"/>
                <w:b/>
                <w:bCs/>
                <w:kern w:val="0"/>
                <w:sz w:val="21"/>
                <w:szCs w:val="21"/>
                <w:highlight w:val="none"/>
                <w:lang w:eastAsia="zh-CN" w:bidi="ar"/>
              </w:rPr>
              <w:t>（</w:t>
            </w:r>
            <w:r>
              <w:rPr>
                <w:rFonts w:hint="eastAsia" w:ascii="宋体" w:hAnsi="宋体" w:cs="宋体"/>
                <w:b/>
                <w:bCs/>
                <w:kern w:val="0"/>
                <w:sz w:val="21"/>
                <w:szCs w:val="21"/>
                <w:highlight w:val="none"/>
                <w:lang w:val="en-US" w:eastAsia="zh-CN" w:bidi="ar"/>
              </w:rPr>
              <w:t>3</w:t>
            </w:r>
            <w:r>
              <w:rPr>
                <w:rFonts w:hint="eastAsia" w:ascii="宋体" w:hAnsi="宋体" w:cs="宋体"/>
                <w:b/>
                <w:bCs/>
                <w:kern w:val="0"/>
                <w:sz w:val="21"/>
                <w:szCs w:val="21"/>
                <w:highlight w:val="none"/>
                <w:lang w:eastAsia="zh-CN" w:bidi="ar"/>
              </w:rPr>
              <w:t>）</w:t>
            </w:r>
            <w:r>
              <w:rPr>
                <w:rFonts w:hint="eastAsia" w:ascii="宋体" w:hAnsi="宋体" w:eastAsia="宋体" w:cs="宋体"/>
                <w:b/>
                <w:bCs/>
                <w:kern w:val="0"/>
                <w:sz w:val="21"/>
                <w:szCs w:val="21"/>
                <w:highlight w:val="none"/>
                <w:lang w:bidi="ar"/>
              </w:rPr>
              <w:t>数据授权租户模式：</w:t>
            </w:r>
            <w:r>
              <w:rPr>
                <w:rFonts w:hint="eastAsia" w:ascii="宋体" w:hAnsi="宋体" w:eastAsia="宋体" w:cs="宋体"/>
                <w:kern w:val="0"/>
                <w:sz w:val="21"/>
                <w:szCs w:val="21"/>
                <w:highlight w:val="none"/>
                <w:lang w:bidi="ar"/>
              </w:rPr>
              <w:t>演示空间管理、节点管理、资源队列管理三个功能模块，全部符合得3分，每缺一点扣1分，本项最高得3分（上述此功能，不体现不得分）</w:t>
            </w:r>
            <w:r>
              <w:rPr>
                <w:rFonts w:hint="eastAsia" w:ascii="宋体" w:hAnsi="宋体" w:cs="宋体"/>
                <w:kern w:val="0"/>
                <w:sz w:val="21"/>
                <w:szCs w:val="21"/>
                <w:highlight w:val="none"/>
                <w:lang w:eastAsia="zh-CN" w:bidi="ar"/>
              </w:rPr>
              <w:t>。</w:t>
            </w:r>
          </w:p>
          <w:p w14:paraId="7070854D">
            <w:pPr>
              <w:widowControl/>
              <w:spacing w:line="360" w:lineRule="auto"/>
              <w:textAlignment w:val="center"/>
              <w:rPr>
                <w:rFonts w:hint="eastAsia" w:ascii="宋体" w:hAnsi="宋体" w:eastAsia="宋体" w:cs="宋体"/>
                <w:kern w:val="0"/>
                <w:sz w:val="21"/>
                <w:szCs w:val="21"/>
                <w:highlight w:val="none"/>
                <w:lang w:bidi="ar"/>
              </w:rPr>
            </w:pPr>
            <w:r>
              <w:rPr>
                <w:rFonts w:hint="eastAsia" w:ascii="宋体" w:hAnsi="宋体" w:eastAsia="宋体" w:cs="宋体"/>
                <w:b/>
                <w:bCs/>
                <w:kern w:val="0"/>
                <w:sz w:val="21"/>
                <w:szCs w:val="21"/>
                <w:highlight w:val="none"/>
                <w:lang w:bidi="ar"/>
              </w:rPr>
              <w:t>注：</w:t>
            </w:r>
            <w:r>
              <w:rPr>
                <w:rFonts w:hint="eastAsia" w:ascii="宋体" w:hAnsi="宋体" w:cs="宋体"/>
                <w:b/>
                <w:bCs/>
                <w:kern w:val="0"/>
                <w:sz w:val="21"/>
                <w:szCs w:val="21"/>
                <w:highlight w:val="none"/>
                <w:lang w:val="en-US" w:eastAsia="zh-CN" w:bidi="ar"/>
              </w:rPr>
              <w:t>响应</w:t>
            </w:r>
            <w:r>
              <w:rPr>
                <w:rFonts w:hint="eastAsia" w:ascii="宋体" w:hAnsi="宋体" w:eastAsia="宋体" w:cs="宋体"/>
                <w:b/>
                <w:bCs/>
                <w:kern w:val="0"/>
                <w:sz w:val="21"/>
                <w:szCs w:val="21"/>
                <w:highlight w:val="none"/>
                <w:lang w:bidi="ar"/>
              </w:rPr>
              <w:t>人须将演示内容录制成视频保存在U盘中，在投标截止时间前随备份投标文件一同密封递交。若采用PPT、图片演示等形式不得分，总演示时间不超过1</w:t>
            </w:r>
            <w:r>
              <w:rPr>
                <w:rFonts w:hint="eastAsia" w:ascii="宋体" w:hAnsi="宋体" w:cs="宋体"/>
                <w:b/>
                <w:bCs/>
                <w:kern w:val="0"/>
                <w:sz w:val="21"/>
                <w:szCs w:val="21"/>
                <w:highlight w:val="none"/>
                <w:lang w:val="en-US" w:eastAsia="zh-CN" w:bidi="ar"/>
              </w:rPr>
              <w:t>5</w:t>
            </w:r>
            <w:r>
              <w:rPr>
                <w:rFonts w:hint="eastAsia" w:ascii="宋体" w:hAnsi="宋体" w:eastAsia="宋体" w:cs="宋体"/>
                <w:b/>
                <w:bCs/>
                <w:kern w:val="0"/>
                <w:sz w:val="21"/>
                <w:szCs w:val="21"/>
                <w:highlight w:val="none"/>
                <w:lang w:bidi="ar"/>
              </w:rPr>
              <w:t>分钟。</w:t>
            </w:r>
            <w:r>
              <w:rPr>
                <w:rFonts w:hint="eastAsia" w:ascii="宋体" w:hAnsi="宋体" w:cs="宋体"/>
                <w:b/>
                <w:bCs/>
                <w:kern w:val="0"/>
                <w:sz w:val="21"/>
                <w:szCs w:val="21"/>
                <w:highlight w:val="none"/>
                <w:lang w:val="en-US" w:eastAsia="zh-CN" w:bidi="ar"/>
              </w:rPr>
              <w:t>响应</w:t>
            </w:r>
            <w:r>
              <w:rPr>
                <w:rFonts w:hint="eastAsia" w:ascii="宋体" w:hAnsi="宋体" w:eastAsia="宋体" w:cs="宋体"/>
                <w:b/>
                <w:bCs/>
                <w:kern w:val="0"/>
                <w:sz w:val="21"/>
                <w:szCs w:val="21"/>
                <w:highlight w:val="none"/>
                <w:lang w:bidi="ar"/>
              </w:rPr>
              <w:t>人需确保演示文件能够正常播放，否则造成无法演示的后果自负。</w:t>
            </w:r>
          </w:p>
        </w:tc>
        <w:tc>
          <w:tcPr>
            <w:tcW w:w="417" w:type="pct"/>
            <w:noWrap w:val="0"/>
            <w:vAlign w:val="center"/>
          </w:tcPr>
          <w:p w14:paraId="29D8F370">
            <w:pPr>
              <w:widowControl/>
              <w:spacing w:line="360" w:lineRule="auto"/>
              <w:jc w:val="center"/>
              <w:textAlignment w:val="center"/>
              <w:rPr>
                <w:rFonts w:hint="default" w:ascii="宋体" w:hAnsi="宋体" w:cs="宋体"/>
                <w:kern w:val="0"/>
                <w:sz w:val="21"/>
                <w:szCs w:val="21"/>
                <w:highlight w:val="none"/>
                <w:lang w:val="en-US" w:eastAsia="zh-CN" w:bidi="ar"/>
              </w:rPr>
            </w:pPr>
            <w:r>
              <w:rPr>
                <w:rFonts w:hint="eastAsia" w:ascii="宋体" w:hAnsi="宋体" w:cs="宋体"/>
                <w:kern w:val="0"/>
                <w:sz w:val="21"/>
                <w:szCs w:val="21"/>
                <w:highlight w:val="none"/>
                <w:lang w:val="en-US" w:eastAsia="zh-CN" w:bidi="ar"/>
              </w:rPr>
              <w:t>20</w:t>
            </w:r>
          </w:p>
        </w:tc>
      </w:tr>
      <w:tr w14:paraId="4CB893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4582" w:type="pct"/>
            <w:gridSpan w:val="4"/>
            <w:noWrap w:val="0"/>
            <w:vAlign w:val="bottom"/>
          </w:tcPr>
          <w:p w14:paraId="18E5CA2C">
            <w:pPr>
              <w:widowControl/>
              <w:spacing w:line="360" w:lineRule="auto"/>
              <w:jc w:val="center"/>
              <w:textAlignment w:val="bottom"/>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合计</w:t>
            </w:r>
          </w:p>
        </w:tc>
        <w:tc>
          <w:tcPr>
            <w:tcW w:w="417" w:type="pct"/>
            <w:noWrap w:val="0"/>
            <w:vAlign w:val="center"/>
          </w:tcPr>
          <w:p w14:paraId="415494ED">
            <w:pPr>
              <w:widowControl/>
              <w:spacing w:line="360" w:lineRule="auto"/>
              <w:jc w:val="center"/>
              <w:textAlignment w:val="center"/>
              <w:rPr>
                <w:rFonts w:hint="eastAsia" w:ascii="宋体" w:hAnsi="宋体" w:eastAsia="宋体" w:cs="宋体"/>
                <w:sz w:val="21"/>
                <w:szCs w:val="21"/>
                <w:highlight w:val="none"/>
              </w:rPr>
            </w:pPr>
            <w:r>
              <w:rPr>
                <w:rFonts w:hint="eastAsia" w:ascii="宋体" w:hAnsi="宋体" w:eastAsia="宋体" w:cs="宋体"/>
                <w:kern w:val="0"/>
                <w:sz w:val="21"/>
                <w:szCs w:val="21"/>
                <w:highlight w:val="none"/>
                <w:lang w:bidi="ar"/>
              </w:rPr>
              <w:t>90</w:t>
            </w:r>
          </w:p>
        </w:tc>
      </w:tr>
    </w:tbl>
    <w:p w14:paraId="0439F177">
      <w:pPr>
        <w:rPr>
          <w:rFonts w:hint="eastAsia" w:ascii="宋体" w:hAnsi="宋体" w:cs="宋体"/>
          <w:b/>
          <w:sz w:val="28"/>
          <w:szCs w:val="28"/>
          <w:highlight w:val="none"/>
        </w:rPr>
      </w:pPr>
      <w:r>
        <w:rPr>
          <w:rFonts w:hint="eastAsia" w:ascii="宋体" w:hAnsi="宋体" w:cs="宋体"/>
          <w:b/>
          <w:sz w:val="28"/>
          <w:szCs w:val="28"/>
          <w:highlight w:val="none"/>
        </w:rPr>
        <w:br w:type="page"/>
      </w:r>
    </w:p>
    <w:p w14:paraId="5DCE4F09">
      <w:pPr>
        <w:jc w:val="center"/>
        <w:outlineLvl w:val="0"/>
        <w:rPr>
          <w:rFonts w:ascii="宋体" w:hAnsi="宋体" w:cs="宋体"/>
          <w:b/>
          <w:sz w:val="28"/>
          <w:szCs w:val="28"/>
          <w:highlight w:val="none"/>
        </w:rPr>
      </w:pPr>
      <w:r>
        <w:rPr>
          <w:rFonts w:hint="eastAsia" w:ascii="宋体" w:hAnsi="宋体" w:cs="宋体"/>
          <w:b/>
          <w:sz w:val="28"/>
          <w:szCs w:val="28"/>
          <w:highlight w:val="none"/>
        </w:rPr>
        <w:t>第五章  合同主要条款</w:t>
      </w:r>
    </w:p>
    <w:p w14:paraId="285C3E36">
      <w:pPr>
        <w:snapToGrid w:val="0"/>
        <w:spacing w:before="156" w:beforeLines="50" w:after="156" w:afterLines="50" w:line="360" w:lineRule="auto"/>
        <w:jc w:val="center"/>
        <w:rPr>
          <w:sz w:val="28"/>
          <w:szCs w:val="28"/>
          <w:highlight w:val="none"/>
        </w:rPr>
      </w:pPr>
      <w:r>
        <w:rPr>
          <w:rFonts w:hint="eastAsia" w:ascii="宋体" w:hAnsi="宋体" w:cs="宋体"/>
          <w:b/>
          <w:sz w:val="28"/>
          <w:szCs w:val="28"/>
          <w:highlight w:val="none"/>
        </w:rPr>
        <w:t>（具体条款以甲方为主协商确定）</w:t>
      </w:r>
    </w:p>
    <w:p w14:paraId="0C9DD36E">
      <w:pPr>
        <w:spacing w:line="360" w:lineRule="auto"/>
        <w:jc w:val="center"/>
        <w:rPr>
          <w:rFonts w:ascii="宋体" w:hAnsi="宋体" w:cs="宋体"/>
          <w:sz w:val="44"/>
          <w:highlight w:val="none"/>
        </w:rPr>
      </w:pPr>
    </w:p>
    <w:p w14:paraId="234BBCF2">
      <w:pPr>
        <w:spacing w:line="360" w:lineRule="auto"/>
        <w:jc w:val="center"/>
        <w:rPr>
          <w:rFonts w:ascii="宋体" w:hAnsi="宋体" w:cs="宋体"/>
          <w:sz w:val="44"/>
          <w:highlight w:val="none"/>
        </w:rPr>
      </w:pPr>
    </w:p>
    <w:p w14:paraId="69B51209">
      <w:pPr>
        <w:spacing w:line="360" w:lineRule="auto"/>
        <w:jc w:val="center"/>
        <w:rPr>
          <w:rFonts w:ascii="宋体" w:hAnsi="宋体" w:cs="宋体"/>
          <w:sz w:val="44"/>
          <w:highlight w:val="none"/>
        </w:rPr>
      </w:pPr>
    </w:p>
    <w:p w14:paraId="16C294FC">
      <w:pPr>
        <w:spacing w:line="360" w:lineRule="auto"/>
        <w:jc w:val="center"/>
        <w:rPr>
          <w:rFonts w:ascii="宋体" w:hAnsi="宋体" w:cs="宋体"/>
          <w:sz w:val="44"/>
          <w:highlight w:val="none"/>
        </w:rPr>
      </w:pPr>
      <w:r>
        <w:rPr>
          <w:rFonts w:hint="eastAsia" w:ascii="宋体" w:hAnsi="宋体" w:cs="宋体"/>
          <w:sz w:val="44"/>
          <w:highlight w:val="none"/>
        </w:rPr>
        <w:t>项目合同</w:t>
      </w:r>
    </w:p>
    <w:p w14:paraId="2CD9D786">
      <w:pPr>
        <w:spacing w:line="276" w:lineRule="auto"/>
        <w:jc w:val="center"/>
        <w:rPr>
          <w:rFonts w:ascii="宋体" w:hAnsi="宋体" w:cs="宋体"/>
          <w:sz w:val="30"/>
          <w:szCs w:val="30"/>
          <w:highlight w:val="none"/>
        </w:rPr>
      </w:pPr>
    </w:p>
    <w:p w14:paraId="584CF965">
      <w:pPr>
        <w:spacing w:line="700" w:lineRule="exact"/>
        <w:ind w:firstLine="1026" w:firstLineChars="342"/>
        <w:rPr>
          <w:rFonts w:ascii="宋体" w:hAnsi="宋体" w:cs="宋体"/>
          <w:sz w:val="30"/>
          <w:szCs w:val="30"/>
          <w:highlight w:val="none"/>
        </w:rPr>
      </w:pPr>
      <w:r>
        <w:rPr>
          <w:rFonts w:hint="eastAsia" w:ascii="宋体" w:hAnsi="宋体" w:cs="宋体"/>
          <w:sz w:val="30"/>
          <w:szCs w:val="30"/>
          <w:highlight w:val="none"/>
        </w:rPr>
        <w:t>项目名称：</w:t>
      </w:r>
      <w:r>
        <w:rPr>
          <w:rFonts w:hint="eastAsia" w:ascii="宋体" w:hAnsi="宋体" w:cs="宋体"/>
          <w:sz w:val="30"/>
          <w:szCs w:val="30"/>
          <w:highlight w:val="none"/>
          <w:u w:val="single"/>
        </w:rPr>
        <w:t xml:space="preserve">                                        </w:t>
      </w:r>
    </w:p>
    <w:p w14:paraId="27EF40B6">
      <w:pPr>
        <w:spacing w:line="500" w:lineRule="exact"/>
        <w:ind w:firstLine="354" w:firstLineChars="118"/>
        <w:rPr>
          <w:rFonts w:ascii="宋体" w:hAnsi="宋体" w:cs="宋体"/>
          <w:sz w:val="30"/>
          <w:szCs w:val="30"/>
          <w:highlight w:val="none"/>
        </w:rPr>
      </w:pPr>
    </w:p>
    <w:p w14:paraId="26B9B5A5">
      <w:pPr>
        <w:spacing w:line="700" w:lineRule="exact"/>
        <w:ind w:firstLine="1026" w:firstLineChars="342"/>
        <w:rPr>
          <w:rFonts w:ascii="宋体" w:hAnsi="宋体" w:cs="宋体"/>
          <w:sz w:val="30"/>
          <w:szCs w:val="30"/>
          <w:highlight w:val="none"/>
          <w:u w:val="single"/>
        </w:rPr>
      </w:pPr>
      <w:r>
        <w:rPr>
          <w:rFonts w:hint="eastAsia" w:ascii="宋体" w:hAnsi="宋体" w:cs="宋体"/>
          <w:sz w:val="30"/>
          <w:szCs w:val="30"/>
          <w:highlight w:val="none"/>
        </w:rPr>
        <w:t>项目编号：</w:t>
      </w:r>
      <w:r>
        <w:rPr>
          <w:rFonts w:hint="eastAsia" w:ascii="宋体" w:hAnsi="宋体" w:cs="宋体"/>
          <w:sz w:val="30"/>
          <w:szCs w:val="30"/>
          <w:highlight w:val="none"/>
          <w:u w:val="single"/>
        </w:rPr>
        <w:t xml:space="preserve">                                        </w:t>
      </w:r>
    </w:p>
    <w:p w14:paraId="0A2DC1F0">
      <w:pPr>
        <w:spacing w:line="500" w:lineRule="exact"/>
        <w:rPr>
          <w:rFonts w:ascii="宋体" w:hAnsi="宋体" w:cs="宋体"/>
          <w:sz w:val="28"/>
          <w:szCs w:val="28"/>
          <w:highlight w:val="none"/>
        </w:rPr>
      </w:pPr>
    </w:p>
    <w:p w14:paraId="33C4991D">
      <w:pPr>
        <w:spacing w:line="700" w:lineRule="exact"/>
        <w:rPr>
          <w:rFonts w:ascii="宋体" w:hAnsi="宋体" w:cs="宋体"/>
          <w:sz w:val="30"/>
          <w:szCs w:val="30"/>
          <w:highlight w:val="none"/>
        </w:rPr>
      </w:pPr>
    </w:p>
    <w:p w14:paraId="6FAB51B2">
      <w:pPr>
        <w:spacing w:line="700" w:lineRule="exact"/>
        <w:rPr>
          <w:rFonts w:ascii="宋体" w:hAnsi="宋体" w:cs="宋体"/>
          <w:sz w:val="30"/>
          <w:szCs w:val="30"/>
          <w:highlight w:val="none"/>
        </w:rPr>
      </w:pPr>
    </w:p>
    <w:p w14:paraId="0E6C359C">
      <w:pPr>
        <w:spacing w:line="700" w:lineRule="exact"/>
        <w:rPr>
          <w:rFonts w:ascii="宋体" w:hAnsi="宋体" w:cs="宋体"/>
          <w:sz w:val="30"/>
          <w:szCs w:val="30"/>
          <w:highlight w:val="none"/>
        </w:rPr>
      </w:pPr>
    </w:p>
    <w:p w14:paraId="0E36502B">
      <w:pPr>
        <w:spacing w:line="700" w:lineRule="exact"/>
        <w:rPr>
          <w:rFonts w:ascii="宋体" w:hAnsi="宋体" w:cs="宋体"/>
          <w:sz w:val="30"/>
          <w:szCs w:val="30"/>
          <w:highlight w:val="none"/>
        </w:rPr>
      </w:pPr>
    </w:p>
    <w:p w14:paraId="0A2B6545">
      <w:pPr>
        <w:spacing w:line="700" w:lineRule="exact"/>
        <w:ind w:firstLine="1026" w:firstLineChars="342"/>
        <w:rPr>
          <w:rFonts w:ascii="宋体" w:hAnsi="宋体" w:cs="宋体"/>
          <w:sz w:val="30"/>
          <w:szCs w:val="30"/>
          <w:highlight w:val="none"/>
        </w:rPr>
      </w:pPr>
      <w:r>
        <w:rPr>
          <w:rFonts w:hint="eastAsia" w:ascii="宋体" w:hAnsi="宋体" w:cs="宋体"/>
          <w:sz w:val="30"/>
          <w:szCs w:val="30"/>
          <w:highlight w:val="none"/>
        </w:rPr>
        <w:t>采购人（甲方）：</w:t>
      </w:r>
      <w:r>
        <w:rPr>
          <w:rFonts w:hint="eastAsia" w:ascii="宋体" w:hAnsi="宋体" w:cs="宋体"/>
          <w:sz w:val="36"/>
          <w:szCs w:val="36"/>
          <w:highlight w:val="none"/>
          <w:u w:val="single"/>
        </w:rPr>
        <w:t xml:space="preserve">                             </w:t>
      </w:r>
    </w:p>
    <w:p w14:paraId="1310F2B4">
      <w:pPr>
        <w:spacing w:line="700" w:lineRule="exact"/>
        <w:ind w:firstLine="1026" w:firstLineChars="342"/>
        <w:rPr>
          <w:rFonts w:ascii="宋体" w:hAnsi="宋体" w:cs="宋体"/>
          <w:sz w:val="30"/>
          <w:szCs w:val="30"/>
          <w:highlight w:val="none"/>
        </w:rPr>
      </w:pPr>
      <w:r>
        <w:rPr>
          <w:rFonts w:hint="eastAsia" w:ascii="宋体" w:hAnsi="宋体" w:cs="宋体"/>
          <w:sz w:val="30"/>
          <w:szCs w:val="30"/>
          <w:highlight w:val="none"/>
          <w:lang w:eastAsia="zh-CN"/>
        </w:rPr>
        <w:t>成交人</w:t>
      </w:r>
      <w:r>
        <w:rPr>
          <w:rFonts w:hint="eastAsia" w:ascii="宋体" w:hAnsi="宋体" w:cs="宋体"/>
          <w:sz w:val="30"/>
          <w:szCs w:val="30"/>
          <w:highlight w:val="none"/>
        </w:rPr>
        <w:t>（乙方）：</w:t>
      </w:r>
      <w:r>
        <w:rPr>
          <w:rFonts w:hint="eastAsia" w:ascii="宋体" w:hAnsi="宋体" w:cs="宋体"/>
          <w:sz w:val="36"/>
          <w:szCs w:val="36"/>
          <w:highlight w:val="none"/>
          <w:u w:val="single"/>
        </w:rPr>
        <w:t xml:space="preserve">                             </w:t>
      </w:r>
    </w:p>
    <w:p w14:paraId="6D226A9E">
      <w:pPr>
        <w:spacing w:line="700" w:lineRule="exact"/>
        <w:ind w:firstLine="1026" w:firstLineChars="342"/>
        <w:rPr>
          <w:rFonts w:ascii="宋体" w:hAnsi="宋体" w:cs="宋体"/>
          <w:sz w:val="30"/>
          <w:szCs w:val="30"/>
          <w:highlight w:val="none"/>
        </w:rPr>
      </w:pPr>
      <w:r>
        <w:rPr>
          <w:rFonts w:hint="eastAsia" w:ascii="宋体" w:hAnsi="宋体" w:cs="宋体"/>
          <w:sz w:val="30"/>
          <w:szCs w:val="30"/>
          <w:highlight w:val="none"/>
        </w:rPr>
        <w:t>合同签定日：</w:t>
      </w:r>
      <w:r>
        <w:rPr>
          <w:rFonts w:hint="eastAsia" w:ascii="宋体" w:hAnsi="宋体" w:cs="宋体"/>
          <w:sz w:val="30"/>
          <w:szCs w:val="30"/>
          <w:highlight w:val="none"/>
          <w:u w:val="single"/>
        </w:rPr>
        <w:t xml:space="preserve"> 20  年   月   日                      </w:t>
      </w:r>
    </w:p>
    <w:p w14:paraId="4C926D02">
      <w:pPr>
        <w:spacing w:line="700" w:lineRule="exact"/>
        <w:ind w:firstLine="1026" w:firstLineChars="342"/>
        <w:rPr>
          <w:rFonts w:ascii="宋体" w:hAnsi="宋体" w:cs="宋体"/>
          <w:sz w:val="30"/>
          <w:szCs w:val="30"/>
          <w:highlight w:val="none"/>
        </w:rPr>
      </w:pPr>
      <w:r>
        <w:rPr>
          <w:rFonts w:hint="eastAsia" w:ascii="宋体" w:hAnsi="宋体" w:cs="宋体"/>
          <w:sz w:val="30"/>
          <w:szCs w:val="30"/>
          <w:highlight w:val="none"/>
        </w:rPr>
        <w:t>合同签定地点：</w:t>
      </w:r>
      <w:r>
        <w:rPr>
          <w:rFonts w:hint="eastAsia" w:ascii="宋体" w:hAnsi="宋体" w:cs="宋体"/>
          <w:sz w:val="30"/>
          <w:szCs w:val="30"/>
          <w:highlight w:val="none"/>
          <w:u w:val="single"/>
        </w:rPr>
        <w:t xml:space="preserve">舟山市      </w:t>
      </w:r>
      <w:r>
        <w:rPr>
          <w:rFonts w:hint="eastAsia" w:ascii="宋体" w:hAnsi="宋体" w:cs="宋体"/>
          <w:sz w:val="36"/>
          <w:szCs w:val="36"/>
          <w:highlight w:val="none"/>
          <w:u w:val="single"/>
        </w:rPr>
        <w:t xml:space="preserve">                     </w:t>
      </w:r>
    </w:p>
    <w:p w14:paraId="1552202E">
      <w:pPr>
        <w:snapToGrid w:val="0"/>
        <w:spacing w:line="400" w:lineRule="exact"/>
        <w:rPr>
          <w:rFonts w:ascii="宋体" w:hAnsi="宋体" w:cs="宋体"/>
          <w:szCs w:val="21"/>
          <w:highlight w:val="none"/>
        </w:rPr>
      </w:pPr>
    </w:p>
    <w:p w14:paraId="4D646812">
      <w:pPr>
        <w:snapToGrid w:val="0"/>
        <w:spacing w:line="400" w:lineRule="exact"/>
        <w:rPr>
          <w:rFonts w:ascii="宋体" w:hAnsi="宋体" w:cs="宋体"/>
          <w:szCs w:val="21"/>
          <w:highlight w:val="none"/>
        </w:rPr>
      </w:pPr>
    </w:p>
    <w:p w14:paraId="27D0D347">
      <w:pPr>
        <w:snapToGrid w:val="0"/>
        <w:spacing w:line="400" w:lineRule="exact"/>
        <w:rPr>
          <w:rFonts w:ascii="宋体" w:hAnsi="宋体" w:cs="宋体"/>
          <w:szCs w:val="21"/>
          <w:highlight w:val="none"/>
        </w:rPr>
      </w:pPr>
    </w:p>
    <w:p w14:paraId="4E6AE8F5">
      <w:pPr>
        <w:spacing w:line="360" w:lineRule="auto"/>
        <w:ind w:right="6"/>
        <w:rPr>
          <w:rFonts w:ascii="宋体" w:hAnsi="宋体"/>
          <w:spacing w:val="4"/>
          <w:sz w:val="24"/>
          <w:szCs w:val="24"/>
          <w:highlight w:val="none"/>
        </w:rPr>
      </w:pPr>
    </w:p>
    <w:p w14:paraId="795FC1A7">
      <w:pPr>
        <w:spacing w:line="360" w:lineRule="auto"/>
        <w:ind w:firstLine="436" w:firstLineChars="200"/>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甲方对</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pacing w:val="4"/>
          <w:szCs w:val="21"/>
          <w:highlight w:val="none"/>
        </w:rPr>
        <w:t>进行</w:t>
      </w:r>
      <w:r>
        <w:rPr>
          <w:rFonts w:hint="eastAsia" w:ascii="宋体" w:hAnsi="宋体" w:cs="宋体"/>
          <w:color w:val="auto"/>
          <w:spacing w:val="4"/>
          <w:szCs w:val="21"/>
          <w:highlight w:val="none"/>
          <w:lang w:val="en-US" w:eastAsia="zh-CN"/>
        </w:rPr>
        <w:t>竞争性磋商</w:t>
      </w:r>
      <w:r>
        <w:rPr>
          <w:rFonts w:hint="eastAsia" w:ascii="宋体" w:hAnsi="宋体" w:eastAsia="宋体" w:cs="宋体"/>
          <w:color w:val="auto"/>
          <w:spacing w:val="4"/>
          <w:szCs w:val="21"/>
          <w:highlight w:val="none"/>
        </w:rPr>
        <w:t>。经</w:t>
      </w:r>
      <w:r>
        <w:rPr>
          <w:rFonts w:hint="eastAsia" w:ascii="宋体" w:hAnsi="宋体" w:eastAsia="宋体" w:cs="宋体"/>
          <w:color w:val="auto"/>
          <w:spacing w:val="4"/>
          <w:szCs w:val="21"/>
          <w:highlight w:val="none"/>
          <w:lang w:val="en-US" w:eastAsia="zh-CN"/>
        </w:rPr>
        <w:t>评审</w:t>
      </w:r>
      <w:r>
        <w:rPr>
          <w:rFonts w:hint="eastAsia" w:ascii="宋体" w:hAnsi="宋体" w:eastAsia="宋体" w:cs="宋体"/>
          <w:color w:val="auto"/>
          <w:spacing w:val="4"/>
          <w:szCs w:val="21"/>
          <w:highlight w:val="none"/>
        </w:rPr>
        <w:t>小组评定并最终审核通过，确定乙方为本项采购项目的</w:t>
      </w:r>
      <w:r>
        <w:rPr>
          <w:rFonts w:hint="eastAsia" w:ascii="宋体" w:hAnsi="宋体" w:cs="宋体"/>
          <w:color w:val="auto"/>
          <w:spacing w:val="4"/>
          <w:szCs w:val="21"/>
          <w:highlight w:val="none"/>
          <w:lang w:val="en-US" w:eastAsia="zh-CN"/>
        </w:rPr>
        <w:t>成交人</w:t>
      </w:r>
      <w:r>
        <w:rPr>
          <w:rFonts w:hint="eastAsia" w:ascii="宋体" w:hAnsi="宋体" w:eastAsia="宋体" w:cs="宋体"/>
          <w:color w:val="auto"/>
          <w:spacing w:val="4"/>
          <w:szCs w:val="21"/>
          <w:highlight w:val="none"/>
        </w:rPr>
        <w:t>。甲乙双方根据《中华人民共和国政府采购法》、《中华人民共和国民法典》等相关法律法规及本项目</w:t>
      </w:r>
      <w:r>
        <w:rPr>
          <w:rFonts w:hint="eastAsia" w:ascii="宋体" w:hAnsi="宋体" w:cs="宋体"/>
          <w:color w:val="auto"/>
          <w:spacing w:val="4"/>
          <w:szCs w:val="21"/>
          <w:highlight w:val="none"/>
          <w:lang w:val="en-US" w:eastAsia="zh-CN"/>
        </w:rPr>
        <w:t>磋商文件</w:t>
      </w:r>
      <w:r>
        <w:rPr>
          <w:rFonts w:hint="eastAsia" w:ascii="宋体" w:hAnsi="宋体" w:eastAsia="宋体" w:cs="宋体"/>
          <w:color w:val="auto"/>
          <w:spacing w:val="4"/>
          <w:szCs w:val="21"/>
          <w:highlight w:val="none"/>
        </w:rPr>
        <w:t>的规定，双方经平等协商达成一致意见，订立本合同。</w:t>
      </w:r>
    </w:p>
    <w:p w14:paraId="07F1CC61">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一、合同文件</w:t>
      </w:r>
    </w:p>
    <w:p w14:paraId="2E14FFC1">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下列文件构成本合同的组成部分：</w:t>
      </w:r>
    </w:p>
    <w:p w14:paraId="30F43D86">
      <w:pPr>
        <w:numPr>
          <w:ilvl w:val="0"/>
          <w:numId w:val="6"/>
        </w:numPr>
        <w:adjustRightInd w:val="0"/>
        <w:spacing w:line="360" w:lineRule="auto"/>
        <w:ind w:left="0" w:firstLine="420" w:firstLineChars="200"/>
        <w:textAlignment w:val="baseline"/>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磋商文件</w:t>
      </w:r>
    </w:p>
    <w:p w14:paraId="37E831F0">
      <w:pPr>
        <w:numPr>
          <w:ilvl w:val="0"/>
          <w:numId w:val="6"/>
        </w:numPr>
        <w:adjustRightInd w:val="0"/>
        <w:spacing w:line="360" w:lineRule="auto"/>
        <w:ind w:left="0"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乙方的</w:t>
      </w:r>
      <w:r>
        <w:rPr>
          <w:rFonts w:hint="eastAsia" w:ascii="宋体" w:hAnsi="宋体" w:cs="宋体"/>
          <w:color w:val="auto"/>
          <w:szCs w:val="21"/>
          <w:highlight w:val="none"/>
          <w:lang w:val="en-US" w:eastAsia="zh-CN"/>
        </w:rPr>
        <w:t>响应文件</w:t>
      </w:r>
    </w:p>
    <w:p w14:paraId="568FA454">
      <w:pPr>
        <w:numPr>
          <w:ilvl w:val="0"/>
          <w:numId w:val="6"/>
        </w:numPr>
        <w:adjustRightInd w:val="0"/>
        <w:spacing w:line="360" w:lineRule="auto"/>
        <w:ind w:left="0" w:firstLine="420" w:firstLineChars="200"/>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相关补充文件</w:t>
      </w:r>
    </w:p>
    <w:p w14:paraId="660DA235">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二、合同范围和条件</w:t>
      </w:r>
    </w:p>
    <w:p w14:paraId="7F358974">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本合同的范围和条件与上述规定的合同文件内容一致。</w:t>
      </w:r>
    </w:p>
    <w:p w14:paraId="5E63DF63">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三、产品的技术要求</w:t>
      </w:r>
    </w:p>
    <w:p w14:paraId="2C0D5807">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本产品的技术要求同</w:t>
      </w:r>
      <w:r>
        <w:rPr>
          <w:rFonts w:hint="eastAsia" w:ascii="宋体" w:hAnsi="宋体" w:cs="宋体"/>
          <w:color w:val="auto"/>
          <w:szCs w:val="21"/>
          <w:highlight w:val="none"/>
          <w:lang w:val="en-US" w:eastAsia="zh-CN"/>
        </w:rPr>
        <w:t>磋商文件</w:t>
      </w:r>
      <w:r>
        <w:rPr>
          <w:rFonts w:hint="eastAsia" w:ascii="宋体" w:hAnsi="宋体" w:eastAsia="宋体" w:cs="宋体"/>
          <w:color w:val="auto"/>
          <w:szCs w:val="21"/>
          <w:highlight w:val="none"/>
        </w:rPr>
        <w:t>第二章项目采购需求相同。</w:t>
      </w:r>
    </w:p>
    <w:p w14:paraId="5734C133">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四、合同金额</w:t>
      </w:r>
    </w:p>
    <w:p w14:paraId="3B220256">
      <w:pPr>
        <w:adjustRightInd w:val="0"/>
        <w:snapToGrid w:val="0"/>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本合同金额为（大写）：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元）人民币。</w:t>
      </w:r>
    </w:p>
    <w:p w14:paraId="7F726F0E">
      <w:pPr>
        <w:keepNext w:val="0"/>
        <w:keepLines w:val="0"/>
        <w:pageBreakBefore w:val="0"/>
        <w:numPr>
          <w:ilvl w:val="0"/>
          <w:numId w:val="0"/>
        </w:numPr>
        <w:kinsoku/>
        <w:wordWrap/>
        <w:overflowPunct/>
        <w:topLinePunct w:val="0"/>
        <w:bidi w:val="0"/>
        <w:snapToGrid/>
        <w:spacing w:line="360" w:lineRule="auto"/>
        <w:ind w:leftChars="0"/>
        <w:textAlignment w:val="auto"/>
        <w:outlineLvl w:val="1"/>
        <w:rPr>
          <w:rFonts w:hint="eastAsia" w:ascii="宋体" w:hAnsi="宋体" w:eastAsia="宋体" w:cs="宋体"/>
          <w:b/>
          <w:color w:val="auto"/>
          <w:szCs w:val="21"/>
          <w:highlight w:val="none"/>
          <w:lang w:eastAsia="zh-CN"/>
        </w:rPr>
      </w:pPr>
      <w:r>
        <w:rPr>
          <w:rFonts w:hint="eastAsia" w:ascii="宋体" w:hAnsi="宋体" w:cs="宋体"/>
          <w:b/>
          <w:color w:val="auto"/>
          <w:szCs w:val="21"/>
          <w:highlight w:val="none"/>
          <w:lang w:val="en-US" w:eastAsia="zh-CN"/>
        </w:rPr>
        <w:t>五、</w:t>
      </w:r>
      <w:r>
        <w:rPr>
          <w:rFonts w:hint="eastAsia" w:ascii="宋体" w:hAnsi="宋体" w:eastAsia="宋体" w:cs="宋体"/>
          <w:b/>
          <w:color w:val="auto"/>
          <w:szCs w:val="21"/>
          <w:highlight w:val="none"/>
        </w:rPr>
        <w:t>项目</w:t>
      </w:r>
      <w:r>
        <w:rPr>
          <w:rFonts w:hint="eastAsia" w:ascii="宋体" w:hAnsi="宋体" w:cs="宋体"/>
          <w:b/>
          <w:color w:val="auto"/>
          <w:szCs w:val="21"/>
          <w:highlight w:val="none"/>
          <w:lang w:val="en-US" w:eastAsia="zh-CN"/>
        </w:rPr>
        <w:t>工期</w:t>
      </w:r>
    </w:p>
    <w:p w14:paraId="1B49C2F3">
      <w:pPr>
        <w:pStyle w:val="25"/>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outlineLvl w:val="9"/>
        <w:rPr>
          <w:rFonts w:hint="eastAsia" w:ascii="宋体" w:hAnsi="宋体" w:cs="宋体"/>
          <w:b w:val="0"/>
          <w:bCs/>
          <w:color w:val="auto"/>
          <w:szCs w:val="21"/>
          <w:highlight w:val="none"/>
          <w:lang w:val="en-US" w:eastAsia="zh-CN"/>
        </w:rPr>
      </w:pPr>
      <w:r>
        <w:rPr>
          <w:rFonts w:hint="eastAsia" w:ascii="宋体" w:hAnsi="宋体" w:cs="宋体"/>
          <w:b w:val="0"/>
          <w:bCs/>
          <w:color w:val="auto"/>
          <w:szCs w:val="21"/>
          <w:highlight w:val="none"/>
          <w:lang w:val="en-US" w:eastAsia="zh-CN"/>
        </w:rPr>
        <w:t>自合同签订之日起进入为期一年的项目服务期，合同签订后3个月内完成项目建设并进行项目初验，初验通过后试运行，试运行3个月后无任何问题进行终验。</w:t>
      </w:r>
    </w:p>
    <w:p w14:paraId="2EB60048">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六、付款方式</w:t>
      </w:r>
    </w:p>
    <w:p w14:paraId="57FA700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lang w:eastAsia="zh-CN"/>
        </w:rPr>
      </w:pPr>
      <w:r>
        <w:rPr>
          <w:rFonts w:hint="eastAsia" w:ascii="宋体" w:hAnsi="宋体" w:cs="宋体"/>
          <w:color w:val="auto"/>
          <w:highlight w:val="none"/>
          <w:lang w:eastAsia="zh-CN"/>
        </w:rPr>
        <w:t>合同签订后7个工作日内，</w:t>
      </w:r>
      <w:r>
        <w:rPr>
          <w:rFonts w:hint="eastAsia" w:ascii="宋体" w:hAnsi="宋体" w:cs="宋体"/>
          <w:sz w:val="21"/>
          <w:szCs w:val="21"/>
          <w:highlight w:val="none"/>
          <w:lang w:val="en-US" w:eastAsia="zh-CN"/>
        </w:rPr>
        <w:t>甲方</w:t>
      </w:r>
      <w:r>
        <w:rPr>
          <w:rFonts w:hint="eastAsia" w:ascii="宋体" w:hAnsi="宋体" w:cs="宋体"/>
          <w:color w:val="auto"/>
          <w:highlight w:val="none"/>
          <w:lang w:eastAsia="zh-CN"/>
        </w:rPr>
        <w:t>收到</w:t>
      </w:r>
      <w:r>
        <w:rPr>
          <w:rFonts w:hint="eastAsia" w:ascii="宋体" w:hAnsi="宋体" w:cs="宋体"/>
          <w:color w:val="auto"/>
          <w:highlight w:val="none"/>
          <w:lang w:val="en-US" w:eastAsia="zh-CN"/>
        </w:rPr>
        <w:t>乙方</w:t>
      </w:r>
      <w:r>
        <w:rPr>
          <w:rFonts w:hint="eastAsia" w:ascii="宋体" w:hAnsi="宋体" w:cs="宋体"/>
          <w:color w:val="auto"/>
          <w:highlight w:val="none"/>
          <w:lang w:eastAsia="zh-CN"/>
        </w:rPr>
        <w:t>正规发票后，支付合同款的50%；项目初验通过后且</w:t>
      </w:r>
      <w:r>
        <w:rPr>
          <w:rFonts w:hint="eastAsia" w:ascii="宋体" w:hAnsi="宋体" w:cs="宋体"/>
          <w:color w:val="auto"/>
          <w:highlight w:val="none"/>
          <w:lang w:val="en-US" w:eastAsia="zh-CN"/>
        </w:rPr>
        <w:t>乙方</w:t>
      </w:r>
      <w:r>
        <w:rPr>
          <w:rFonts w:hint="eastAsia" w:ascii="宋体" w:hAnsi="宋体" w:cs="宋体"/>
          <w:color w:val="auto"/>
          <w:highlight w:val="none"/>
          <w:lang w:eastAsia="zh-CN"/>
        </w:rPr>
        <w:t>收到</w:t>
      </w:r>
      <w:r>
        <w:rPr>
          <w:rFonts w:hint="eastAsia" w:ascii="宋体" w:hAnsi="宋体" w:cs="宋体"/>
          <w:color w:val="auto"/>
          <w:highlight w:val="none"/>
          <w:lang w:val="en-US" w:eastAsia="zh-CN"/>
        </w:rPr>
        <w:t>乙方</w:t>
      </w:r>
      <w:r>
        <w:rPr>
          <w:rFonts w:hint="eastAsia" w:ascii="宋体" w:hAnsi="宋体" w:cs="宋体"/>
          <w:color w:val="auto"/>
          <w:highlight w:val="none"/>
          <w:lang w:eastAsia="zh-CN"/>
        </w:rPr>
        <w:t>正规发票20日内，支付合同总价的40%；项目终验合格后且</w:t>
      </w:r>
      <w:r>
        <w:rPr>
          <w:rFonts w:hint="eastAsia" w:ascii="宋体" w:hAnsi="宋体" w:cs="宋体"/>
          <w:sz w:val="21"/>
          <w:szCs w:val="21"/>
          <w:highlight w:val="none"/>
          <w:lang w:val="en-US" w:eastAsia="zh-CN"/>
        </w:rPr>
        <w:t>甲方</w:t>
      </w:r>
      <w:r>
        <w:rPr>
          <w:rFonts w:hint="eastAsia" w:ascii="宋体" w:hAnsi="宋体" w:cs="宋体"/>
          <w:color w:val="auto"/>
          <w:highlight w:val="none"/>
          <w:lang w:eastAsia="zh-CN"/>
        </w:rPr>
        <w:t>收到</w:t>
      </w:r>
      <w:r>
        <w:rPr>
          <w:rFonts w:hint="eastAsia" w:ascii="宋体" w:hAnsi="宋体" w:cs="宋体"/>
          <w:color w:val="auto"/>
          <w:highlight w:val="none"/>
          <w:lang w:val="en-US" w:eastAsia="zh-CN"/>
        </w:rPr>
        <w:t>乙方</w:t>
      </w:r>
      <w:r>
        <w:rPr>
          <w:rFonts w:hint="eastAsia" w:ascii="宋体" w:hAnsi="宋体" w:cs="宋体"/>
          <w:color w:val="auto"/>
          <w:highlight w:val="none"/>
          <w:lang w:eastAsia="zh-CN"/>
        </w:rPr>
        <w:t>正规发票20日内，支付合同总价的10%。</w:t>
      </w:r>
    </w:p>
    <w:p w14:paraId="5458CDB7">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七、</w:t>
      </w:r>
      <w:r>
        <w:rPr>
          <w:rFonts w:hint="eastAsia" w:ascii="宋体" w:hAnsi="宋体" w:cs="宋体"/>
          <w:b/>
          <w:szCs w:val="21"/>
        </w:rPr>
        <w:t>建设内容清单、免费保修及价格</w:t>
      </w:r>
    </w:p>
    <w:tbl>
      <w:tblPr>
        <w:tblStyle w:val="2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6"/>
        <w:gridCol w:w="2510"/>
        <w:gridCol w:w="1698"/>
        <w:gridCol w:w="1015"/>
        <w:gridCol w:w="1064"/>
        <w:gridCol w:w="1109"/>
        <w:gridCol w:w="1618"/>
      </w:tblGrid>
      <w:tr w14:paraId="3160A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noWrap w:val="0"/>
            <w:vAlign w:val="center"/>
          </w:tcPr>
          <w:p w14:paraId="63E5E44C">
            <w:pPr>
              <w:widowControl/>
              <w:spacing w:line="360" w:lineRule="auto"/>
              <w:jc w:val="center"/>
              <w:textAlignment w:val="center"/>
              <w:rPr>
                <w:rStyle w:val="59"/>
                <w:rFonts w:hint="eastAsia" w:ascii="宋体" w:hAnsi="宋体" w:cs="宋体"/>
                <w:b/>
                <w:bCs/>
                <w:szCs w:val="21"/>
              </w:rPr>
            </w:pPr>
            <w:r>
              <w:rPr>
                <w:rFonts w:hint="eastAsia" w:ascii="宋体" w:hAnsi="宋体" w:cs="宋体"/>
                <w:b/>
                <w:bCs/>
                <w:color w:val="000000"/>
                <w:kern w:val="0"/>
                <w:szCs w:val="21"/>
                <w:lang w:bidi="ar"/>
              </w:rPr>
              <w:t>序号</w:t>
            </w:r>
          </w:p>
        </w:tc>
        <w:tc>
          <w:tcPr>
            <w:tcW w:w="2504" w:type="dxa"/>
            <w:noWrap w:val="0"/>
            <w:vAlign w:val="center"/>
          </w:tcPr>
          <w:p w14:paraId="1FD75581">
            <w:pPr>
              <w:widowControl/>
              <w:spacing w:line="360" w:lineRule="auto"/>
              <w:jc w:val="center"/>
              <w:textAlignment w:val="center"/>
              <w:rPr>
                <w:rStyle w:val="59"/>
                <w:rFonts w:hint="eastAsia" w:ascii="宋体" w:hAnsi="宋体" w:cs="宋体"/>
                <w:b/>
                <w:bCs/>
                <w:szCs w:val="21"/>
              </w:rPr>
            </w:pPr>
            <w:r>
              <w:rPr>
                <w:rFonts w:hint="eastAsia" w:ascii="宋体" w:hAnsi="宋体" w:cs="宋体"/>
                <w:b/>
                <w:bCs/>
                <w:color w:val="000000"/>
                <w:kern w:val="0"/>
                <w:szCs w:val="21"/>
                <w:lang w:bidi="ar"/>
              </w:rPr>
              <w:t>系统功能</w:t>
            </w:r>
          </w:p>
        </w:tc>
        <w:tc>
          <w:tcPr>
            <w:tcW w:w="1694" w:type="dxa"/>
            <w:noWrap w:val="0"/>
            <w:vAlign w:val="center"/>
          </w:tcPr>
          <w:p w14:paraId="4B021F8D">
            <w:pPr>
              <w:widowControl/>
              <w:spacing w:line="360" w:lineRule="auto"/>
              <w:jc w:val="center"/>
              <w:textAlignment w:val="center"/>
              <w:rPr>
                <w:rStyle w:val="59"/>
                <w:rFonts w:hint="eastAsia" w:ascii="宋体" w:hAnsi="宋体" w:cs="宋体"/>
                <w:b/>
                <w:bCs/>
                <w:szCs w:val="21"/>
              </w:rPr>
            </w:pPr>
            <w:r>
              <w:rPr>
                <w:rFonts w:hint="eastAsia" w:ascii="宋体" w:hAnsi="宋体" w:cs="宋体"/>
                <w:b/>
                <w:bCs/>
                <w:color w:val="000000"/>
                <w:kern w:val="0"/>
                <w:szCs w:val="21"/>
                <w:lang w:bidi="ar"/>
              </w:rPr>
              <w:t>功能描述及要求</w:t>
            </w:r>
          </w:p>
        </w:tc>
        <w:tc>
          <w:tcPr>
            <w:tcW w:w="520" w:type="pct"/>
            <w:noWrap w:val="0"/>
            <w:vAlign w:val="center"/>
          </w:tcPr>
          <w:p w14:paraId="344BC771">
            <w:pPr>
              <w:spacing w:line="360" w:lineRule="auto"/>
              <w:jc w:val="center"/>
              <w:rPr>
                <w:rStyle w:val="59"/>
                <w:rFonts w:hint="eastAsia" w:ascii="宋体" w:hAnsi="宋体" w:cs="宋体"/>
                <w:b/>
                <w:bCs/>
                <w:szCs w:val="21"/>
              </w:rPr>
            </w:pPr>
            <w:r>
              <w:rPr>
                <w:rStyle w:val="59"/>
                <w:rFonts w:hint="eastAsia" w:ascii="宋体" w:hAnsi="宋体" w:cs="宋体"/>
                <w:b/>
                <w:bCs/>
                <w:szCs w:val="21"/>
              </w:rPr>
              <w:t>数量/单位</w:t>
            </w:r>
          </w:p>
        </w:tc>
        <w:tc>
          <w:tcPr>
            <w:tcW w:w="545" w:type="pct"/>
            <w:noWrap w:val="0"/>
            <w:vAlign w:val="center"/>
          </w:tcPr>
          <w:p w14:paraId="341A96B0">
            <w:pPr>
              <w:spacing w:line="360" w:lineRule="auto"/>
              <w:jc w:val="center"/>
              <w:rPr>
                <w:rStyle w:val="59"/>
                <w:rFonts w:hint="eastAsia" w:ascii="宋体" w:hAnsi="宋体" w:cs="宋体"/>
                <w:b/>
                <w:bCs/>
                <w:szCs w:val="21"/>
              </w:rPr>
            </w:pPr>
            <w:r>
              <w:rPr>
                <w:rFonts w:hint="eastAsia" w:ascii="宋体" w:hAnsi="宋体" w:cs="宋体"/>
                <w:b/>
                <w:szCs w:val="21"/>
              </w:rPr>
              <w:t>单价（元）</w:t>
            </w:r>
          </w:p>
        </w:tc>
        <w:tc>
          <w:tcPr>
            <w:tcW w:w="568" w:type="pct"/>
            <w:noWrap w:val="0"/>
            <w:vAlign w:val="center"/>
          </w:tcPr>
          <w:p w14:paraId="61E30970">
            <w:pPr>
              <w:spacing w:line="360" w:lineRule="auto"/>
              <w:jc w:val="center"/>
              <w:rPr>
                <w:rFonts w:hint="eastAsia" w:ascii="宋体" w:hAnsi="宋体" w:cs="宋体"/>
                <w:b/>
                <w:szCs w:val="21"/>
              </w:rPr>
            </w:pPr>
            <w:r>
              <w:rPr>
                <w:rFonts w:hint="eastAsia" w:ascii="宋体" w:hAnsi="宋体" w:cs="宋体"/>
                <w:b/>
                <w:szCs w:val="21"/>
              </w:rPr>
              <w:t>总价（元）</w:t>
            </w:r>
          </w:p>
        </w:tc>
        <w:tc>
          <w:tcPr>
            <w:tcW w:w="825" w:type="pct"/>
            <w:noWrap w:val="0"/>
            <w:vAlign w:val="center"/>
          </w:tcPr>
          <w:p w14:paraId="3DF776A7">
            <w:pPr>
              <w:spacing w:line="360" w:lineRule="auto"/>
              <w:jc w:val="center"/>
              <w:rPr>
                <w:rFonts w:hint="eastAsia" w:ascii="宋体" w:hAnsi="宋体" w:cs="宋体"/>
                <w:b/>
                <w:szCs w:val="21"/>
              </w:rPr>
            </w:pPr>
            <w:r>
              <w:rPr>
                <w:rFonts w:hint="eastAsia" w:ascii="宋体" w:hAnsi="宋体" w:cs="宋体"/>
                <w:b/>
                <w:szCs w:val="21"/>
              </w:rPr>
              <w:t>免费运维期</w:t>
            </w:r>
          </w:p>
        </w:tc>
      </w:tr>
      <w:tr w14:paraId="525E8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 w:type="pct"/>
            <w:noWrap w:val="0"/>
            <w:vAlign w:val="center"/>
          </w:tcPr>
          <w:p w14:paraId="1735E963">
            <w:pPr>
              <w:spacing w:line="360" w:lineRule="auto"/>
              <w:jc w:val="center"/>
              <w:rPr>
                <w:rStyle w:val="59"/>
                <w:rFonts w:hint="eastAsia" w:ascii="宋体" w:hAnsi="宋体" w:cs="宋体"/>
                <w:szCs w:val="21"/>
              </w:rPr>
            </w:pPr>
          </w:p>
        </w:tc>
        <w:tc>
          <w:tcPr>
            <w:tcW w:w="1286" w:type="pct"/>
            <w:noWrap w:val="0"/>
            <w:vAlign w:val="center"/>
          </w:tcPr>
          <w:p w14:paraId="40DF2011">
            <w:pPr>
              <w:spacing w:line="360" w:lineRule="auto"/>
              <w:jc w:val="center"/>
              <w:rPr>
                <w:rStyle w:val="59"/>
                <w:rFonts w:hint="eastAsia" w:ascii="宋体" w:hAnsi="宋体" w:cs="宋体"/>
                <w:szCs w:val="21"/>
              </w:rPr>
            </w:pPr>
          </w:p>
        </w:tc>
        <w:tc>
          <w:tcPr>
            <w:tcW w:w="870" w:type="pct"/>
            <w:noWrap w:val="0"/>
            <w:vAlign w:val="center"/>
          </w:tcPr>
          <w:p w14:paraId="7A47C548">
            <w:pPr>
              <w:spacing w:line="360" w:lineRule="auto"/>
              <w:jc w:val="center"/>
              <w:rPr>
                <w:rStyle w:val="59"/>
                <w:rFonts w:hint="eastAsia" w:ascii="宋体" w:hAnsi="宋体" w:cs="宋体"/>
                <w:szCs w:val="21"/>
              </w:rPr>
            </w:pPr>
          </w:p>
        </w:tc>
        <w:tc>
          <w:tcPr>
            <w:tcW w:w="520" w:type="pct"/>
            <w:noWrap w:val="0"/>
            <w:vAlign w:val="center"/>
          </w:tcPr>
          <w:p w14:paraId="0DF453AF">
            <w:pPr>
              <w:spacing w:line="360" w:lineRule="auto"/>
              <w:jc w:val="center"/>
              <w:rPr>
                <w:rStyle w:val="59"/>
                <w:rFonts w:hint="eastAsia" w:ascii="宋体" w:hAnsi="宋体" w:cs="宋体"/>
                <w:szCs w:val="21"/>
              </w:rPr>
            </w:pPr>
          </w:p>
        </w:tc>
        <w:tc>
          <w:tcPr>
            <w:tcW w:w="545" w:type="pct"/>
            <w:noWrap w:val="0"/>
            <w:vAlign w:val="center"/>
          </w:tcPr>
          <w:p w14:paraId="7BAD0232">
            <w:pPr>
              <w:spacing w:line="360" w:lineRule="auto"/>
              <w:jc w:val="center"/>
              <w:rPr>
                <w:rStyle w:val="59"/>
                <w:rFonts w:hint="eastAsia" w:ascii="宋体" w:hAnsi="宋体" w:cs="宋体"/>
                <w:szCs w:val="21"/>
              </w:rPr>
            </w:pPr>
          </w:p>
        </w:tc>
        <w:tc>
          <w:tcPr>
            <w:tcW w:w="568" w:type="pct"/>
            <w:noWrap w:val="0"/>
            <w:vAlign w:val="center"/>
          </w:tcPr>
          <w:p w14:paraId="6D555CC1">
            <w:pPr>
              <w:spacing w:line="360" w:lineRule="auto"/>
              <w:jc w:val="center"/>
              <w:rPr>
                <w:rStyle w:val="59"/>
                <w:rFonts w:hint="eastAsia" w:ascii="宋体" w:hAnsi="宋体" w:cs="宋体"/>
                <w:szCs w:val="21"/>
              </w:rPr>
            </w:pPr>
          </w:p>
        </w:tc>
        <w:tc>
          <w:tcPr>
            <w:tcW w:w="825" w:type="pct"/>
            <w:noWrap w:val="0"/>
            <w:vAlign w:val="center"/>
          </w:tcPr>
          <w:p w14:paraId="2AE0A8FB">
            <w:pPr>
              <w:spacing w:line="360" w:lineRule="auto"/>
              <w:jc w:val="center"/>
              <w:rPr>
                <w:rStyle w:val="59"/>
                <w:rFonts w:hint="eastAsia" w:ascii="宋体" w:hAnsi="宋体" w:cs="宋体"/>
                <w:szCs w:val="21"/>
              </w:rPr>
            </w:pPr>
          </w:p>
        </w:tc>
      </w:tr>
      <w:tr w14:paraId="1B817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 w:type="pct"/>
            <w:noWrap w:val="0"/>
            <w:vAlign w:val="center"/>
          </w:tcPr>
          <w:p w14:paraId="12E74FA5">
            <w:pPr>
              <w:spacing w:line="360" w:lineRule="auto"/>
              <w:jc w:val="center"/>
              <w:rPr>
                <w:rStyle w:val="59"/>
                <w:rFonts w:hint="eastAsia" w:ascii="宋体" w:hAnsi="宋体" w:cs="宋体"/>
                <w:szCs w:val="21"/>
              </w:rPr>
            </w:pPr>
          </w:p>
        </w:tc>
        <w:tc>
          <w:tcPr>
            <w:tcW w:w="1286" w:type="pct"/>
            <w:noWrap w:val="0"/>
            <w:vAlign w:val="center"/>
          </w:tcPr>
          <w:p w14:paraId="68F0767C">
            <w:pPr>
              <w:spacing w:line="360" w:lineRule="auto"/>
              <w:jc w:val="center"/>
              <w:rPr>
                <w:rStyle w:val="59"/>
                <w:rFonts w:hint="eastAsia" w:ascii="宋体" w:hAnsi="宋体" w:cs="宋体"/>
                <w:szCs w:val="21"/>
              </w:rPr>
            </w:pPr>
          </w:p>
        </w:tc>
        <w:tc>
          <w:tcPr>
            <w:tcW w:w="870" w:type="pct"/>
            <w:noWrap w:val="0"/>
            <w:vAlign w:val="center"/>
          </w:tcPr>
          <w:p w14:paraId="06A89919">
            <w:pPr>
              <w:spacing w:line="360" w:lineRule="auto"/>
              <w:jc w:val="center"/>
              <w:rPr>
                <w:rStyle w:val="59"/>
                <w:rFonts w:hint="eastAsia" w:ascii="宋体" w:hAnsi="宋体" w:cs="宋体"/>
                <w:szCs w:val="21"/>
              </w:rPr>
            </w:pPr>
          </w:p>
        </w:tc>
        <w:tc>
          <w:tcPr>
            <w:tcW w:w="520" w:type="pct"/>
            <w:noWrap w:val="0"/>
            <w:vAlign w:val="center"/>
          </w:tcPr>
          <w:p w14:paraId="25F1B43F">
            <w:pPr>
              <w:spacing w:line="360" w:lineRule="auto"/>
              <w:jc w:val="center"/>
              <w:rPr>
                <w:rStyle w:val="59"/>
                <w:rFonts w:hint="eastAsia" w:ascii="宋体" w:hAnsi="宋体" w:cs="宋体"/>
                <w:szCs w:val="21"/>
              </w:rPr>
            </w:pPr>
          </w:p>
        </w:tc>
        <w:tc>
          <w:tcPr>
            <w:tcW w:w="545" w:type="pct"/>
            <w:noWrap w:val="0"/>
            <w:vAlign w:val="center"/>
          </w:tcPr>
          <w:p w14:paraId="453D26BD">
            <w:pPr>
              <w:spacing w:line="360" w:lineRule="auto"/>
              <w:jc w:val="center"/>
              <w:rPr>
                <w:rStyle w:val="59"/>
                <w:rFonts w:hint="eastAsia" w:ascii="宋体" w:hAnsi="宋体" w:cs="宋体"/>
                <w:szCs w:val="21"/>
              </w:rPr>
            </w:pPr>
          </w:p>
        </w:tc>
        <w:tc>
          <w:tcPr>
            <w:tcW w:w="568" w:type="pct"/>
            <w:noWrap w:val="0"/>
            <w:vAlign w:val="center"/>
          </w:tcPr>
          <w:p w14:paraId="74D938EA">
            <w:pPr>
              <w:spacing w:line="360" w:lineRule="auto"/>
              <w:jc w:val="center"/>
              <w:rPr>
                <w:rStyle w:val="59"/>
                <w:rFonts w:hint="eastAsia" w:ascii="宋体" w:hAnsi="宋体" w:cs="宋体"/>
                <w:szCs w:val="21"/>
              </w:rPr>
            </w:pPr>
          </w:p>
        </w:tc>
        <w:tc>
          <w:tcPr>
            <w:tcW w:w="825" w:type="pct"/>
            <w:noWrap w:val="0"/>
            <w:vAlign w:val="center"/>
          </w:tcPr>
          <w:p w14:paraId="7A1AF463">
            <w:pPr>
              <w:spacing w:line="360" w:lineRule="auto"/>
              <w:jc w:val="center"/>
              <w:rPr>
                <w:rStyle w:val="59"/>
                <w:rFonts w:hint="eastAsia" w:ascii="宋体" w:hAnsi="宋体" w:cs="宋体"/>
                <w:szCs w:val="21"/>
              </w:rPr>
            </w:pPr>
          </w:p>
        </w:tc>
      </w:tr>
      <w:tr w14:paraId="6963B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 w:type="pct"/>
            <w:noWrap w:val="0"/>
            <w:vAlign w:val="center"/>
          </w:tcPr>
          <w:p w14:paraId="32CE205A">
            <w:pPr>
              <w:spacing w:line="360" w:lineRule="auto"/>
              <w:jc w:val="center"/>
              <w:rPr>
                <w:rStyle w:val="59"/>
                <w:rFonts w:hint="eastAsia" w:ascii="宋体" w:hAnsi="宋体" w:cs="宋体"/>
                <w:szCs w:val="21"/>
              </w:rPr>
            </w:pPr>
          </w:p>
        </w:tc>
        <w:tc>
          <w:tcPr>
            <w:tcW w:w="1286" w:type="pct"/>
            <w:noWrap w:val="0"/>
            <w:vAlign w:val="center"/>
          </w:tcPr>
          <w:p w14:paraId="488B882D">
            <w:pPr>
              <w:spacing w:line="360" w:lineRule="auto"/>
              <w:jc w:val="center"/>
              <w:rPr>
                <w:rStyle w:val="59"/>
                <w:rFonts w:hint="eastAsia" w:ascii="宋体" w:hAnsi="宋体" w:cs="宋体"/>
                <w:szCs w:val="21"/>
              </w:rPr>
            </w:pPr>
          </w:p>
        </w:tc>
        <w:tc>
          <w:tcPr>
            <w:tcW w:w="870" w:type="pct"/>
            <w:noWrap w:val="0"/>
            <w:vAlign w:val="center"/>
          </w:tcPr>
          <w:p w14:paraId="521E9FE2">
            <w:pPr>
              <w:spacing w:line="360" w:lineRule="auto"/>
              <w:jc w:val="center"/>
              <w:rPr>
                <w:rStyle w:val="59"/>
                <w:rFonts w:hint="eastAsia" w:ascii="宋体" w:hAnsi="宋体" w:cs="宋体"/>
                <w:szCs w:val="21"/>
              </w:rPr>
            </w:pPr>
          </w:p>
        </w:tc>
        <w:tc>
          <w:tcPr>
            <w:tcW w:w="520" w:type="pct"/>
            <w:noWrap w:val="0"/>
            <w:vAlign w:val="center"/>
          </w:tcPr>
          <w:p w14:paraId="3FE13645">
            <w:pPr>
              <w:spacing w:line="360" w:lineRule="auto"/>
              <w:jc w:val="center"/>
              <w:rPr>
                <w:rStyle w:val="59"/>
                <w:rFonts w:hint="eastAsia" w:ascii="宋体" w:hAnsi="宋体" w:cs="宋体"/>
                <w:szCs w:val="21"/>
              </w:rPr>
            </w:pPr>
          </w:p>
        </w:tc>
        <w:tc>
          <w:tcPr>
            <w:tcW w:w="545" w:type="pct"/>
            <w:noWrap w:val="0"/>
            <w:vAlign w:val="center"/>
          </w:tcPr>
          <w:p w14:paraId="6EB809FF">
            <w:pPr>
              <w:spacing w:line="360" w:lineRule="auto"/>
              <w:jc w:val="center"/>
              <w:rPr>
                <w:rStyle w:val="59"/>
                <w:rFonts w:hint="eastAsia" w:ascii="宋体" w:hAnsi="宋体" w:cs="宋体"/>
                <w:szCs w:val="21"/>
              </w:rPr>
            </w:pPr>
          </w:p>
        </w:tc>
        <w:tc>
          <w:tcPr>
            <w:tcW w:w="568" w:type="pct"/>
            <w:noWrap w:val="0"/>
            <w:vAlign w:val="center"/>
          </w:tcPr>
          <w:p w14:paraId="1101BBCC">
            <w:pPr>
              <w:spacing w:line="360" w:lineRule="auto"/>
              <w:jc w:val="center"/>
              <w:rPr>
                <w:rStyle w:val="59"/>
                <w:rFonts w:hint="eastAsia" w:ascii="宋体" w:hAnsi="宋体" w:cs="宋体"/>
                <w:szCs w:val="21"/>
              </w:rPr>
            </w:pPr>
          </w:p>
        </w:tc>
        <w:tc>
          <w:tcPr>
            <w:tcW w:w="825" w:type="pct"/>
            <w:noWrap w:val="0"/>
            <w:vAlign w:val="center"/>
          </w:tcPr>
          <w:p w14:paraId="236CDFDC">
            <w:pPr>
              <w:spacing w:line="360" w:lineRule="auto"/>
              <w:jc w:val="center"/>
              <w:rPr>
                <w:rStyle w:val="59"/>
                <w:rFonts w:hint="eastAsia" w:ascii="宋体" w:hAnsi="宋体" w:cs="宋体"/>
                <w:szCs w:val="21"/>
              </w:rPr>
            </w:pPr>
          </w:p>
        </w:tc>
      </w:tr>
      <w:tr w14:paraId="5D6A8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7"/>
            <w:noWrap w:val="0"/>
            <w:vAlign w:val="center"/>
          </w:tcPr>
          <w:p w14:paraId="7D685F81">
            <w:pPr>
              <w:spacing w:line="360" w:lineRule="auto"/>
              <w:jc w:val="left"/>
              <w:rPr>
                <w:rStyle w:val="59"/>
                <w:rFonts w:hint="eastAsia" w:ascii="宋体" w:hAnsi="宋体" w:cs="宋体"/>
                <w:szCs w:val="21"/>
              </w:rPr>
            </w:pPr>
            <w:r>
              <w:rPr>
                <w:rStyle w:val="59"/>
                <w:rFonts w:hint="eastAsia" w:ascii="宋体" w:hAnsi="宋体" w:cs="宋体"/>
                <w:b/>
                <w:bCs/>
                <w:szCs w:val="21"/>
              </w:rPr>
              <w:t>合计：</w:t>
            </w:r>
          </w:p>
        </w:tc>
      </w:tr>
      <w:tr w14:paraId="7816D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7"/>
            <w:noWrap w:val="0"/>
            <w:vAlign w:val="center"/>
          </w:tcPr>
          <w:p w14:paraId="54874E90">
            <w:pPr>
              <w:spacing w:line="360" w:lineRule="auto"/>
              <w:jc w:val="left"/>
              <w:rPr>
                <w:rStyle w:val="59"/>
                <w:rFonts w:hint="eastAsia" w:ascii="宋体" w:hAnsi="宋体" w:cs="宋体"/>
                <w:b/>
                <w:bCs/>
                <w:szCs w:val="21"/>
              </w:rPr>
            </w:pPr>
            <w:r>
              <w:rPr>
                <w:rFonts w:hint="eastAsia" w:ascii="宋体" w:hAnsi="宋体" w:cs="宋体"/>
                <w:b/>
                <w:szCs w:val="21"/>
              </w:rPr>
              <w:t xml:space="preserve">人民币大写： </w:t>
            </w:r>
          </w:p>
        </w:tc>
      </w:tr>
    </w:tbl>
    <w:p w14:paraId="3AC811B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color w:val="auto"/>
          <w:szCs w:val="21"/>
          <w:highlight w:val="none"/>
        </w:rPr>
      </w:pPr>
    </w:p>
    <w:p w14:paraId="3115C0B6">
      <w:pPr>
        <w:spacing w:line="360" w:lineRule="auto"/>
        <w:outlineLvl w:val="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八、项目组织及实施要求</w:t>
      </w:r>
    </w:p>
    <w:tbl>
      <w:tblPr>
        <w:tblStyle w:val="26"/>
        <w:tblW w:w="101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4"/>
        <w:gridCol w:w="2876"/>
        <w:gridCol w:w="2628"/>
        <w:gridCol w:w="2628"/>
      </w:tblGrid>
      <w:tr w14:paraId="25D95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4" w:type="dxa"/>
            <w:noWrap w:val="0"/>
            <w:vAlign w:val="center"/>
          </w:tcPr>
          <w:p w14:paraId="0019E5A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序号</w:t>
            </w:r>
          </w:p>
        </w:tc>
        <w:tc>
          <w:tcPr>
            <w:tcW w:w="2876" w:type="dxa"/>
            <w:noWrap w:val="0"/>
            <w:vAlign w:val="center"/>
          </w:tcPr>
          <w:p w14:paraId="5A5FC15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姓名</w:t>
            </w:r>
          </w:p>
        </w:tc>
        <w:tc>
          <w:tcPr>
            <w:tcW w:w="2628" w:type="dxa"/>
            <w:noWrap w:val="0"/>
            <w:vAlign w:val="center"/>
          </w:tcPr>
          <w:p w14:paraId="0133CD8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职责</w:t>
            </w:r>
          </w:p>
        </w:tc>
        <w:tc>
          <w:tcPr>
            <w:tcW w:w="2628" w:type="dxa"/>
            <w:noWrap w:val="0"/>
            <w:vAlign w:val="center"/>
          </w:tcPr>
          <w:p w14:paraId="17DC002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联系方式</w:t>
            </w:r>
          </w:p>
        </w:tc>
      </w:tr>
      <w:tr w14:paraId="7251D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4" w:type="dxa"/>
            <w:noWrap w:val="0"/>
            <w:vAlign w:val="center"/>
          </w:tcPr>
          <w:p w14:paraId="33F2AE8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1</w:t>
            </w:r>
          </w:p>
        </w:tc>
        <w:tc>
          <w:tcPr>
            <w:tcW w:w="2876" w:type="dxa"/>
            <w:noWrap w:val="0"/>
            <w:vAlign w:val="center"/>
          </w:tcPr>
          <w:p w14:paraId="26608FE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p>
        </w:tc>
        <w:tc>
          <w:tcPr>
            <w:tcW w:w="2628" w:type="dxa"/>
            <w:noWrap w:val="0"/>
            <w:vAlign w:val="center"/>
          </w:tcPr>
          <w:p w14:paraId="4D2F52E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项目负责人</w:t>
            </w:r>
          </w:p>
        </w:tc>
        <w:tc>
          <w:tcPr>
            <w:tcW w:w="2628" w:type="dxa"/>
            <w:noWrap w:val="0"/>
            <w:vAlign w:val="center"/>
          </w:tcPr>
          <w:p w14:paraId="4AD0302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p>
        </w:tc>
      </w:tr>
      <w:tr w14:paraId="37612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4" w:type="dxa"/>
            <w:noWrap w:val="0"/>
            <w:vAlign w:val="center"/>
          </w:tcPr>
          <w:p w14:paraId="3BC6EF6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2</w:t>
            </w:r>
          </w:p>
        </w:tc>
        <w:tc>
          <w:tcPr>
            <w:tcW w:w="2876" w:type="dxa"/>
            <w:noWrap w:val="0"/>
            <w:vAlign w:val="center"/>
          </w:tcPr>
          <w:p w14:paraId="47588FC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p>
        </w:tc>
        <w:tc>
          <w:tcPr>
            <w:tcW w:w="2628" w:type="dxa"/>
            <w:noWrap w:val="0"/>
            <w:vAlign w:val="center"/>
          </w:tcPr>
          <w:p w14:paraId="4B49928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实施人员</w:t>
            </w:r>
          </w:p>
        </w:tc>
        <w:tc>
          <w:tcPr>
            <w:tcW w:w="2628" w:type="dxa"/>
            <w:noWrap w:val="0"/>
            <w:vAlign w:val="center"/>
          </w:tcPr>
          <w:p w14:paraId="47DBF1C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p>
        </w:tc>
      </w:tr>
      <w:tr w14:paraId="7EA88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4" w:type="dxa"/>
            <w:noWrap w:val="0"/>
            <w:vAlign w:val="center"/>
          </w:tcPr>
          <w:p w14:paraId="765FF26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r>
              <w:rPr>
                <w:rFonts w:hint="eastAsia" w:ascii="宋体" w:hAnsi="宋体" w:eastAsia="宋体" w:cs="宋体"/>
                <w:color w:val="auto"/>
                <w:spacing w:val="4"/>
                <w:szCs w:val="21"/>
                <w:highlight w:val="none"/>
              </w:rPr>
              <w:t>...</w:t>
            </w:r>
          </w:p>
        </w:tc>
        <w:tc>
          <w:tcPr>
            <w:tcW w:w="2876" w:type="dxa"/>
            <w:noWrap w:val="0"/>
            <w:vAlign w:val="center"/>
          </w:tcPr>
          <w:p w14:paraId="28344E4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p>
        </w:tc>
        <w:tc>
          <w:tcPr>
            <w:tcW w:w="2628" w:type="dxa"/>
            <w:noWrap w:val="0"/>
            <w:vAlign w:val="center"/>
          </w:tcPr>
          <w:p w14:paraId="4D0786B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p>
        </w:tc>
        <w:tc>
          <w:tcPr>
            <w:tcW w:w="2628" w:type="dxa"/>
            <w:noWrap w:val="0"/>
            <w:vAlign w:val="center"/>
          </w:tcPr>
          <w:p w14:paraId="709363C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4"/>
                <w:szCs w:val="21"/>
                <w:highlight w:val="none"/>
              </w:rPr>
            </w:pPr>
          </w:p>
        </w:tc>
      </w:tr>
    </w:tbl>
    <w:p w14:paraId="02ACDE21">
      <w:pPr>
        <w:spacing w:line="360" w:lineRule="auto"/>
        <w:outlineLvl w:val="1"/>
        <w:rPr>
          <w:rFonts w:hint="default" w:ascii="宋体" w:hAnsi="宋体" w:eastAsia="宋体" w:cs="宋体"/>
          <w:b/>
          <w:szCs w:val="21"/>
          <w:highlight w:val="none"/>
          <w:lang w:val="en-US" w:eastAsia="zh-CN"/>
        </w:rPr>
      </w:pPr>
      <w:r>
        <w:rPr>
          <w:rFonts w:hint="eastAsia" w:ascii="宋体" w:hAnsi="宋体" w:cs="宋体"/>
          <w:b/>
          <w:szCs w:val="21"/>
          <w:highlight w:val="none"/>
          <w:lang w:val="en-US" w:eastAsia="zh-CN"/>
        </w:rPr>
        <w:t>九、项目售后服务</w:t>
      </w:r>
    </w:p>
    <w:p w14:paraId="454A9A2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lang w:val="zh-CN"/>
        </w:rPr>
      </w:pPr>
      <w:r>
        <w:rPr>
          <w:rFonts w:hint="eastAsia" w:ascii="宋体" w:hAnsi="宋体" w:eastAsia="宋体" w:cs="宋体"/>
          <w:lang w:val="zh-CN"/>
        </w:rPr>
        <w:t>1、</w:t>
      </w:r>
      <w:r>
        <w:rPr>
          <w:rFonts w:hint="eastAsia" w:ascii="宋体" w:hAnsi="宋体" w:eastAsia="宋体" w:cs="宋体"/>
          <w:lang w:val="en-US" w:eastAsia="zh-CN"/>
        </w:rPr>
        <w:t>乙方</w:t>
      </w:r>
      <w:r>
        <w:rPr>
          <w:rFonts w:hint="eastAsia" w:ascii="宋体" w:hAnsi="宋体" w:eastAsia="宋体" w:cs="宋体"/>
          <w:lang w:val="zh-CN"/>
        </w:rPr>
        <w:t>必须为本项目内所供应和安装的产品提供一年的免费质保服务。</w:t>
      </w:r>
    </w:p>
    <w:p w14:paraId="5A657D6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lang w:val="zh-CN"/>
        </w:rPr>
      </w:pPr>
      <w:r>
        <w:rPr>
          <w:rFonts w:hint="eastAsia" w:ascii="宋体" w:hAnsi="宋体" w:eastAsia="宋体" w:cs="宋体"/>
          <w:lang w:val="zh-CN"/>
        </w:rPr>
        <w:t>2、</w:t>
      </w:r>
      <w:r>
        <w:rPr>
          <w:rFonts w:hint="eastAsia" w:ascii="宋体" w:hAnsi="宋体" w:eastAsia="宋体" w:cs="宋体"/>
          <w:lang w:val="en-US" w:eastAsia="zh-CN"/>
        </w:rPr>
        <w:t>乙方</w:t>
      </w:r>
      <w:r>
        <w:rPr>
          <w:rFonts w:hint="eastAsia" w:ascii="宋体" w:hAnsi="宋体" w:eastAsia="宋体" w:cs="宋体"/>
          <w:lang w:val="zh-CN"/>
        </w:rPr>
        <w:t>必须配有较强的专业技术队伍，具备完善的售后服务体系，能确保现场实施和售后现场服务响应，售后服务方式包括但不限于：电话、电子邮件、远程和现场技术支持、软件升级修补等。售后服务期间，针对一般问题需提供 7*24 小时远程技术支持服务，针对重大问题或远程没有解决的问题需现场解决，并于24小时内恢复业务正常运行。</w:t>
      </w:r>
    </w:p>
    <w:p w14:paraId="4459D1E5">
      <w:pPr>
        <w:pStyle w:val="25"/>
        <w:ind w:left="0" w:leftChars="0" w:firstLine="0" w:firstLineChars="0"/>
        <w:outlineLvl w:val="1"/>
        <w:rPr>
          <w:rFonts w:ascii="宋体" w:hAnsi="宋体" w:cs="宋体"/>
          <w:b/>
          <w:color w:val="auto"/>
          <w:szCs w:val="21"/>
          <w:highlight w:val="none"/>
        </w:rPr>
      </w:pPr>
      <w:r>
        <w:rPr>
          <w:rFonts w:hint="eastAsia" w:ascii="宋体" w:hAnsi="宋体" w:cs="宋体"/>
          <w:b/>
          <w:color w:val="auto"/>
          <w:szCs w:val="21"/>
          <w:highlight w:val="none"/>
          <w:lang w:val="en-US" w:eastAsia="zh-CN"/>
        </w:rPr>
        <w:t>十</w:t>
      </w:r>
      <w:r>
        <w:rPr>
          <w:rFonts w:hint="eastAsia" w:ascii="宋体" w:hAnsi="宋体" w:cs="宋体"/>
          <w:b/>
          <w:color w:val="auto"/>
          <w:szCs w:val="21"/>
          <w:highlight w:val="none"/>
        </w:rPr>
        <w:t>、培训要求</w:t>
      </w:r>
    </w:p>
    <w:p w14:paraId="53FD9FB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u w:val="none"/>
          <w:lang w:val="zh-CN"/>
        </w:rPr>
      </w:pPr>
      <w:r>
        <w:rPr>
          <w:rFonts w:hint="eastAsia" w:ascii="宋体" w:hAnsi="宋体" w:eastAsia="宋体" w:cs="宋体"/>
          <w:highlight w:val="none"/>
          <w:u w:val="none"/>
          <w:lang w:val="zh-CN"/>
        </w:rPr>
        <w:t>1、</w:t>
      </w:r>
      <w:r>
        <w:rPr>
          <w:rFonts w:hint="eastAsia" w:ascii="宋体" w:hAnsi="宋体" w:eastAsia="宋体" w:cs="宋体"/>
          <w:lang w:val="en-US" w:eastAsia="zh-CN"/>
        </w:rPr>
        <w:t>乙方</w:t>
      </w:r>
      <w:r>
        <w:rPr>
          <w:rFonts w:hint="eastAsia" w:ascii="宋体" w:hAnsi="宋体" w:eastAsia="宋体" w:cs="宋体"/>
          <w:highlight w:val="none"/>
          <w:u w:val="none"/>
          <w:lang w:val="zh-CN"/>
        </w:rPr>
        <w:t>应在投标文件中提出培训计划，计划包括培训项目、人数、地点、日程、资料等其它详细内容。</w:t>
      </w:r>
    </w:p>
    <w:p w14:paraId="0D15E26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u w:val="none"/>
          <w:lang w:val="zh-CN"/>
        </w:rPr>
      </w:pPr>
      <w:r>
        <w:rPr>
          <w:rFonts w:hint="eastAsia" w:ascii="宋体" w:hAnsi="宋体" w:eastAsia="宋体" w:cs="宋体"/>
          <w:highlight w:val="none"/>
          <w:u w:val="none"/>
          <w:lang w:val="zh-CN"/>
        </w:rPr>
        <w:t>2、技术培训的内容必须包含软件的日常操作和管理维护，以及基本的故障诊断与排错。</w:t>
      </w:r>
    </w:p>
    <w:p w14:paraId="4D5173B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bCs/>
          <w:color w:val="auto"/>
          <w:szCs w:val="21"/>
          <w:highlight w:val="none"/>
        </w:rPr>
      </w:pPr>
      <w:r>
        <w:rPr>
          <w:rFonts w:hint="eastAsia" w:ascii="宋体" w:hAnsi="宋体" w:eastAsia="宋体" w:cs="宋体"/>
          <w:highlight w:val="none"/>
          <w:u w:val="none"/>
          <w:lang w:val="zh-CN"/>
        </w:rPr>
        <w:t>3、培训人员必须</w:t>
      </w:r>
      <w:r>
        <w:rPr>
          <w:rFonts w:hint="eastAsia" w:ascii="宋体" w:hAnsi="宋体" w:eastAsia="宋体" w:cs="宋体"/>
          <w:highlight w:val="none"/>
          <w:u w:val="none"/>
          <w:lang w:val="en-US" w:eastAsia="zh-CN"/>
        </w:rPr>
        <w:t>为</w:t>
      </w:r>
      <w:r>
        <w:rPr>
          <w:rFonts w:hint="eastAsia" w:ascii="宋体" w:hAnsi="宋体" w:eastAsia="宋体" w:cs="宋体"/>
          <w:highlight w:val="none"/>
          <w:u w:val="none"/>
          <w:lang w:val="zh-CN"/>
        </w:rPr>
        <w:t>公司资深工程师。</w:t>
      </w:r>
    </w:p>
    <w:p w14:paraId="193E9755">
      <w:pPr>
        <w:spacing w:line="360" w:lineRule="auto"/>
        <w:outlineLvl w:val="1"/>
        <w:rPr>
          <w:rFonts w:ascii="宋体" w:hAnsi="宋体" w:cs="宋体"/>
          <w:b/>
          <w:szCs w:val="21"/>
          <w:highlight w:val="none"/>
        </w:rPr>
      </w:pPr>
      <w:r>
        <w:rPr>
          <w:rFonts w:hint="eastAsia" w:ascii="宋体" w:hAnsi="宋体" w:cs="宋体"/>
          <w:b/>
          <w:szCs w:val="21"/>
          <w:highlight w:val="none"/>
          <w:lang w:val="en-US" w:eastAsia="zh-CN"/>
        </w:rPr>
        <w:t>十一</w:t>
      </w:r>
      <w:r>
        <w:rPr>
          <w:rFonts w:hint="eastAsia" w:ascii="宋体" w:hAnsi="宋体" w:cs="宋体"/>
          <w:b/>
          <w:szCs w:val="21"/>
          <w:highlight w:val="none"/>
        </w:rPr>
        <w:t>、其他要求</w:t>
      </w:r>
    </w:p>
    <w:p w14:paraId="6B740C2B">
      <w:pPr>
        <w:keepNext w:val="0"/>
        <w:keepLines w:val="0"/>
        <w:pageBreakBefore w:val="0"/>
        <w:kinsoku/>
        <w:wordWrap/>
        <w:overflowPunct/>
        <w:topLinePunct w:val="0"/>
        <w:bidi w:val="0"/>
        <w:snapToGrid/>
        <w:spacing w:line="360" w:lineRule="auto"/>
        <w:ind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1、</w:t>
      </w:r>
      <w:r>
        <w:rPr>
          <w:rFonts w:hint="eastAsia" w:ascii="宋体" w:hAnsi="宋体" w:eastAsia="宋体" w:cs="宋体"/>
          <w:lang w:val="en-US" w:eastAsia="zh-CN"/>
        </w:rPr>
        <w:t>乙方</w:t>
      </w:r>
      <w:r>
        <w:rPr>
          <w:rFonts w:hint="eastAsia" w:ascii="宋体" w:hAnsi="宋体" w:cs="宋体"/>
          <w:sz w:val="21"/>
          <w:szCs w:val="21"/>
          <w:highlight w:val="none"/>
          <w:lang w:eastAsia="zh-CN"/>
        </w:rPr>
        <w:t>在与</w:t>
      </w:r>
      <w:r>
        <w:rPr>
          <w:rFonts w:hint="eastAsia" w:ascii="宋体" w:hAnsi="宋体" w:cs="宋体"/>
          <w:sz w:val="21"/>
          <w:szCs w:val="21"/>
          <w:highlight w:val="none"/>
          <w:lang w:val="en-US" w:eastAsia="zh-CN"/>
        </w:rPr>
        <w:t>甲方</w:t>
      </w:r>
      <w:r>
        <w:rPr>
          <w:rFonts w:hint="eastAsia" w:ascii="宋体" w:hAnsi="宋体" w:cs="宋体"/>
          <w:sz w:val="21"/>
          <w:szCs w:val="21"/>
          <w:highlight w:val="none"/>
          <w:lang w:eastAsia="zh-CN"/>
        </w:rPr>
        <w:t>签订合同时，同时要与采购人签订保密协议，双方必须对合作过程中涉及的工作秘密、业务需求、协议、系统设计、技术成果等内容和相关事务保密。</w:t>
      </w:r>
    </w:p>
    <w:p w14:paraId="6329025A">
      <w:pPr>
        <w:keepNext w:val="0"/>
        <w:keepLines w:val="0"/>
        <w:pageBreakBefore w:val="0"/>
        <w:kinsoku/>
        <w:wordWrap/>
        <w:overflowPunct/>
        <w:topLinePunct w:val="0"/>
        <w:bidi w:val="0"/>
        <w:snapToGrid/>
        <w:spacing w:line="360" w:lineRule="auto"/>
        <w:ind w:firstLine="420" w:firstLineChars="200"/>
        <w:textAlignment w:val="auto"/>
        <w:rPr>
          <w:rFonts w:hint="eastAsia" w:ascii="宋体" w:hAnsi="宋体" w:cs="宋体"/>
          <w:sz w:val="21"/>
          <w:szCs w:val="21"/>
          <w:highlight w:val="none"/>
          <w:lang w:eastAsia="zh-CN"/>
        </w:rPr>
      </w:pPr>
      <w:r>
        <w:rPr>
          <w:rFonts w:hint="eastAsia" w:ascii="宋体" w:hAnsi="宋体" w:cs="宋体"/>
          <w:sz w:val="21"/>
          <w:szCs w:val="21"/>
          <w:highlight w:val="none"/>
          <w:lang w:eastAsia="zh-CN"/>
        </w:rPr>
        <w:t>2、</w:t>
      </w:r>
      <w:r>
        <w:rPr>
          <w:rFonts w:hint="eastAsia" w:ascii="宋体" w:hAnsi="宋体" w:cs="宋体"/>
          <w:sz w:val="21"/>
          <w:szCs w:val="21"/>
          <w:highlight w:val="none"/>
          <w:lang w:val="en-US" w:eastAsia="zh-CN"/>
        </w:rPr>
        <w:t>甲方</w:t>
      </w:r>
      <w:r>
        <w:rPr>
          <w:rFonts w:hint="eastAsia" w:ascii="宋体" w:hAnsi="宋体" w:cs="宋体"/>
          <w:sz w:val="21"/>
          <w:szCs w:val="21"/>
          <w:highlight w:val="none"/>
          <w:lang w:eastAsia="zh-CN"/>
        </w:rPr>
        <w:t>认为</w:t>
      </w:r>
      <w:r>
        <w:rPr>
          <w:rFonts w:hint="eastAsia" w:ascii="宋体" w:hAnsi="宋体" w:cs="宋体"/>
          <w:sz w:val="21"/>
          <w:szCs w:val="21"/>
          <w:highlight w:val="none"/>
          <w:lang w:val="en-US" w:eastAsia="zh-CN"/>
        </w:rPr>
        <w:t>乙方</w:t>
      </w:r>
      <w:r>
        <w:rPr>
          <w:rFonts w:hint="eastAsia" w:ascii="宋体" w:hAnsi="宋体" w:cs="宋体"/>
          <w:sz w:val="21"/>
          <w:szCs w:val="21"/>
          <w:highlight w:val="none"/>
          <w:lang w:eastAsia="zh-CN"/>
        </w:rPr>
        <w:t>提供的产品和服务不能满足需求，可否决、终止本次采购。</w:t>
      </w:r>
    </w:p>
    <w:p w14:paraId="4FB376EA">
      <w:pPr>
        <w:keepNext w:val="0"/>
        <w:keepLines w:val="0"/>
        <w:pageBreakBefore w:val="0"/>
        <w:kinsoku/>
        <w:wordWrap/>
        <w:overflowPunct/>
        <w:topLinePunct w:val="0"/>
        <w:bidi w:val="0"/>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eastAsia="zh-CN"/>
        </w:rPr>
        <w:t>3、</w:t>
      </w:r>
      <w:r>
        <w:rPr>
          <w:rFonts w:hint="eastAsia" w:ascii="宋体" w:hAnsi="宋体" w:cs="宋体"/>
          <w:sz w:val="21"/>
          <w:szCs w:val="21"/>
          <w:highlight w:val="none"/>
          <w:lang w:val="en-US" w:eastAsia="zh-CN"/>
        </w:rPr>
        <w:t>甲方</w:t>
      </w:r>
      <w:r>
        <w:rPr>
          <w:rFonts w:hint="eastAsia" w:ascii="宋体" w:hAnsi="宋体" w:cs="宋体"/>
          <w:sz w:val="21"/>
          <w:szCs w:val="21"/>
          <w:highlight w:val="none"/>
          <w:lang w:eastAsia="zh-CN"/>
        </w:rPr>
        <w:t>将根据业务需求提供相应的平台对接方式及技术支撑单位。</w:t>
      </w:r>
    </w:p>
    <w:p w14:paraId="0028915E">
      <w:pPr>
        <w:spacing w:line="360" w:lineRule="auto"/>
        <w:outlineLvl w:val="1"/>
        <w:rPr>
          <w:rFonts w:ascii="宋体" w:hAnsi="宋体" w:cs="宋体"/>
          <w:b/>
          <w:szCs w:val="21"/>
          <w:highlight w:val="none"/>
        </w:rPr>
      </w:pPr>
      <w:r>
        <w:rPr>
          <w:rFonts w:hint="eastAsia" w:ascii="宋体" w:hAnsi="宋体" w:cs="宋体"/>
          <w:b/>
          <w:szCs w:val="21"/>
          <w:highlight w:val="none"/>
        </w:rPr>
        <w:t>十</w:t>
      </w:r>
      <w:r>
        <w:rPr>
          <w:rFonts w:hint="eastAsia" w:ascii="宋体" w:hAnsi="宋体" w:cs="宋体"/>
          <w:b/>
          <w:szCs w:val="21"/>
          <w:highlight w:val="none"/>
          <w:lang w:val="en-US" w:eastAsia="zh-CN"/>
        </w:rPr>
        <w:t>二</w:t>
      </w:r>
      <w:r>
        <w:rPr>
          <w:rFonts w:hint="eastAsia" w:ascii="宋体" w:hAnsi="宋体" w:cs="宋体"/>
          <w:b/>
          <w:szCs w:val="21"/>
          <w:highlight w:val="none"/>
        </w:rPr>
        <w:t>、延期交货</w:t>
      </w:r>
    </w:p>
    <w:p w14:paraId="18FEDECC">
      <w:pPr>
        <w:spacing w:line="360" w:lineRule="auto"/>
        <w:ind w:firstLine="420" w:firstLineChars="200"/>
        <w:rPr>
          <w:rFonts w:ascii="宋体" w:hAnsi="宋体" w:cs="宋体"/>
          <w:szCs w:val="21"/>
          <w:highlight w:val="none"/>
        </w:rPr>
      </w:pPr>
      <w:r>
        <w:rPr>
          <w:rFonts w:hint="eastAsia" w:ascii="宋体" w:hAnsi="宋体" w:cs="宋体"/>
          <w:szCs w:val="21"/>
          <w:highlight w:val="none"/>
        </w:rPr>
        <w:t>1、在履行合同过程中，如果乙方遇到不能按时交货或不能按时完成系统的安装、调试情况，应及时以书面形式将不能按时交货或不能按时完成系统的安装、调试情况的理由、延误时间通知甲方。甲方收到乙方的通知后，应进行分析，如果同意，可通过修改合同，酌情延长交货时间。</w:t>
      </w:r>
    </w:p>
    <w:p w14:paraId="0E879269">
      <w:pPr>
        <w:spacing w:line="360" w:lineRule="auto"/>
        <w:ind w:firstLine="420" w:firstLineChars="200"/>
        <w:rPr>
          <w:rFonts w:ascii="宋体" w:hAnsi="宋体" w:cs="宋体"/>
          <w:szCs w:val="21"/>
          <w:highlight w:val="none"/>
        </w:rPr>
      </w:pPr>
      <w:r>
        <w:rPr>
          <w:rFonts w:hint="eastAsia" w:ascii="宋体" w:hAnsi="宋体" w:cs="宋体"/>
          <w:szCs w:val="21"/>
          <w:highlight w:val="none"/>
        </w:rPr>
        <w:t>2、如果乙方无正当理由拖延交货或不按时完成系统的安装、调试，将承担违约损失赔偿。</w:t>
      </w:r>
    </w:p>
    <w:p w14:paraId="27CABDEF">
      <w:pPr>
        <w:spacing w:line="360" w:lineRule="auto"/>
        <w:outlineLvl w:val="1"/>
        <w:rPr>
          <w:rFonts w:ascii="宋体" w:hAnsi="宋体" w:cs="宋体"/>
          <w:b/>
          <w:szCs w:val="21"/>
          <w:highlight w:val="none"/>
        </w:rPr>
      </w:pPr>
      <w:r>
        <w:rPr>
          <w:rFonts w:hint="eastAsia" w:ascii="宋体" w:hAnsi="宋体" w:cs="宋体"/>
          <w:b/>
          <w:szCs w:val="21"/>
          <w:highlight w:val="none"/>
        </w:rPr>
        <w:t>十</w:t>
      </w:r>
      <w:r>
        <w:rPr>
          <w:rFonts w:hint="eastAsia" w:ascii="宋体" w:hAnsi="宋体" w:cs="宋体"/>
          <w:b/>
          <w:szCs w:val="21"/>
          <w:highlight w:val="none"/>
          <w:lang w:val="en-US" w:eastAsia="zh-CN"/>
        </w:rPr>
        <w:t>三</w:t>
      </w:r>
      <w:r>
        <w:rPr>
          <w:rFonts w:hint="eastAsia" w:ascii="宋体" w:hAnsi="宋体" w:cs="宋体"/>
          <w:b/>
          <w:szCs w:val="21"/>
          <w:highlight w:val="none"/>
        </w:rPr>
        <w:t>、违约责任</w:t>
      </w:r>
    </w:p>
    <w:p w14:paraId="46C8BD41">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1、甲方无正当理由拒绝接受服务的，甲方向乙方偿付合同金额百分之五作为违约金。</w:t>
      </w:r>
    </w:p>
    <w:p w14:paraId="792907DF">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2、甲方无故逾期验收和办理款项支付手续的，甲方应按逾期付款总额每日万分之五向乙方支付违约金。</w:t>
      </w:r>
    </w:p>
    <w:p w14:paraId="3161EDD7">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3、乙方逾期交付的，乙方应按合同金额的每日千分之一向甲方支付违约金，由甲方从待付项目款中扣除。逾期超过约定日期40个工作日不能交付的，甲方可解除本合同。</w:t>
      </w:r>
    </w:p>
    <w:p w14:paraId="6469E5B0">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4、乙方所交的服务不符合合同规定及采购文件规定标准的，甲方有权拒收该服务，乙方愿意调整但逾期交付的，按乙方逾期交付处理。乙方拒绝调整的，采购人可解除本合同。</w:t>
      </w:r>
    </w:p>
    <w:p w14:paraId="0BFCF0BD">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5、乙方未能按照承诺的服务响应时间提供服务的，每发现一次甲方有权对乙方扣1000元违约金，超过5次未按照承诺的服务响应时间提供服务的，甲方可以向第三方采购服务，由此发生的费用由乙方承担，甲方可在应付乙方款项中直接扣付，情节严重的甲方可解除本合同。</w:t>
      </w:r>
    </w:p>
    <w:p w14:paraId="2A616826">
      <w:pPr>
        <w:spacing w:line="360" w:lineRule="auto"/>
        <w:ind w:firstLine="420" w:firstLineChars="200"/>
        <w:rPr>
          <w:rFonts w:ascii="宋体" w:hAnsi="宋体" w:cs="宋体"/>
          <w:szCs w:val="21"/>
          <w:highlight w:val="none"/>
        </w:rPr>
      </w:pPr>
      <w:r>
        <w:rPr>
          <w:rFonts w:hint="eastAsia" w:ascii="宋体" w:hAnsi="宋体" w:cs="宋体"/>
          <w:szCs w:val="21"/>
          <w:highlight w:val="none"/>
        </w:rPr>
        <w:t>6、乙方因未能如期提供服务或因其他违约行为导致甲方解除合同的，乙方应向甲方支付合同总值5%的违约金，如造成甲方损失（包括直接经济损失及可预见的间接经济损失）超过违约金的，超出部分由乙方继续承担赔偿责任。</w:t>
      </w:r>
    </w:p>
    <w:p w14:paraId="742BA7A3">
      <w:pPr>
        <w:spacing w:line="360" w:lineRule="auto"/>
        <w:outlineLvl w:val="1"/>
        <w:rPr>
          <w:rFonts w:ascii="宋体" w:hAnsi="宋体" w:cs="宋体"/>
          <w:b/>
          <w:szCs w:val="21"/>
          <w:highlight w:val="none"/>
        </w:rPr>
      </w:pPr>
      <w:r>
        <w:rPr>
          <w:rFonts w:hint="eastAsia" w:ascii="宋体" w:hAnsi="宋体" w:cs="宋体"/>
          <w:b/>
          <w:szCs w:val="21"/>
          <w:highlight w:val="none"/>
          <w:lang w:val="en-US" w:eastAsia="zh-CN"/>
        </w:rPr>
        <w:t>十四</w:t>
      </w:r>
      <w:r>
        <w:rPr>
          <w:rFonts w:hint="eastAsia" w:ascii="宋体" w:hAnsi="宋体" w:cs="宋体"/>
          <w:b/>
          <w:szCs w:val="21"/>
          <w:highlight w:val="none"/>
        </w:rPr>
        <w:t>、争议的解决</w:t>
      </w:r>
    </w:p>
    <w:p w14:paraId="308D9522">
      <w:pPr>
        <w:spacing w:line="360" w:lineRule="auto"/>
        <w:ind w:firstLine="420" w:firstLineChars="200"/>
        <w:rPr>
          <w:rFonts w:ascii="宋体" w:hAnsi="宋体" w:cs="宋体"/>
          <w:szCs w:val="21"/>
          <w:highlight w:val="none"/>
        </w:rPr>
      </w:pPr>
      <w:r>
        <w:rPr>
          <w:rFonts w:hint="eastAsia" w:ascii="宋体" w:hAnsi="宋体" w:cs="宋体"/>
          <w:szCs w:val="21"/>
          <w:highlight w:val="none"/>
        </w:rPr>
        <w:t>1、甲乙双方应通过友好协商，解决在执行本合同中所发生的或与本合同有关的一切争端，如果协商得不到解决，任何一方均可按《中华人民共和国民法典》规定提交诉讼，诉讼应在甲方所在地进行。</w:t>
      </w:r>
    </w:p>
    <w:p w14:paraId="066BDC78">
      <w:pPr>
        <w:spacing w:line="360" w:lineRule="auto"/>
        <w:ind w:firstLine="420" w:firstLineChars="200"/>
        <w:rPr>
          <w:rFonts w:ascii="宋体" w:hAnsi="宋体" w:cs="宋体"/>
          <w:szCs w:val="21"/>
          <w:highlight w:val="none"/>
        </w:rPr>
      </w:pPr>
      <w:r>
        <w:rPr>
          <w:rFonts w:hint="eastAsia" w:ascii="宋体" w:hAnsi="宋体" w:cs="宋体"/>
          <w:szCs w:val="21"/>
          <w:highlight w:val="none"/>
        </w:rPr>
        <w:t>2、诉讼费应由败诉方负担。</w:t>
      </w:r>
    </w:p>
    <w:p w14:paraId="59F270A8">
      <w:pPr>
        <w:spacing w:line="360" w:lineRule="auto"/>
        <w:outlineLvl w:val="1"/>
        <w:rPr>
          <w:rFonts w:ascii="宋体" w:hAnsi="宋体" w:cs="宋体"/>
          <w:b/>
          <w:szCs w:val="21"/>
          <w:highlight w:val="none"/>
        </w:rPr>
      </w:pPr>
      <w:r>
        <w:rPr>
          <w:rFonts w:hint="eastAsia" w:ascii="宋体" w:hAnsi="宋体" w:cs="宋体"/>
          <w:b/>
          <w:szCs w:val="21"/>
          <w:highlight w:val="none"/>
          <w:lang w:val="en-US" w:eastAsia="zh-CN"/>
        </w:rPr>
        <w:t>十五</w:t>
      </w:r>
      <w:r>
        <w:rPr>
          <w:rFonts w:hint="eastAsia" w:ascii="宋体" w:hAnsi="宋体" w:cs="宋体"/>
          <w:b/>
          <w:szCs w:val="21"/>
          <w:highlight w:val="none"/>
        </w:rPr>
        <w:t>、合同修改</w:t>
      </w:r>
    </w:p>
    <w:p w14:paraId="7586669C">
      <w:pPr>
        <w:spacing w:line="360" w:lineRule="auto"/>
        <w:ind w:firstLine="420" w:firstLineChars="200"/>
        <w:rPr>
          <w:rFonts w:ascii="宋体" w:hAnsi="宋体" w:cs="宋体"/>
          <w:szCs w:val="21"/>
          <w:highlight w:val="none"/>
        </w:rPr>
      </w:pPr>
      <w:r>
        <w:rPr>
          <w:rFonts w:hint="eastAsia" w:ascii="宋体" w:hAnsi="宋体" w:cs="宋体"/>
          <w:szCs w:val="21"/>
          <w:highlight w:val="none"/>
        </w:rPr>
        <w:t>合同条款的任何改动，均须由合同签署双方签署合同修改书或合同补充协议。该合同修改或补充被视为本合同的组成部分，具有与本合同同等法律效力。</w:t>
      </w:r>
    </w:p>
    <w:p w14:paraId="6450AD3D">
      <w:pPr>
        <w:spacing w:line="360" w:lineRule="auto"/>
        <w:outlineLvl w:val="1"/>
        <w:rPr>
          <w:rFonts w:ascii="宋体" w:hAnsi="宋体" w:cs="宋体"/>
          <w:b/>
          <w:szCs w:val="21"/>
          <w:highlight w:val="none"/>
        </w:rPr>
      </w:pPr>
      <w:r>
        <w:rPr>
          <w:rFonts w:hint="eastAsia" w:ascii="宋体" w:hAnsi="宋体" w:cs="宋体"/>
          <w:b/>
          <w:szCs w:val="21"/>
          <w:highlight w:val="none"/>
          <w:lang w:val="en-US" w:eastAsia="zh-CN"/>
        </w:rPr>
        <w:t>十六</w:t>
      </w:r>
      <w:r>
        <w:rPr>
          <w:rFonts w:hint="eastAsia" w:ascii="宋体" w:hAnsi="宋体" w:cs="宋体"/>
          <w:b/>
          <w:szCs w:val="21"/>
          <w:highlight w:val="none"/>
        </w:rPr>
        <w:t>、不可抗力的处理</w:t>
      </w:r>
    </w:p>
    <w:p w14:paraId="6C0B3A59">
      <w:pPr>
        <w:spacing w:line="360" w:lineRule="auto"/>
        <w:ind w:firstLine="420" w:firstLineChars="200"/>
        <w:rPr>
          <w:rFonts w:ascii="宋体" w:hAnsi="宋体" w:cs="宋体"/>
          <w:szCs w:val="21"/>
          <w:highlight w:val="none"/>
        </w:rPr>
      </w:pPr>
      <w:r>
        <w:rPr>
          <w:rFonts w:hint="eastAsia" w:ascii="宋体" w:hAnsi="宋体" w:cs="宋体"/>
          <w:szCs w:val="21"/>
          <w:highlight w:val="none"/>
        </w:rPr>
        <w:t>1、在合同有效期内，任何一方因不可抗力事件导致不能履行合同，则合同履行期可延长，其延长期与不可抗力影响期相同。</w:t>
      </w:r>
    </w:p>
    <w:p w14:paraId="0B8FDECB">
      <w:pPr>
        <w:spacing w:line="360" w:lineRule="auto"/>
        <w:ind w:firstLine="420" w:firstLineChars="200"/>
        <w:rPr>
          <w:rFonts w:ascii="宋体" w:hAnsi="宋体" w:cs="宋体"/>
          <w:szCs w:val="21"/>
          <w:highlight w:val="none"/>
        </w:rPr>
      </w:pPr>
      <w:r>
        <w:rPr>
          <w:rFonts w:hint="eastAsia" w:ascii="宋体" w:hAnsi="宋体" w:cs="宋体"/>
          <w:szCs w:val="21"/>
          <w:highlight w:val="none"/>
        </w:rPr>
        <w:t>2、不可抗力的事故发生后尽快通知另一方，将有关部门出具的证明文件用挂号信邮寄或派人送达另一方。</w:t>
      </w:r>
    </w:p>
    <w:p w14:paraId="220D6B13">
      <w:pPr>
        <w:spacing w:line="360" w:lineRule="auto"/>
        <w:outlineLvl w:val="1"/>
        <w:rPr>
          <w:rFonts w:ascii="宋体" w:hAnsi="宋体" w:cs="宋体"/>
          <w:b/>
          <w:szCs w:val="21"/>
          <w:highlight w:val="none"/>
        </w:rPr>
      </w:pPr>
      <w:r>
        <w:rPr>
          <w:rFonts w:hint="eastAsia" w:ascii="宋体" w:hAnsi="宋体" w:cs="宋体"/>
          <w:b/>
          <w:szCs w:val="21"/>
          <w:highlight w:val="none"/>
          <w:lang w:val="en-US" w:eastAsia="zh-CN"/>
        </w:rPr>
        <w:t>十七</w:t>
      </w:r>
      <w:r>
        <w:rPr>
          <w:rFonts w:hint="eastAsia" w:ascii="宋体" w:hAnsi="宋体" w:cs="宋体"/>
          <w:b/>
          <w:szCs w:val="21"/>
          <w:highlight w:val="none"/>
        </w:rPr>
        <w:t>、适用法律</w:t>
      </w:r>
    </w:p>
    <w:p w14:paraId="52458FE0">
      <w:pPr>
        <w:spacing w:line="360" w:lineRule="auto"/>
        <w:ind w:firstLine="420" w:firstLineChars="200"/>
        <w:rPr>
          <w:rFonts w:ascii="宋体" w:hAnsi="宋体" w:cs="宋体"/>
          <w:szCs w:val="21"/>
          <w:highlight w:val="none"/>
        </w:rPr>
      </w:pPr>
      <w:r>
        <w:rPr>
          <w:rFonts w:hint="eastAsia" w:ascii="宋体" w:hAnsi="宋体" w:cs="宋体"/>
          <w:szCs w:val="21"/>
          <w:highlight w:val="none"/>
        </w:rPr>
        <w:t>甲乙双方所订立的合同应按照中华人民共和国的法律进行解释。</w:t>
      </w:r>
    </w:p>
    <w:p w14:paraId="43C67165">
      <w:pPr>
        <w:spacing w:line="360" w:lineRule="auto"/>
        <w:outlineLvl w:val="1"/>
        <w:rPr>
          <w:rFonts w:ascii="宋体" w:hAnsi="宋体" w:cs="宋体"/>
          <w:b/>
          <w:szCs w:val="21"/>
          <w:highlight w:val="none"/>
        </w:rPr>
      </w:pPr>
      <w:r>
        <w:rPr>
          <w:rFonts w:hint="eastAsia" w:ascii="宋体" w:hAnsi="宋体" w:cs="宋体"/>
          <w:b/>
          <w:szCs w:val="21"/>
          <w:highlight w:val="none"/>
          <w:lang w:val="en-US" w:eastAsia="zh-CN"/>
        </w:rPr>
        <w:t>十八</w:t>
      </w:r>
      <w:r>
        <w:rPr>
          <w:rFonts w:hint="eastAsia" w:ascii="宋体" w:hAnsi="宋体" w:cs="宋体"/>
          <w:b/>
          <w:szCs w:val="21"/>
          <w:highlight w:val="none"/>
        </w:rPr>
        <w:t>、合同生效及其它</w:t>
      </w:r>
    </w:p>
    <w:p w14:paraId="602346C6">
      <w:pPr>
        <w:spacing w:line="360" w:lineRule="auto"/>
        <w:ind w:firstLine="420" w:firstLineChars="200"/>
        <w:rPr>
          <w:rFonts w:ascii="宋体" w:hAnsi="宋体" w:cs="宋体"/>
          <w:szCs w:val="21"/>
          <w:highlight w:val="none"/>
        </w:rPr>
      </w:pPr>
      <w:r>
        <w:rPr>
          <w:rFonts w:hint="eastAsia" w:ascii="宋体" w:hAnsi="宋体" w:cs="宋体"/>
          <w:szCs w:val="21"/>
          <w:highlight w:val="none"/>
        </w:rPr>
        <w:t>1、合同经双方法定代表人或授权委托代理人签字并加盖单位公章后生效。</w:t>
      </w:r>
    </w:p>
    <w:p w14:paraId="01F52D59">
      <w:pPr>
        <w:spacing w:line="360" w:lineRule="auto"/>
        <w:ind w:firstLine="420" w:firstLineChars="200"/>
        <w:rPr>
          <w:rFonts w:ascii="宋体" w:hAnsi="宋体" w:cs="宋体"/>
          <w:szCs w:val="21"/>
          <w:highlight w:val="none"/>
        </w:rPr>
      </w:pPr>
      <w:r>
        <w:rPr>
          <w:rFonts w:hint="eastAsia" w:ascii="宋体" w:hAnsi="宋体" w:cs="宋体"/>
          <w:szCs w:val="21"/>
          <w:highlight w:val="none"/>
        </w:rPr>
        <w:t>2、合同执行中涉及采购资金和采购内容修改或补充的，须经财政部门审批，并签书面补充协议报财政部门备案，方可作为主合同不可分割的一部分。</w:t>
      </w:r>
    </w:p>
    <w:p w14:paraId="4CF760F0">
      <w:pPr>
        <w:spacing w:line="360" w:lineRule="auto"/>
        <w:ind w:firstLine="420" w:firstLineChars="200"/>
        <w:rPr>
          <w:rFonts w:ascii="宋体" w:hAnsi="宋体" w:cs="宋体"/>
          <w:szCs w:val="21"/>
          <w:highlight w:val="none"/>
        </w:rPr>
      </w:pPr>
      <w:r>
        <w:rPr>
          <w:rFonts w:hint="eastAsia" w:ascii="宋体" w:hAnsi="宋体" w:cs="宋体"/>
          <w:szCs w:val="21"/>
          <w:highlight w:val="none"/>
        </w:rPr>
        <w:t>3、本合同未尽事宜，遵照《中华人民共和国民法典》有关条文执行。</w:t>
      </w:r>
    </w:p>
    <w:p w14:paraId="3DAA1D70">
      <w:pPr>
        <w:spacing w:line="360" w:lineRule="auto"/>
        <w:ind w:firstLine="420" w:firstLineChars="200"/>
        <w:rPr>
          <w:rFonts w:ascii="宋体" w:hAnsi="宋体" w:cs="宋体"/>
          <w:szCs w:val="21"/>
          <w:highlight w:val="none"/>
        </w:rPr>
      </w:pPr>
      <w:r>
        <w:rPr>
          <w:rFonts w:hint="eastAsia" w:ascii="宋体" w:hAnsi="宋体" w:cs="宋体"/>
          <w:szCs w:val="21"/>
          <w:highlight w:val="none"/>
        </w:rPr>
        <w:t>4、本合同正本一式X份，具有同等法律效力，甲乙双方各执X份。</w:t>
      </w:r>
    </w:p>
    <w:p w14:paraId="54582824">
      <w:pPr>
        <w:pStyle w:val="11"/>
        <w:ind w:firstLine="0" w:firstLineChars="0"/>
        <w:rPr>
          <w:highlight w:val="none"/>
        </w:rPr>
      </w:pPr>
    </w:p>
    <w:p w14:paraId="004252D4">
      <w:pPr>
        <w:rPr>
          <w:highlight w:val="none"/>
        </w:rPr>
      </w:pPr>
    </w:p>
    <w:p w14:paraId="2D002F25">
      <w:pPr>
        <w:spacing w:line="360" w:lineRule="auto"/>
        <w:ind w:firstLine="420" w:firstLineChars="200"/>
        <w:rPr>
          <w:rFonts w:ascii="宋体" w:hAnsi="宋体" w:cs="宋体"/>
          <w:szCs w:val="21"/>
          <w:highlight w:val="none"/>
        </w:rPr>
      </w:pPr>
      <w:r>
        <w:rPr>
          <w:rFonts w:hint="eastAsia" w:ascii="宋体" w:hAnsi="宋体" w:cs="宋体"/>
          <w:szCs w:val="21"/>
          <w:highlight w:val="none"/>
        </w:rPr>
        <w:t xml:space="preserve">甲方：（盖章）                                 乙方：（盖章） </w:t>
      </w:r>
    </w:p>
    <w:p w14:paraId="330942A6">
      <w:pPr>
        <w:spacing w:line="360" w:lineRule="auto"/>
        <w:ind w:firstLine="420" w:firstLineChars="200"/>
        <w:rPr>
          <w:rFonts w:ascii="宋体" w:hAnsi="宋体" w:cs="宋体"/>
          <w:szCs w:val="21"/>
          <w:highlight w:val="none"/>
        </w:rPr>
      </w:pPr>
      <w:r>
        <w:rPr>
          <w:rFonts w:hint="eastAsia" w:ascii="宋体" w:hAnsi="宋体" w:cs="宋体"/>
          <w:szCs w:val="21"/>
          <w:highlight w:val="none"/>
        </w:rPr>
        <w:t xml:space="preserve">地址：                                         地址： </w:t>
      </w:r>
    </w:p>
    <w:p w14:paraId="56EFB495">
      <w:pPr>
        <w:spacing w:line="360" w:lineRule="auto"/>
        <w:ind w:firstLine="420" w:firstLineChars="200"/>
        <w:rPr>
          <w:rFonts w:ascii="宋体" w:hAnsi="宋体" w:cs="宋体"/>
          <w:szCs w:val="21"/>
          <w:highlight w:val="none"/>
        </w:rPr>
      </w:pPr>
      <w:r>
        <w:rPr>
          <w:rFonts w:hint="eastAsia" w:ascii="宋体" w:hAnsi="宋体" w:cs="宋体"/>
          <w:szCs w:val="21"/>
          <w:highlight w:val="none"/>
        </w:rPr>
        <w:t>法定代表人或授权签字代表：（签字）             法定代表人或授权签字代表：（签字）</w:t>
      </w:r>
    </w:p>
    <w:p w14:paraId="63158462">
      <w:pPr>
        <w:spacing w:line="360" w:lineRule="auto"/>
        <w:ind w:firstLine="420" w:firstLineChars="200"/>
        <w:rPr>
          <w:rFonts w:ascii="宋体" w:hAnsi="宋体" w:cs="宋体"/>
          <w:szCs w:val="21"/>
          <w:highlight w:val="none"/>
        </w:rPr>
      </w:pPr>
      <w:r>
        <w:rPr>
          <w:rFonts w:hint="eastAsia" w:ascii="宋体" w:hAnsi="宋体" w:cs="宋体"/>
          <w:szCs w:val="21"/>
          <w:highlight w:val="none"/>
        </w:rPr>
        <w:t>签订日期：   年  月  日                        签订日期：   年  月  日</w:t>
      </w:r>
    </w:p>
    <w:p w14:paraId="5AC33B1E">
      <w:pPr>
        <w:spacing w:line="360" w:lineRule="auto"/>
        <w:ind w:firstLine="420" w:firstLineChars="200"/>
        <w:rPr>
          <w:rFonts w:ascii="宋体" w:hAnsi="宋体" w:cs="宋体"/>
          <w:szCs w:val="21"/>
          <w:highlight w:val="none"/>
        </w:rPr>
      </w:pPr>
      <w:r>
        <w:rPr>
          <w:rFonts w:hint="eastAsia" w:ascii="宋体" w:hAnsi="宋体" w:cs="宋体"/>
          <w:szCs w:val="21"/>
          <w:highlight w:val="none"/>
        </w:rPr>
        <w:t>甲方收款银行：                                 乙方收款银行：</w:t>
      </w:r>
    </w:p>
    <w:p w14:paraId="45EDB861">
      <w:pPr>
        <w:spacing w:line="360" w:lineRule="auto"/>
        <w:ind w:firstLine="420" w:firstLineChars="200"/>
        <w:rPr>
          <w:rFonts w:ascii="宋体" w:hAnsi="宋体" w:cs="宋体"/>
          <w:szCs w:val="21"/>
          <w:highlight w:val="none"/>
        </w:rPr>
      </w:pPr>
      <w:r>
        <w:rPr>
          <w:rFonts w:hint="eastAsia" w:ascii="宋体" w:hAnsi="宋体" w:cs="宋体"/>
          <w:szCs w:val="21"/>
          <w:highlight w:val="none"/>
        </w:rPr>
        <w:t>甲方收款开户账号：                             乙方收款开户账号：</w:t>
      </w:r>
    </w:p>
    <w:p w14:paraId="07DF9580">
      <w:pPr>
        <w:spacing w:line="360" w:lineRule="auto"/>
        <w:contextualSpacing/>
        <w:rPr>
          <w:rFonts w:ascii="宋体" w:hAnsi="宋体" w:cs="宋体"/>
          <w:szCs w:val="21"/>
          <w:highlight w:val="none"/>
        </w:rPr>
      </w:pPr>
    </w:p>
    <w:p w14:paraId="71C72112">
      <w:pPr>
        <w:snapToGrid w:val="0"/>
        <w:spacing w:line="420" w:lineRule="atLeast"/>
        <w:rPr>
          <w:rFonts w:ascii="宋体" w:cs="宋体"/>
          <w:color w:val="000000"/>
          <w:szCs w:val="21"/>
          <w:highlight w:val="none"/>
        </w:rPr>
      </w:pPr>
    </w:p>
    <w:p w14:paraId="2FC85ACB">
      <w:pPr>
        <w:snapToGrid w:val="0"/>
        <w:spacing w:line="420" w:lineRule="atLeast"/>
        <w:rPr>
          <w:rFonts w:hint="eastAsia" w:ascii="宋体" w:eastAsia="宋体" w:cs="宋体"/>
          <w:b/>
          <w:bCs/>
          <w:color w:val="000000"/>
          <w:szCs w:val="21"/>
          <w:highlight w:val="none"/>
          <w:lang w:eastAsia="zh-CN"/>
        </w:rPr>
      </w:pPr>
      <w:r>
        <w:rPr>
          <w:rFonts w:hint="eastAsia" w:ascii="宋体" w:cs="宋体"/>
          <w:b/>
          <w:bCs/>
          <w:color w:val="000000"/>
          <w:szCs w:val="21"/>
          <w:highlight w:val="none"/>
          <w:lang w:eastAsia="zh-CN"/>
        </w:rPr>
        <w:t>（</w:t>
      </w:r>
      <w:r>
        <w:rPr>
          <w:rFonts w:hint="eastAsia" w:ascii="宋体" w:cs="宋体"/>
          <w:b/>
          <w:bCs/>
          <w:color w:val="000000"/>
          <w:szCs w:val="21"/>
          <w:highlight w:val="none"/>
          <w:lang w:val="en-US" w:eastAsia="zh-CN"/>
        </w:rPr>
        <w:t>下无正文，为注意事项</w:t>
      </w:r>
      <w:r>
        <w:rPr>
          <w:rFonts w:hint="eastAsia" w:ascii="宋体" w:cs="宋体"/>
          <w:b/>
          <w:bCs/>
          <w:color w:val="000000"/>
          <w:szCs w:val="21"/>
          <w:highlight w:val="none"/>
          <w:lang w:eastAsia="zh-CN"/>
        </w:rPr>
        <w:t>）</w:t>
      </w:r>
    </w:p>
    <w:p w14:paraId="3BED0DDF">
      <w:pPr>
        <w:snapToGrid w:val="0"/>
        <w:spacing w:line="420" w:lineRule="atLeast"/>
        <w:rPr>
          <w:rFonts w:hint="eastAsia" w:ascii="宋体" w:cs="宋体"/>
          <w:color w:val="000000"/>
          <w:szCs w:val="21"/>
          <w:highlight w:val="none"/>
        </w:rPr>
      </w:pPr>
    </w:p>
    <w:p w14:paraId="5DC7AF33">
      <w:pPr>
        <w:snapToGrid w:val="0"/>
        <w:spacing w:line="420" w:lineRule="atLeast"/>
        <w:rPr>
          <w:rFonts w:ascii="宋体" w:cs="宋体"/>
          <w:color w:val="000000"/>
          <w:szCs w:val="21"/>
          <w:highlight w:val="none"/>
        </w:rPr>
      </w:pPr>
      <w:r>
        <w:rPr>
          <w:rFonts w:hint="eastAsia" w:ascii="宋体" w:cs="宋体"/>
          <w:color w:val="000000"/>
          <w:szCs w:val="21"/>
          <w:highlight w:val="none"/>
        </w:rPr>
        <w:t>注意事项：</w:t>
      </w:r>
    </w:p>
    <w:p w14:paraId="0BB5ACEC">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highlight w:val="none"/>
        </w:rPr>
      </w:pPr>
      <w:r>
        <w:rPr>
          <w:rFonts w:hint="eastAsia" w:ascii="宋体" w:cs="宋体"/>
          <w:color w:val="000000"/>
          <w:szCs w:val="21"/>
          <w:highlight w:val="none"/>
        </w:rPr>
        <w:t>1、用于政府采购信用融资的政府采购合同：</w:t>
      </w:r>
    </w:p>
    <w:p w14:paraId="2034B341">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highlight w:val="none"/>
        </w:rPr>
      </w:pPr>
      <w:r>
        <w:rPr>
          <w:rFonts w:hint="eastAsia" w:ascii="宋体" w:cs="宋体"/>
          <w:color w:val="000000"/>
          <w:szCs w:val="21"/>
          <w:highlight w:val="none"/>
        </w:rPr>
        <w:t>（1）应当包含如下条款：</w:t>
      </w:r>
    </w:p>
    <w:p w14:paraId="16AF406B">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highlight w:val="none"/>
        </w:rPr>
      </w:pPr>
      <w:r>
        <w:rPr>
          <w:rFonts w:hint="eastAsia" w:ascii="宋体" w:cs="宋体"/>
          <w:color w:val="000000"/>
          <w:szCs w:val="21"/>
          <w:highlight w:val="none"/>
        </w:rPr>
        <w:t>“第</w:t>
      </w:r>
      <w:r>
        <w:rPr>
          <w:rFonts w:hint="eastAsia" w:ascii="宋体" w:cs="宋体"/>
          <w:color w:val="000000"/>
          <w:szCs w:val="21"/>
          <w:highlight w:val="none"/>
          <w:u w:val="single"/>
        </w:rPr>
        <w:t xml:space="preserve">   </w:t>
      </w:r>
      <w:r>
        <w:rPr>
          <w:rFonts w:hint="eastAsia" w:ascii="宋体" w:cs="宋体"/>
          <w:color w:val="000000"/>
          <w:szCs w:val="21"/>
          <w:highlight w:val="none"/>
        </w:rPr>
        <w:t>条：政府采购合同贷款</w:t>
      </w:r>
    </w:p>
    <w:p w14:paraId="7037CCA5">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highlight w:val="none"/>
        </w:rPr>
      </w:pPr>
      <w:r>
        <w:rPr>
          <w:rFonts w:hint="eastAsia" w:ascii="宋体" w:cs="宋体"/>
          <w:color w:val="000000"/>
          <w:szCs w:val="21"/>
          <w:highlight w:val="none"/>
        </w:rPr>
        <w:t>本合同同时用于乙方向</w:t>
      </w:r>
      <w:r>
        <w:rPr>
          <w:rFonts w:hint="eastAsia" w:ascii="宋体" w:cs="宋体"/>
          <w:color w:val="000000"/>
          <w:szCs w:val="21"/>
          <w:highlight w:val="none"/>
          <w:u w:val="single"/>
        </w:rPr>
        <w:t xml:space="preserve">      </w:t>
      </w:r>
      <w:r>
        <w:rPr>
          <w:rFonts w:hint="eastAsia" w:ascii="宋体" w:cs="宋体"/>
          <w:color w:val="000000"/>
          <w:szCs w:val="21"/>
          <w:highlight w:val="none"/>
        </w:rPr>
        <w:t>银行（金融机构）申请政府采购信用贷款。</w:t>
      </w:r>
    </w:p>
    <w:p w14:paraId="7D829EBD">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cs="宋体"/>
          <w:color w:val="000000"/>
          <w:szCs w:val="21"/>
          <w:highlight w:val="none"/>
        </w:rPr>
      </w:pPr>
      <w:r>
        <w:rPr>
          <w:rFonts w:hint="eastAsia" w:ascii="宋体" w:cs="宋体"/>
          <w:color w:val="000000"/>
          <w:szCs w:val="21"/>
          <w:highlight w:val="none"/>
        </w:rPr>
        <w:t>本合同一经签订，原则上不得更改乙方收款账户信息。确须更改的，乙方应取得原合同收款账户开户银行书面同意，否则修改后的合同不予备案，采购资金不予支付。”</w:t>
      </w:r>
    </w:p>
    <w:p w14:paraId="5318ACBC">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b/>
          <w:sz w:val="28"/>
          <w:szCs w:val="28"/>
          <w:highlight w:val="none"/>
        </w:rPr>
      </w:pPr>
      <w:r>
        <w:rPr>
          <w:rFonts w:hint="eastAsia" w:ascii="宋体" w:cs="宋体"/>
          <w:color w:val="000000"/>
          <w:szCs w:val="21"/>
          <w:highlight w:val="none"/>
        </w:rPr>
        <w:t>（2）中标供应商需确保政府采购合同的收款账户与融资银行开户账户一致。</w:t>
      </w:r>
    </w:p>
    <w:p w14:paraId="21FCCC1C">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rPr>
          <w:rFonts w:ascii="宋体" w:hAnsi="宋体" w:cs="宋体"/>
          <w:b/>
          <w:bCs/>
          <w:highlight w:val="none"/>
        </w:rPr>
      </w:pPr>
      <w:r>
        <w:rPr>
          <w:rFonts w:hint="eastAsia" w:ascii="宋体" w:hAnsi="宋体" w:cs="宋体"/>
          <w:b/>
          <w:bCs/>
          <w:highlight w:val="none"/>
        </w:rPr>
        <w:t>2.依据《政府采购促进中小企业发展管理办法》（财库[2020]46号）规定享受扶持政策获得政府采购合同的，小微企业不得将合同分包给大中型企业，中型企业不得将合同分包给大型企业。</w:t>
      </w:r>
    </w:p>
    <w:p w14:paraId="1211474A">
      <w:pPr>
        <w:snapToGrid w:val="0"/>
        <w:spacing w:line="420" w:lineRule="atLeast"/>
        <w:ind w:firstLine="422" w:firstLineChars="200"/>
        <w:rPr>
          <w:rFonts w:ascii="宋体" w:cs="宋体"/>
          <w:b/>
          <w:bCs/>
          <w:color w:val="000000"/>
          <w:szCs w:val="21"/>
          <w:highlight w:val="none"/>
        </w:rPr>
      </w:pPr>
    </w:p>
    <w:p w14:paraId="780EE755">
      <w:pPr>
        <w:snapToGrid w:val="0"/>
        <w:spacing w:line="360" w:lineRule="auto"/>
        <w:jc w:val="center"/>
        <w:outlineLvl w:val="0"/>
        <w:rPr>
          <w:rFonts w:ascii="宋体" w:hAnsi="宋体" w:cs="宋体"/>
          <w:b/>
          <w:sz w:val="28"/>
          <w:szCs w:val="28"/>
          <w:highlight w:val="none"/>
        </w:rPr>
      </w:pPr>
      <w:r>
        <w:rPr>
          <w:rFonts w:hint="eastAsia" w:ascii="宋体" w:hAnsi="宋体" w:cs="宋体"/>
          <w:b/>
          <w:sz w:val="28"/>
          <w:szCs w:val="28"/>
          <w:highlight w:val="none"/>
        </w:rPr>
        <w:br w:type="page"/>
      </w:r>
      <w:r>
        <w:rPr>
          <w:rFonts w:hint="eastAsia" w:ascii="宋体" w:hAnsi="宋体" w:cs="宋体"/>
          <w:b/>
          <w:sz w:val="28"/>
          <w:szCs w:val="28"/>
          <w:highlight w:val="none"/>
        </w:rPr>
        <w:t xml:space="preserve">第六章  </w:t>
      </w:r>
      <w:r>
        <w:rPr>
          <w:rFonts w:hint="eastAsia" w:ascii="宋体" w:hAnsi="宋体" w:cs="宋体"/>
          <w:b/>
          <w:sz w:val="28"/>
          <w:szCs w:val="28"/>
          <w:highlight w:val="none"/>
          <w:lang w:eastAsia="zh-CN"/>
        </w:rPr>
        <w:t>响应文件</w:t>
      </w:r>
      <w:r>
        <w:rPr>
          <w:rFonts w:hint="eastAsia" w:ascii="宋体" w:hAnsi="宋体" w:cs="宋体"/>
          <w:b/>
          <w:sz w:val="28"/>
          <w:szCs w:val="28"/>
          <w:highlight w:val="none"/>
        </w:rPr>
        <w:t>组成</w:t>
      </w:r>
    </w:p>
    <w:p w14:paraId="3688300F">
      <w:pP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lang w:eastAsia="zh-CN"/>
        </w:rPr>
        <w:t>响应文件</w:t>
      </w:r>
      <w:r>
        <w:rPr>
          <w:rFonts w:hint="eastAsia" w:ascii="宋体" w:hAnsi="宋体" w:cs="宋体"/>
          <w:b/>
          <w:szCs w:val="21"/>
          <w:highlight w:val="none"/>
        </w:rPr>
        <w:t>由磋商报价文件、资格证明文件、商务技术文件组成。</w:t>
      </w:r>
      <w:r>
        <w:rPr>
          <w:rFonts w:hint="eastAsia" w:ascii="宋体" w:hAnsi="宋体" w:cs="宋体"/>
          <w:b/>
          <w:szCs w:val="21"/>
          <w:highlight w:val="none"/>
          <w:lang w:eastAsia="zh-CN"/>
        </w:rPr>
        <w:t>响应文件</w:t>
      </w:r>
      <w:r>
        <w:rPr>
          <w:rFonts w:hint="eastAsia" w:ascii="宋体" w:hAnsi="宋体" w:cs="宋体"/>
          <w:b/>
          <w:szCs w:val="21"/>
          <w:highlight w:val="none"/>
        </w:rPr>
        <w:t>中涉及的有关内容均须提供合法有效的证明材料复印件。（复印件未加盖公章作无效处理，特别注明的除外，有▲标识的条款为必须提交的资料）</w:t>
      </w:r>
    </w:p>
    <w:p w14:paraId="4CCD437F">
      <w:pPr>
        <w:snapToGrid w:val="0"/>
        <w:spacing w:line="360" w:lineRule="auto"/>
        <w:outlineLvl w:val="1"/>
        <w:rPr>
          <w:rFonts w:ascii="宋体" w:hAnsi="宋体" w:cs="宋体"/>
          <w:b/>
          <w:szCs w:val="21"/>
          <w:highlight w:val="none"/>
        </w:rPr>
      </w:pPr>
      <w:r>
        <w:rPr>
          <w:rFonts w:hint="eastAsia" w:ascii="宋体" w:hAnsi="宋体" w:cs="宋体"/>
          <w:b/>
          <w:szCs w:val="21"/>
          <w:highlight w:val="none"/>
        </w:rPr>
        <w:t>1、磋商报价文件部分</w:t>
      </w:r>
    </w:p>
    <w:p w14:paraId="2299A332">
      <w:pP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rPr>
        <w:t>（磋商报价信息不得出现在资格证明、商务技术文件中，否则将导致投标无效。）</w:t>
      </w:r>
    </w:p>
    <w:p w14:paraId="5803AFB2">
      <w:pP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rPr>
        <w:t>▲1.1开标一览表；（格式一）</w:t>
      </w:r>
    </w:p>
    <w:p w14:paraId="31EC3F17">
      <w:pPr>
        <w:snapToGrid w:val="0"/>
        <w:spacing w:line="360" w:lineRule="auto"/>
        <w:ind w:firstLine="422" w:firstLineChars="200"/>
        <w:rPr>
          <w:rFonts w:hint="eastAsia" w:ascii="宋体" w:hAnsi="宋体" w:cs="宋体"/>
          <w:b/>
          <w:szCs w:val="21"/>
          <w:highlight w:val="none"/>
        </w:rPr>
      </w:pPr>
      <w:r>
        <w:rPr>
          <w:rFonts w:hint="eastAsia" w:ascii="宋体" w:hAnsi="宋体" w:cs="宋体"/>
          <w:b/>
          <w:szCs w:val="21"/>
          <w:highlight w:val="none"/>
        </w:rPr>
        <w:t>▲1.2报价明细表。（格式二）</w:t>
      </w:r>
    </w:p>
    <w:p w14:paraId="050DBF4A">
      <w:pPr>
        <w:snapToGrid w:val="0"/>
        <w:spacing w:line="360" w:lineRule="auto"/>
        <w:ind w:firstLine="422" w:firstLineChars="200"/>
        <w:rPr>
          <w:rFonts w:hint="eastAsia" w:ascii="宋体" w:hAnsi="宋体" w:cs="宋体"/>
          <w:b/>
          <w:szCs w:val="21"/>
          <w:highlight w:val="none"/>
        </w:rPr>
      </w:pPr>
      <w:r>
        <w:rPr>
          <w:rFonts w:hint="eastAsia" w:ascii="宋体" w:hAnsi="宋体" w:cs="宋体"/>
          <w:b/>
          <w:szCs w:val="21"/>
          <w:highlight w:val="none"/>
        </w:rPr>
        <w:t>1.3享受价格扣除优惠政策相关证明文件：</w:t>
      </w:r>
      <w:r>
        <w:rPr>
          <w:rFonts w:hint="eastAsia" w:ascii="宋体" w:hAnsi="宋体" w:cs="宋体"/>
          <w:b/>
          <w:szCs w:val="21"/>
          <w:highlight w:val="none"/>
          <w:lang w:val="en-US" w:eastAsia="zh-CN"/>
        </w:rPr>
        <w:t>响应</w:t>
      </w:r>
      <w:r>
        <w:rPr>
          <w:rFonts w:hint="eastAsia" w:ascii="宋体" w:hAnsi="宋体" w:cs="宋体"/>
          <w:b/>
          <w:szCs w:val="21"/>
          <w:highlight w:val="none"/>
        </w:rPr>
        <w:t>人须提供（符合以下三个子项中的任意一项要求即可）</w:t>
      </w:r>
    </w:p>
    <w:p w14:paraId="30786466">
      <w:pPr>
        <w:snapToGrid w:val="0"/>
        <w:spacing w:line="360" w:lineRule="auto"/>
        <w:ind w:firstLine="422" w:firstLineChars="200"/>
        <w:rPr>
          <w:rFonts w:hint="eastAsia" w:ascii="宋体" w:hAnsi="宋体" w:cs="宋体"/>
          <w:b/>
          <w:szCs w:val="21"/>
          <w:highlight w:val="none"/>
        </w:rPr>
      </w:pPr>
      <w:r>
        <w:rPr>
          <w:rFonts w:hint="eastAsia" w:ascii="宋体" w:hAnsi="宋体" w:cs="宋体"/>
          <w:b/>
          <w:szCs w:val="21"/>
          <w:highlight w:val="none"/>
        </w:rPr>
        <w:t>1.3.1《中小企业声明函》；（格式三）</w:t>
      </w:r>
    </w:p>
    <w:p w14:paraId="3D5A9D8C">
      <w:pPr>
        <w:snapToGrid w:val="0"/>
        <w:spacing w:line="360" w:lineRule="auto"/>
        <w:ind w:firstLine="422" w:firstLineChars="200"/>
        <w:rPr>
          <w:rFonts w:hint="eastAsia" w:ascii="宋体" w:hAnsi="宋体" w:cs="宋体"/>
          <w:b/>
          <w:szCs w:val="21"/>
          <w:highlight w:val="none"/>
        </w:rPr>
      </w:pPr>
      <w:r>
        <w:rPr>
          <w:rFonts w:hint="eastAsia" w:ascii="宋体" w:hAnsi="宋体" w:cs="宋体"/>
          <w:b/>
          <w:szCs w:val="21"/>
          <w:highlight w:val="none"/>
        </w:rPr>
        <w:t>1.3.2监狱企业须提供由省级以上监狱管理局、戒毒管理局（含新疆生产建设兵团）出具的属于监狱企业的证明文件；（格式三）</w:t>
      </w:r>
    </w:p>
    <w:p w14:paraId="5DE3D43C">
      <w:pPr>
        <w:snapToGrid w:val="0"/>
        <w:spacing w:line="360" w:lineRule="auto"/>
        <w:ind w:firstLine="422" w:firstLineChars="200"/>
        <w:rPr>
          <w:rFonts w:ascii="宋体" w:hAnsi="宋体" w:cs="宋体"/>
          <w:b/>
          <w:szCs w:val="21"/>
          <w:highlight w:val="none"/>
        </w:rPr>
      </w:pPr>
      <w:r>
        <w:rPr>
          <w:rFonts w:hint="eastAsia" w:ascii="宋体" w:hAnsi="宋体" w:cs="宋体"/>
          <w:b/>
          <w:szCs w:val="21"/>
          <w:highlight w:val="none"/>
        </w:rPr>
        <w:t>1.3.3残疾人福利性单位须提供《残疾人福利性单位声明函》。（格式三）</w:t>
      </w:r>
    </w:p>
    <w:p w14:paraId="256A2773">
      <w:pPr>
        <w:snapToGrid w:val="0"/>
        <w:spacing w:line="360" w:lineRule="auto"/>
        <w:outlineLvl w:val="1"/>
        <w:rPr>
          <w:rFonts w:ascii="宋体" w:hAnsi="宋体" w:cs="宋体"/>
          <w:b/>
          <w:color w:val="auto"/>
          <w:szCs w:val="21"/>
          <w:highlight w:val="none"/>
        </w:rPr>
      </w:pPr>
      <w:r>
        <w:rPr>
          <w:rFonts w:hint="eastAsia" w:ascii="宋体" w:hAnsi="宋体" w:cs="宋体"/>
          <w:b/>
          <w:color w:val="auto"/>
          <w:szCs w:val="21"/>
          <w:highlight w:val="none"/>
        </w:rPr>
        <w:t>▲2、资格证明文件部分</w:t>
      </w:r>
    </w:p>
    <w:p w14:paraId="4DF63F9F">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1</w:t>
      </w:r>
      <w:r>
        <w:rPr>
          <w:rFonts w:hint="eastAsia" w:ascii="宋体" w:hAnsi="宋体" w:cs="宋体"/>
          <w:b/>
          <w:color w:val="auto"/>
          <w:szCs w:val="21"/>
          <w:highlight w:val="none"/>
          <w:lang w:eastAsia="zh-CN"/>
        </w:rPr>
        <w:t>响应人</w:t>
      </w:r>
      <w:r>
        <w:rPr>
          <w:rFonts w:hint="eastAsia" w:ascii="宋体" w:hAnsi="宋体" w:cs="宋体"/>
          <w:b/>
          <w:color w:val="auto"/>
          <w:szCs w:val="21"/>
          <w:highlight w:val="none"/>
        </w:rPr>
        <w:t>具有独立承担民事责任的能力证明资料：</w:t>
      </w:r>
      <w:r>
        <w:rPr>
          <w:rFonts w:hint="eastAsia" w:ascii="宋体" w:hAnsi="宋体" w:cs="宋体"/>
          <w:b/>
          <w:color w:val="auto"/>
          <w:szCs w:val="21"/>
          <w:highlight w:val="none"/>
          <w:lang w:eastAsia="zh-CN"/>
        </w:rPr>
        <w:t>响应人</w:t>
      </w:r>
      <w:r>
        <w:rPr>
          <w:rFonts w:hint="eastAsia" w:ascii="宋体" w:hAnsi="宋体" w:cs="宋体"/>
          <w:b/>
          <w:color w:val="auto"/>
          <w:szCs w:val="21"/>
          <w:highlight w:val="none"/>
        </w:rPr>
        <w:t>须在</w:t>
      </w:r>
      <w:r>
        <w:rPr>
          <w:rFonts w:hint="eastAsia" w:ascii="宋体" w:hAnsi="宋体" w:cs="宋体"/>
          <w:b/>
          <w:color w:val="auto"/>
          <w:szCs w:val="21"/>
          <w:highlight w:val="none"/>
          <w:lang w:eastAsia="zh-CN"/>
        </w:rPr>
        <w:t>响应文件</w:t>
      </w:r>
      <w:r>
        <w:rPr>
          <w:rFonts w:hint="eastAsia" w:ascii="宋体" w:hAnsi="宋体" w:cs="宋体"/>
          <w:b/>
          <w:color w:val="auto"/>
          <w:szCs w:val="21"/>
          <w:highlight w:val="none"/>
        </w:rPr>
        <w:t>中出具符合以下情况的证明材料复印件（五选一）</w:t>
      </w:r>
    </w:p>
    <w:p w14:paraId="1E609154">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a)如供应商是企业（包括合伙企业），提供在工商部门注册的有效“企业法人营业执照”或“营业执照”；</w:t>
      </w:r>
    </w:p>
    <w:p w14:paraId="635796A2">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b)如供应商是事业单位，提供有效的“事业单位法人证书”；</w:t>
      </w:r>
    </w:p>
    <w:p w14:paraId="1E106C2B">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c)如供应商是非企业专业服务机构的，提供执业许可证等证明文件等证明文件；</w:t>
      </w:r>
    </w:p>
    <w:p w14:paraId="38D49E4B">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d)如供应商是个体工商户，提供有效的“个体工商户营业执照”；</w:t>
      </w:r>
    </w:p>
    <w:p w14:paraId="22AA9B15">
      <w:pPr>
        <w:snapToGrid w:val="0"/>
        <w:spacing w:line="360" w:lineRule="auto"/>
        <w:ind w:firstLine="417" w:firstLineChars="198"/>
        <w:rPr>
          <w:rFonts w:hint="eastAsia" w:ascii="宋体" w:hAnsi="宋体" w:cs="宋体"/>
          <w:b/>
          <w:color w:val="auto"/>
          <w:szCs w:val="21"/>
          <w:highlight w:val="none"/>
        </w:rPr>
      </w:pPr>
      <w:r>
        <w:rPr>
          <w:rFonts w:hint="eastAsia" w:ascii="宋体" w:hAnsi="宋体" w:cs="宋体"/>
          <w:b/>
          <w:color w:val="auto"/>
          <w:szCs w:val="21"/>
          <w:highlight w:val="none"/>
        </w:rPr>
        <w:t>e)如供应商是自然人，提供有效的自然人身份证明（居民身份证正反面或公安机关出具的临时居民身份证正反面或港澳台胞证或证照）。</w:t>
      </w:r>
    </w:p>
    <w:p w14:paraId="58D9B04C">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2</w:t>
      </w:r>
      <w:r>
        <w:rPr>
          <w:rFonts w:hint="eastAsia" w:ascii="宋体" w:hAnsi="宋体" w:cs="宋体"/>
          <w:b/>
          <w:color w:val="auto"/>
          <w:szCs w:val="21"/>
          <w:highlight w:val="none"/>
          <w:lang w:eastAsia="zh-CN"/>
        </w:rPr>
        <w:t>响应人</w:t>
      </w:r>
      <w:r>
        <w:rPr>
          <w:rFonts w:hint="eastAsia" w:ascii="宋体" w:hAnsi="宋体" w:cs="宋体"/>
          <w:b/>
          <w:color w:val="auto"/>
          <w:szCs w:val="21"/>
          <w:highlight w:val="none"/>
        </w:rPr>
        <w:t>法定代表人身份证复印件；</w:t>
      </w:r>
    </w:p>
    <w:p w14:paraId="0D7725B2">
      <w:pPr>
        <w:snapToGrid w:val="0"/>
        <w:spacing w:line="360" w:lineRule="auto"/>
        <w:ind w:firstLine="422" w:firstLineChars="200"/>
        <w:rPr>
          <w:rFonts w:hint="eastAsia"/>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资格承诺函；（格式</w:t>
      </w:r>
      <w:r>
        <w:rPr>
          <w:rFonts w:hint="eastAsia" w:ascii="宋体" w:hAnsi="宋体" w:cs="宋体"/>
          <w:b/>
          <w:color w:val="auto"/>
          <w:szCs w:val="21"/>
          <w:highlight w:val="none"/>
          <w:lang w:val="en-US" w:eastAsia="zh-CN"/>
        </w:rPr>
        <w:t>四</w:t>
      </w:r>
      <w:r>
        <w:rPr>
          <w:rFonts w:hint="eastAsia" w:ascii="宋体" w:hAnsi="宋体" w:cs="宋体"/>
          <w:b/>
          <w:color w:val="auto"/>
          <w:szCs w:val="21"/>
          <w:highlight w:val="none"/>
        </w:rPr>
        <w:t>）</w:t>
      </w:r>
    </w:p>
    <w:p w14:paraId="7FCEB990">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4响应</w:t>
      </w:r>
      <w:r>
        <w:rPr>
          <w:rFonts w:hint="eastAsia" w:ascii="宋体" w:hAnsi="宋体" w:cs="宋体"/>
          <w:b/>
          <w:color w:val="auto"/>
          <w:szCs w:val="21"/>
          <w:highlight w:val="none"/>
        </w:rPr>
        <w:t>函；（格式</w:t>
      </w:r>
      <w:r>
        <w:rPr>
          <w:rFonts w:hint="eastAsia" w:ascii="宋体" w:hAnsi="宋体" w:cs="宋体"/>
          <w:b/>
          <w:color w:val="auto"/>
          <w:szCs w:val="21"/>
          <w:highlight w:val="none"/>
          <w:lang w:val="en-US" w:eastAsia="zh-CN"/>
        </w:rPr>
        <w:t>五</w:t>
      </w:r>
      <w:r>
        <w:rPr>
          <w:rFonts w:hint="eastAsia" w:ascii="宋体" w:hAnsi="宋体" w:cs="宋体"/>
          <w:b/>
          <w:color w:val="auto"/>
          <w:szCs w:val="21"/>
          <w:highlight w:val="none"/>
        </w:rPr>
        <w:t>）</w:t>
      </w:r>
    </w:p>
    <w:p w14:paraId="73D8EE3D">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5</w:t>
      </w:r>
      <w:r>
        <w:rPr>
          <w:rFonts w:hint="eastAsia" w:ascii="宋体" w:hAnsi="宋体" w:cs="宋体"/>
          <w:b/>
          <w:color w:val="auto"/>
          <w:szCs w:val="21"/>
          <w:highlight w:val="none"/>
        </w:rPr>
        <w:t>法定代表人授权函，非法定代表人参加</w:t>
      </w:r>
      <w:r>
        <w:rPr>
          <w:rFonts w:hint="eastAsia" w:ascii="宋体" w:hAnsi="宋体" w:cs="宋体"/>
          <w:b/>
          <w:color w:val="auto"/>
          <w:szCs w:val="21"/>
          <w:highlight w:val="none"/>
          <w:lang w:eastAsia="zh-CN"/>
        </w:rPr>
        <w:t>投标</w:t>
      </w:r>
      <w:r>
        <w:rPr>
          <w:rFonts w:hint="eastAsia" w:ascii="宋体" w:hAnsi="宋体" w:cs="宋体"/>
          <w:b/>
          <w:color w:val="auto"/>
          <w:szCs w:val="21"/>
          <w:highlight w:val="none"/>
        </w:rPr>
        <w:t>时提供；（格式</w:t>
      </w:r>
      <w:r>
        <w:rPr>
          <w:rFonts w:hint="eastAsia" w:ascii="宋体" w:hAnsi="宋体" w:cs="宋体"/>
          <w:b/>
          <w:color w:val="auto"/>
          <w:szCs w:val="21"/>
          <w:highlight w:val="none"/>
          <w:lang w:val="en-US" w:eastAsia="zh-CN"/>
        </w:rPr>
        <w:t>六</w:t>
      </w:r>
      <w:r>
        <w:rPr>
          <w:rFonts w:hint="eastAsia" w:ascii="宋体" w:hAnsi="宋体" w:cs="宋体"/>
          <w:b/>
          <w:color w:val="auto"/>
          <w:szCs w:val="21"/>
          <w:highlight w:val="none"/>
        </w:rPr>
        <w:t>）</w:t>
      </w:r>
    </w:p>
    <w:p w14:paraId="17DE025B">
      <w:pPr>
        <w:snapToGrid w:val="0"/>
        <w:spacing w:line="360" w:lineRule="auto"/>
        <w:ind w:firstLine="422" w:firstLineChars="200"/>
        <w:rPr>
          <w:rFonts w:hint="eastAsia" w:ascii="宋体" w:hAnsi="宋体" w:cs="宋体"/>
          <w:b/>
          <w:color w:val="auto"/>
          <w:szCs w:val="21"/>
          <w:highlight w:val="none"/>
        </w:rPr>
      </w:pPr>
      <w:r>
        <w:rPr>
          <w:rFonts w:hint="eastAsia" w:ascii="宋体" w:hAnsi="宋体" w:cs="宋体"/>
          <w:b/>
          <w:color w:val="auto"/>
          <w:szCs w:val="21"/>
          <w:highlight w:val="none"/>
        </w:rPr>
        <w:t>2.</w:t>
      </w:r>
      <w:r>
        <w:rPr>
          <w:rFonts w:hint="eastAsia" w:ascii="宋体" w:hAnsi="宋体" w:cs="宋体"/>
          <w:b/>
          <w:color w:val="auto"/>
          <w:szCs w:val="21"/>
          <w:highlight w:val="none"/>
          <w:lang w:val="en-US" w:eastAsia="zh-CN"/>
        </w:rPr>
        <w:t>6</w:t>
      </w:r>
      <w:r>
        <w:rPr>
          <w:rFonts w:hint="eastAsia" w:ascii="宋体" w:hAnsi="宋体" w:cs="宋体"/>
          <w:b/>
          <w:color w:val="auto"/>
          <w:szCs w:val="21"/>
          <w:highlight w:val="none"/>
          <w:lang w:eastAsia="zh-CN"/>
        </w:rPr>
        <w:t>响应人</w:t>
      </w:r>
      <w:r>
        <w:rPr>
          <w:rFonts w:hint="eastAsia" w:ascii="宋体" w:hAnsi="宋体" w:cs="宋体"/>
          <w:b/>
          <w:color w:val="auto"/>
          <w:szCs w:val="21"/>
          <w:highlight w:val="none"/>
        </w:rPr>
        <w:t>代表身份证复印件，非法定代表人参加</w:t>
      </w:r>
      <w:r>
        <w:rPr>
          <w:rFonts w:hint="eastAsia" w:ascii="宋体" w:hAnsi="宋体" w:cs="宋体"/>
          <w:b/>
          <w:color w:val="auto"/>
          <w:szCs w:val="21"/>
          <w:highlight w:val="none"/>
          <w:lang w:eastAsia="zh-CN"/>
        </w:rPr>
        <w:t>投标</w:t>
      </w:r>
      <w:r>
        <w:rPr>
          <w:rFonts w:hint="eastAsia" w:ascii="宋体" w:hAnsi="宋体" w:cs="宋体"/>
          <w:b/>
          <w:color w:val="auto"/>
          <w:szCs w:val="21"/>
          <w:highlight w:val="none"/>
        </w:rPr>
        <w:t>时提供</w:t>
      </w:r>
      <w:r>
        <w:rPr>
          <w:rFonts w:ascii="宋体" w:hAnsi="宋体" w:cs="宋体"/>
          <w:b/>
          <w:color w:val="auto"/>
          <w:szCs w:val="21"/>
          <w:highlight w:val="none"/>
        </w:rPr>
        <w:t>。</w:t>
      </w:r>
    </w:p>
    <w:p w14:paraId="20F94CD6">
      <w:pPr>
        <w:snapToGrid w:val="0"/>
        <w:spacing w:line="360" w:lineRule="auto"/>
        <w:outlineLvl w:val="1"/>
        <w:rPr>
          <w:rFonts w:hint="eastAsia" w:ascii="宋体" w:hAnsi="宋体" w:cs="宋体"/>
          <w:b/>
          <w:color w:val="auto"/>
          <w:szCs w:val="21"/>
          <w:highlight w:val="none"/>
        </w:rPr>
      </w:pP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、商务技术文件部分</w:t>
      </w:r>
    </w:p>
    <w:p w14:paraId="6A581B5D">
      <w:pPr>
        <w:snapToGrid w:val="0"/>
        <w:spacing w:line="360" w:lineRule="auto"/>
        <w:ind w:firstLine="420" w:firstLineChars="200"/>
        <w:rPr>
          <w:rFonts w:ascii="宋体" w:hAnsi="宋体" w:cs="宋体"/>
          <w:highlight w:val="none"/>
        </w:rPr>
      </w:pPr>
      <w:r>
        <w:rPr>
          <w:rFonts w:hint="eastAsia" w:ascii="宋体" w:hAnsi="宋体" w:cs="宋体"/>
          <w:highlight w:val="none"/>
        </w:rPr>
        <w:t>3.1评分标准页码索引；</w:t>
      </w:r>
    </w:p>
    <w:p w14:paraId="49A198D5">
      <w:pPr>
        <w:snapToGrid w:val="0"/>
        <w:spacing w:line="360" w:lineRule="auto"/>
        <w:ind w:firstLine="420" w:firstLineChars="200"/>
        <w:rPr>
          <w:rFonts w:ascii="宋体" w:hAnsi="宋体" w:cs="宋体"/>
          <w:highlight w:val="none"/>
        </w:rPr>
      </w:pPr>
      <w:r>
        <w:rPr>
          <w:rFonts w:hint="eastAsia" w:ascii="宋体" w:hAnsi="宋体" w:cs="宋体"/>
          <w:highlight w:val="none"/>
        </w:rPr>
        <w:t>3.2</w:t>
      </w:r>
      <w:r>
        <w:rPr>
          <w:rFonts w:hint="eastAsia" w:ascii="宋体" w:hAnsi="宋体" w:cs="宋体"/>
          <w:highlight w:val="none"/>
          <w:lang w:val="en-US" w:eastAsia="zh-CN"/>
        </w:rPr>
        <w:t>响应人</w:t>
      </w:r>
      <w:r>
        <w:rPr>
          <w:rFonts w:hint="eastAsia" w:ascii="宋体" w:hAnsi="宋体" w:cs="宋体"/>
          <w:highlight w:val="none"/>
        </w:rPr>
        <w:t>简介；</w:t>
      </w:r>
    </w:p>
    <w:p w14:paraId="63DE35BE">
      <w:pPr>
        <w:snapToGrid w:val="0"/>
        <w:spacing w:line="360" w:lineRule="auto"/>
        <w:ind w:firstLine="420" w:firstLineChars="200"/>
        <w:rPr>
          <w:rFonts w:ascii="宋体" w:hAnsi="宋体" w:cs="宋体"/>
          <w:highlight w:val="none"/>
        </w:rPr>
      </w:pPr>
      <w:r>
        <w:rPr>
          <w:rFonts w:hint="eastAsia" w:ascii="宋体" w:hAnsi="宋体" w:cs="宋体"/>
          <w:highlight w:val="none"/>
        </w:rPr>
        <w:t>3.3</w:t>
      </w:r>
      <w:r>
        <w:rPr>
          <w:rFonts w:hint="eastAsia" w:ascii="宋体" w:hAnsi="宋体" w:cs="宋体"/>
          <w:highlight w:val="none"/>
          <w:lang w:val="en-US" w:eastAsia="zh-CN"/>
        </w:rPr>
        <w:t>响应人</w:t>
      </w:r>
      <w:r>
        <w:rPr>
          <w:rFonts w:hint="eastAsia" w:ascii="宋体" w:hAnsi="宋体" w:cs="宋体"/>
          <w:highlight w:val="none"/>
        </w:rPr>
        <w:t>相关认证；</w:t>
      </w:r>
    </w:p>
    <w:p w14:paraId="2C655C6E">
      <w:pPr>
        <w:snapToGrid w:val="0"/>
        <w:spacing w:line="360" w:lineRule="auto"/>
        <w:ind w:firstLine="420" w:firstLineChars="200"/>
        <w:rPr>
          <w:rFonts w:ascii="宋体" w:hAnsi="宋体" w:cs="宋体"/>
          <w:highlight w:val="none"/>
        </w:rPr>
      </w:pPr>
      <w:r>
        <w:rPr>
          <w:rFonts w:hint="eastAsia" w:ascii="宋体" w:hAnsi="宋体" w:cs="宋体"/>
          <w:highlight w:val="none"/>
        </w:rPr>
        <w:t>3.4相关业绩；（格式七）</w:t>
      </w:r>
    </w:p>
    <w:p w14:paraId="7055BE10">
      <w:pPr>
        <w:snapToGrid w:val="0"/>
        <w:spacing w:line="360" w:lineRule="auto"/>
        <w:ind w:firstLine="420" w:firstLineChars="200"/>
        <w:rPr>
          <w:rFonts w:ascii="宋体" w:hAnsi="宋体" w:cs="宋体"/>
          <w:highlight w:val="none"/>
        </w:rPr>
      </w:pPr>
      <w:r>
        <w:rPr>
          <w:rFonts w:hint="eastAsia" w:ascii="宋体" w:hAnsi="宋体" w:cs="宋体"/>
          <w:highlight w:val="none"/>
        </w:rPr>
        <w:t>3.5拟派项目团队；（格式八）</w:t>
      </w:r>
    </w:p>
    <w:p w14:paraId="09A9C461">
      <w:pPr>
        <w:snapToGrid w:val="0"/>
        <w:spacing w:line="360" w:lineRule="auto"/>
        <w:ind w:firstLine="420" w:firstLineChars="200"/>
        <w:rPr>
          <w:rFonts w:hint="eastAsia" w:ascii="宋体" w:hAnsi="宋体" w:eastAsia="宋体" w:cs="宋体"/>
          <w:highlight w:val="none"/>
          <w:lang w:val="en-US" w:eastAsia="zh-CN"/>
        </w:rPr>
      </w:pPr>
      <w:r>
        <w:rPr>
          <w:rFonts w:hint="eastAsia" w:ascii="宋体" w:hAnsi="宋体" w:eastAsia="宋体" w:cs="宋体"/>
          <w:highlight w:val="none"/>
          <w:lang w:val="en-US" w:eastAsia="zh-CN"/>
        </w:rPr>
        <w:t>3.</w:t>
      </w:r>
      <w:r>
        <w:rPr>
          <w:rFonts w:hint="eastAsia" w:ascii="宋体" w:hAnsi="宋体" w:cs="宋体"/>
          <w:highlight w:val="none"/>
          <w:lang w:val="en-US" w:eastAsia="zh-CN"/>
        </w:rPr>
        <w:t>6采购</w:t>
      </w:r>
      <w:r>
        <w:rPr>
          <w:rFonts w:hint="eastAsia" w:ascii="宋体" w:hAnsi="宋体" w:eastAsia="宋体" w:cs="宋体"/>
          <w:highlight w:val="none"/>
          <w:lang w:val="en-US" w:eastAsia="zh-CN"/>
        </w:rPr>
        <w:t>清单</w:t>
      </w:r>
      <w:r>
        <w:rPr>
          <w:rFonts w:hint="eastAsia" w:ascii="宋体" w:hAnsi="宋体" w:cs="宋体"/>
          <w:highlight w:val="none"/>
          <w:lang w:val="en-US" w:eastAsia="zh-CN"/>
        </w:rPr>
        <w:t>响应表</w:t>
      </w:r>
      <w:r>
        <w:rPr>
          <w:rFonts w:hint="eastAsia" w:ascii="宋体" w:hAnsi="宋体" w:eastAsia="宋体" w:cs="宋体"/>
          <w:highlight w:val="none"/>
          <w:lang w:val="en-US" w:eastAsia="zh-CN"/>
        </w:rPr>
        <w:t>；（格式</w:t>
      </w:r>
      <w:r>
        <w:rPr>
          <w:rFonts w:hint="eastAsia" w:ascii="宋体" w:hAnsi="宋体" w:cs="宋体"/>
          <w:highlight w:val="none"/>
          <w:lang w:val="en-US" w:eastAsia="zh-CN"/>
        </w:rPr>
        <w:t>九</w:t>
      </w:r>
      <w:r>
        <w:rPr>
          <w:rFonts w:hint="eastAsia" w:ascii="宋体" w:hAnsi="宋体" w:eastAsia="宋体" w:cs="宋体"/>
          <w:highlight w:val="none"/>
          <w:lang w:val="en-US" w:eastAsia="zh-CN"/>
        </w:rPr>
        <w:t>）</w:t>
      </w:r>
    </w:p>
    <w:p w14:paraId="0E098AD7">
      <w:pPr>
        <w:snapToGrid w:val="0"/>
        <w:spacing w:line="360" w:lineRule="auto"/>
        <w:ind w:firstLine="420" w:firstLineChars="200"/>
        <w:rPr>
          <w:rFonts w:hint="default"/>
          <w:highlight w:val="none"/>
          <w:lang w:val="en-US" w:eastAsia="zh-CN"/>
        </w:rPr>
      </w:pPr>
      <w:r>
        <w:rPr>
          <w:rFonts w:hint="eastAsia" w:ascii="宋体" w:hAnsi="宋体" w:eastAsia="宋体" w:cs="宋体"/>
          <w:highlight w:val="none"/>
          <w:lang w:val="en-US" w:eastAsia="zh-CN"/>
        </w:rPr>
        <w:t>3.</w:t>
      </w:r>
      <w:r>
        <w:rPr>
          <w:rFonts w:hint="eastAsia" w:ascii="宋体" w:hAnsi="宋体" w:cs="宋体"/>
          <w:highlight w:val="none"/>
          <w:lang w:val="en-US" w:eastAsia="zh-CN"/>
        </w:rPr>
        <w:t>7</w:t>
      </w:r>
      <w:r>
        <w:rPr>
          <w:rFonts w:hint="eastAsia" w:ascii="宋体" w:hAnsi="宋体" w:eastAsia="宋体" w:cs="宋体"/>
          <w:highlight w:val="none"/>
          <w:lang w:val="en-US" w:eastAsia="zh-CN"/>
        </w:rPr>
        <w:t>技术参数偏离表；（格式十）</w:t>
      </w:r>
    </w:p>
    <w:p w14:paraId="067F6740">
      <w:pPr>
        <w:snapToGrid w:val="0"/>
        <w:spacing w:line="360" w:lineRule="auto"/>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8响应人</w:t>
      </w:r>
      <w:r>
        <w:rPr>
          <w:rFonts w:hint="eastAsia" w:ascii="宋体" w:hAnsi="宋体" w:cs="宋体"/>
          <w:highlight w:val="none"/>
        </w:rPr>
        <w:t>相关方案；</w:t>
      </w:r>
    </w:p>
    <w:p w14:paraId="01420DBC">
      <w:pPr>
        <w:snapToGrid w:val="0"/>
        <w:spacing w:line="360" w:lineRule="auto"/>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9</w:t>
      </w:r>
      <w:r>
        <w:rPr>
          <w:rFonts w:hint="eastAsia" w:ascii="宋体" w:hAnsi="宋体" w:cs="宋体"/>
          <w:highlight w:val="none"/>
        </w:rPr>
        <w:t>按照评分标准依次编制相应的说明、证明材料复印件；</w:t>
      </w:r>
    </w:p>
    <w:p w14:paraId="44FFCF3D">
      <w:pPr>
        <w:snapToGrid w:val="0"/>
        <w:spacing w:line="360" w:lineRule="auto"/>
        <w:ind w:firstLine="420" w:firstLineChars="200"/>
        <w:rPr>
          <w:rFonts w:ascii="宋体" w:hAnsi="宋体" w:cs="宋体"/>
          <w:highlight w:val="none"/>
        </w:rPr>
      </w:pPr>
      <w:r>
        <w:rPr>
          <w:rFonts w:hint="eastAsia" w:ascii="宋体" w:hAnsi="宋体" w:cs="宋体"/>
          <w:highlight w:val="none"/>
        </w:rPr>
        <w:t>3.</w:t>
      </w:r>
      <w:r>
        <w:rPr>
          <w:rFonts w:hint="eastAsia" w:ascii="宋体" w:hAnsi="宋体" w:cs="宋体"/>
          <w:highlight w:val="none"/>
          <w:lang w:val="en-US" w:eastAsia="zh-CN"/>
        </w:rPr>
        <w:t>10</w:t>
      </w:r>
      <w:r>
        <w:rPr>
          <w:rFonts w:hint="eastAsia" w:ascii="宋体" w:hAnsi="宋体" w:cs="宋体"/>
          <w:highlight w:val="none"/>
        </w:rPr>
        <w:t>本</w:t>
      </w:r>
      <w:r>
        <w:rPr>
          <w:rFonts w:hint="eastAsia" w:ascii="宋体" w:hAnsi="宋体" w:cs="宋体"/>
          <w:szCs w:val="21"/>
          <w:highlight w:val="none"/>
        </w:rPr>
        <w:t>磋商</w:t>
      </w:r>
      <w:r>
        <w:rPr>
          <w:rFonts w:hint="eastAsia" w:ascii="宋体" w:hAnsi="宋体" w:cs="宋体"/>
          <w:highlight w:val="none"/>
        </w:rPr>
        <w:t>文件要求提供的和</w:t>
      </w:r>
      <w:r>
        <w:rPr>
          <w:rFonts w:hint="eastAsia" w:ascii="宋体" w:hAnsi="宋体" w:cs="宋体"/>
          <w:highlight w:val="none"/>
          <w:lang w:eastAsia="zh-CN"/>
        </w:rPr>
        <w:t>响应人</w:t>
      </w:r>
      <w:r>
        <w:rPr>
          <w:rFonts w:hint="eastAsia" w:ascii="宋体" w:hAnsi="宋体" w:cs="宋体"/>
          <w:highlight w:val="none"/>
        </w:rPr>
        <w:t>认为需要提供的其它说明和资料/文件。</w:t>
      </w:r>
    </w:p>
    <w:p w14:paraId="7AFCFCF4">
      <w:pPr>
        <w:snapToGrid w:val="0"/>
        <w:spacing w:line="360" w:lineRule="auto"/>
        <w:ind w:firstLine="422" w:firstLineChars="200"/>
        <w:jc w:val="center"/>
        <w:outlineLvl w:val="1"/>
        <w:rPr>
          <w:rFonts w:ascii="宋体" w:hAnsi="宋体" w:cs="宋体"/>
          <w:b/>
          <w:sz w:val="28"/>
          <w:szCs w:val="28"/>
          <w:highlight w:val="none"/>
        </w:rPr>
      </w:pPr>
      <w:r>
        <w:rPr>
          <w:rFonts w:hint="eastAsia" w:ascii="宋体" w:hAnsi="宋体" w:cs="宋体"/>
          <w:b/>
          <w:bCs/>
          <w:szCs w:val="21"/>
          <w:highlight w:val="none"/>
        </w:rPr>
        <w:br w:type="page"/>
      </w:r>
      <w:r>
        <w:rPr>
          <w:rFonts w:hint="eastAsia"/>
          <w:b/>
          <w:bCs/>
          <w:sz w:val="24"/>
          <w:szCs w:val="24"/>
          <w:highlight w:val="none"/>
          <w:lang w:eastAsia="zh-CN"/>
        </w:rPr>
        <w:t>响应文件</w:t>
      </w:r>
      <w:r>
        <w:rPr>
          <w:rFonts w:hint="eastAsia"/>
          <w:b/>
          <w:bCs/>
          <w:sz w:val="24"/>
          <w:szCs w:val="24"/>
          <w:highlight w:val="none"/>
        </w:rPr>
        <w:t>格式</w:t>
      </w:r>
    </w:p>
    <w:p w14:paraId="5C0509AC">
      <w:pPr>
        <w:snapToGrid w:val="0"/>
        <w:spacing w:before="50" w:after="50"/>
        <w:outlineLvl w:val="2"/>
        <w:rPr>
          <w:rFonts w:ascii="宋体" w:hAnsi="宋体" w:cs="宋体"/>
          <w:b/>
          <w:spacing w:val="20"/>
          <w:szCs w:val="21"/>
          <w:highlight w:val="none"/>
        </w:rPr>
      </w:pPr>
      <w:r>
        <w:rPr>
          <w:rFonts w:hint="eastAsia" w:ascii="宋体" w:hAnsi="宋体" w:cs="宋体"/>
          <w:b/>
          <w:spacing w:val="20"/>
          <w:szCs w:val="21"/>
          <w:highlight w:val="none"/>
        </w:rPr>
        <w:t>格式一、开标一览表</w:t>
      </w:r>
    </w:p>
    <w:p w14:paraId="1844F854">
      <w:pPr>
        <w:snapToGrid w:val="0"/>
        <w:spacing w:before="50" w:after="50"/>
        <w:rPr>
          <w:rFonts w:ascii="宋体" w:hAnsi="宋体" w:cs="宋体"/>
          <w:b/>
          <w:spacing w:val="20"/>
          <w:szCs w:val="21"/>
          <w:highlight w:val="none"/>
        </w:rPr>
      </w:pP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53"/>
        <w:gridCol w:w="7322"/>
      </w:tblGrid>
      <w:tr w14:paraId="67292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9" w:hRule="atLeast"/>
          <w:jc w:val="center"/>
        </w:trPr>
        <w:tc>
          <w:tcPr>
            <w:tcW w:w="2353" w:type="dxa"/>
            <w:vAlign w:val="center"/>
          </w:tcPr>
          <w:p w14:paraId="548BD0ED">
            <w:pPr>
              <w:spacing w:before="240" w:after="240"/>
              <w:jc w:val="center"/>
              <w:rPr>
                <w:rFonts w:ascii="宋体" w:hAnsi="宋体" w:cs="宋体"/>
                <w:szCs w:val="21"/>
                <w:highlight w:val="none"/>
              </w:rPr>
            </w:pPr>
            <w:r>
              <w:rPr>
                <w:rFonts w:hint="eastAsia" w:ascii="宋体" w:hAnsi="宋体" w:cs="宋体"/>
                <w:szCs w:val="21"/>
                <w:highlight w:val="none"/>
              </w:rPr>
              <w:t>项目名称</w:t>
            </w:r>
          </w:p>
        </w:tc>
        <w:tc>
          <w:tcPr>
            <w:tcW w:w="7322" w:type="dxa"/>
            <w:vAlign w:val="center"/>
          </w:tcPr>
          <w:p w14:paraId="44554047">
            <w:pPr>
              <w:spacing w:before="240" w:after="240"/>
              <w:jc w:val="center"/>
              <w:rPr>
                <w:rFonts w:hint="eastAsia" w:ascii="宋体" w:hAnsi="宋体" w:eastAsia="宋体" w:cs="宋体"/>
                <w:b/>
                <w:szCs w:val="21"/>
                <w:highlight w:val="none"/>
                <w:lang w:eastAsia="zh-CN"/>
              </w:rPr>
            </w:pPr>
            <w:r>
              <w:rPr>
                <w:rFonts w:hint="eastAsia" w:ascii="宋体"/>
                <w:highlight w:val="none"/>
                <w:lang w:eastAsia="zh-CN"/>
              </w:rPr>
              <w:t>定海区公共数据支撑平台项目二期</w:t>
            </w:r>
          </w:p>
        </w:tc>
      </w:tr>
      <w:tr w14:paraId="16173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49" w:hRule="atLeast"/>
          <w:jc w:val="center"/>
        </w:trPr>
        <w:tc>
          <w:tcPr>
            <w:tcW w:w="2353" w:type="dxa"/>
            <w:vAlign w:val="center"/>
          </w:tcPr>
          <w:p w14:paraId="63DB251C">
            <w:pPr>
              <w:spacing w:before="240" w:after="240"/>
              <w:jc w:val="center"/>
              <w:rPr>
                <w:rFonts w:ascii="宋体" w:hAnsi="宋体" w:cs="宋体"/>
                <w:szCs w:val="21"/>
                <w:highlight w:val="none"/>
              </w:rPr>
            </w:pPr>
            <w:r>
              <w:rPr>
                <w:rFonts w:hint="eastAsia" w:ascii="宋体" w:hAnsi="宋体" w:cs="宋体"/>
                <w:szCs w:val="21"/>
                <w:highlight w:val="none"/>
              </w:rPr>
              <w:t>投标内容</w:t>
            </w:r>
          </w:p>
        </w:tc>
        <w:tc>
          <w:tcPr>
            <w:tcW w:w="7322" w:type="dxa"/>
            <w:vAlign w:val="center"/>
          </w:tcPr>
          <w:p w14:paraId="17C72A83">
            <w:pPr>
              <w:spacing w:before="240" w:after="240"/>
              <w:jc w:val="center"/>
              <w:rPr>
                <w:rFonts w:ascii="宋体" w:hAnsi="宋体" w:cs="宋体"/>
                <w:szCs w:val="21"/>
                <w:highlight w:val="none"/>
              </w:rPr>
            </w:pPr>
            <w:r>
              <w:rPr>
                <w:rFonts w:hint="eastAsia" w:ascii="宋体"/>
                <w:highlight w:val="none"/>
                <w:lang w:eastAsia="zh-CN"/>
              </w:rPr>
              <w:t>定海区公共数据支撑平台项目二期</w:t>
            </w:r>
          </w:p>
        </w:tc>
      </w:tr>
      <w:tr w14:paraId="24FF7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25" w:hRule="atLeast"/>
          <w:jc w:val="center"/>
        </w:trPr>
        <w:tc>
          <w:tcPr>
            <w:tcW w:w="2353" w:type="dxa"/>
            <w:vAlign w:val="center"/>
          </w:tcPr>
          <w:p w14:paraId="290DBDEA">
            <w:pPr>
              <w:spacing w:before="240" w:after="240"/>
              <w:jc w:val="center"/>
              <w:rPr>
                <w:rFonts w:ascii="宋体" w:hAnsi="宋体" w:cs="宋体"/>
                <w:szCs w:val="21"/>
                <w:highlight w:val="none"/>
              </w:rPr>
            </w:pPr>
            <w:r>
              <w:rPr>
                <w:rFonts w:hint="eastAsia" w:ascii="宋体" w:hAnsi="宋体" w:cs="宋体"/>
                <w:szCs w:val="21"/>
                <w:highlight w:val="none"/>
              </w:rPr>
              <w:t>磋商报价（元）</w:t>
            </w:r>
          </w:p>
        </w:tc>
        <w:tc>
          <w:tcPr>
            <w:tcW w:w="7322" w:type="dxa"/>
            <w:vAlign w:val="center"/>
          </w:tcPr>
          <w:p w14:paraId="04763709">
            <w:pPr>
              <w:spacing w:before="240" w:after="240"/>
              <w:jc w:val="center"/>
              <w:rPr>
                <w:rFonts w:ascii="宋体" w:hAnsi="宋体" w:cs="宋体"/>
                <w:szCs w:val="21"/>
                <w:highlight w:val="none"/>
              </w:rPr>
            </w:pPr>
            <w:r>
              <w:rPr>
                <w:rFonts w:hint="eastAsia" w:ascii="宋体" w:hAnsi="宋体" w:cs="宋体"/>
                <w:szCs w:val="21"/>
                <w:highlight w:val="none"/>
              </w:rPr>
              <w:t>大写：                   小写：</w:t>
            </w:r>
          </w:p>
        </w:tc>
      </w:tr>
    </w:tbl>
    <w:p w14:paraId="187D8172">
      <w:pPr>
        <w:spacing w:line="360" w:lineRule="auto"/>
        <w:ind w:firstLine="371" w:firstLineChars="177"/>
        <w:rPr>
          <w:rFonts w:ascii="宋体" w:hAnsi="宋体" w:cs="宋体"/>
          <w:szCs w:val="21"/>
          <w:highlight w:val="none"/>
        </w:rPr>
      </w:pPr>
    </w:p>
    <w:p w14:paraId="5C86D528">
      <w:pPr>
        <w:spacing w:line="480" w:lineRule="auto"/>
        <w:rPr>
          <w:rFonts w:ascii="宋体" w:hAnsi="宋体" w:cs="宋体"/>
          <w:szCs w:val="21"/>
          <w:highlight w:val="none"/>
        </w:rPr>
      </w:pPr>
    </w:p>
    <w:p w14:paraId="3DDC136A">
      <w:pPr>
        <w:pStyle w:val="25"/>
        <w:rPr>
          <w:highlight w:val="none"/>
        </w:rPr>
      </w:pPr>
    </w:p>
    <w:p w14:paraId="2593C168">
      <w:pPr>
        <w:spacing w:line="480" w:lineRule="auto"/>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名称：</w:t>
      </w:r>
      <w:r>
        <w:rPr>
          <w:rFonts w:hint="eastAsia" w:ascii="宋体" w:hAnsi="宋体" w:cs="宋体"/>
          <w:szCs w:val="21"/>
          <w:highlight w:val="none"/>
          <w:u w:val="single"/>
        </w:rPr>
        <w:t xml:space="preserve">                </w:t>
      </w:r>
      <w:r>
        <w:rPr>
          <w:rFonts w:hint="eastAsia" w:ascii="宋体" w:hAnsi="宋体" w:cs="宋体"/>
          <w:szCs w:val="21"/>
          <w:highlight w:val="none"/>
        </w:rPr>
        <w:t xml:space="preserve">（加盖公章）  </w:t>
      </w:r>
    </w:p>
    <w:p w14:paraId="21DD522F">
      <w:pPr>
        <w:spacing w:line="480" w:lineRule="auto"/>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代表：</w:t>
      </w:r>
      <w:r>
        <w:rPr>
          <w:rFonts w:hint="eastAsia" w:ascii="宋体" w:hAnsi="宋体" w:cs="宋体"/>
          <w:szCs w:val="21"/>
          <w:highlight w:val="none"/>
          <w:u w:val="single"/>
        </w:rPr>
        <w:t xml:space="preserve">                </w:t>
      </w:r>
      <w:r>
        <w:rPr>
          <w:rFonts w:hint="eastAsia" w:ascii="宋体" w:hAnsi="宋体" w:cs="宋体"/>
          <w:szCs w:val="21"/>
          <w:highlight w:val="none"/>
        </w:rPr>
        <w:t>（</w:t>
      </w:r>
      <w:r>
        <w:rPr>
          <w:rFonts w:hint="eastAsia" w:ascii="宋体" w:hAnsi="宋体" w:cs="宋体"/>
          <w:color w:val="auto"/>
          <w:spacing w:val="-4"/>
          <w:szCs w:val="21"/>
          <w:highlight w:val="none"/>
        </w:rPr>
        <w:t>签字或盖章</w:t>
      </w:r>
      <w:r>
        <w:rPr>
          <w:rFonts w:hint="eastAsia" w:ascii="宋体" w:hAnsi="宋体" w:cs="宋体"/>
          <w:szCs w:val="21"/>
          <w:highlight w:val="none"/>
        </w:rPr>
        <w:t>）</w:t>
      </w:r>
    </w:p>
    <w:p w14:paraId="75AD26B2">
      <w:pPr>
        <w:spacing w:line="480" w:lineRule="auto"/>
        <w:rPr>
          <w:rFonts w:ascii="宋体" w:hAnsi="宋体" w:cs="宋体"/>
          <w:szCs w:val="21"/>
          <w:highlight w:val="none"/>
        </w:rPr>
      </w:pPr>
      <w:r>
        <w:rPr>
          <w:rFonts w:hint="eastAsia" w:ascii="宋体" w:hAnsi="宋体" w:cs="宋体"/>
          <w:szCs w:val="21"/>
          <w:highlight w:val="none"/>
        </w:rPr>
        <w:t>日期：</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6619763E">
      <w:pPr>
        <w:snapToGrid w:val="0"/>
        <w:spacing w:before="50" w:after="50"/>
        <w:rPr>
          <w:rFonts w:ascii="宋体" w:hAnsi="宋体" w:cs="宋体"/>
          <w:b/>
          <w:spacing w:val="20"/>
          <w:szCs w:val="21"/>
          <w:highlight w:val="none"/>
        </w:rPr>
      </w:pPr>
    </w:p>
    <w:p w14:paraId="7CDB4BA5">
      <w:pPr>
        <w:snapToGrid w:val="0"/>
        <w:spacing w:before="50" w:after="50"/>
        <w:rPr>
          <w:rFonts w:ascii="宋体" w:hAnsi="宋体" w:cs="宋体"/>
          <w:b/>
          <w:spacing w:val="20"/>
          <w:szCs w:val="21"/>
          <w:highlight w:val="none"/>
        </w:rPr>
      </w:pPr>
    </w:p>
    <w:p w14:paraId="54C3BCBA">
      <w:pPr>
        <w:spacing w:line="360" w:lineRule="auto"/>
        <w:outlineLvl w:val="2"/>
        <w:rPr>
          <w:rFonts w:ascii="宋体" w:hAnsi="宋体" w:cs="宋体"/>
          <w:szCs w:val="21"/>
          <w:highlight w:val="none"/>
        </w:rPr>
      </w:pPr>
      <w:r>
        <w:rPr>
          <w:rFonts w:hint="eastAsia" w:ascii="宋体" w:hAnsi="宋体" w:cs="宋体"/>
          <w:b/>
          <w:sz w:val="24"/>
          <w:szCs w:val="24"/>
          <w:highlight w:val="none"/>
        </w:rPr>
        <w:br w:type="page"/>
      </w:r>
      <w:r>
        <w:rPr>
          <w:rFonts w:hint="eastAsia" w:ascii="宋体" w:hAnsi="宋体" w:cs="宋体"/>
          <w:b/>
          <w:szCs w:val="21"/>
          <w:highlight w:val="none"/>
        </w:rPr>
        <w:t>格式二、报价明细表</w:t>
      </w:r>
    </w:p>
    <w:tbl>
      <w:tblPr>
        <w:tblStyle w:val="26"/>
        <w:tblW w:w="971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16"/>
        <w:gridCol w:w="2484"/>
        <w:gridCol w:w="1348"/>
        <w:gridCol w:w="1631"/>
        <w:gridCol w:w="1631"/>
        <w:gridCol w:w="1308"/>
      </w:tblGrid>
      <w:tr w14:paraId="3EA7BC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33915EB9">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highlight w:val="none"/>
              </w:rPr>
            </w:pPr>
            <w:r>
              <w:rPr>
                <w:rFonts w:hint="eastAsia" w:ascii="宋体" w:hAnsi="宋体"/>
                <w:b/>
                <w:szCs w:val="20"/>
                <w:highlight w:val="none"/>
              </w:rPr>
              <w:t>序号</w:t>
            </w:r>
          </w:p>
        </w:tc>
        <w:tc>
          <w:tcPr>
            <w:tcW w:w="2484" w:type="dxa"/>
            <w:tcBorders>
              <w:top w:val="single" w:color="auto" w:sz="4" w:space="0"/>
              <w:left w:val="single" w:color="auto" w:sz="4" w:space="0"/>
              <w:bottom w:val="single" w:color="auto" w:sz="4" w:space="0"/>
              <w:right w:val="single" w:color="auto" w:sz="4" w:space="0"/>
            </w:tcBorders>
            <w:noWrap w:val="0"/>
            <w:vAlign w:val="center"/>
          </w:tcPr>
          <w:p w14:paraId="741EC29C">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highlight w:val="none"/>
              </w:rPr>
            </w:pPr>
            <w:r>
              <w:rPr>
                <w:rFonts w:hint="eastAsia" w:ascii="宋体" w:hAnsi="宋体"/>
                <w:b/>
                <w:szCs w:val="20"/>
                <w:highlight w:val="none"/>
              </w:rPr>
              <w:t>名称</w:t>
            </w:r>
          </w:p>
        </w:tc>
        <w:tc>
          <w:tcPr>
            <w:tcW w:w="1348" w:type="dxa"/>
            <w:tcBorders>
              <w:top w:val="single" w:color="auto" w:sz="4" w:space="0"/>
              <w:left w:val="single" w:color="auto" w:sz="4" w:space="0"/>
              <w:bottom w:val="single" w:color="auto" w:sz="4" w:space="0"/>
              <w:right w:val="single" w:color="auto" w:sz="4" w:space="0"/>
            </w:tcBorders>
            <w:noWrap w:val="0"/>
            <w:vAlign w:val="center"/>
          </w:tcPr>
          <w:p w14:paraId="6EA563F7">
            <w:pPr>
              <w:keepNext w:val="0"/>
              <w:keepLines w:val="0"/>
              <w:suppressLineNumbers w:val="0"/>
              <w:autoSpaceDE w:val="0"/>
              <w:autoSpaceDN w:val="0"/>
              <w:spacing w:before="0" w:beforeAutospacing="0" w:after="0" w:afterAutospacing="0" w:line="280" w:lineRule="exact"/>
              <w:ind w:left="0" w:right="0"/>
              <w:jc w:val="left"/>
              <w:rPr>
                <w:rFonts w:hint="default" w:ascii="宋体" w:hAnsi="宋体"/>
                <w:b/>
                <w:szCs w:val="20"/>
                <w:highlight w:val="none"/>
              </w:rPr>
            </w:pPr>
            <w:r>
              <w:rPr>
                <w:rFonts w:hint="eastAsia" w:ascii="宋体" w:hAnsi="宋体"/>
                <w:b/>
                <w:szCs w:val="20"/>
                <w:highlight w:val="none"/>
              </w:rPr>
              <w:t>数量</w:t>
            </w:r>
          </w:p>
        </w:tc>
        <w:tc>
          <w:tcPr>
            <w:tcW w:w="1631" w:type="dxa"/>
            <w:tcBorders>
              <w:top w:val="single" w:color="auto" w:sz="4" w:space="0"/>
              <w:left w:val="single" w:color="auto" w:sz="4" w:space="0"/>
              <w:bottom w:val="single" w:color="auto" w:sz="4" w:space="0"/>
              <w:right w:val="single" w:color="auto" w:sz="4" w:space="0"/>
            </w:tcBorders>
            <w:noWrap w:val="0"/>
            <w:vAlign w:val="center"/>
          </w:tcPr>
          <w:p w14:paraId="6000743C">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highlight w:val="none"/>
              </w:rPr>
            </w:pPr>
            <w:r>
              <w:rPr>
                <w:rFonts w:hint="eastAsia" w:ascii="宋体" w:hAnsi="宋体"/>
                <w:b/>
                <w:szCs w:val="20"/>
                <w:highlight w:val="none"/>
              </w:rPr>
              <w:t>单价</w:t>
            </w:r>
          </w:p>
        </w:tc>
        <w:tc>
          <w:tcPr>
            <w:tcW w:w="1631" w:type="dxa"/>
            <w:tcBorders>
              <w:top w:val="single" w:color="auto" w:sz="4" w:space="0"/>
              <w:left w:val="single" w:color="auto" w:sz="4" w:space="0"/>
              <w:bottom w:val="single" w:color="auto" w:sz="4" w:space="0"/>
              <w:right w:val="single" w:color="auto" w:sz="4" w:space="0"/>
            </w:tcBorders>
            <w:noWrap w:val="0"/>
            <w:vAlign w:val="center"/>
          </w:tcPr>
          <w:p w14:paraId="021F6566">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highlight w:val="none"/>
              </w:rPr>
            </w:pPr>
            <w:r>
              <w:rPr>
                <w:rFonts w:hint="eastAsia" w:ascii="宋体" w:hAnsi="宋体"/>
                <w:b/>
                <w:szCs w:val="20"/>
                <w:highlight w:val="none"/>
              </w:rPr>
              <w:t>合价</w:t>
            </w:r>
          </w:p>
        </w:tc>
        <w:tc>
          <w:tcPr>
            <w:tcW w:w="1308" w:type="dxa"/>
            <w:tcBorders>
              <w:top w:val="single" w:color="auto" w:sz="4" w:space="0"/>
              <w:left w:val="single" w:color="auto" w:sz="4" w:space="0"/>
              <w:bottom w:val="single" w:color="auto" w:sz="4" w:space="0"/>
            </w:tcBorders>
            <w:noWrap w:val="0"/>
            <w:vAlign w:val="center"/>
          </w:tcPr>
          <w:p w14:paraId="621540C3">
            <w:pPr>
              <w:keepNext w:val="0"/>
              <w:keepLines w:val="0"/>
              <w:suppressLineNumbers w:val="0"/>
              <w:autoSpaceDE w:val="0"/>
              <w:autoSpaceDN w:val="0"/>
              <w:spacing w:before="0" w:beforeAutospacing="0" w:after="0" w:afterAutospacing="0" w:line="280" w:lineRule="exact"/>
              <w:ind w:left="0" w:right="0"/>
              <w:jc w:val="left"/>
              <w:rPr>
                <w:rFonts w:hint="default" w:ascii="宋体"/>
                <w:b/>
                <w:szCs w:val="20"/>
                <w:highlight w:val="none"/>
              </w:rPr>
            </w:pPr>
            <w:r>
              <w:rPr>
                <w:rFonts w:hint="eastAsia" w:ascii="宋体" w:hAnsi="宋体"/>
                <w:b/>
                <w:szCs w:val="20"/>
                <w:highlight w:val="none"/>
              </w:rPr>
              <w:t>备注</w:t>
            </w:r>
          </w:p>
        </w:tc>
      </w:tr>
      <w:tr w14:paraId="09ADB3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51815F2E">
            <w:pPr>
              <w:keepNext w:val="0"/>
              <w:keepLines w:val="0"/>
              <w:suppressLineNumbers w:val="0"/>
              <w:spacing w:before="0" w:beforeAutospacing="0" w:after="0" w:afterAutospacing="0" w:line="280" w:lineRule="exact"/>
              <w:ind w:left="0" w:right="0"/>
              <w:jc w:val="left"/>
              <w:rPr>
                <w:rFonts w:hint="default" w:ascii="宋体"/>
                <w:bCs/>
                <w:szCs w:val="20"/>
                <w:highlight w:val="none"/>
              </w:rPr>
            </w:pPr>
          </w:p>
        </w:tc>
        <w:tc>
          <w:tcPr>
            <w:tcW w:w="2484" w:type="dxa"/>
            <w:tcBorders>
              <w:top w:val="single" w:color="auto" w:sz="4" w:space="0"/>
              <w:left w:val="single" w:color="auto" w:sz="4" w:space="0"/>
              <w:bottom w:val="single" w:color="auto" w:sz="4" w:space="0"/>
              <w:right w:val="single" w:color="auto" w:sz="4" w:space="0"/>
            </w:tcBorders>
            <w:noWrap w:val="0"/>
            <w:vAlign w:val="center"/>
          </w:tcPr>
          <w:p w14:paraId="5C94756E">
            <w:pPr>
              <w:pStyle w:val="113"/>
              <w:keepNext w:val="0"/>
              <w:keepLines w:val="0"/>
              <w:suppressLineNumbers w:val="0"/>
              <w:tabs>
                <w:tab w:val="left" w:pos="1418"/>
              </w:tabs>
              <w:snapToGrid w:val="0"/>
              <w:spacing w:before="50" w:beforeAutospacing="0" w:after="50" w:afterAutospacing="0" w:line="192" w:lineRule="auto"/>
              <w:ind w:left="0" w:right="0"/>
              <w:jc w:val="left"/>
              <w:rPr>
                <w:rFonts w:hint="default" w:ascii="宋体" w:cs="黑体"/>
                <w:spacing w:val="20"/>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237A1665">
            <w:pPr>
              <w:pStyle w:val="113"/>
              <w:keepNext w:val="0"/>
              <w:keepLines w:val="0"/>
              <w:suppressLineNumbers w:val="0"/>
              <w:tabs>
                <w:tab w:val="left" w:pos="1418"/>
              </w:tabs>
              <w:snapToGrid w:val="0"/>
              <w:spacing w:before="50" w:beforeAutospacing="0" w:after="50" w:afterAutospacing="0" w:line="192" w:lineRule="auto"/>
              <w:ind w:left="0" w:right="0"/>
              <w:jc w:val="left"/>
              <w:rPr>
                <w:rFonts w:hint="default" w:ascii="宋体" w:cs="黑体"/>
                <w:spacing w:val="20"/>
                <w:sz w:val="21"/>
                <w:szCs w:val="21"/>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600328C2">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778E6A98">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308" w:type="dxa"/>
            <w:tcBorders>
              <w:top w:val="single" w:color="auto" w:sz="4" w:space="0"/>
              <w:left w:val="single" w:color="auto" w:sz="4" w:space="0"/>
              <w:bottom w:val="single" w:color="auto" w:sz="4" w:space="0"/>
            </w:tcBorders>
            <w:noWrap w:val="0"/>
            <w:vAlign w:val="center"/>
          </w:tcPr>
          <w:p w14:paraId="4599323A">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r>
      <w:tr w14:paraId="039635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4AF56519">
            <w:pPr>
              <w:keepNext w:val="0"/>
              <w:keepLines w:val="0"/>
              <w:suppressLineNumbers w:val="0"/>
              <w:spacing w:before="0" w:beforeAutospacing="0" w:after="0" w:afterAutospacing="0" w:line="280" w:lineRule="exact"/>
              <w:ind w:left="0" w:right="0"/>
              <w:jc w:val="left"/>
              <w:rPr>
                <w:rFonts w:hint="default" w:ascii="宋体"/>
                <w:bCs/>
                <w:szCs w:val="20"/>
                <w:highlight w:val="none"/>
              </w:rPr>
            </w:pPr>
          </w:p>
        </w:tc>
        <w:tc>
          <w:tcPr>
            <w:tcW w:w="2484" w:type="dxa"/>
            <w:tcBorders>
              <w:top w:val="single" w:color="auto" w:sz="4" w:space="0"/>
              <w:left w:val="single" w:color="auto" w:sz="4" w:space="0"/>
              <w:bottom w:val="single" w:color="auto" w:sz="4" w:space="0"/>
              <w:right w:val="single" w:color="auto" w:sz="4" w:space="0"/>
            </w:tcBorders>
            <w:noWrap w:val="0"/>
            <w:vAlign w:val="center"/>
          </w:tcPr>
          <w:p w14:paraId="015F6EBD">
            <w:pPr>
              <w:pStyle w:val="113"/>
              <w:keepNext w:val="0"/>
              <w:keepLines w:val="0"/>
              <w:suppressLineNumbers w:val="0"/>
              <w:tabs>
                <w:tab w:val="left" w:pos="1418"/>
              </w:tabs>
              <w:snapToGrid w:val="0"/>
              <w:spacing w:before="50" w:beforeAutospacing="0" w:after="50" w:afterAutospacing="0" w:line="192" w:lineRule="auto"/>
              <w:ind w:left="0" w:right="0"/>
              <w:jc w:val="left"/>
              <w:rPr>
                <w:rFonts w:hint="default" w:ascii="宋体" w:cs="黑体"/>
                <w:spacing w:val="20"/>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33F706C6">
            <w:pPr>
              <w:pStyle w:val="113"/>
              <w:keepNext w:val="0"/>
              <w:keepLines w:val="0"/>
              <w:suppressLineNumbers w:val="0"/>
              <w:tabs>
                <w:tab w:val="left" w:pos="1418"/>
              </w:tabs>
              <w:snapToGrid w:val="0"/>
              <w:spacing w:before="50" w:beforeAutospacing="0" w:after="50" w:afterAutospacing="0" w:line="192" w:lineRule="auto"/>
              <w:ind w:left="0" w:right="0"/>
              <w:jc w:val="left"/>
              <w:rPr>
                <w:rFonts w:hint="default" w:ascii="宋体" w:cs="黑体"/>
                <w:spacing w:val="20"/>
                <w:sz w:val="21"/>
                <w:szCs w:val="21"/>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1D87EDEB">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321C2FAE">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308" w:type="dxa"/>
            <w:tcBorders>
              <w:top w:val="single" w:color="auto" w:sz="4" w:space="0"/>
              <w:left w:val="single" w:color="auto" w:sz="4" w:space="0"/>
              <w:bottom w:val="single" w:color="auto" w:sz="4" w:space="0"/>
            </w:tcBorders>
            <w:noWrap w:val="0"/>
            <w:vAlign w:val="center"/>
          </w:tcPr>
          <w:p w14:paraId="6C9012FA">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r>
      <w:tr w14:paraId="4CB566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1F62DB64">
            <w:pPr>
              <w:keepNext w:val="0"/>
              <w:keepLines w:val="0"/>
              <w:suppressLineNumbers w:val="0"/>
              <w:spacing w:before="0" w:beforeAutospacing="0" w:after="0" w:afterAutospacing="0" w:line="280" w:lineRule="exact"/>
              <w:ind w:left="0" w:right="0"/>
              <w:jc w:val="left"/>
              <w:rPr>
                <w:rFonts w:hint="default" w:ascii="宋体"/>
                <w:bCs/>
                <w:szCs w:val="20"/>
                <w:highlight w:val="none"/>
              </w:rPr>
            </w:pPr>
          </w:p>
        </w:tc>
        <w:tc>
          <w:tcPr>
            <w:tcW w:w="2484" w:type="dxa"/>
            <w:tcBorders>
              <w:top w:val="single" w:color="auto" w:sz="4" w:space="0"/>
              <w:left w:val="single" w:color="auto" w:sz="4" w:space="0"/>
              <w:bottom w:val="single" w:color="auto" w:sz="4" w:space="0"/>
              <w:right w:val="single" w:color="auto" w:sz="4" w:space="0"/>
            </w:tcBorders>
            <w:noWrap w:val="0"/>
            <w:vAlign w:val="center"/>
          </w:tcPr>
          <w:p w14:paraId="3B6ECBDE">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2E382704">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382954C2">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7C3270D0">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308" w:type="dxa"/>
            <w:tcBorders>
              <w:top w:val="single" w:color="auto" w:sz="4" w:space="0"/>
              <w:left w:val="single" w:color="auto" w:sz="4" w:space="0"/>
              <w:bottom w:val="single" w:color="auto" w:sz="4" w:space="0"/>
            </w:tcBorders>
            <w:noWrap w:val="0"/>
            <w:vAlign w:val="center"/>
          </w:tcPr>
          <w:p w14:paraId="4AFAFDB4">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r>
      <w:tr w14:paraId="24E0B2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2394CB76">
            <w:pPr>
              <w:keepNext w:val="0"/>
              <w:keepLines w:val="0"/>
              <w:suppressLineNumbers w:val="0"/>
              <w:spacing w:before="0" w:beforeAutospacing="0" w:after="0" w:afterAutospacing="0" w:line="280" w:lineRule="exact"/>
              <w:ind w:left="0" w:right="0"/>
              <w:jc w:val="left"/>
              <w:rPr>
                <w:rFonts w:hint="default" w:ascii="宋体"/>
                <w:bCs/>
                <w:szCs w:val="20"/>
                <w:highlight w:val="none"/>
              </w:rPr>
            </w:pPr>
          </w:p>
        </w:tc>
        <w:tc>
          <w:tcPr>
            <w:tcW w:w="2484" w:type="dxa"/>
            <w:tcBorders>
              <w:top w:val="single" w:color="auto" w:sz="4" w:space="0"/>
              <w:left w:val="single" w:color="auto" w:sz="4" w:space="0"/>
              <w:bottom w:val="single" w:color="auto" w:sz="4" w:space="0"/>
              <w:right w:val="single" w:color="auto" w:sz="4" w:space="0"/>
            </w:tcBorders>
            <w:noWrap w:val="0"/>
            <w:vAlign w:val="center"/>
          </w:tcPr>
          <w:p w14:paraId="0F359F81">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38C08089">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4409B34A">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49437CC0">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308" w:type="dxa"/>
            <w:tcBorders>
              <w:top w:val="single" w:color="auto" w:sz="4" w:space="0"/>
              <w:left w:val="single" w:color="auto" w:sz="4" w:space="0"/>
              <w:bottom w:val="single" w:color="auto" w:sz="4" w:space="0"/>
            </w:tcBorders>
            <w:noWrap w:val="0"/>
            <w:vAlign w:val="center"/>
          </w:tcPr>
          <w:p w14:paraId="40AF1BA0">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r>
      <w:tr w14:paraId="148AB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57D5E0E5">
            <w:pPr>
              <w:keepNext w:val="0"/>
              <w:keepLines w:val="0"/>
              <w:suppressLineNumbers w:val="0"/>
              <w:spacing w:before="0" w:beforeAutospacing="0" w:after="0" w:afterAutospacing="0" w:line="280" w:lineRule="exact"/>
              <w:ind w:left="0" w:right="0"/>
              <w:jc w:val="left"/>
              <w:rPr>
                <w:rFonts w:hint="default" w:ascii="宋体"/>
                <w:bCs/>
                <w:szCs w:val="20"/>
                <w:highlight w:val="none"/>
              </w:rPr>
            </w:pPr>
          </w:p>
        </w:tc>
        <w:tc>
          <w:tcPr>
            <w:tcW w:w="2484" w:type="dxa"/>
            <w:tcBorders>
              <w:top w:val="single" w:color="auto" w:sz="4" w:space="0"/>
              <w:left w:val="single" w:color="auto" w:sz="4" w:space="0"/>
              <w:bottom w:val="single" w:color="auto" w:sz="4" w:space="0"/>
              <w:right w:val="single" w:color="auto" w:sz="4" w:space="0"/>
            </w:tcBorders>
            <w:noWrap w:val="0"/>
            <w:vAlign w:val="center"/>
          </w:tcPr>
          <w:p w14:paraId="79D5265F">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191B7F8A">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1108E9B8">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4967237E">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308" w:type="dxa"/>
            <w:tcBorders>
              <w:top w:val="single" w:color="auto" w:sz="4" w:space="0"/>
              <w:left w:val="single" w:color="auto" w:sz="4" w:space="0"/>
              <w:bottom w:val="single" w:color="auto" w:sz="4" w:space="0"/>
            </w:tcBorders>
            <w:noWrap w:val="0"/>
            <w:vAlign w:val="center"/>
          </w:tcPr>
          <w:p w14:paraId="5C4EB324">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r>
      <w:tr w14:paraId="24B856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05653591">
            <w:pPr>
              <w:keepNext w:val="0"/>
              <w:keepLines w:val="0"/>
              <w:suppressLineNumbers w:val="0"/>
              <w:spacing w:before="0" w:beforeAutospacing="0" w:after="0" w:afterAutospacing="0" w:line="280" w:lineRule="exact"/>
              <w:ind w:left="0" w:right="0"/>
              <w:jc w:val="left"/>
              <w:rPr>
                <w:rFonts w:hint="default" w:ascii="宋体"/>
                <w:bCs/>
                <w:szCs w:val="20"/>
                <w:highlight w:val="none"/>
              </w:rPr>
            </w:pPr>
          </w:p>
        </w:tc>
        <w:tc>
          <w:tcPr>
            <w:tcW w:w="2484" w:type="dxa"/>
            <w:tcBorders>
              <w:top w:val="single" w:color="auto" w:sz="4" w:space="0"/>
              <w:left w:val="single" w:color="auto" w:sz="4" w:space="0"/>
              <w:bottom w:val="single" w:color="auto" w:sz="4" w:space="0"/>
              <w:right w:val="single" w:color="auto" w:sz="4" w:space="0"/>
            </w:tcBorders>
            <w:noWrap w:val="0"/>
            <w:vAlign w:val="center"/>
          </w:tcPr>
          <w:p w14:paraId="040E4B06">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33F2BBF0">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7000F7D1">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43AECC14">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308" w:type="dxa"/>
            <w:tcBorders>
              <w:top w:val="single" w:color="auto" w:sz="4" w:space="0"/>
              <w:left w:val="single" w:color="auto" w:sz="4" w:space="0"/>
              <w:bottom w:val="single" w:color="auto" w:sz="4" w:space="0"/>
            </w:tcBorders>
            <w:noWrap w:val="0"/>
            <w:vAlign w:val="center"/>
          </w:tcPr>
          <w:p w14:paraId="48D7E48F">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r>
      <w:tr w14:paraId="59F50C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19A14C08">
            <w:pPr>
              <w:keepNext w:val="0"/>
              <w:keepLines w:val="0"/>
              <w:suppressLineNumbers w:val="0"/>
              <w:spacing w:before="0" w:beforeAutospacing="0" w:after="0" w:afterAutospacing="0" w:line="280" w:lineRule="exact"/>
              <w:ind w:left="0" w:right="0"/>
              <w:jc w:val="left"/>
              <w:rPr>
                <w:rFonts w:hint="default" w:ascii="宋体"/>
                <w:bCs/>
                <w:szCs w:val="20"/>
                <w:highlight w:val="none"/>
              </w:rPr>
            </w:pPr>
          </w:p>
        </w:tc>
        <w:tc>
          <w:tcPr>
            <w:tcW w:w="2484" w:type="dxa"/>
            <w:tcBorders>
              <w:top w:val="single" w:color="auto" w:sz="4" w:space="0"/>
              <w:left w:val="single" w:color="auto" w:sz="4" w:space="0"/>
              <w:bottom w:val="single" w:color="auto" w:sz="4" w:space="0"/>
              <w:right w:val="single" w:color="auto" w:sz="4" w:space="0"/>
            </w:tcBorders>
            <w:noWrap w:val="0"/>
            <w:vAlign w:val="center"/>
          </w:tcPr>
          <w:p w14:paraId="25577741">
            <w:pPr>
              <w:keepNext w:val="0"/>
              <w:keepLines w:val="0"/>
              <w:suppressLineNumbers w:val="0"/>
              <w:spacing w:before="0" w:beforeAutospacing="0" w:after="0" w:afterAutospacing="0"/>
              <w:ind w:left="0" w:right="0"/>
              <w:jc w:val="left"/>
              <w:textAlignment w:val="center"/>
              <w:rPr>
                <w:rFonts w:hint="default" w:ascii="宋体"/>
                <w:spacing w:val="20"/>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21483DB6">
            <w:pPr>
              <w:keepNext w:val="0"/>
              <w:keepLines w:val="0"/>
              <w:suppressLineNumbers w:val="0"/>
              <w:spacing w:before="0" w:beforeAutospacing="0" w:after="0" w:afterAutospacing="0"/>
              <w:ind w:left="0" w:right="0"/>
              <w:jc w:val="left"/>
              <w:textAlignment w:val="center"/>
              <w:rPr>
                <w:rFonts w:hint="default" w:ascii="宋体"/>
                <w:spacing w:val="20"/>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5AE9A6AA">
            <w:pPr>
              <w:keepNext w:val="0"/>
              <w:keepLines w:val="0"/>
              <w:suppressLineNumbers w:val="0"/>
              <w:spacing w:before="0" w:beforeAutospacing="0" w:after="0" w:afterAutospacing="0"/>
              <w:ind w:left="0" w:right="0"/>
              <w:jc w:val="left"/>
              <w:textAlignment w:val="center"/>
              <w:rPr>
                <w:rFonts w:hint="default" w:ascii="宋体"/>
                <w:b/>
                <w:bCs/>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02D8D8B4">
            <w:pPr>
              <w:keepNext w:val="0"/>
              <w:keepLines w:val="0"/>
              <w:suppressLineNumbers w:val="0"/>
              <w:spacing w:before="0" w:beforeAutospacing="0" w:after="0" w:afterAutospacing="0"/>
              <w:ind w:left="0" w:right="0"/>
              <w:jc w:val="left"/>
              <w:textAlignment w:val="center"/>
              <w:rPr>
                <w:rFonts w:hint="default" w:ascii="宋体"/>
                <w:b/>
                <w:bCs/>
                <w:szCs w:val="20"/>
                <w:highlight w:val="none"/>
              </w:rPr>
            </w:pPr>
          </w:p>
        </w:tc>
        <w:tc>
          <w:tcPr>
            <w:tcW w:w="1308" w:type="dxa"/>
            <w:tcBorders>
              <w:top w:val="single" w:color="auto" w:sz="4" w:space="0"/>
              <w:left w:val="single" w:color="auto" w:sz="4" w:space="0"/>
              <w:bottom w:val="single" w:color="auto" w:sz="4" w:space="0"/>
            </w:tcBorders>
            <w:noWrap w:val="0"/>
            <w:vAlign w:val="center"/>
          </w:tcPr>
          <w:p w14:paraId="7C0D08DB">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r>
      <w:tr w14:paraId="7E3661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trPr>
        <w:tc>
          <w:tcPr>
            <w:tcW w:w="1316" w:type="dxa"/>
            <w:tcBorders>
              <w:top w:val="single" w:color="auto" w:sz="4" w:space="0"/>
              <w:bottom w:val="single" w:color="auto" w:sz="4" w:space="0"/>
              <w:right w:val="single" w:color="auto" w:sz="4" w:space="0"/>
            </w:tcBorders>
            <w:noWrap w:val="0"/>
            <w:vAlign w:val="center"/>
          </w:tcPr>
          <w:p w14:paraId="4EA274E0">
            <w:pPr>
              <w:keepNext w:val="0"/>
              <w:keepLines w:val="0"/>
              <w:suppressLineNumbers w:val="0"/>
              <w:spacing w:before="0" w:beforeAutospacing="0" w:after="0" w:afterAutospacing="0" w:line="280" w:lineRule="exact"/>
              <w:ind w:left="0" w:right="0"/>
              <w:jc w:val="left"/>
              <w:rPr>
                <w:rFonts w:hint="default" w:ascii="宋体"/>
                <w:bCs/>
                <w:szCs w:val="20"/>
                <w:highlight w:val="none"/>
              </w:rPr>
            </w:pPr>
          </w:p>
        </w:tc>
        <w:tc>
          <w:tcPr>
            <w:tcW w:w="2484" w:type="dxa"/>
            <w:tcBorders>
              <w:top w:val="single" w:color="auto" w:sz="4" w:space="0"/>
              <w:left w:val="single" w:color="auto" w:sz="4" w:space="0"/>
              <w:bottom w:val="single" w:color="auto" w:sz="4" w:space="0"/>
              <w:right w:val="single" w:color="auto" w:sz="4" w:space="0"/>
            </w:tcBorders>
            <w:noWrap w:val="0"/>
            <w:vAlign w:val="center"/>
          </w:tcPr>
          <w:p w14:paraId="487F00F7">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348" w:type="dxa"/>
            <w:tcBorders>
              <w:top w:val="single" w:color="auto" w:sz="4" w:space="0"/>
              <w:left w:val="single" w:color="auto" w:sz="4" w:space="0"/>
              <w:bottom w:val="single" w:color="auto" w:sz="4" w:space="0"/>
              <w:right w:val="single" w:color="auto" w:sz="4" w:space="0"/>
            </w:tcBorders>
            <w:noWrap w:val="0"/>
            <w:vAlign w:val="center"/>
          </w:tcPr>
          <w:p w14:paraId="5408D730">
            <w:pPr>
              <w:keepNext w:val="0"/>
              <w:keepLines w:val="0"/>
              <w:suppressLineNumbers w:val="0"/>
              <w:tabs>
                <w:tab w:val="left" w:pos="1418"/>
              </w:tabs>
              <w:snapToGrid w:val="0"/>
              <w:spacing w:before="50" w:beforeAutospacing="0" w:after="50" w:afterAutospacing="0" w:line="192" w:lineRule="auto"/>
              <w:ind w:left="0" w:right="0"/>
              <w:jc w:val="left"/>
              <w:rPr>
                <w:rFonts w:hint="default" w:ascii="宋体"/>
                <w:spacing w:val="20"/>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4E1D91C1">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631" w:type="dxa"/>
            <w:tcBorders>
              <w:top w:val="single" w:color="auto" w:sz="4" w:space="0"/>
              <w:left w:val="single" w:color="auto" w:sz="4" w:space="0"/>
              <w:bottom w:val="single" w:color="auto" w:sz="4" w:space="0"/>
              <w:right w:val="single" w:color="auto" w:sz="4" w:space="0"/>
            </w:tcBorders>
            <w:noWrap w:val="0"/>
            <w:vAlign w:val="center"/>
          </w:tcPr>
          <w:p w14:paraId="4423D0F0">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c>
          <w:tcPr>
            <w:tcW w:w="1308" w:type="dxa"/>
            <w:tcBorders>
              <w:top w:val="single" w:color="auto" w:sz="4" w:space="0"/>
              <w:left w:val="single" w:color="auto" w:sz="4" w:space="0"/>
              <w:bottom w:val="single" w:color="auto" w:sz="4" w:space="0"/>
            </w:tcBorders>
            <w:noWrap w:val="0"/>
            <w:vAlign w:val="center"/>
          </w:tcPr>
          <w:p w14:paraId="57EA7443">
            <w:pPr>
              <w:keepNext w:val="0"/>
              <w:keepLines w:val="0"/>
              <w:suppressLineNumbers w:val="0"/>
              <w:spacing w:before="0" w:beforeAutospacing="0" w:after="0" w:afterAutospacing="0" w:line="280" w:lineRule="exact"/>
              <w:ind w:left="0" w:right="0"/>
              <w:jc w:val="left"/>
              <w:rPr>
                <w:rFonts w:hint="default" w:ascii="宋体"/>
                <w:b/>
                <w:bCs/>
                <w:szCs w:val="20"/>
                <w:highlight w:val="none"/>
              </w:rPr>
            </w:pPr>
          </w:p>
        </w:tc>
      </w:tr>
      <w:tr w14:paraId="652701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8" w:hRule="atLeast"/>
        </w:trPr>
        <w:tc>
          <w:tcPr>
            <w:tcW w:w="1316" w:type="dxa"/>
            <w:tcBorders>
              <w:top w:val="single" w:color="auto" w:sz="4" w:space="0"/>
              <w:bottom w:val="single" w:color="auto" w:sz="4" w:space="0"/>
              <w:right w:val="single" w:color="auto" w:sz="4" w:space="0"/>
            </w:tcBorders>
            <w:noWrap w:val="0"/>
            <w:vAlign w:val="center"/>
          </w:tcPr>
          <w:p w14:paraId="2752391D">
            <w:pPr>
              <w:keepNext w:val="0"/>
              <w:keepLines w:val="0"/>
              <w:suppressLineNumbers w:val="0"/>
              <w:spacing w:before="0" w:beforeAutospacing="0" w:after="0" w:afterAutospacing="0" w:line="280" w:lineRule="exact"/>
              <w:ind w:left="0" w:right="0"/>
              <w:jc w:val="left"/>
              <w:rPr>
                <w:rFonts w:hint="default" w:ascii="宋体"/>
                <w:bCs/>
                <w:szCs w:val="20"/>
                <w:highlight w:val="none"/>
              </w:rPr>
            </w:pPr>
            <w:r>
              <w:rPr>
                <w:rFonts w:hint="eastAsia" w:ascii="宋体" w:hAnsi="宋体"/>
                <w:bCs/>
                <w:szCs w:val="20"/>
                <w:highlight w:val="none"/>
              </w:rPr>
              <w:t>投标总价</w:t>
            </w:r>
          </w:p>
        </w:tc>
        <w:tc>
          <w:tcPr>
            <w:tcW w:w="8402" w:type="dxa"/>
            <w:gridSpan w:val="5"/>
            <w:tcBorders>
              <w:top w:val="single" w:color="auto" w:sz="4" w:space="0"/>
              <w:left w:val="single" w:color="auto" w:sz="4" w:space="0"/>
              <w:bottom w:val="single" w:color="auto" w:sz="4" w:space="0"/>
            </w:tcBorders>
            <w:noWrap w:val="0"/>
            <w:vAlign w:val="center"/>
          </w:tcPr>
          <w:p w14:paraId="0C228BB0">
            <w:pPr>
              <w:keepNext w:val="0"/>
              <w:keepLines w:val="0"/>
              <w:suppressLineNumbers w:val="0"/>
              <w:spacing w:before="0" w:beforeAutospacing="0" w:after="0" w:afterAutospacing="0" w:line="360" w:lineRule="auto"/>
              <w:ind w:left="0" w:right="0"/>
              <w:jc w:val="left"/>
              <w:rPr>
                <w:rFonts w:hint="default" w:ascii="宋体"/>
                <w:bCs/>
                <w:szCs w:val="20"/>
                <w:highlight w:val="none"/>
              </w:rPr>
            </w:pPr>
            <w:r>
              <w:rPr>
                <w:rFonts w:hint="eastAsia" w:ascii="宋体" w:hAnsi="宋体"/>
                <w:bCs/>
                <w:szCs w:val="20"/>
                <w:highlight w:val="none"/>
              </w:rPr>
              <w:t>（小写）人民币元</w:t>
            </w:r>
          </w:p>
          <w:p w14:paraId="3BE2B9B6">
            <w:pPr>
              <w:keepNext w:val="0"/>
              <w:keepLines w:val="0"/>
              <w:suppressLineNumbers w:val="0"/>
              <w:spacing w:before="0" w:beforeAutospacing="0" w:after="0" w:afterAutospacing="0" w:line="280" w:lineRule="exact"/>
              <w:ind w:left="0" w:right="0"/>
              <w:jc w:val="left"/>
              <w:rPr>
                <w:rFonts w:hint="default" w:ascii="宋体"/>
                <w:bCs/>
                <w:szCs w:val="20"/>
                <w:highlight w:val="none"/>
              </w:rPr>
            </w:pPr>
            <w:r>
              <w:rPr>
                <w:rFonts w:hint="eastAsia" w:ascii="宋体" w:hAnsi="宋体"/>
                <w:bCs/>
                <w:szCs w:val="20"/>
                <w:highlight w:val="none"/>
              </w:rPr>
              <w:t>（大写）人民币元</w:t>
            </w:r>
          </w:p>
        </w:tc>
      </w:tr>
    </w:tbl>
    <w:p w14:paraId="23502EEC">
      <w:pPr>
        <w:spacing w:line="360" w:lineRule="auto"/>
        <w:rPr>
          <w:rFonts w:ascii="宋体" w:hAnsi="宋体" w:cs="宋体"/>
          <w:spacing w:val="20"/>
          <w:szCs w:val="21"/>
          <w:highlight w:val="none"/>
        </w:rPr>
      </w:pPr>
      <w:r>
        <w:rPr>
          <w:rFonts w:hint="eastAsia" w:ascii="宋体" w:hAnsi="宋体" w:cs="宋体"/>
          <w:szCs w:val="21"/>
          <w:highlight w:val="none"/>
        </w:rPr>
        <w:t>注：合计价格须与开标一览表投标报价一致。</w:t>
      </w:r>
    </w:p>
    <w:p w14:paraId="71FBE98E">
      <w:pPr>
        <w:spacing w:line="360" w:lineRule="auto"/>
        <w:rPr>
          <w:rFonts w:ascii="宋体" w:hAnsi="宋体" w:cs="宋体"/>
          <w:szCs w:val="21"/>
          <w:highlight w:val="none"/>
        </w:rPr>
      </w:pPr>
    </w:p>
    <w:p w14:paraId="147A966F">
      <w:pPr>
        <w:spacing w:line="360" w:lineRule="auto"/>
        <w:rPr>
          <w:rFonts w:ascii="宋体" w:hAnsi="宋体" w:cs="宋体"/>
          <w:szCs w:val="21"/>
          <w:highlight w:val="none"/>
        </w:rPr>
      </w:pPr>
    </w:p>
    <w:p w14:paraId="4F9C07C3">
      <w:pPr>
        <w:spacing w:line="480" w:lineRule="auto"/>
        <w:rPr>
          <w:rFonts w:ascii="宋体" w:hAnsi="宋体" w:cs="宋体"/>
          <w:szCs w:val="21"/>
          <w:highlight w:val="none"/>
          <w:u w:val="single"/>
        </w:rPr>
      </w:pPr>
      <w:r>
        <w:rPr>
          <w:rFonts w:hint="eastAsia" w:ascii="宋体" w:hAnsi="宋体" w:cs="宋体"/>
          <w:szCs w:val="21"/>
          <w:highlight w:val="none"/>
          <w:lang w:eastAsia="zh-CN"/>
        </w:rPr>
        <w:t>响应人</w:t>
      </w:r>
      <w:r>
        <w:rPr>
          <w:rFonts w:hint="eastAsia" w:ascii="宋体" w:hAnsi="宋体" w:cs="宋体"/>
          <w:szCs w:val="21"/>
          <w:highlight w:val="none"/>
        </w:rPr>
        <w:t>名称：</w:t>
      </w:r>
      <w:r>
        <w:rPr>
          <w:rFonts w:hint="eastAsia" w:ascii="宋体" w:hAnsi="宋体" w:cs="宋体"/>
          <w:b/>
          <w:spacing w:val="20"/>
          <w:szCs w:val="21"/>
          <w:highlight w:val="none"/>
          <w:u w:val="single"/>
        </w:rPr>
        <w:t xml:space="preserve">                </w:t>
      </w:r>
      <w:r>
        <w:rPr>
          <w:rFonts w:hint="eastAsia" w:ascii="宋体" w:hAnsi="宋体" w:cs="宋体"/>
          <w:szCs w:val="21"/>
          <w:highlight w:val="none"/>
        </w:rPr>
        <w:t xml:space="preserve">（加盖公章） </w:t>
      </w:r>
    </w:p>
    <w:p w14:paraId="1F4EF6EA">
      <w:pPr>
        <w:spacing w:line="480" w:lineRule="auto"/>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pacing w:val="-4"/>
          <w:szCs w:val="21"/>
          <w:highlight w:val="none"/>
        </w:rPr>
        <w:t>代表</w:t>
      </w:r>
      <w:r>
        <w:rPr>
          <w:rFonts w:hint="eastAsia" w:ascii="宋体" w:hAnsi="宋体" w:cs="宋体"/>
          <w:szCs w:val="21"/>
          <w:highlight w:val="none"/>
        </w:rPr>
        <w:t>：</w:t>
      </w:r>
      <w:r>
        <w:rPr>
          <w:rFonts w:hint="eastAsia" w:ascii="宋体" w:hAnsi="宋体" w:cs="宋体"/>
          <w:b/>
          <w:spacing w:val="20"/>
          <w:szCs w:val="21"/>
          <w:highlight w:val="none"/>
          <w:u w:val="single"/>
        </w:rPr>
        <w:t xml:space="preserve">                </w:t>
      </w:r>
      <w:r>
        <w:rPr>
          <w:rFonts w:hint="eastAsia" w:ascii="宋体" w:hAnsi="宋体" w:cs="宋体"/>
          <w:szCs w:val="21"/>
          <w:highlight w:val="none"/>
        </w:rPr>
        <w:t>（</w:t>
      </w:r>
      <w:r>
        <w:rPr>
          <w:rFonts w:hint="eastAsia" w:ascii="宋体" w:hAnsi="宋体" w:cs="宋体"/>
          <w:color w:val="auto"/>
          <w:spacing w:val="-4"/>
          <w:szCs w:val="21"/>
          <w:highlight w:val="none"/>
        </w:rPr>
        <w:t>签字或盖章</w:t>
      </w:r>
      <w:r>
        <w:rPr>
          <w:rFonts w:hint="eastAsia" w:ascii="宋体" w:hAnsi="宋体" w:cs="宋体"/>
          <w:szCs w:val="21"/>
          <w:highlight w:val="none"/>
        </w:rPr>
        <w:t>）</w:t>
      </w:r>
    </w:p>
    <w:p w14:paraId="2880C631">
      <w:pPr>
        <w:spacing w:line="480" w:lineRule="auto"/>
        <w:rPr>
          <w:rFonts w:ascii="宋体" w:hAnsi="宋体" w:cs="宋体"/>
          <w:spacing w:val="20"/>
          <w:szCs w:val="21"/>
          <w:highlight w:val="none"/>
        </w:rPr>
      </w:pPr>
      <w:r>
        <w:rPr>
          <w:rFonts w:hint="eastAsia" w:ascii="宋体" w:hAnsi="宋体" w:cs="宋体"/>
          <w:spacing w:val="20"/>
          <w:szCs w:val="21"/>
          <w:highlight w:val="none"/>
        </w:rPr>
        <w:t>日期：</w:t>
      </w:r>
      <w:r>
        <w:rPr>
          <w:rFonts w:hint="eastAsia" w:ascii="宋体" w:hAnsi="宋体" w:cs="宋体"/>
          <w:spacing w:val="20"/>
          <w:szCs w:val="21"/>
          <w:highlight w:val="none"/>
          <w:u w:val="single"/>
        </w:rPr>
        <w:t xml:space="preserve">    </w:t>
      </w:r>
      <w:r>
        <w:rPr>
          <w:rFonts w:hint="eastAsia" w:ascii="宋体" w:hAnsi="宋体" w:cs="宋体"/>
          <w:spacing w:val="20"/>
          <w:szCs w:val="21"/>
          <w:highlight w:val="none"/>
        </w:rPr>
        <w:t>年</w:t>
      </w:r>
      <w:r>
        <w:rPr>
          <w:rFonts w:hint="eastAsia" w:ascii="宋体" w:hAnsi="宋体" w:cs="宋体"/>
          <w:spacing w:val="20"/>
          <w:szCs w:val="21"/>
          <w:highlight w:val="none"/>
          <w:u w:val="single"/>
        </w:rPr>
        <w:t xml:space="preserve">   </w:t>
      </w:r>
      <w:r>
        <w:rPr>
          <w:rFonts w:hint="eastAsia" w:ascii="宋体" w:hAnsi="宋体" w:cs="宋体"/>
          <w:spacing w:val="20"/>
          <w:szCs w:val="21"/>
          <w:highlight w:val="none"/>
        </w:rPr>
        <w:t>月</w:t>
      </w:r>
      <w:r>
        <w:rPr>
          <w:rFonts w:hint="eastAsia" w:ascii="宋体" w:hAnsi="宋体" w:cs="宋体"/>
          <w:spacing w:val="20"/>
          <w:szCs w:val="21"/>
          <w:highlight w:val="none"/>
          <w:u w:val="single"/>
        </w:rPr>
        <w:t xml:space="preserve">   </w:t>
      </w:r>
      <w:r>
        <w:rPr>
          <w:rFonts w:hint="eastAsia" w:ascii="宋体" w:hAnsi="宋体" w:cs="宋体"/>
          <w:spacing w:val="20"/>
          <w:szCs w:val="21"/>
          <w:highlight w:val="none"/>
        </w:rPr>
        <w:t>日</w:t>
      </w:r>
    </w:p>
    <w:p w14:paraId="4095B872">
      <w:pPr>
        <w:snapToGrid w:val="0"/>
        <w:spacing w:before="50" w:after="156" w:afterLines="50"/>
        <w:jc w:val="left"/>
        <w:outlineLvl w:val="2"/>
        <w:rPr>
          <w:rFonts w:ascii="宋体" w:hAnsi="宋体" w:cs="宋体"/>
          <w:b/>
          <w:color w:val="auto"/>
          <w:szCs w:val="21"/>
          <w:highlight w:val="none"/>
        </w:rPr>
      </w:pPr>
      <w:r>
        <w:rPr>
          <w:rFonts w:hint="eastAsia" w:ascii="宋体" w:hAnsi="宋体" w:cs="宋体"/>
          <w:b/>
          <w:szCs w:val="21"/>
          <w:highlight w:val="none"/>
        </w:rPr>
        <w:br w:type="page"/>
      </w:r>
      <w:r>
        <w:rPr>
          <w:rFonts w:hint="eastAsia" w:ascii="宋体" w:hAnsi="宋体" w:cs="宋体"/>
          <w:b/>
          <w:color w:val="auto"/>
          <w:szCs w:val="21"/>
          <w:highlight w:val="none"/>
        </w:rPr>
        <w:t>格式三、享受中小企业优惠政策相关证明文件</w:t>
      </w:r>
    </w:p>
    <w:p w14:paraId="123B063C">
      <w:pPr>
        <w:pStyle w:val="10"/>
        <w:autoSpaceDE w:val="0"/>
        <w:autoSpaceDN w:val="0"/>
        <w:adjustRightInd w:val="0"/>
        <w:spacing w:line="360" w:lineRule="auto"/>
        <w:jc w:val="left"/>
        <w:rPr>
          <w:rFonts w:ascii="宋体"/>
          <w:highlight w:val="none"/>
        </w:rPr>
      </w:pPr>
      <w:r>
        <w:rPr>
          <w:rFonts w:hint="eastAsia" w:ascii="宋体" w:hAnsi="宋体"/>
          <w:b/>
          <w:bCs/>
          <w:highlight w:val="none"/>
        </w:rPr>
        <w:t>1.中小企业声明函</w:t>
      </w:r>
    </w:p>
    <w:p w14:paraId="0AA83440">
      <w:pPr>
        <w:widowControl/>
        <w:spacing w:line="360" w:lineRule="auto"/>
        <w:jc w:val="both"/>
        <w:rPr>
          <w:rFonts w:hint="eastAsia" w:ascii="宋体" w:hAnsi="宋体" w:cs="宋体"/>
          <w:b/>
          <w:color w:val="auto"/>
          <w:kern w:val="0"/>
          <w:szCs w:val="21"/>
          <w:highlight w:val="none"/>
          <w:lang w:bidi="ar"/>
        </w:rPr>
      </w:pPr>
    </w:p>
    <w:p w14:paraId="77E14F11">
      <w:pPr>
        <w:widowControl/>
        <w:jc w:val="center"/>
        <w:rPr>
          <w:rFonts w:ascii="宋体" w:hAnsi="宋体" w:cs="宋体"/>
          <w:szCs w:val="21"/>
        </w:rPr>
      </w:pPr>
      <w:r>
        <w:rPr>
          <w:rFonts w:hint="eastAsia" w:ascii="宋体" w:hAnsi="宋体" w:cs="宋体"/>
          <w:b/>
          <w:color w:val="000000"/>
          <w:kern w:val="0"/>
          <w:szCs w:val="21"/>
          <w:lang w:bidi="ar"/>
        </w:rPr>
        <w:t>中小企业声明函（服务）</w:t>
      </w:r>
    </w:p>
    <w:p w14:paraId="1DF0C970">
      <w:pPr>
        <w:widowControl/>
        <w:spacing w:line="360" w:lineRule="auto"/>
        <w:ind w:firstLine="601"/>
        <w:rPr>
          <w:rFonts w:ascii="宋体" w:hAnsi="宋体" w:cs="宋体"/>
          <w:spacing w:val="6"/>
          <w:szCs w:val="21"/>
        </w:rPr>
      </w:pPr>
    </w:p>
    <w:p w14:paraId="0386E8D2">
      <w:pPr>
        <w:widowControl/>
        <w:spacing w:line="360" w:lineRule="auto"/>
        <w:ind w:firstLine="601"/>
        <w:rPr>
          <w:rFonts w:ascii="宋体" w:hAnsi="宋体" w:cs="宋体"/>
          <w:spacing w:val="6"/>
          <w:szCs w:val="21"/>
        </w:rPr>
      </w:pPr>
      <w:r>
        <w:rPr>
          <w:rFonts w:hint="eastAsia" w:ascii="宋体" w:hAnsi="宋体" w:cs="宋体"/>
          <w:spacing w:val="6"/>
          <w:szCs w:val="21"/>
        </w:rPr>
        <w:t>本公司郑重声明，根据《政府采购促进中小企业发展管理办法》（财库﹝2020﹞46号）的规定，本公司（联合体）参加</w:t>
      </w:r>
      <w:r>
        <w:rPr>
          <w:rFonts w:hint="eastAsia" w:ascii="宋体" w:hAnsi="宋体" w:cs="宋体"/>
          <w:spacing w:val="6"/>
          <w:szCs w:val="21"/>
          <w:u w:val="single"/>
        </w:rPr>
        <w:t>（单位名称）</w:t>
      </w:r>
      <w:r>
        <w:rPr>
          <w:rFonts w:hint="eastAsia" w:ascii="宋体" w:hAnsi="宋体" w:cs="宋体"/>
          <w:spacing w:val="6"/>
          <w:szCs w:val="21"/>
        </w:rPr>
        <w:t>的</w:t>
      </w:r>
      <w:r>
        <w:rPr>
          <w:rFonts w:hint="eastAsia" w:ascii="宋体" w:hAnsi="宋体" w:cs="宋体"/>
          <w:spacing w:val="6"/>
          <w:szCs w:val="21"/>
          <w:u w:val="single"/>
        </w:rPr>
        <w:t>（项目名称）</w:t>
      </w:r>
      <w:r>
        <w:rPr>
          <w:rFonts w:hint="eastAsia" w:ascii="宋体" w:hAnsi="宋体" w:cs="宋体"/>
          <w:spacing w:val="6"/>
          <w:szCs w:val="21"/>
        </w:rPr>
        <w:t>采购活动，服务全部由符合政策要求的中小企业承接。相关企业（含联合体中的中小企业、签订分包意向协议的中小企业）的具体情况如下：</w:t>
      </w:r>
    </w:p>
    <w:p w14:paraId="49EF2BDE">
      <w:pPr>
        <w:spacing w:line="360" w:lineRule="auto"/>
        <w:ind w:firstLine="444" w:firstLineChars="200"/>
        <w:rPr>
          <w:rFonts w:ascii="宋体" w:hAnsi="宋体" w:cs="宋体"/>
          <w:spacing w:val="6"/>
          <w:szCs w:val="21"/>
        </w:rPr>
      </w:pPr>
      <w:r>
        <w:rPr>
          <w:rFonts w:hint="eastAsia" w:ascii="宋体" w:hAnsi="宋体" w:cs="宋体"/>
          <w:spacing w:val="6"/>
          <w:szCs w:val="21"/>
        </w:rPr>
        <w:t>1.</w:t>
      </w:r>
      <w:r>
        <w:rPr>
          <w:rFonts w:hint="eastAsia" w:ascii="宋体" w:hAnsi="宋体" w:cs="宋体"/>
          <w:spacing w:val="6"/>
          <w:szCs w:val="21"/>
          <w:u w:val="single"/>
        </w:rPr>
        <w:t>（标的名称）</w:t>
      </w:r>
      <w:r>
        <w:rPr>
          <w:rFonts w:hint="eastAsia" w:ascii="宋体" w:hAnsi="宋体" w:cs="宋体"/>
          <w:spacing w:val="6"/>
          <w:szCs w:val="21"/>
        </w:rPr>
        <w:t>，属于</w:t>
      </w:r>
      <w:r>
        <w:rPr>
          <w:rFonts w:hint="eastAsia" w:ascii="宋体" w:hAnsi="宋体" w:cs="宋体"/>
          <w:spacing w:val="6"/>
          <w:szCs w:val="21"/>
          <w:u w:val="single"/>
        </w:rPr>
        <w:t>（磋商文件中明确的所属行业）行业</w:t>
      </w:r>
      <w:r>
        <w:rPr>
          <w:rFonts w:hint="eastAsia" w:ascii="宋体" w:hAnsi="宋体" w:cs="宋体"/>
          <w:spacing w:val="6"/>
          <w:szCs w:val="21"/>
        </w:rPr>
        <w:t>；承建（承接）企业为</w:t>
      </w:r>
      <w:r>
        <w:rPr>
          <w:rFonts w:hint="eastAsia" w:ascii="宋体" w:hAnsi="宋体" w:cs="宋体"/>
          <w:spacing w:val="6"/>
          <w:szCs w:val="21"/>
          <w:u w:val="single"/>
        </w:rPr>
        <w:t>（企业名称）</w:t>
      </w:r>
      <w:r>
        <w:rPr>
          <w:rFonts w:hint="eastAsia" w:ascii="宋体" w:hAnsi="宋体" w:cs="宋体"/>
          <w:spacing w:val="6"/>
          <w:szCs w:val="21"/>
        </w:rPr>
        <w:t>，从业人员</w:t>
      </w:r>
      <w:r>
        <w:rPr>
          <w:rFonts w:hint="eastAsia" w:ascii="宋体" w:hAnsi="宋体" w:cs="宋体"/>
          <w:spacing w:val="6"/>
          <w:szCs w:val="21"/>
          <w:u w:val="single"/>
        </w:rPr>
        <w:t xml:space="preserve">     </w:t>
      </w:r>
      <w:r>
        <w:rPr>
          <w:rFonts w:hint="eastAsia" w:ascii="宋体" w:hAnsi="宋体" w:cs="宋体"/>
          <w:spacing w:val="6"/>
          <w:szCs w:val="21"/>
        </w:rPr>
        <w:t>人，营业收入为</w:t>
      </w:r>
      <w:r>
        <w:rPr>
          <w:rFonts w:hint="eastAsia" w:ascii="宋体" w:hAnsi="宋体" w:cs="宋体"/>
          <w:spacing w:val="6"/>
          <w:szCs w:val="21"/>
          <w:u w:val="single"/>
        </w:rPr>
        <w:t xml:space="preserve">    </w:t>
      </w:r>
      <w:r>
        <w:rPr>
          <w:rFonts w:hint="eastAsia" w:ascii="宋体" w:hAnsi="宋体" w:cs="宋体"/>
          <w:spacing w:val="6"/>
          <w:szCs w:val="21"/>
        </w:rPr>
        <w:t>万元，资产总额为</w:t>
      </w:r>
      <w:r>
        <w:rPr>
          <w:rFonts w:hint="eastAsia" w:ascii="宋体" w:hAnsi="宋体" w:cs="宋体"/>
          <w:spacing w:val="6"/>
          <w:szCs w:val="21"/>
          <w:u w:val="single"/>
        </w:rPr>
        <w:t xml:space="preserve">    </w:t>
      </w:r>
      <w:r>
        <w:rPr>
          <w:rFonts w:hint="eastAsia" w:ascii="宋体" w:hAnsi="宋体" w:cs="宋体"/>
          <w:spacing w:val="6"/>
          <w:szCs w:val="21"/>
        </w:rPr>
        <w:t>万元，属于</w:t>
      </w:r>
      <w:r>
        <w:rPr>
          <w:rFonts w:hint="eastAsia" w:ascii="宋体" w:hAnsi="宋体" w:cs="宋体"/>
          <w:spacing w:val="6"/>
          <w:szCs w:val="21"/>
          <w:u w:val="single"/>
        </w:rPr>
        <w:t>（中型企业、小型企业、微型企业）</w:t>
      </w:r>
      <w:r>
        <w:rPr>
          <w:rFonts w:hint="eastAsia" w:ascii="宋体" w:hAnsi="宋体" w:cs="宋体"/>
          <w:spacing w:val="6"/>
          <w:szCs w:val="21"/>
        </w:rPr>
        <w:t>；</w:t>
      </w:r>
    </w:p>
    <w:p w14:paraId="0F1C8198">
      <w:pPr>
        <w:spacing w:line="360" w:lineRule="auto"/>
        <w:ind w:firstLine="444" w:firstLineChars="200"/>
        <w:rPr>
          <w:rFonts w:ascii="宋体" w:hAnsi="宋体" w:cs="宋体"/>
          <w:spacing w:val="6"/>
          <w:szCs w:val="21"/>
        </w:rPr>
      </w:pPr>
      <w:r>
        <w:rPr>
          <w:rFonts w:hint="eastAsia" w:ascii="宋体" w:hAnsi="宋体" w:cs="宋体"/>
          <w:spacing w:val="6"/>
          <w:szCs w:val="21"/>
        </w:rPr>
        <w:t>2.</w:t>
      </w:r>
      <w:r>
        <w:rPr>
          <w:rFonts w:hint="eastAsia" w:ascii="宋体" w:hAnsi="宋体" w:cs="宋体"/>
          <w:spacing w:val="6"/>
          <w:szCs w:val="21"/>
          <w:u w:val="single"/>
        </w:rPr>
        <w:t>（标的名称）</w:t>
      </w:r>
      <w:r>
        <w:rPr>
          <w:rFonts w:hint="eastAsia" w:ascii="宋体" w:hAnsi="宋体" w:cs="宋体"/>
          <w:spacing w:val="6"/>
          <w:szCs w:val="21"/>
        </w:rPr>
        <w:t>，属于</w:t>
      </w:r>
      <w:r>
        <w:rPr>
          <w:rFonts w:hint="eastAsia" w:ascii="宋体" w:hAnsi="宋体" w:cs="宋体"/>
          <w:spacing w:val="6"/>
          <w:szCs w:val="21"/>
          <w:u w:val="single"/>
        </w:rPr>
        <w:t>（磋商文件中明确的所属行业）行业</w:t>
      </w:r>
      <w:r>
        <w:rPr>
          <w:rFonts w:hint="eastAsia" w:ascii="宋体" w:hAnsi="宋体" w:cs="宋体"/>
          <w:spacing w:val="6"/>
          <w:szCs w:val="21"/>
        </w:rPr>
        <w:t>；承建（承接）企业为</w:t>
      </w:r>
      <w:r>
        <w:rPr>
          <w:rFonts w:hint="eastAsia" w:ascii="宋体" w:hAnsi="宋体" w:cs="宋体"/>
          <w:spacing w:val="6"/>
          <w:szCs w:val="21"/>
          <w:u w:val="single"/>
        </w:rPr>
        <w:t>（企业名称）</w:t>
      </w:r>
      <w:r>
        <w:rPr>
          <w:rFonts w:hint="eastAsia" w:ascii="宋体" w:hAnsi="宋体" w:cs="宋体"/>
          <w:spacing w:val="6"/>
          <w:szCs w:val="21"/>
        </w:rPr>
        <w:t>，从业人员</w:t>
      </w:r>
      <w:r>
        <w:rPr>
          <w:rFonts w:hint="eastAsia" w:ascii="宋体" w:hAnsi="宋体" w:cs="宋体"/>
          <w:spacing w:val="6"/>
          <w:szCs w:val="21"/>
          <w:u w:val="single"/>
        </w:rPr>
        <w:t xml:space="preserve">     </w:t>
      </w:r>
      <w:r>
        <w:rPr>
          <w:rFonts w:hint="eastAsia" w:ascii="宋体" w:hAnsi="宋体" w:cs="宋体"/>
          <w:spacing w:val="6"/>
          <w:szCs w:val="21"/>
        </w:rPr>
        <w:t>人，营业收入为</w:t>
      </w:r>
      <w:r>
        <w:rPr>
          <w:rFonts w:hint="eastAsia" w:ascii="宋体" w:hAnsi="宋体" w:cs="宋体"/>
          <w:spacing w:val="6"/>
          <w:szCs w:val="21"/>
          <w:u w:val="single"/>
        </w:rPr>
        <w:t xml:space="preserve">    </w:t>
      </w:r>
      <w:r>
        <w:rPr>
          <w:rFonts w:hint="eastAsia" w:ascii="宋体" w:hAnsi="宋体" w:cs="宋体"/>
          <w:spacing w:val="6"/>
          <w:szCs w:val="21"/>
        </w:rPr>
        <w:t>万元，资产总额为</w:t>
      </w:r>
      <w:r>
        <w:rPr>
          <w:rFonts w:hint="eastAsia" w:ascii="宋体" w:hAnsi="宋体" w:cs="宋体"/>
          <w:spacing w:val="6"/>
          <w:szCs w:val="21"/>
          <w:u w:val="single"/>
        </w:rPr>
        <w:t xml:space="preserve">    </w:t>
      </w:r>
      <w:r>
        <w:rPr>
          <w:rFonts w:hint="eastAsia" w:ascii="宋体" w:hAnsi="宋体" w:cs="宋体"/>
          <w:spacing w:val="6"/>
          <w:szCs w:val="21"/>
        </w:rPr>
        <w:t>万元，属于</w:t>
      </w:r>
      <w:r>
        <w:rPr>
          <w:rFonts w:hint="eastAsia" w:ascii="宋体" w:hAnsi="宋体" w:cs="宋体"/>
          <w:spacing w:val="6"/>
          <w:szCs w:val="21"/>
          <w:u w:val="single"/>
        </w:rPr>
        <w:t>（中型企业、小型 企业、微型企业）</w:t>
      </w:r>
      <w:r>
        <w:rPr>
          <w:rFonts w:hint="eastAsia" w:ascii="宋体" w:hAnsi="宋体" w:cs="宋体"/>
          <w:spacing w:val="6"/>
          <w:szCs w:val="21"/>
        </w:rPr>
        <w:t xml:space="preserve">； </w:t>
      </w:r>
    </w:p>
    <w:p w14:paraId="2732EC7C">
      <w:pPr>
        <w:spacing w:line="360" w:lineRule="auto"/>
        <w:ind w:firstLine="444" w:firstLineChars="200"/>
        <w:rPr>
          <w:rFonts w:ascii="宋体" w:hAnsi="宋体" w:cs="宋体"/>
          <w:spacing w:val="6"/>
          <w:szCs w:val="21"/>
        </w:rPr>
      </w:pPr>
      <w:r>
        <w:rPr>
          <w:rFonts w:hint="eastAsia" w:ascii="宋体" w:hAnsi="宋体" w:cs="宋体"/>
          <w:spacing w:val="6"/>
          <w:szCs w:val="21"/>
        </w:rPr>
        <w:t>……</w:t>
      </w:r>
    </w:p>
    <w:p w14:paraId="2076A97B">
      <w:pPr>
        <w:spacing w:line="360" w:lineRule="auto"/>
        <w:ind w:firstLine="444" w:firstLineChars="200"/>
        <w:rPr>
          <w:rFonts w:ascii="宋体" w:hAnsi="宋体" w:cs="宋体"/>
          <w:spacing w:val="6"/>
          <w:szCs w:val="21"/>
        </w:rPr>
      </w:pPr>
      <w:r>
        <w:rPr>
          <w:rFonts w:hint="eastAsia" w:ascii="宋体" w:hAnsi="宋体" w:cs="宋体"/>
          <w:spacing w:val="6"/>
          <w:szCs w:val="21"/>
        </w:rPr>
        <w:t>以上企业，不属于大企业的分支机构，不存在控股股东为大企业的情形，也不存在与大企业的负责人为同一人的情形。</w:t>
      </w:r>
    </w:p>
    <w:p w14:paraId="21440FFE">
      <w:pPr>
        <w:spacing w:line="360" w:lineRule="auto"/>
        <w:ind w:firstLine="444" w:firstLineChars="200"/>
        <w:rPr>
          <w:rFonts w:ascii="宋体" w:hAnsi="宋体" w:cs="宋体"/>
          <w:spacing w:val="6"/>
          <w:szCs w:val="21"/>
        </w:rPr>
      </w:pPr>
      <w:r>
        <w:rPr>
          <w:rFonts w:hint="eastAsia" w:ascii="宋体" w:hAnsi="宋体" w:cs="宋体"/>
          <w:spacing w:val="6"/>
          <w:szCs w:val="21"/>
        </w:rPr>
        <w:t xml:space="preserve">本企业对上述声明内容的真实性负责。如有虚假，将依法承担相应责任。 </w:t>
      </w:r>
    </w:p>
    <w:p w14:paraId="4E93DFF9">
      <w:pPr>
        <w:spacing w:line="360" w:lineRule="auto"/>
        <w:ind w:firstLine="444" w:firstLineChars="200"/>
        <w:jc w:val="center"/>
        <w:rPr>
          <w:rFonts w:ascii="宋体" w:hAnsi="宋体" w:cs="宋体"/>
          <w:spacing w:val="6"/>
          <w:szCs w:val="21"/>
        </w:rPr>
      </w:pPr>
      <w:r>
        <w:rPr>
          <w:rFonts w:hint="eastAsia" w:ascii="宋体" w:hAnsi="宋体" w:cs="宋体"/>
          <w:spacing w:val="6"/>
          <w:szCs w:val="21"/>
        </w:rPr>
        <w:t xml:space="preserve">   </w:t>
      </w:r>
    </w:p>
    <w:p w14:paraId="01A6AE80">
      <w:pPr>
        <w:spacing w:line="360" w:lineRule="auto"/>
        <w:ind w:firstLine="444" w:firstLineChars="200"/>
        <w:jc w:val="center"/>
        <w:rPr>
          <w:rFonts w:ascii="宋体" w:hAnsi="宋体" w:cs="宋体"/>
          <w:spacing w:val="6"/>
          <w:szCs w:val="21"/>
        </w:rPr>
      </w:pPr>
      <w:r>
        <w:rPr>
          <w:rFonts w:hint="eastAsia" w:ascii="宋体" w:hAnsi="宋体" w:cs="宋体"/>
          <w:spacing w:val="6"/>
          <w:szCs w:val="21"/>
        </w:rPr>
        <w:t>企业名称（盖章）：</w:t>
      </w:r>
    </w:p>
    <w:p w14:paraId="1DB2E599">
      <w:pPr>
        <w:spacing w:line="360" w:lineRule="auto"/>
        <w:ind w:firstLine="4218" w:firstLineChars="1900"/>
        <w:rPr>
          <w:rFonts w:ascii="宋体" w:hAnsi="宋体" w:cs="宋体"/>
          <w:b/>
          <w:spacing w:val="20"/>
          <w:szCs w:val="21"/>
        </w:rPr>
      </w:pPr>
      <w:r>
        <w:rPr>
          <w:rFonts w:hint="eastAsia" w:ascii="宋体" w:hAnsi="宋体" w:cs="宋体"/>
          <w:spacing w:val="6"/>
          <w:szCs w:val="21"/>
        </w:rPr>
        <w:t>日 期：</w:t>
      </w:r>
    </w:p>
    <w:p w14:paraId="7D3CEE55">
      <w:pPr>
        <w:spacing w:line="360" w:lineRule="auto"/>
        <w:rPr>
          <w:rFonts w:ascii="宋体" w:hAnsi="宋体" w:cs="宋体"/>
          <w:b/>
          <w:spacing w:val="20"/>
          <w:szCs w:val="21"/>
        </w:rPr>
      </w:pPr>
      <w:r>
        <w:rPr>
          <w:rFonts w:hint="eastAsia" w:ascii="宋体" w:hAnsi="宋体" w:cs="宋体"/>
          <w:b/>
          <w:spacing w:val="20"/>
          <w:szCs w:val="21"/>
        </w:rPr>
        <w:t>注：1.从业人员、营业收入、资产总额填报上一年度数据，无上一年度数据的新成立企业可不填报。</w:t>
      </w:r>
    </w:p>
    <w:p w14:paraId="4A7CC53D">
      <w:pPr>
        <w:snapToGrid w:val="0"/>
        <w:spacing w:line="360" w:lineRule="auto"/>
        <w:ind w:firstLine="422" w:firstLineChars="200"/>
        <w:rPr>
          <w:rFonts w:ascii="宋体" w:hAnsi="宋体" w:cs="宋体"/>
          <w:b/>
          <w:szCs w:val="21"/>
        </w:rPr>
      </w:pPr>
      <w:r>
        <w:rPr>
          <w:rFonts w:hint="eastAsia" w:ascii="宋体" w:hAnsi="宋体" w:cs="宋体"/>
          <w:b/>
          <w:szCs w:val="21"/>
        </w:rPr>
        <w:t>2.中标、成交供应商享受《政府采购促进中小企业发展管理办法》（财库[2020]46号）规定的中小企业扶持政策的，《中小企业声明函》随中标、成交结果公开。</w:t>
      </w:r>
    </w:p>
    <w:p w14:paraId="299C444A">
      <w:pPr>
        <w:snapToGrid w:val="0"/>
        <w:spacing w:line="360" w:lineRule="auto"/>
        <w:ind w:firstLine="422" w:firstLineChars="200"/>
        <w:rPr>
          <w:rFonts w:ascii="宋体" w:hAnsi="宋体" w:cs="宋体"/>
          <w:b/>
          <w:szCs w:val="21"/>
        </w:rPr>
      </w:pPr>
      <w:r>
        <w:rPr>
          <w:rFonts w:hint="eastAsia" w:ascii="宋体" w:hAnsi="宋体" w:cs="宋体"/>
          <w:b/>
          <w:szCs w:val="21"/>
        </w:rPr>
        <w:t>3.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2769A27E">
      <w:pPr>
        <w:rPr>
          <w:rFonts w:hint="eastAsia" w:ascii="宋体" w:hAnsi="宋体"/>
          <w:b/>
          <w:bCs/>
          <w:highlight w:val="none"/>
        </w:rPr>
      </w:pPr>
      <w:r>
        <w:rPr>
          <w:rFonts w:hint="eastAsia" w:ascii="宋体" w:hAnsi="宋体" w:cs="宋体"/>
          <w:b/>
          <w:bCs/>
          <w:szCs w:val="21"/>
        </w:rPr>
        <w:t>4</w:t>
      </w:r>
      <w:r>
        <w:rPr>
          <w:rFonts w:hint="eastAsia" w:ascii="宋体" w:hAnsi="宋体" w:cs="宋体"/>
          <w:b/>
          <w:spacing w:val="20"/>
          <w:szCs w:val="21"/>
        </w:rPr>
        <w:t>.</w:t>
      </w:r>
      <w:r>
        <w:rPr>
          <w:rFonts w:hint="eastAsia" w:ascii="宋体" w:hAnsi="宋体" w:cs="宋体"/>
          <w:b/>
          <w:bCs/>
          <w:szCs w:val="21"/>
        </w:rPr>
        <w:t>本项目采购标的对应的中小企业划分标准所属行业：软件和信息技术服务业。</w:t>
      </w:r>
      <w:r>
        <w:rPr>
          <w:rFonts w:hint="eastAsia" w:ascii="宋体" w:hAnsi="宋体"/>
          <w:b/>
          <w:bCs/>
          <w:highlight w:val="none"/>
        </w:rPr>
        <w:br w:type="page"/>
      </w:r>
    </w:p>
    <w:p w14:paraId="79E23DBE">
      <w:pPr>
        <w:autoSpaceDE w:val="0"/>
        <w:autoSpaceDN w:val="0"/>
        <w:adjustRightInd w:val="0"/>
        <w:spacing w:line="360" w:lineRule="auto"/>
        <w:ind w:right="-341"/>
        <w:jc w:val="left"/>
        <w:rPr>
          <w:rFonts w:ascii="宋体"/>
          <w:kern w:val="0"/>
          <w:highlight w:val="none"/>
        </w:rPr>
      </w:pPr>
      <w:r>
        <w:rPr>
          <w:rFonts w:hint="eastAsia" w:ascii="宋体" w:hAnsi="宋体"/>
          <w:b/>
          <w:bCs/>
          <w:highlight w:val="none"/>
        </w:rPr>
        <w:t>2.监狱企业声明函</w:t>
      </w:r>
    </w:p>
    <w:p w14:paraId="2825DCA5">
      <w:pPr>
        <w:ind w:firstLine="3373" w:firstLineChars="1400"/>
        <w:rPr>
          <w:rFonts w:ascii="宋体"/>
          <w:b/>
          <w:sz w:val="24"/>
          <w:highlight w:val="none"/>
        </w:rPr>
      </w:pPr>
    </w:p>
    <w:p w14:paraId="1CDED198">
      <w:pPr>
        <w:jc w:val="left"/>
        <w:rPr>
          <w:rFonts w:ascii="宋体"/>
          <w:kern w:val="0"/>
          <w:highlight w:val="none"/>
        </w:rPr>
      </w:pPr>
    </w:p>
    <w:p w14:paraId="2DD29358">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b/>
          <w:sz w:val="24"/>
          <w:highlight w:val="none"/>
        </w:rPr>
      </w:pPr>
      <w:r>
        <w:rPr>
          <w:rFonts w:hint="eastAsia" w:ascii="宋体" w:hAnsi="宋体"/>
          <w:b/>
          <w:sz w:val="24"/>
          <w:highlight w:val="none"/>
        </w:rPr>
        <w:t>监狱企业声明函</w:t>
      </w:r>
    </w:p>
    <w:p w14:paraId="1D7AA752">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ighlight w:val="none"/>
        </w:rPr>
      </w:pPr>
      <w:r>
        <w:rPr>
          <w:rFonts w:hint="eastAsia" w:ascii="宋体" w:hAnsi="宋体"/>
          <w:highlight w:val="none"/>
        </w:rPr>
        <w:t>【非监狱企业不用提供】</w:t>
      </w:r>
    </w:p>
    <w:p w14:paraId="419822BB">
      <w:pPr>
        <w:ind w:firstLine="480"/>
        <w:rPr>
          <w:rFonts w:ascii="宋体"/>
          <w:highlight w:val="none"/>
        </w:rPr>
      </w:pPr>
    </w:p>
    <w:p w14:paraId="4912064B">
      <w:pPr>
        <w:spacing w:line="360" w:lineRule="auto"/>
        <w:ind w:firstLine="525" w:firstLineChars="250"/>
        <w:rPr>
          <w:rFonts w:ascii="宋体"/>
          <w:highlight w:val="none"/>
        </w:rPr>
      </w:pPr>
    </w:p>
    <w:p w14:paraId="05958AC4">
      <w:pPr>
        <w:spacing w:line="360" w:lineRule="auto"/>
        <w:ind w:firstLine="525" w:firstLineChars="250"/>
        <w:rPr>
          <w:rFonts w:ascii="宋体"/>
          <w:highlight w:val="none"/>
        </w:rPr>
      </w:pPr>
      <w:r>
        <w:rPr>
          <w:rFonts w:hint="eastAsia" w:ascii="宋体" w:hAnsi="宋体"/>
          <w:highlight w:val="none"/>
        </w:rPr>
        <w:t>监狱企业参加政府采购活动时，应当提供由省级以上监狱管理本企业郑重声明，根据《关于政府采购支持监狱企业发展有关问题的通知》（财库</w:t>
      </w:r>
      <w:r>
        <w:rPr>
          <w:rFonts w:ascii="宋体" w:hAnsi="宋体"/>
          <w:highlight w:val="none"/>
        </w:rPr>
        <w:t>[2014]68</w:t>
      </w:r>
      <w:r>
        <w:rPr>
          <w:rFonts w:hint="eastAsia" w:ascii="宋体" w:hAnsi="宋体"/>
          <w:highlight w:val="none"/>
        </w:rPr>
        <w:t>号）的规定，本企业为监狱企业。</w:t>
      </w:r>
    </w:p>
    <w:p w14:paraId="039782A5">
      <w:pPr>
        <w:spacing w:line="360" w:lineRule="auto"/>
        <w:ind w:firstLine="480"/>
        <w:rPr>
          <w:rFonts w:ascii="宋体"/>
          <w:highlight w:val="none"/>
        </w:rPr>
      </w:pPr>
      <w:r>
        <w:rPr>
          <w:rFonts w:hint="eastAsia" w:ascii="宋体" w:hAnsi="宋体"/>
          <w:highlight w:val="none"/>
        </w:rPr>
        <w:t>根据上述标准，我</w:t>
      </w:r>
      <w:r>
        <w:rPr>
          <w:rFonts w:hint="eastAsia" w:ascii="宋体" w:hAnsi="宋体"/>
          <w:highlight w:val="none"/>
          <w:lang w:val="en-US" w:eastAsia="zh-CN"/>
        </w:rPr>
        <w:t>方</w:t>
      </w:r>
      <w:r>
        <w:rPr>
          <w:rFonts w:hint="eastAsia" w:ascii="宋体" w:hAnsi="宋体"/>
          <w:highlight w:val="none"/>
        </w:rPr>
        <w:t>企业属于监狱企业的理由为：</w:t>
      </w:r>
    </w:p>
    <w:p w14:paraId="3C13BE50">
      <w:pPr>
        <w:spacing w:line="360" w:lineRule="auto"/>
        <w:ind w:firstLine="480"/>
        <w:rPr>
          <w:rFonts w:ascii="宋体"/>
          <w:highlight w:val="none"/>
        </w:rPr>
      </w:pPr>
      <w:r>
        <w:rPr>
          <w:rFonts w:hint="eastAsia" w:ascii="宋体" w:hAnsi="宋体"/>
          <w:highlight w:val="none"/>
        </w:rPr>
        <w:t>本企业为参加（项目名称：   ）（项目编号：）采购活动提供本企业的产品。</w:t>
      </w:r>
    </w:p>
    <w:p w14:paraId="3E958980">
      <w:pPr>
        <w:spacing w:line="360" w:lineRule="auto"/>
        <w:ind w:firstLine="480"/>
        <w:rPr>
          <w:rFonts w:ascii="宋体"/>
          <w:highlight w:val="none"/>
        </w:rPr>
      </w:pPr>
      <w:r>
        <w:rPr>
          <w:rFonts w:hint="eastAsia" w:ascii="宋体" w:hAnsi="宋体"/>
          <w:highlight w:val="none"/>
        </w:rPr>
        <w:t>本企业对上述声明的真实性负责。如有虚假，将依法承担相应责任。</w:t>
      </w:r>
    </w:p>
    <w:p w14:paraId="037A0C49">
      <w:pPr>
        <w:spacing w:line="360" w:lineRule="auto"/>
        <w:ind w:firstLine="480"/>
        <w:rPr>
          <w:rFonts w:ascii="宋体"/>
          <w:highlight w:val="none"/>
        </w:rPr>
      </w:pPr>
    </w:p>
    <w:p w14:paraId="5990D6B3">
      <w:pPr>
        <w:spacing w:line="360" w:lineRule="auto"/>
        <w:ind w:firstLine="480"/>
        <w:jc w:val="right"/>
        <w:rPr>
          <w:rFonts w:ascii="宋体"/>
          <w:highlight w:val="none"/>
        </w:rPr>
      </w:pPr>
      <w:r>
        <w:rPr>
          <w:rFonts w:hint="eastAsia" w:ascii="宋体" w:hAnsi="宋体"/>
          <w:highlight w:val="none"/>
          <w:lang w:eastAsia="zh-CN"/>
        </w:rPr>
        <w:t>响应人</w:t>
      </w:r>
      <w:r>
        <w:rPr>
          <w:rFonts w:hint="eastAsia" w:ascii="宋体" w:hAnsi="宋体"/>
          <w:highlight w:val="none"/>
        </w:rPr>
        <w:t>名称（盖章）：</w:t>
      </w:r>
    </w:p>
    <w:p w14:paraId="58606A75">
      <w:pPr>
        <w:spacing w:line="360" w:lineRule="auto"/>
        <w:ind w:firstLine="480"/>
        <w:jc w:val="right"/>
        <w:rPr>
          <w:rFonts w:ascii="宋体"/>
          <w:highlight w:val="none"/>
        </w:rPr>
      </w:pPr>
      <w:r>
        <w:rPr>
          <w:rFonts w:hint="eastAsia" w:ascii="宋体" w:hAnsi="宋体"/>
          <w:highlight w:val="none"/>
        </w:rPr>
        <w:t>日期：年月日</w:t>
      </w:r>
    </w:p>
    <w:p w14:paraId="1710F724">
      <w:pPr>
        <w:spacing w:line="360" w:lineRule="auto"/>
        <w:ind w:firstLine="480"/>
        <w:rPr>
          <w:rFonts w:ascii="宋体"/>
          <w:highlight w:val="none"/>
        </w:rPr>
      </w:pPr>
    </w:p>
    <w:p w14:paraId="20054EA6">
      <w:pPr>
        <w:spacing w:line="360" w:lineRule="auto"/>
        <w:ind w:firstLine="480"/>
        <w:rPr>
          <w:rFonts w:ascii="宋体"/>
          <w:highlight w:val="none"/>
        </w:rPr>
      </w:pPr>
    </w:p>
    <w:p w14:paraId="5DB822A7">
      <w:pPr>
        <w:spacing w:line="360" w:lineRule="auto"/>
        <w:ind w:firstLine="480"/>
        <w:rPr>
          <w:rFonts w:ascii="宋体"/>
          <w:highlight w:val="none"/>
        </w:rPr>
      </w:pPr>
      <w:r>
        <w:rPr>
          <w:rFonts w:hint="eastAsia" w:ascii="宋体" w:hAnsi="宋体"/>
          <w:highlight w:val="none"/>
          <w:lang w:eastAsia="zh-CN"/>
        </w:rPr>
        <w:t>响应人</w:t>
      </w:r>
      <w:r>
        <w:rPr>
          <w:rFonts w:hint="eastAsia" w:ascii="宋体" w:hAnsi="宋体"/>
          <w:highlight w:val="none"/>
        </w:rPr>
        <w:t>为监狱企业的提供此函。</w:t>
      </w:r>
    </w:p>
    <w:p w14:paraId="51799401">
      <w:pPr>
        <w:spacing w:line="360" w:lineRule="auto"/>
        <w:ind w:firstLine="480"/>
        <w:rPr>
          <w:rFonts w:ascii="宋体"/>
          <w:highlight w:val="none"/>
        </w:rPr>
      </w:pPr>
      <w:r>
        <w:rPr>
          <w:rFonts w:hint="eastAsia" w:ascii="宋体" w:hAnsi="宋体"/>
          <w:highlight w:val="none"/>
        </w:rPr>
        <w:t>省级以上监狱管理局、戒毒管理局（含新疆生产建设兵团）出具的属于监狱企业的证明文件。</w:t>
      </w:r>
    </w:p>
    <w:p w14:paraId="1B83D38F">
      <w:pPr>
        <w:spacing w:line="360" w:lineRule="auto"/>
        <w:ind w:firstLine="480"/>
        <w:rPr>
          <w:rFonts w:ascii="宋体"/>
          <w:highlight w:val="none"/>
        </w:rPr>
      </w:pPr>
      <w:r>
        <w:rPr>
          <w:rFonts w:hint="eastAsia" w:ascii="宋体" w:hAnsi="宋体"/>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6CB2CE1">
      <w:pPr>
        <w:rPr>
          <w:rFonts w:hint="eastAsia" w:ascii="宋体" w:hAnsi="宋体"/>
          <w:b/>
          <w:bCs/>
          <w:highlight w:val="none"/>
        </w:rPr>
      </w:pPr>
      <w:r>
        <w:rPr>
          <w:rFonts w:hint="eastAsia" w:ascii="宋体" w:hAnsi="宋体"/>
          <w:b/>
          <w:bCs/>
          <w:highlight w:val="none"/>
        </w:rPr>
        <w:br w:type="page"/>
      </w:r>
    </w:p>
    <w:p w14:paraId="69F289A6">
      <w:pPr>
        <w:jc w:val="left"/>
        <w:rPr>
          <w:rFonts w:ascii="宋体" w:hAnsi="宋体"/>
          <w:b/>
          <w:bCs/>
          <w:highlight w:val="none"/>
        </w:rPr>
      </w:pPr>
      <w:r>
        <w:rPr>
          <w:rFonts w:hint="eastAsia" w:ascii="宋体" w:hAnsi="宋体"/>
          <w:b/>
          <w:bCs/>
          <w:highlight w:val="none"/>
        </w:rPr>
        <w:t>3.残疾人福利性单位声明函</w:t>
      </w:r>
    </w:p>
    <w:p w14:paraId="085581E7">
      <w:pPr>
        <w:jc w:val="left"/>
        <w:rPr>
          <w:rFonts w:ascii="宋体" w:hAnsi="宋体"/>
          <w:b/>
          <w:bCs/>
          <w:highlight w:val="none"/>
        </w:rPr>
      </w:pPr>
    </w:p>
    <w:p w14:paraId="3C08F72C">
      <w:pPr>
        <w:jc w:val="center"/>
        <w:rPr>
          <w:rFonts w:ascii="宋体"/>
          <w:sz w:val="24"/>
          <w:highlight w:val="none"/>
        </w:rPr>
      </w:pPr>
    </w:p>
    <w:p w14:paraId="7B7DD647">
      <w:pPr>
        <w:jc w:val="center"/>
        <w:rPr>
          <w:rFonts w:ascii="宋体"/>
          <w:b/>
          <w:sz w:val="24"/>
          <w:highlight w:val="none"/>
        </w:rPr>
      </w:pPr>
      <w:r>
        <w:rPr>
          <w:rFonts w:hint="eastAsia" w:ascii="宋体" w:hAnsi="宋体"/>
          <w:b/>
          <w:sz w:val="24"/>
          <w:highlight w:val="none"/>
        </w:rPr>
        <w:t>残疾人福利性单位声明函</w:t>
      </w:r>
    </w:p>
    <w:p w14:paraId="49720350">
      <w:pPr>
        <w:pStyle w:val="10"/>
        <w:jc w:val="center"/>
        <w:rPr>
          <w:rFonts w:ascii="宋体"/>
          <w:sz w:val="21"/>
          <w:szCs w:val="21"/>
          <w:highlight w:val="none"/>
        </w:rPr>
      </w:pPr>
      <w:r>
        <w:rPr>
          <w:rFonts w:hint="eastAsia" w:ascii="宋体" w:hAnsi="宋体"/>
          <w:sz w:val="21"/>
          <w:szCs w:val="21"/>
          <w:highlight w:val="none"/>
        </w:rPr>
        <w:t>【非残疾人福利性单位不用提供】</w:t>
      </w:r>
    </w:p>
    <w:p w14:paraId="2F78642C">
      <w:pPr>
        <w:spacing w:line="588" w:lineRule="exact"/>
        <w:rPr>
          <w:rFonts w:ascii="宋体"/>
          <w:b/>
          <w:spacing w:val="6"/>
          <w:highlight w:val="none"/>
        </w:rPr>
      </w:pPr>
    </w:p>
    <w:p w14:paraId="72300D35">
      <w:pPr>
        <w:snapToGrid w:val="0"/>
        <w:spacing w:line="360" w:lineRule="auto"/>
        <w:ind w:firstLine="420" w:firstLineChars="200"/>
        <w:rPr>
          <w:rFonts w:ascii="宋体"/>
          <w:highlight w:val="none"/>
        </w:rPr>
      </w:pPr>
      <w:r>
        <w:rPr>
          <w:rFonts w:hint="eastAsia" w:ascii="宋体" w:hAnsi="宋体"/>
          <w:highlight w:val="none"/>
        </w:rPr>
        <w:t>本单位郑重声明，根据《财政部民政部中国残疾人联合会关于促进残疾人就业政府采购政策的通知》（财库〔</w:t>
      </w:r>
      <w:r>
        <w:rPr>
          <w:rFonts w:ascii="宋体" w:hAnsi="宋体"/>
          <w:highlight w:val="none"/>
        </w:rPr>
        <w:t>2017</w:t>
      </w:r>
      <w:r>
        <w:rPr>
          <w:rFonts w:hint="eastAsia" w:ascii="宋体" w:hAnsi="宋体"/>
          <w:highlight w:val="none"/>
        </w:rPr>
        <w:t>〕</w:t>
      </w:r>
      <w:r>
        <w:rPr>
          <w:rFonts w:ascii="宋体" w:hAnsi="宋体"/>
          <w:highlight w:val="none"/>
        </w:rPr>
        <w:t>141</w:t>
      </w:r>
      <w:r>
        <w:rPr>
          <w:rFonts w:hint="eastAsia" w:ascii="宋体" w:hAnsi="宋体"/>
          <w:highlight w:val="none"/>
        </w:rPr>
        <w:t>号）的规定，本单位为符合条件的残疾人福利性单位，且本单位参加</w:t>
      </w:r>
      <w:r>
        <w:rPr>
          <w:rFonts w:ascii="宋体" w:hAnsi="宋体"/>
          <w:highlight w:val="none"/>
        </w:rPr>
        <w:t>______</w:t>
      </w:r>
      <w:r>
        <w:rPr>
          <w:rFonts w:hint="eastAsia" w:ascii="宋体" w:hAnsi="宋体"/>
          <w:highlight w:val="none"/>
        </w:rPr>
        <w:t>单位的</w:t>
      </w:r>
      <w:r>
        <w:rPr>
          <w:rFonts w:ascii="宋体" w:hAnsi="宋体"/>
          <w:highlight w:val="none"/>
        </w:rPr>
        <w:t>______</w:t>
      </w:r>
      <w:r>
        <w:rPr>
          <w:rFonts w:hint="eastAsia" w:ascii="宋体" w:hAnsi="宋体"/>
          <w:highlight w:val="none"/>
        </w:rPr>
        <w:t>项目采购活动提供本单位制造的货物（由本单位承担工程</w:t>
      </w:r>
      <w:r>
        <w:rPr>
          <w:rFonts w:ascii="宋体" w:hAnsi="宋体"/>
          <w:highlight w:val="none"/>
        </w:rPr>
        <w:t>/</w:t>
      </w:r>
      <w:r>
        <w:rPr>
          <w:rFonts w:hint="eastAsia" w:ascii="宋体" w:hAnsi="宋体"/>
          <w:highlight w:val="none"/>
        </w:rPr>
        <w:t>提供服务），或者提供其他残疾人福利性单位制造的货物（不包括使用非残疾人福利性单位注册商标的货物）。</w:t>
      </w:r>
    </w:p>
    <w:p w14:paraId="6902F8F2">
      <w:pPr>
        <w:snapToGrid w:val="0"/>
        <w:spacing w:line="360" w:lineRule="auto"/>
        <w:ind w:firstLine="420" w:firstLineChars="200"/>
        <w:rPr>
          <w:rFonts w:ascii="宋体"/>
          <w:highlight w:val="none"/>
        </w:rPr>
      </w:pPr>
      <w:r>
        <w:rPr>
          <w:rFonts w:hint="eastAsia" w:ascii="宋体" w:hAnsi="宋体"/>
          <w:highlight w:val="none"/>
        </w:rPr>
        <w:t>本单位对上述声明的真实性负责。如有虚假，将依法承担相应责任。</w:t>
      </w:r>
    </w:p>
    <w:p w14:paraId="1BFC074C">
      <w:pPr>
        <w:snapToGrid w:val="0"/>
        <w:spacing w:line="360" w:lineRule="auto"/>
        <w:ind w:firstLine="420" w:firstLineChars="200"/>
        <w:rPr>
          <w:rFonts w:ascii="宋体"/>
          <w:highlight w:val="none"/>
        </w:rPr>
      </w:pPr>
    </w:p>
    <w:p w14:paraId="2980FBF0">
      <w:pPr>
        <w:snapToGrid w:val="0"/>
        <w:spacing w:line="360" w:lineRule="auto"/>
        <w:ind w:firstLine="420" w:firstLineChars="200"/>
        <w:rPr>
          <w:rFonts w:ascii="宋体"/>
          <w:highlight w:val="none"/>
        </w:rPr>
      </w:pPr>
    </w:p>
    <w:p w14:paraId="39BA1416">
      <w:pPr>
        <w:snapToGrid w:val="0"/>
        <w:spacing w:line="360" w:lineRule="auto"/>
        <w:ind w:firstLine="420" w:firstLineChars="200"/>
        <w:jc w:val="right"/>
        <w:rPr>
          <w:rFonts w:ascii="宋体"/>
          <w:highlight w:val="none"/>
        </w:rPr>
      </w:pPr>
      <w:r>
        <w:rPr>
          <w:rFonts w:hint="eastAsia" w:ascii="宋体" w:hAnsi="宋体"/>
          <w:highlight w:val="none"/>
          <w:lang w:eastAsia="zh-CN"/>
        </w:rPr>
        <w:t>响应人</w:t>
      </w:r>
      <w:r>
        <w:rPr>
          <w:rFonts w:hint="eastAsia" w:ascii="宋体" w:hAnsi="宋体"/>
          <w:highlight w:val="none"/>
        </w:rPr>
        <w:t>名称：</w:t>
      </w:r>
    </w:p>
    <w:p w14:paraId="451357DE">
      <w:pPr>
        <w:snapToGrid w:val="0"/>
        <w:spacing w:line="360" w:lineRule="auto"/>
        <w:ind w:firstLine="420" w:firstLineChars="200"/>
        <w:jc w:val="right"/>
        <w:rPr>
          <w:rFonts w:ascii="宋体"/>
          <w:highlight w:val="none"/>
        </w:rPr>
      </w:pPr>
    </w:p>
    <w:p w14:paraId="0264D6A9">
      <w:pPr>
        <w:snapToGrid w:val="0"/>
        <w:spacing w:line="360" w:lineRule="auto"/>
        <w:ind w:firstLine="420" w:firstLineChars="200"/>
        <w:jc w:val="right"/>
        <w:rPr>
          <w:rFonts w:ascii="宋体"/>
          <w:highlight w:val="none"/>
        </w:rPr>
      </w:pPr>
      <w:r>
        <w:rPr>
          <w:rFonts w:hint="eastAsia" w:ascii="宋体" w:hAnsi="宋体"/>
          <w:highlight w:val="none"/>
        </w:rPr>
        <w:t>日期：年月日</w:t>
      </w:r>
    </w:p>
    <w:p w14:paraId="22AA40C3">
      <w:pPr>
        <w:snapToGrid w:val="0"/>
        <w:spacing w:line="360" w:lineRule="auto"/>
        <w:ind w:firstLine="422" w:firstLineChars="200"/>
        <w:jc w:val="left"/>
        <w:rPr>
          <w:rFonts w:hint="eastAsia" w:ascii="宋体" w:hAnsi="宋体" w:cs="宋体"/>
          <w:b/>
          <w:szCs w:val="21"/>
          <w:highlight w:val="none"/>
        </w:rPr>
      </w:pPr>
      <w:r>
        <w:rPr>
          <w:rFonts w:hint="eastAsia" w:ascii="宋体" w:hAnsi="宋体"/>
          <w:b/>
          <w:highlight w:val="none"/>
        </w:rPr>
        <w:t>注：中标</w:t>
      </w:r>
      <w:r>
        <w:rPr>
          <w:rFonts w:hint="eastAsia" w:ascii="宋体" w:hAnsi="宋体"/>
          <w:b/>
          <w:highlight w:val="none"/>
          <w:lang w:eastAsia="zh-CN"/>
        </w:rPr>
        <w:t>响应人</w:t>
      </w:r>
      <w:r>
        <w:rPr>
          <w:rFonts w:hint="eastAsia" w:ascii="宋体" w:hAnsi="宋体"/>
          <w:b/>
          <w:highlight w:val="none"/>
        </w:rPr>
        <w:t>为残疾人福利性单位的，将随中标结果同时公告其《残疾人福利性单位声明函》，接受社会监督。</w:t>
      </w:r>
    </w:p>
    <w:p w14:paraId="205B9CC6">
      <w:pPr>
        <w:rPr>
          <w:rFonts w:hint="eastAsia" w:ascii="宋体" w:hAnsi="宋体" w:cs="宋体"/>
          <w:b/>
          <w:color w:val="auto"/>
          <w:szCs w:val="21"/>
          <w:highlight w:val="none"/>
        </w:rPr>
      </w:pPr>
      <w:r>
        <w:rPr>
          <w:rFonts w:hint="eastAsia" w:ascii="宋体" w:hAnsi="宋体" w:cs="宋体"/>
          <w:b/>
          <w:color w:val="auto"/>
          <w:szCs w:val="21"/>
          <w:highlight w:val="none"/>
        </w:rPr>
        <w:br w:type="page"/>
      </w:r>
    </w:p>
    <w:p w14:paraId="17206272">
      <w:pPr>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ascii="宋体" w:hAnsi="宋体" w:cs="宋体"/>
          <w:b/>
          <w:color w:val="auto"/>
          <w:szCs w:val="21"/>
          <w:highlight w:val="none"/>
        </w:rPr>
      </w:pPr>
      <w:r>
        <w:rPr>
          <w:rFonts w:hint="eastAsia" w:ascii="宋体" w:hAnsi="宋体" w:cs="宋体"/>
          <w:b/>
          <w:color w:val="auto"/>
          <w:szCs w:val="21"/>
          <w:highlight w:val="none"/>
        </w:rPr>
        <w:t>格式四、</w:t>
      </w:r>
      <w:bookmarkStart w:id="3" w:name="OLE_LINK13"/>
      <w:bookmarkStart w:id="4" w:name="OLE_LINK14"/>
      <w:r>
        <w:rPr>
          <w:rFonts w:hint="eastAsia" w:ascii="宋体" w:hAnsi="宋体" w:cs="宋体"/>
          <w:b/>
          <w:bCs/>
          <w:color w:val="auto"/>
          <w:szCs w:val="21"/>
          <w:highlight w:val="none"/>
        </w:rPr>
        <w:t>资格承诺函</w:t>
      </w:r>
    </w:p>
    <w:bookmarkEnd w:id="3"/>
    <w:bookmarkEnd w:id="4"/>
    <w:p w14:paraId="3EB480AC">
      <w:pPr>
        <w:widowControl/>
        <w:spacing w:line="588" w:lineRule="atLeast"/>
        <w:jc w:val="center"/>
        <w:rPr>
          <w:rFonts w:hint="eastAsia" w:ascii="宋体" w:hAnsi="宋体" w:cs="宋体"/>
          <w:b/>
          <w:color w:val="auto"/>
          <w:spacing w:val="6"/>
          <w:kern w:val="0"/>
          <w:szCs w:val="21"/>
          <w:highlight w:val="none"/>
        </w:rPr>
      </w:pPr>
    </w:p>
    <w:p w14:paraId="24319AB4">
      <w:pPr>
        <w:jc w:val="center"/>
        <w:rPr>
          <w:b/>
          <w:bCs/>
          <w:sz w:val="28"/>
          <w:szCs w:val="28"/>
          <w:highlight w:val="none"/>
        </w:rPr>
      </w:pPr>
      <w:r>
        <w:rPr>
          <w:rFonts w:hint="eastAsia"/>
          <w:b/>
          <w:bCs/>
          <w:sz w:val="28"/>
          <w:szCs w:val="28"/>
          <w:highlight w:val="none"/>
        </w:rPr>
        <w:t>资格承诺函</w:t>
      </w:r>
    </w:p>
    <w:p w14:paraId="66B7BC4F">
      <w:pPr>
        <w:spacing w:line="360" w:lineRule="auto"/>
        <w:jc w:val="left"/>
        <w:rPr>
          <w:rFonts w:hint="eastAsia" w:ascii="宋体" w:hAnsi="宋体" w:eastAsia="宋体" w:cs="宋体"/>
          <w:szCs w:val="21"/>
          <w:highlight w:val="none"/>
          <w:lang w:eastAsia="zh-CN"/>
        </w:rPr>
      </w:pPr>
      <w:r>
        <w:rPr>
          <w:rFonts w:hint="eastAsia" w:ascii="宋体" w:hAnsi="宋体" w:cs="宋体"/>
          <w:spacing w:val="-4"/>
          <w:szCs w:val="21"/>
          <w:highlight w:val="none"/>
        </w:rPr>
        <w:t>致：</w:t>
      </w:r>
      <w:r>
        <w:rPr>
          <w:rFonts w:hint="eastAsia" w:ascii="宋体" w:hAnsi="宋体" w:cs="宋体"/>
          <w:szCs w:val="21"/>
          <w:highlight w:val="none"/>
          <w:lang w:eastAsia="zh-CN"/>
        </w:rPr>
        <w:t>舟山市定海区人民政府办公室</w:t>
      </w:r>
    </w:p>
    <w:p w14:paraId="335CFAA6">
      <w:pPr>
        <w:spacing w:line="360" w:lineRule="auto"/>
        <w:ind w:firstLine="420" w:firstLineChars="200"/>
        <w:jc w:val="left"/>
        <w:rPr>
          <w:rFonts w:hint="eastAsia" w:ascii="宋体" w:hAnsi="宋体" w:eastAsia="宋体" w:cs="宋体"/>
          <w:spacing w:val="-4"/>
          <w:szCs w:val="21"/>
          <w:highlight w:val="none"/>
          <w:lang w:eastAsia="zh-CN"/>
        </w:rPr>
      </w:pPr>
      <w:r>
        <w:rPr>
          <w:rFonts w:hint="eastAsia" w:ascii="宋体" w:hAnsi="宋体" w:cs="宋体"/>
          <w:szCs w:val="21"/>
          <w:highlight w:val="none"/>
          <w:lang w:eastAsia="zh-CN"/>
        </w:rPr>
        <w:t>浙江天勤信息技术监理有限公司</w:t>
      </w:r>
    </w:p>
    <w:p w14:paraId="3C75A4C5">
      <w:pPr>
        <w:ind w:firstLine="420" w:firstLineChars="200"/>
        <w:rPr>
          <w:highlight w:val="none"/>
        </w:rPr>
      </w:pPr>
      <w:r>
        <w:rPr>
          <w:rFonts w:hint="eastAsia"/>
          <w:highlight w:val="none"/>
        </w:rPr>
        <w:t>我方参加</w:t>
      </w:r>
      <w:r>
        <w:rPr>
          <w:rFonts w:hint="eastAsia"/>
          <w:highlight w:val="none"/>
          <w:u w:val="single"/>
        </w:rPr>
        <w:t xml:space="preserve">           </w:t>
      </w:r>
      <w:r>
        <w:rPr>
          <w:highlight w:val="none"/>
          <w:u w:val="single"/>
        </w:rPr>
        <w:t xml:space="preserve"> </w:t>
      </w:r>
      <w:r>
        <w:rPr>
          <w:rFonts w:hint="eastAsia"/>
          <w:highlight w:val="none"/>
        </w:rPr>
        <w:t>（项目编号：</w:t>
      </w:r>
      <w:r>
        <w:rPr>
          <w:rFonts w:hint="eastAsia"/>
          <w:highlight w:val="none"/>
          <w:u w:val="single"/>
          <w:lang w:eastAsia="zh-CN"/>
        </w:rPr>
        <w:t>TQZSCG-2025-002</w:t>
      </w:r>
      <w:r>
        <w:rPr>
          <w:rFonts w:hint="eastAsia"/>
          <w:color w:val="auto"/>
          <w:highlight w:val="none"/>
        </w:rPr>
        <w:t>）</w:t>
      </w:r>
      <w:r>
        <w:rPr>
          <w:rFonts w:hint="eastAsia"/>
          <w:highlight w:val="none"/>
        </w:rPr>
        <w:t>的政府采购活动，依据</w:t>
      </w:r>
      <w:r>
        <w:rPr>
          <w:rFonts w:hint="eastAsia"/>
          <w:highlight w:val="none"/>
          <w:lang w:eastAsia="zh-CN"/>
        </w:rPr>
        <w:t>磋商文件</w:t>
      </w:r>
      <w:r>
        <w:rPr>
          <w:rFonts w:hint="eastAsia"/>
          <w:highlight w:val="none"/>
        </w:rPr>
        <w:t>相关规定，郑重承诺如下：</w:t>
      </w:r>
    </w:p>
    <w:p w14:paraId="593A26C3">
      <w:pPr>
        <w:ind w:firstLine="420" w:firstLineChars="200"/>
        <w:rPr>
          <w:highlight w:val="none"/>
        </w:rPr>
      </w:pPr>
      <w:r>
        <w:rPr>
          <w:rFonts w:hint="eastAsia"/>
          <w:highlight w:val="none"/>
        </w:rPr>
        <w:t>（1）我方具有独立承担民事责任的能力；</w:t>
      </w:r>
    </w:p>
    <w:p w14:paraId="7439BF72">
      <w:pPr>
        <w:ind w:firstLine="420" w:firstLineChars="200"/>
        <w:rPr>
          <w:highlight w:val="none"/>
        </w:rPr>
      </w:pPr>
      <w:r>
        <w:rPr>
          <w:rFonts w:hint="eastAsia"/>
          <w:highlight w:val="none"/>
        </w:rPr>
        <w:t>（2）我方具有良好的商业信誉和健全的财务会计制度；</w:t>
      </w:r>
    </w:p>
    <w:p w14:paraId="7475D95D">
      <w:pPr>
        <w:ind w:firstLine="420" w:firstLineChars="200"/>
        <w:rPr>
          <w:highlight w:val="none"/>
        </w:rPr>
      </w:pPr>
      <w:r>
        <w:rPr>
          <w:rFonts w:hint="eastAsia"/>
          <w:highlight w:val="none"/>
        </w:rPr>
        <w:t>（3）我方具有履行本项目合同所必需的设备和专业技术能力；</w:t>
      </w:r>
    </w:p>
    <w:p w14:paraId="582DF2A3">
      <w:pPr>
        <w:ind w:firstLine="420" w:firstLineChars="200"/>
        <w:rPr>
          <w:highlight w:val="none"/>
        </w:rPr>
      </w:pPr>
      <w:r>
        <w:rPr>
          <w:rFonts w:hint="eastAsia"/>
          <w:highlight w:val="none"/>
        </w:rPr>
        <w:t>（4）我方有依法缴纳税收和社会保障资金的良好记录；</w:t>
      </w:r>
    </w:p>
    <w:p w14:paraId="0FBD930D">
      <w:pPr>
        <w:ind w:firstLine="420" w:firstLineChars="200"/>
        <w:rPr>
          <w:highlight w:val="none"/>
        </w:rPr>
      </w:pPr>
      <w:r>
        <w:rPr>
          <w:rFonts w:hint="eastAsia"/>
          <w:highlight w:val="none"/>
        </w:rPr>
        <w:t>（5）我方在参加本次政府采购活动前三年内，经营活动中没有重大违法记录（具体包括：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w:t>
      </w:r>
    </w:p>
    <w:p w14:paraId="74954887">
      <w:pPr>
        <w:ind w:firstLine="420" w:firstLineChars="200"/>
        <w:rPr>
          <w:highlight w:val="none"/>
        </w:rPr>
      </w:pPr>
      <w:r>
        <w:rPr>
          <w:rFonts w:hint="eastAsia"/>
          <w:highlight w:val="none"/>
        </w:rPr>
        <w:t>（6）我方符合法律、行政法规规定的其他条件；</w:t>
      </w:r>
    </w:p>
    <w:p w14:paraId="0B812934">
      <w:pPr>
        <w:ind w:firstLine="420" w:firstLineChars="200"/>
        <w:rPr>
          <w:highlight w:val="none"/>
        </w:rPr>
      </w:pPr>
      <w:r>
        <w:rPr>
          <w:rFonts w:hint="eastAsia"/>
          <w:highlight w:val="none"/>
        </w:rPr>
        <w:t>（7）我方在</w:t>
      </w:r>
      <w:r>
        <w:rPr>
          <w:rFonts w:hint="eastAsia"/>
          <w:highlight w:val="none"/>
          <w:lang w:eastAsia="zh-CN"/>
        </w:rPr>
        <w:t>响应文件</w:t>
      </w:r>
      <w:r>
        <w:rPr>
          <w:rFonts w:hint="eastAsia"/>
          <w:highlight w:val="none"/>
        </w:rPr>
        <w:t>递交前，未被“信用中国”（www.creditchina.gov.cn）、“中国政府采购网”（www.ccgp.gov.cn）列入失信被执行人名单、重大税收违法案件当事人名单、政府采购严重违法失信行为记录名单（我方的信用信息记录以采购人或采购代理机构统一查询的结果为准）。</w:t>
      </w:r>
    </w:p>
    <w:p w14:paraId="07AC667E">
      <w:pPr>
        <w:ind w:firstLine="422" w:firstLineChars="200"/>
        <w:rPr>
          <w:b/>
          <w:bCs/>
          <w:highlight w:val="none"/>
        </w:rPr>
      </w:pPr>
      <w:r>
        <w:rPr>
          <w:rFonts w:hint="eastAsia"/>
          <w:b/>
          <w:bCs/>
          <w:highlight w:val="none"/>
        </w:rPr>
        <w:t>以上承诺如有虚假或隐瞒，采购人可取消我方任何资格（投标/中标/签订合同），我方对此无任何异议，并愿意承担一切后果和责任。</w:t>
      </w:r>
    </w:p>
    <w:p w14:paraId="1F38DDF0">
      <w:pPr>
        <w:ind w:firstLine="420" w:firstLineChars="200"/>
        <w:rPr>
          <w:highlight w:val="none"/>
        </w:rPr>
      </w:pPr>
      <w:r>
        <w:rPr>
          <w:rFonts w:hint="eastAsia"/>
          <w:highlight w:val="none"/>
        </w:rPr>
        <w:t>特此承诺！</w:t>
      </w:r>
    </w:p>
    <w:p w14:paraId="5F4CB0F2">
      <w:pPr>
        <w:rPr>
          <w:highlight w:val="none"/>
        </w:rPr>
      </w:pPr>
    </w:p>
    <w:p w14:paraId="6D45C591">
      <w:pPr>
        <w:ind w:firstLine="420" w:firstLineChars="200"/>
        <w:jc w:val="left"/>
        <w:rPr>
          <w:highlight w:val="none"/>
        </w:rPr>
      </w:pPr>
      <w:r>
        <w:rPr>
          <w:rFonts w:hint="eastAsia" w:ascii="宋体" w:hAnsi="宋体" w:cs="宋体"/>
          <w:szCs w:val="21"/>
          <w:highlight w:val="none"/>
          <w:lang w:eastAsia="zh-CN"/>
        </w:rPr>
        <w:t>响应人</w:t>
      </w:r>
      <w:r>
        <w:rPr>
          <w:rFonts w:hint="eastAsia"/>
          <w:highlight w:val="none"/>
        </w:rPr>
        <w:t>名称（盖章）：</w:t>
      </w:r>
      <w:r>
        <w:rPr>
          <w:highlight w:val="none"/>
          <w:u w:val="single"/>
        </w:rPr>
        <w:t xml:space="preserve">                </w:t>
      </w:r>
    </w:p>
    <w:p w14:paraId="7649C9E1">
      <w:pPr>
        <w:ind w:firstLine="420" w:firstLineChars="200"/>
        <w:jc w:val="left"/>
        <w:rPr>
          <w:highlight w:val="none"/>
        </w:rPr>
      </w:pPr>
      <w:r>
        <w:rPr>
          <w:rFonts w:hint="eastAsia"/>
          <w:highlight w:val="none"/>
        </w:rPr>
        <w:t>日期：</w:t>
      </w:r>
      <w:r>
        <w:rPr>
          <w:highlight w:val="none"/>
          <w:u w:val="single"/>
        </w:rPr>
        <w:t xml:space="preserve">         </w:t>
      </w:r>
      <w:r>
        <w:rPr>
          <w:rFonts w:hint="eastAsia"/>
          <w:highlight w:val="none"/>
        </w:rPr>
        <w:t>年</w:t>
      </w:r>
      <w:r>
        <w:rPr>
          <w:highlight w:val="none"/>
          <w:u w:val="single"/>
        </w:rPr>
        <w:t xml:space="preserve">     </w:t>
      </w:r>
      <w:r>
        <w:rPr>
          <w:rFonts w:hint="eastAsia"/>
          <w:highlight w:val="none"/>
        </w:rPr>
        <w:t>月</w:t>
      </w:r>
      <w:r>
        <w:rPr>
          <w:highlight w:val="none"/>
          <w:u w:val="single"/>
        </w:rPr>
        <w:t xml:space="preserve">     </w:t>
      </w:r>
      <w:r>
        <w:rPr>
          <w:rFonts w:hint="eastAsia"/>
          <w:highlight w:val="none"/>
        </w:rPr>
        <w:t>日</w:t>
      </w:r>
    </w:p>
    <w:p w14:paraId="6CFC7F75">
      <w:pPr>
        <w:rPr>
          <w:highlight w:val="none"/>
        </w:rPr>
      </w:pPr>
    </w:p>
    <w:p w14:paraId="0C5A7E69">
      <w:pPr>
        <w:spacing w:line="360" w:lineRule="auto"/>
        <w:rPr>
          <w:rFonts w:hint="eastAsia" w:ascii="宋体" w:hAnsi="宋体" w:cs="宋体"/>
          <w:b/>
          <w:color w:val="auto"/>
          <w:spacing w:val="20"/>
          <w:szCs w:val="21"/>
          <w:highlight w:val="none"/>
        </w:rPr>
      </w:pPr>
      <w:r>
        <w:rPr>
          <w:rFonts w:hint="eastAsia" w:ascii="宋体" w:hAnsi="宋体" w:cs="宋体"/>
          <w:b/>
          <w:color w:val="auto"/>
          <w:spacing w:val="20"/>
          <w:szCs w:val="21"/>
          <w:highlight w:val="none"/>
        </w:rPr>
        <w:br w:type="page"/>
      </w:r>
    </w:p>
    <w:p w14:paraId="0C898E76">
      <w:pPr>
        <w:outlineLvl w:val="2"/>
        <w:rPr>
          <w:rFonts w:ascii="宋体" w:hAnsi="宋体" w:cs="宋体"/>
          <w:color w:val="auto"/>
          <w:szCs w:val="21"/>
          <w:highlight w:val="none"/>
        </w:rPr>
      </w:pPr>
      <w:r>
        <w:rPr>
          <w:rFonts w:hint="eastAsia" w:ascii="宋体" w:hAnsi="宋体" w:cs="宋体"/>
          <w:b/>
          <w:color w:val="auto"/>
          <w:spacing w:val="20"/>
          <w:szCs w:val="21"/>
          <w:highlight w:val="none"/>
        </w:rPr>
        <w:t>格式</w:t>
      </w:r>
      <w:r>
        <w:rPr>
          <w:rFonts w:hint="eastAsia" w:ascii="宋体" w:hAnsi="宋体" w:cs="宋体"/>
          <w:b/>
          <w:color w:val="auto"/>
          <w:spacing w:val="20"/>
          <w:szCs w:val="21"/>
          <w:highlight w:val="none"/>
          <w:lang w:val="en-US" w:eastAsia="zh-CN"/>
        </w:rPr>
        <w:t>五</w:t>
      </w:r>
      <w:r>
        <w:rPr>
          <w:rFonts w:hint="eastAsia" w:ascii="宋体" w:hAnsi="宋体" w:cs="宋体"/>
          <w:b/>
          <w:color w:val="auto"/>
          <w:spacing w:val="20"/>
          <w:szCs w:val="21"/>
          <w:highlight w:val="none"/>
        </w:rPr>
        <w:t>、</w:t>
      </w:r>
      <w:r>
        <w:rPr>
          <w:rFonts w:hint="eastAsia" w:ascii="宋体" w:hAnsi="宋体" w:cs="宋体"/>
          <w:b/>
          <w:color w:val="auto"/>
          <w:spacing w:val="20"/>
          <w:szCs w:val="21"/>
          <w:highlight w:val="none"/>
          <w:lang w:val="en-US" w:eastAsia="zh-CN"/>
        </w:rPr>
        <w:t>响应</w:t>
      </w:r>
      <w:r>
        <w:rPr>
          <w:rFonts w:hint="eastAsia" w:ascii="宋体" w:hAnsi="宋体" w:cs="宋体"/>
          <w:b/>
          <w:color w:val="auto"/>
          <w:spacing w:val="20"/>
          <w:szCs w:val="21"/>
          <w:highlight w:val="none"/>
        </w:rPr>
        <w:t>函</w:t>
      </w:r>
    </w:p>
    <w:p w14:paraId="6E0B5B0B">
      <w:pPr>
        <w:spacing w:line="360" w:lineRule="auto"/>
        <w:jc w:val="left"/>
        <w:rPr>
          <w:rFonts w:hint="eastAsia" w:ascii="宋体" w:hAnsi="宋体" w:eastAsia="宋体" w:cs="宋体"/>
          <w:color w:val="auto"/>
          <w:szCs w:val="21"/>
          <w:highlight w:val="none"/>
          <w:lang w:eastAsia="zh-CN"/>
        </w:rPr>
      </w:pPr>
      <w:r>
        <w:rPr>
          <w:rFonts w:hint="eastAsia" w:ascii="宋体" w:hAnsi="宋体" w:cs="宋体"/>
          <w:color w:val="auto"/>
          <w:spacing w:val="-4"/>
          <w:szCs w:val="21"/>
          <w:highlight w:val="none"/>
        </w:rPr>
        <w:t>致：</w:t>
      </w:r>
      <w:r>
        <w:rPr>
          <w:rFonts w:hint="eastAsia" w:ascii="宋体" w:hAnsi="宋体" w:cs="宋体"/>
          <w:color w:val="auto"/>
          <w:szCs w:val="21"/>
          <w:highlight w:val="none"/>
          <w:lang w:eastAsia="zh-CN"/>
        </w:rPr>
        <w:t>舟山市定海区人民政府办公室</w:t>
      </w:r>
    </w:p>
    <w:p w14:paraId="53B1ED36">
      <w:pPr>
        <w:spacing w:line="360" w:lineRule="auto"/>
        <w:ind w:firstLine="420" w:firstLineChars="200"/>
        <w:jc w:val="left"/>
        <w:rPr>
          <w:rFonts w:hint="eastAsia" w:ascii="宋体" w:hAnsi="宋体" w:eastAsia="宋体" w:cs="宋体"/>
          <w:color w:val="auto"/>
          <w:spacing w:val="-4"/>
          <w:szCs w:val="21"/>
          <w:highlight w:val="none"/>
          <w:lang w:eastAsia="zh-CN"/>
        </w:rPr>
      </w:pPr>
      <w:r>
        <w:rPr>
          <w:rFonts w:hint="eastAsia" w:ascii="宋体" w:hAnsi="宋体" w:cs="宋体"/>
          <w:color w:val="auto"/>
          <w:szCs w:val="21"/>
          <w:highlight w:val="none"/>
          <w:lang w:eastAsia="zh-CN"/>
        </w:rPr>
        <w:t>浙江天勤信息技术监理有限公司</w:t>
      </w:r>
    </w:p>
    <w:p w14:paraId="1EAAFC69">
      <w:pPr>
        <w:tabs>
          <w:tab w:val="left" w:pos="7140"/>
        </w:tabs>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我方</w:t>
      </w:r>
      <w:r>
        <w:rPr>
          <w:rFonts w:hint="eastAsia" w:ascii="宋体" w:hAnsi="宋体" w:cs="宋体"/>
          <w:b/>
          <w:color w:val="auto"/>
          <w:szCs w:val="21"/>
          <w:highlight w:val="none"/>
          <w:u w:val="single"/>
        </w:rPr>
        <w:t>（</w:t>
      </w:r>
      <w:r>
        <w:rPr>
          <w:rFonts w:hint="eastAsia" w:ascii="宋体" w:hAnsi="宋体" w:cs="宋体"/>
          <w:b/>
          <w:color w:val="auto"/>
          <w:szCs w:val="21"/>
          <w:highlight w:val="none"/>
          <w:u w:val="single"/>
          <w:lang w:eastAsia="zh-CN"/>
        </w:rPr>
        <w:t>响应人</w:t>
      </w:r>
      <w:r>
        <w:rPr>
          <w:rFonts w:hint="eastAsia" w:ascii="宋体" w:hAnsi="宋体" w:cs="宋体"/>
          <w:b/>
          <w:color w:val="auto"/>
          <w:szCs w:val="21"/>
          <w:highlight w:val="none"/>
          <w:u w:val="single"/>
        </w:rPr>
        <w:t>名称）</w:t>
      </w:r>
      <w:r>
        <w:rPr>
          <w:rFonts w:hint="eastAsia" w:ascii="宋体" w:hAnsi="宋体" w:cs="宋体"/>
          <w:color w:val="auto"/>
          <w:szCs w:val="21"/>
          <w:highlight w:val="none"/>
        </w:rPr>
        <w:t>已详细审查了</w:t>
      </w:r>
      <w:r>
        <w:rPr>
          <w:rFonts w:hint="eastAsia" w:ascii="宋体" w:hAnsi="宋体" w:cs="宋体"/>
          <w:b/>
          <w:color w:val="auto"/>
          <w:szCs w:val="21"/>
          <w:highlight w:val="none"/>
          <w:u w:val="single"/>
        </w:rPr>
        <w:t xml:space="preserve">（项目编号）（项目名称）    </w:t>
      </w:r>
      <w:r>
        <w:rPr>
          <w:rFonts w:hint="eastAsia" w:ascii="宋体" w:hAnsi="宋体" w:cs="宋体"/>
          <w:color w:val="auto"/>
          <w:szCs w:val="21"/>
          <w:highlight w:val="none"/>
        </w:rPr>
        <w:t>的</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及其相关补充文件</w:t>
      </w:r>
      <w:r>
        <w:rPr>
          <w:rFonts w:hint="eastAsia" w:ascii="宋体" w:hAnsi="宋体" w:cs="宋体"/>
          <w:b/>
          <w:color w:val="auto"/>
          <w:szCs w:val="21"/>
          <w:highlight w:val="none"/>
        </w:rPr>
        <w:t>（若有）</w:t>
      </w:r>
      <w:r>
        <w:rPr>
          <w:rFonts w:hint="eastAsia" w:ascii="宋体" w:hAnsi="宋体" w:cs="宋体"/>
          <w:color w:val="auto"/>
          <w:szCs w:val="21"/>
          <w:highlight w:val="none"/>
        </w:rPr>
        <w:t>，并正式授权我公司的</w:t>
      </w:r>
      <w:r>
        <w:rPr>
          <w:rFonts w:hint="eastAsia" w:ascii="宋体" w:hAnsi="宋体" w:cs="宋体"/>
          <w:b/>
          <w:color w:val="auto"/>
          <w:szCs w:val="21"/>
          <w:highlight w:val="none"/>
          <w:u w:val="single"/>
        </w:rPr>
        <w:t>（被授权人姓名）</w:t>
      </w:r>
      <w:r>
        <w:rPr>
          <w:rFonts w:hint="eastAsia" w:ascii="宋体" w:hAnsi="宋体" w:cs="宋体"/>
          <w:color w:val="auto"/>
          <w:szCs w:val="21"/>
          <w:highlight w:val="none"/>
        </w:rPr>
        <w:t>以本公司名义，全权代表我方自愿参加上述采购项目的投标，现就有关事项向采购代理机构郑重承诺如下：</w:t>
      </w:r>
    </w:p>
    <w:p w14:paraId="0BB22DDB">
      <w:pPr>
        <w:spacing w:line="360" w:lineRule="auto"/>
        <w:ind w:right="-91" w:firstLine="420" w:firstLineChars="200"/>
        <w:rPr>
          <w:rFonts w:ascii="宋体" w:hAnsi="宋体" w:cs="宋体"/>
          <w:color w:val="auto"/>
          <w:szCs w:val="21"/>
          <w:highlight w:val="none"/>
        </w:rPr>
      </w:pPr>
      <w:r>
        <w:rPr>
          <w:rFonts w:hint="eastAsia" w:ascii="宋体" w:hAnsi="宋体" w:cs="宋体"/>
          <w:color w:val="auto"/>
          <w:szCs w:val="21"/>
          <w:highlight w:val="none"/>
        </w:rPr>
        <w:t>1、我方已详细审查了</w:t>
      </w:r>
      <w:r>
        <w:rPr>
          <w:rFonts w:hint="eastAsia" w:ascii="宋体" w:hAnsi="宋体" w:cs="宋体"/>
          <w:color w:val="auto"/>
          <w:szCs w:val="21"/>
          <w:highlight w:val="none"/>
          <w:lang w:eastAsia="zh-CN"/>
        </w:rPr>
        <w:t>磋商文件</w:t>
      </w:r>
      <w:r>
        <w:rPr>
          <w:rFonts w:hint="eastAsia" w:ascii="宋体" w:hAnsi="宋体" w:cs="宋体"/>
          <w:color w:val="auto"/>
          <w:szCs w:val="21"/>
          <w:highlight w:val="none"/>
        </w:rPr>
        <w:t>的全部内容及其相关补充文件</w:t>
      </w:r>
      <w:r>
        <w:rPr>
          <w:rFonts w:hint="eastAsia" w:ascii="宋体" w:hAnsi="宋体" w:cs="宋体"/>
          <w:b/>
          <w:color w:val="auto"/>
          <w:szCs w:val="21"/>
          <w:highlight w:val="none"/>
        </w:rPr>
        <w:t>（若有）</w:t>
      </w:r>
      <w:r>
        <w:rPr>
          <w:rFonts w:hint="eastAsia" w:ascii="宋体" w:hAnsi="宋体" w:cs="宋体"/>
          <w:color w:val="auto"/>
          <w:szCs w:val="21"/>
          <w:highlight w:val="none"/>
        </w:rPr>
        <w:t>，并完全清晰理解全部内容及相关的补充文件</w:t>
      </w:r>
      <w:r>
        <w:rPr>
          <w:rFonts w:hint="eastAsia" w:ascii="宋体" w:hAnsi="宋体" w:cs="宋体"/>
          <w:b/>
          <w:color w:val="auto"/>
          <w:szCs w:val="21"/>
          <w:highlight w:val="none"/>
        </w:rPr>
        <w:t>（若有）</w:t>
      </w:r>
      <w:r>
        <w:rPr>
          <w:rFonts w:hint="eastAsia" w:ascii="宋体" w:hAnsi="宋体" w:cs="宋体"/>
          <w:color w:val="auto"/>
          <w:szCs w:val="21"/>
          <w:highlight w:val="none"/>
        </w:rPr>
        <w:t>，不存在任何误解之处，同意放弃提出异议和质疑的权利。</w:t>
      </w:r>
    </w:p>
    <w:p w14:paraId="76B138C5">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2、在项目实施过程中，我方完全响应</w:t>
      </w:r>
      <w:r>
        <w:rPr>
          <w:rFonts w:hint="eastAsia" w:ascii="宋体" w:hAnsi="宋体" w:cs="宋体"/>
          <w:color w:val="auto"/>
          <w:spacing w:val="-4"/>
          <w:szCs w:val="21"/>
          <w:highlight w:val="none"/>
          <w:lang w:eastAsia="zh-CN"/>
        </w:rPr>
        <w:t>磋商文件</w:t>
      </w:r>
      <w:r>
        <w:rPr>
          <w:rFonts w:hint="eastAsia" w:ascii="宋体" w:hAnsi="宋体" w:cs="宋体"/>
          <w:color w:val="auto"/>
          <w:spacing w:val="-4"/>
          <w:szCs w:val="21"/>
          <w:highlight w:val="none"/>
        </w:rPr>
        <w:t>的所有条款，履行合同义务。执行标准绝不低于</w:t>
      </w:r>
      <w:r>
        <w:rPr>
          <w:rFonts w:hint="eastAsia" w:ascii="宋体" w:hAnsi="宋体" w:cs="宋体"/>
          <w:color w:val="auto"/>
          <w:spacing w:val="-4"/>
          <w:szCs w:val="21"/>
          <w:highlight w:val="none"/>
          <w:lang w:eastAsia="zh-CN"/>
        </w:rPr>
        <w:t>磋商文件</w:t>
      </w:r>
      <w:r>
        <w:rPr>
          <w:rFonts w:hint="eastAsia" w:ascii="宋体" w:hAnsi="宋体" w:cs="宋体"/>
          <w:color w:val="auto"/>
          <w:spacing w:val="-4"/>
          <w:szCs w:val="21"/>
          <w:highlight w:val="none"/>
        </w:rPr>
        <w:t>的标准要求。</w:t>
      </w:r>
    </w:p>
    <w:p w14:paraId="6332D83F">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3、我方遵守《中华人民共和国政府采购法》及相关法律法规的规定。同意</w:t>
      </w:r>
      <w:r>
        <w:rPr>
          <w:rFonts w:hint="eastAsia" w:ascii="宋体" w:hAnsi="宋体" w:cs="宋体"/>
          <w:color w:val="auto"/>
          <w:spacing w:val="-4"/>
          <w:szCs w:val="21"/>
          <w:highlight w:val="none"/>
          <w:lang w:eastAsia="zh-CN"/>
        </w:rPr>
        <w:t>磋商文件</w:t>
      </w:r>
      <w:r>
        <w:rPr>
          <w:rFonts w:hint="eastAsia" w:ascii="宋体" w:hAnsi="宋体" w:cs="宋体"/>
          <w:color w:val="auto"/>
          <w:spacing w:val="-4"/>
          <w:szCs w:val="21"/>
          <w:highlight w:val="none"/>
        </w:rPr>
        <w:t>中所提到的无效标条款，并服从有关开标现场的会议纪律。否则，同意被废除投标资格。</w:t>
      </w:r>
    </w:p>
    <w:p w14:paraId="0D21537A">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4、我方承诺具有良好的商业信誉和健全的财务会计制度；具备履行合同所必需的设备和专业技术能力；具有依法缴纳税收和社会保障资金的良好记录；参加本次政府采购活动前3年内在经营活动中没有重大违法记录。</w:t>
      </w:r>
    </w:p>
    <w:p w14:paraId="358AA268">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5、我方所提供的一次性投标报价具有充分的合理性和准确性，保证不存在低于成本的恶意报价行为，同时清楚理解到报价最低并非意味着必定获得合同授予资格。</w:t>
      </w:r>
    </w:p>
    <w:p w14:paraId="531CDD38">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6、投标有效期为自开标之日起90天内，如在投标有效期内撤回投标，我方同意被废除投标资格。</w:t>
      </w:r>
    </w:p>
    <w:p w14:paraId="6D023BCC">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7、我方承诺所提供的一切</w:t>
      </w:r>
      <w:r>
        <w:rPr>
          <w:rFonts w:hint="eastAsia" w:ascii="宋体" w:hAnsi="宋体" w:cs="宋体"/>
          <w:color w:val="auto"/>
          <w:spacing w:val="-4"/>
          <w:szCs w:val="21"/>
          <w:highlight w:val="none"/>
          <w:lang w:eastAsia="zh-CN"/>
        </w:rPr>
        <w:t>响应文件</w:t>
      </w:r>
      <w:r>
        <w:rPr>
          <w:rFonts w:hint="eastAsia" w:ascii="宋体" w:hAnsi="宋体" w:cs="宋体"/>
          <w:color w:val="auto"/>
          <w:spacing w:val="-4"/>
          <w:szCs w:val="21"/>
          <w:highlight w:val="none"/>
        </w:rPr>
        <w:t>均已认真严格审核，内容均为全面真实、准确有效且毫无保留，绝无任何遗漏、虚假、伪造和夸大的成分，若出现违背诚实信用和无如实告知之处，同意被废除投标资格和相关的处罚。</w:t>
      </w:r>
    </w:p>
    <w:p w14:paraId="7A2EF518">
      <w:pPr>
        <w:spacing w:line="480" w:lineRule="auto"/>
        <w:ind w:firstLine="404" w:firstLineChars="200"/>
        <w:jc w:val="left"/>
        <w:rPr>
          <w:rFonts w:ascii="宋体" w:hAnsi="宋体" w:cs="宋体"/>
          <w:color w:val="auto"/>
          <w:spacing w:val="-4"/>
          <w:szCs w:val="21"/>
          <w:highlight w:val="none"/>
        </w:rPr>
      </w:pPr>
    </w:p>
    <w:p w14:paraId="0D121D00">
      <w:pPr>
        <w:spacing w:line="480" w:lineRule="auto"/>
        <w:ind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lang w:eastAsia="zh-CN"/>
        </w:rPr>
        <w:t>响应人</w:t>
      </w:r>
      <w:r>
        <w:rPr>
          <w:rFonts w:hint="eastAsia" w:ascii="宋体" w:hAnsi="宋体" w:cs="宋体"/>
          <w:color w:val="auto"/>
          <w:spacing w:val="-4"/>
          <w:szCs w:val="21"/>
          <w:highlight w:val="none"/>
        </w:rPr>
        <w:t>名称：</w:t>
      </w:r>
      <w:r>
        <w:rPr>
          <w:rFonts w:hint="eastAsia" w:ascii="宋体" w:hAnsi="宋体" w:cs="宋体"/>
          <w:color w:val="auto"/>
          <w:spacing w:val="20"/>
          <w:szCs w:val="21"/>
          <w:highlight w:val="none"/>
          <w:u w:val="single"/>
        </w:rPr>
        <w:t xml:space="preserve">                  </w:t>
      </w:r>
      <w:r>
        <w:rPr>
          <w:rFonts w:hint="eastAsia" w:ascii="宋体" w:hAnsi="宋体" w:cs="宋体"/>
          <w:color w:val="auto"/>
          <w:spacing w:val="-4"/>
          <w:szCs w:val="21"/>
          <w:highlight w:val="none"/>
        </w:rPr>
        <w:t xml:space="preserve">（加盖公章） </w:t>
      </w:r>
    </w:p>
    <w:p w14:paraId="65BDECA1">
      <w:pPr>
        <w:spacing w:line="480" w:lineRule="auto"/>
        <w:ind w:firstLine="404" w:firstLineChars="200"/>
        <w:rPr>
          <w:rFonts w:ascii="宋体" w:hAnsi="宋体" w:cs="宋体"/>
          <w:color w:val="auto"/>
          <w:szCs w:val="21"/>
          <w:highlight w:val="none"/>
        </w:rPr>
      </w:pPr>
      <w:r>
        <w:rPr>
          <w:rFonts w:hint="eastAsia" w:ascii="宋体" w:hAnsi="宋体" w:cs="宋体"/>
          <w:color w:val="auto"/>
          <w:spacing w:val="-4"/>
          <w:szCs w:val="21"/>
          <w:highlight w:val="none"/>
        </w:rPr>
        <w:t>法定代表人</w:t>
      </w:r>
      <w:r>
        <w:rPr>
          <w:rFonts w:hint="eastAsia" w:ascii="宋体" w:hAnsi="宋体" w:cs="宋体"/>
          <w:color w:val="auto"/>
          <w:szCs w:val="21"/>
          <w:highlight w:val="none"/>
        </w:rPr>
        <w:t>：</w:t>
      </w:r>
      <w:r>
        <w:rPr>
          <w:rFonts w:hint="eastAsia" w:ascii="宋体" w:hAnsi="宋体" w:cs="宋体"/>
          <w:b/>
          <w:color w:val="auto"/>
          <w:spacing w:val="20"/>
          <w:szCs w:val="21"/>
          <w:highlight w:val="none"/>
          <w:u w:val="single"/>
        </w:rPr>
        <w:t xml:space="preserve">                  </w:t>
      </w:r>
      <w:r>
        <w:rPr>
          <w:rFonts w:hint="eastAsia" w:ascii="宋体" w:hAnsi="宋体" w:cs="宋体"/>
          <w:color w:val="auto"/>
          <w:szCs w:val="21"/>
          <w:highlight w:val="none"/>
        </w:rPr>
        <w:t>（签字或盖章）</w:t>
      </w:r>
    </w:p>
    <w:p w14:paraId="74AF1332">
      <w:pPr>
        <w:spacing w:line="480" w:lineRule="auto"/>
        <w:ind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lang w:eastAsia="zh-CN"/>
        </w:rPr>
        <w:t>响应人</w:t>
      </w:r>
      <w:r>
        <w:rPr>
          <w:rFonts w:hint="eastAsia" w:ascii="宋体" w:hAnsi="宋体" w:cs="宋体"/>
          <w:color w:val="auto"/>
          <w:spacing w:val="-4"/>
          <w:szCs w:val="21"/>
          <w:highlight w:val="none"/>
        </w:rPr>
        <w:t>代表：</w:t>
      </w:r>
      <w:r>
        <w:rPr>
          <w:rFonts w:hint="eastAsia" w:ascii="宋体" w:hAnsi="宋体" w:cs="宋体"/>
          <w:color w:val="auto"/>
          <w:spacing w:val="20"/>
          <w:szCs w:val="21"/>
          <w:highlight w:val="none"/>
          <w:u w:val="single"/>
        </w:rPr>
        <w:t xml:space="preserve">                  </w:t>
      </w:r>
      <w:r>
        <w:rPr>
          <w:rFonts w:hint="eastAsia" w:ascii="宋体" w:hAnsi="宋体" w:cs="宋体"/>
          <w:color w:val="auto"/>
          <w:spacing w:val="-4"/>
          <w:szCs w:val="21"/>
          <w:highlight w:val="none"/>
        </w:rPr>
        <w:t>（</w:t>
      </w:r>
      <w:r>
        <w:rPr>
          <w:rFonts w:hint="eastAsia" w:ascii="宋体" w:hAnsi="宋体" w:cs="宋体"/>
          <w:color w:val="auto"/>
          <w:spacing w:val="-4"/>
          <w:szCs w:val="21"/>
          <w:highlight w:val="none"/>
        </w:rPr>
        <w:t>签字或盖章</w:t>
      </w:r>
      <w:r>
        <w:rPr>
          <w:rFonts w:hint="eastAsia" w:ascii="宋体" w:hAnsi="宋体" w:cs="宋体"/>
          <w:color w:val="auto"/>
          <w:spacing w:val="-4"/>
          <w:szCs w:val="21"/>
          <w:highlight w:val="none"/>
        </w:rPr>
        <w:t xml:space="preserve">） </w:t>
      </w:r>
    </w:p>
    <w:p w14:paraId="782CEB50">
      <w:pPr>
        <w:spacing w:line="480" w:lineRule="auto"/>
        <w:ind w:firstLine="404" w:firstLineChars="200"/>
        <w:rPr>
          <w:rFonts w:ascii="宋体" w:hAnsi="宋体" w:cs="宋体"/>
          <w:color w:val="auto"/>
          <w:spacing w:val="20"/>
          <w:szCs w:val="21"/>
          <w:highlight w:val="none"/>
          <w:u w:val="single"/>
        </w:rPr>
      </w:pPr>
      <w:r>
        <w:rPr>
          <w:rFonts w:hint="eastAsia" w:ascii="宋体" w:hAnsi="宋体" w:cs="宋体"/>
          <w:color w:val="auto"/>
          <w:spacing w:val="-4"/>
          <w:szCs w:val="21"/>
          <w:highlight w:val="none"/>
          <w:lang w:eastAsia="zh-CN"/>
        </w:rPr>
        <w:t>响应人</w:t>
      </w:r>
      <w:r>
        <w:rPr>
          <w:rFonts w:hint="eastAsia" w:ascii="宋体" w:hAnsi="宋体" w:cs="宋体"/>
          <w:color w:val="auto"/>
          <w:spacing w:val="-4"/>
          <w:szCs w:val="21"/>
          <w:highlight w:val="none"/>
        </w:rPr>
        <w:t>地址：</w:t>
      </w:r>
      <w:r>
        <w:rPr>
          <w:rFonts w:hint="eastAsia" w:ascii="宋体" w:hAnsi="宋体" w:cs="宋体"/>
          <w:color w:val="auto"/>
          <w:spacing w:val="20"/>
          <w:szCs w:val="21"/>
          <w:highlight w:val="none"/>
          <w:u w:val="single"/>
        </w:rPr>
        <w:t xml:space="preserve">                  </w:t>
      </w:r>
    </w:p>
    <w:p w14:paraId="1CD3036C">
      <w:pPr>
        <w:spacing w:line="480" w:lineRule="auto"/>
        <w:ind w:firstLine="404" w:firstLineChars="200"/>
        <w:rPr>
          <w:rFonts w:ascii="宋体" w:hAnsi="宋体" w:cs="宋体"/>
          <w:color w:val="auto"/>
          <w:spacing w:val="-4"/>
          <w:szCs w:val="21"/>
          <w:highlight w:val="none"/>
        </w:rPr>
      </w:pPr>
      <w:r>
        <w:rPr>
          <w:rFonts w:hint="eastAsia" w:ascii="宋体" w:hAnsi="宋体" w:cs="宋体"/>
          <w:color w:val="auto"/>
          <w:spacing w:val="-4"/>
          <w:szCs w:val="21"/>
          <w:highlight w:val="none"/>
        </w:rPr>
        <w:t>日期：</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年</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月</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 xml:space="preserve">日 </w:t>
      </w:r>
    </w:p>
    <w:p w14:paraId="4AD090A0">
      <w:pPr>
        <w:spacing w:line="360" w:lineRule="auto"/>
        <w:jc w:val="left"/>
        <w:outlineLvl w:val="2"/>
        <w:rPr>
          <w:rFonts w:ascii="宋体" w:hAnsi="宋体" w:cs="宋体"/>
          <w:b/>
          <w:color w:val="auto"/>
          <w:szCs w:val="21"/>
          <w:highlight w:val="none"/>
        </w:rPr>
      </w:pPr>
      <w:r>
        <w:rPr>
          <w:rFonts w:hint="eastAsia" w:ascii="宋体" w:hAnsi="宋体" w:cs="宋体"/>
          <w:b/>
          <w:color w:val="auto"/>
          <w:spacing w:val="20"/>
          <w:szCs w:val="21"/>
          <w:highlight w:val="none"/>
        </w:rPr>
        <w:br w:type="page"/>
      </w:r>
      <w:r>
        <w:rPr>
          <w:rFonts w:hint="eastAsia" w:ascii="宋体" w:hAnsi="宋体" w:cs="宋体"/>
          <w:b/>
          <w:color w:val="auto"/>
          <w:spacing w:val="20"/>
          <w:szCs w:val="21"/>
          <w:highlight w:val="none"/>
        </w:rPr>
        <w:t>格式</w:t>
      </w:r>
      <w:r>
        <w:rPr>
          <w:rFonts w:hint="eastAsia" w:ascii="宋体" w:hAnsi="宋体" w:cs="宋体"/>
          <w:b/>
          <w:color w:val="auto"/>
          <w:spacing w:val="20"/>
          <w:szCs w:val="21"/>
          <w:highlight w:val="none"/>
          <w:lang w:val="en-US" w:eastAsia="zh-CN"/>
        </w:rPr>
        <w:t>六</w:t>
      </w:r>
      <w:r>
        <w:rPr>
          <w:rFonts w:hint="eastAsia" w:ascii="宋体" w:hAnsi="宋体" w:cs="宋体"/>
          <w:b/>
          <w:color w:val="auto"/>
          <w:spacing w:val="20"/>
          <w:szCs w:val="21"/>
          <w:highlight w:val="none"/>
        </w:rPr>
        <w:t>、法定代表人授权函</w:t>
      </w:r>
    </w:p>
    <w:p w14:paraId="3506311D">
      <w:pPr>
        <w:spacing w:line="360" w:lineRule="auto"/>
        <w:jc w:val="left"/>
        <w:rPr>
          <w:rFonts w:hint="eastAsia" w:ascii="宋体" w:hAnsi="宋体" w:eastAsia="宋体" w:cs="宋体"/>
          <w:color w:val="auto"/>
          <w:spacing w:val="-4"/>
          <w:szCs w:val="21"/>
          <w:highlight w:val="none"/>
          <w:lang w:eastAsia="zh-CN"/>
        </w:rPr>
      </w:pPr>
      <w:r>
        <w:rPr>
          <w:rFonts w:hint="eastAsia" w:ascii="宋体" w:hAnsi="宋体" w:cs="宋体"/>
          <w:color w:val="auto"/>
          <w:spacing w:val="-4"/>
          <w:szCs w:val="21"/>
          <w:highlight w:val="none"/>
        </w:rPr>
        <w:t>致：</w:t>
      </w:r>
      <w:r>
        <w:rPr>
          <w:rFonts w:hint="eastAsia" w:ascii="宋体" w:hAnsi="宋体" w:cs="宋体"/>
          <w:color w:val="auto"/>
          <w:spacing w:val="-4"/>
          <w:szCs w:val="21"/>
          <w:highlight w:val="none"/>
          <w:lang w:eastAsia="zh-CN"/>
        </w:rPr>
        <w:t>舟山市定海区人民政府办公室</w:t>
      </w:r>
    </w:p>
    <w:p w14:paraId="7899E77D">
      <w:pPr>
        <w:spacing w:line="360" w:lineRule="auto"/>
        <w:ind w:right="-89" w:firstLine="420" w:firstLineChars="200"/>
        <w:jc w:val="left"/>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浙江天勤信息技术监理有限公司</w:t>
      </w:r>
    </w:p>
    <w:p w14:paraId="217BF1B7">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我</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（姓名）系</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w:t>
      </w:r>
      <w:r>
        <w:rPr>
          <w:rFonts w:hint="eastAsia" w:ascii="宋体" w:hAnsi="宋体" w:cs="宋体"/>
          <w:color w:val="auto"/>
          <w:spacing w:val="-4"/>
          <w:szCs w:val="21"/>
          <w:highlight w:val="none"/>
          <w:lang w:eastAsia="zh-CN"/>
        </w:rPr>
        <w:t>响应人</w:t>
      </w:r>
      <w:r>
        <w:rPr>
          <w:rFonts w:hint="eastAsia" w:ascii="宋体" w:hAnsi="宋体" w:cs="宋体"/>
          <w:color w:val="auto"/>
          <w:spacing w:val="-4"/>
          <w:szCs w:val="21"/>
          <w:highlight w:val="none"/>
        </w:rPr>
        <w:t>名称）的法定代表人，现授权委托本单位在职职工</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（姓名）(身份证号码：</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)以我方的名义参加</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（项目名称）（项目编号）的投标活动，并代表我方全权办理针对上述项目的投标、开标、评标、签约等具体事务和签署相关文件。</w:t>
      </w:r>
    </w:p>
    <w:p w14:paraId="3D48059D">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我方对被授权人的签名负全部责任。</w:t>
      </w:r>
    </w:p>
    <w:p w14:paraId="0A3508AF">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在撤销授权的书面通知以前，本授权函一直有效。被授权人在授权函有效期内签署的所有文件不因授权的撤销而失效。</w:t>
      </w:r>
    </w:p>
    <w:p w14:paraId="72C92F06">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被授权人无转委托权，特此委托。</w:t>
      </w:r>
    </w:p>
    <w:p w14:paraId="5E550B3B">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被授权人（</w:t>
      </w:r>
      <w:r>
        <w:rPr>
          <w:rFonts w:hint="eastAsia" w:ascii="宋体" w:hAnsi="宋体" w:cs="宋体"/>
          <w:color w:val="auto"/>
          <w:spacing w:val="-4"/>
          <w:szCs w:val="21"/>
          <w:highlight w:val="none"/>
        </w:rPr>
        <w:t>签字或盖章</w:t>
      </w:r>
      <w:r>
        <w:rPr>
          <w:rFonts w:hint="eastAsia" w:ascii="宋体" w:hAnsi="宋体" w:cs="宋体"/>
          <w:color w:val="auto"/>
          <w:spacing w:val="-4"/>
          <w:szCs w:val="21"/>
          <w:highlight w:val="none"/>
        </w:rPr>
        <w:t xml:space="preserve">）：                           法定代表人（签字或盖章）：          </w:t>
      </w:r>
    </w:p>
    <w:p w14:paraId="446A3BC7">
      <w:pPr>
        <w:spacing w:line="360" w:lineRule="auto"/>
        <w:ind w:right="-89" w:firstLine="404" w:firstLineChars="200"/>
        <w:jc w:val="left"/>
        <w:rPr>
          <w:rFonts w:ascii="宋体" w:hAnsi="宋体" w:cs="宋体"/>
          <w:color w:val="auto"/>
          <w:spacing w:val="-4"/>
          <w:szCs w:val="21"/>
          <w:highlight w:val="none"/>
        </w:rPr>
      </w:pPr>
      <w:r>
        <w:rPr>
          <w:rFonts w:hint="eastAsia" w:ascii="宋体" w:hAnsi="宋体" w:cs="宋体"/>
          <w:color w:val="auto"/>
          <w:spacing w:val="-4"/>
          <w:szCs w:val="21"/>
          <w:highlight w:val="none"/>
        </w:rPr>
        <w:t xml:space="preserve">被授权人联系电话：                          </w:t>
      </w:r>
      <w:r>
        <w:rPr>
          <w:rFonts w:ascii="宋体" w:hAnsi="宋体" w:cs="宋体"/>
          <w:color w:val="auto"/>
          <w:spacing w:val="-4"/>
          <w:szCs w:val="21"/>
          <w:highlight w:val="none"/>
        </w:rPr>
        <w:t xml:space="preserve"> </w:t>
      </w:r>
      <w:r>
        <w:rPr>
          <w:rFonts w:hint="eastAsia" w:ascii="宋体" w:hAnsi="宋体" w:cs="宋体"/>
          <w:color w:val="auto"/>
          <w:spacing w:val="-4"/>
          <w:szCs w:val="21"/>
          <w:highlight w:val="none"/>
          <w:lang w:val="en-US" w:eastAsia="zh-CN"/>
        </w:rPr>
        <w:t xml:space="preserve">     </w:t>
      </w:r>
      <w:bookmarkStart w:id="5" w:name="_GoBack"/>
      <w:bookmarkEnd w:id="5"/>
      <w:r>
        <w:rPr>
          <w:rFonts w:hint="eastAsia" w:ascii="宋体" w:hAnsi="宋体" w:cs="宋体"/>
          <w:color w:val="auto"/>
          <w:spacing w:val="-4"/>
          <w:szCs w:val="21"/>
          <w:highlight w:val="none"/>
          <w:lang w:val="en-US" w:eastAsia="zh-CN"/>
        </w:rPr>
        <w:t xml:space="preserve"> </w:t>
      </w:r>
      <w:r>
        <w:rPr>
          <w:rFonts w:hint="eastAsia" w:ascii="宋体" w:hAnsi="宋体" w:cs="宋体"/>
          <w:color w:val="auto"/>
          <w:spacing w:val="-4"/>
          <w:szCs w:val="21"/>
          <w:highlight w:val="none"/>
        </w:rPr>
        <w:t>法定代表人联系电话：</w:t>
      </w:r>
    </w:p>
    <w:p w14:paraId="004CD0A4">
      <w:pPr>
        <w:spacing w:line="360" w:lineRule="auto"/>
        <w:ind w:right="-89" w:firstLine="4444" w:firstLineChars="2200"/>
        <w:jc w:val="left"/>
        <w:rPr>
          <w:rFonts w:ascii="宋体" w:hAnsi="宋体" w:cs="宋体"/>
          <w:color w:val="auto"/>
          <w:spacing w:val="-4"/>
          <w:szCs w:val="21"/>
          <w:highlight w:val="none"/>
        </w:rPr>
      </w:pPr>
    </w:p>
    <w:p w14:paraId="2587ABF2">
      <w:pPr>
        <w:spacing w:line="360" w:lineRule="auto"/>
        <w:ind w:right="-89" w:firstLine="4444" w:firstLineChars="2200"/>
        <w:jc w:val="left"/>
        <w:rPr>
          <w:rFonts w:ascii="宋体" w:hAnsi="宋体" w:cs="宋体"/>
          <w:color w:val="auto"/>
          <w:spacing w:val="-4"/>
          <w:szCs w:val="21"/>
          <w:highlight w:val="none"/>
        </w:rPr>
      </w:pPr>
    </w:p>
    <w:p w14:paraId="2362F38A">
      <w:pPr>
        <w:spacing w:line="360" w:lineRule="auto"/>
        <w:ind w:right="-89" w:firstLine="4444" w:firstLineChars="2200"/>
        <w:jc w:val="left"/>
        <w:rPr>
          <w:rFonts w:ascii="宋体" w:hAnsi="宋体" w:cs="宋体"/>
          <w:color w:val="auto"/>
          <w:spacing w:val="-4"/>
          <w:szCs w:val="21"/>
          <w:highlight w:val="none"/>
        </w:rPr>
      </w:pPr>
      <w:r>
        <w:rPr>
          <w:rFonts w:hint="eastAsia" w:ascii="宋体" w:hAnsi="宋体" w:cs="宋体"/>
          <w:color w:val="auto"/>
          <w:spacing w:val="-4"/>
          <w:szCs w:val="21"/>
          <w:highlight w:val="none"/>
        </w:rPr>
        <w:t xml:space="preserve">                              </w:t>
      </w:r>
      <w:r>
        <w:rPr>
          <w:rFonts w:hint="eastAsia" w:ascii="宋体" w:hAnsi="宋体" w:cs="宋体"/>
          <w:color w:val="auto"/>
          <w:spacing w:val="-4"/>
          <w:szCs w:val="21"/>
          <w:highlight w:val="none"/>
          <w:lang w:eastAsia="zh-CN"/>
        </w:rPr>
        <w:t>响应人</w:t>
      </w:r>
      <w:r>
        <w:rPr>
          <w:rFonts w:hint="eastAsia" w:ascii="宋体" w:hAnsi="宋体" w:cs="宋体"/>
          <w:color w:val="auto"/>
          <w:spacing w:val="-4"/>
          <w:szCs w:val="21"/>
          <w:highlight w:val="none"/>
        </w:rPr>
        <w:t>公章：</w:t>
      </w:r>
    </w:p>
    <w:p w14:paraId="0FB41123">
      <w:pPr>
        <w:spacing w:line="360" w:lineRule="auto"/>
        <w:rPr>
          <w:rFonts w:ascii="宋体" w:hAnsi="宋体" w:cs="宋体"/>
          <w:color w:val="auto"/>
          <w:spacing w:val="-4"/>
          <w:szCs w:val="21"/>
          <w:highlight w:val="none"/>
        </w:rPr>
      </w:pPr>
      <w:r>
        <w:rPr>
          <w:rFonts w:hint="eastAsia" w:ascii="宋体" w:hAnsi="宋体" w:cs="宋体"/>
          <w:color w:val="auto"/>
          <w:spacing w:val="-4"/>
          <w:szCs w:val="21"/>
          <w:highlight w:val="none"/>
        </w:rPr>
        <w:t xml:space="preserve">                                                                   </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 xml:space="preserve"> 年</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月</w:t>
      </w:r>
      <w:r>
        <w:rPr>
          <w:rFonts w:hint="eastAsia" w:ascii="宋体" w:hAnsi="宋体" w:cs="宋体"/>
          <w:color w:val="auto"/>
          <w:spacing w:val="-4"/>
          <w:szCs w:val="21"/>
          <w:highlight w:val="none"/>
          <w:u w:val="single"/>
        </w:rPr>
        <w:t xml:space="preserve">    </w:t>
      </w:r>
      <w:r>
        <w:rPr>
          <w:rFonts w:hint="eastAsia" w:ascii="宋体" w:hAnsi="宋体" w:cs="宋体"/>
          <w:color w:val="auto"/>
          <w:spacing w:val="-4"/>
          <w:szCs w:val="21"/>
          <w:highlight w:val="none"/>
        </w:rPr>
        <w:t>日</w:t>
      </w:r>
    </w:p>
    <w:p w14:paraId="774FDBB8">
      <w:pPr>
        <w:spacing w:line="360" w:lineRule="auto"/>
        <w:rPr>
          <w:rFonts w:ascii="宋体" w:hAnsi="宋体" w:cs="宋体"/>
          <w:color w:val="auto"/>
          <w:spacing w:val="-4"/>
          <w:szCs w:val="21"/>
          <w:highlight w:val="none"/>
        </w:rPr>
      </w:pPr>
    </w:p>
    <w:p w14:paraId="3094314C">
      <w:pPr>
        <w:adjustRightInd w:val="0"/>
        <w:spacing w:line="360" w:lineRule="auto"/>
        <w:textAlignment w:val="baseline"/>
        <w:rPr>
          <w:rFonts w:ascii="宋体" w:hAnsi="宋体" w:cs="宋体"/>
          <w:b/>
          <w:color w:val="auto"/>
          <w:spacing w:val="20"/>
          <w:szCs w:val="21"/>
          <w:highlight w:val="none"/>
        </w:rPr>
      </w:pPr>
    </w:p>
    <w:p w14:paraId="5D9BFA20">
      <w:pPr>
        <w:adjustRightInd w:val="0"/>
        <w:spacing w:line="360" w:lineRule="auto"/>
        <w:textAlignment w:val="baseline"/>
        <w:rPr>
          <w:rFonts w:ascii="宋体" w:hAnsi="宋体" w:cs="宋体"/>
          <w:b/>
          <w:color w:val="auto"/>
          <w:spacing w:val="20"/>
          <w:kern w:val="0"/>
          <w:szCs w:val="21"/>
          <w:highlight w:val="none"/>
        </w:rPr>
      </w:pPr>
    </w:p>
    <w:p w14:paraId="48632A78">
      <w:pPr>
        <w:snapToGrid w:val="0"/>
        <w:spacing w:line="360" w:lineRule="auto"/>
        <w:ind w:firstLine="415" w:firstLineChars="198"/>
        <w:rPr>
          <w:rFonts w:ascii="宋体" w:hAnsi="宋体" w:cs="宋体"/>
          <w:color w:val="auto"/>
          <w:szCs w:val="21"/>
          <w:highlight w:val="none"/>
        </w:rPr>
      </w:pPr>
    </w:p>
    <w:p w14:paraId="023D5D08">
      <w:pPr>
        <w:adjustRightInd w:val="0"/>
        <w:spacing w:line="360" w:lineRule="auto"/>
        <w:textAlignment w:val="baseline"/>
        <w:rPr>
          <w:rFonts w:ascii="宋体" w:hAnsi="宋体" w:cs="宋体"/>
          <w:b/>
          <w:color w:val="auto"/>
          <w:spacing w:val="20"/>
          <w:kern w:val="0"/>
          <w:szCs w:val="21"/>
          <w:highlight w:val="none"/>
        </w:rPr>
      </w:pPr>
    </w:p>
    <w:p w14:paraId="6CD3DABC">
      <w:pPr>
        <w:adjustRightInd w:val="0"/>
        <w:spacing w:line="360" w:lineRule="auto"/>
        <w:textAlignment w:val="baseline"/>
        <w:rPr>
          <w:rFonts w:ascii="宋体" w:hAnsi="宋体" w:cs="宋体"/>
          <w:b/>
          <w:color w:val="auto"/>
          <w:spacing w:val="20"/>
          <w:kern w:val="0"/>
          <w:szCs w:val="21"/>
          <w:highlight w:val="none"/>
        </w:rPr>
      </w:pPr>
    </w:p>
    <w:p w14:paraId="133BBCBC">
      <w:pPr>
        <w:adjustRightInd w:val="0"/>
        <w:spacing w:line="360" w:lineRule="auto"/>
        <w:textAlignment w:val="baseline"/>
        <w:rPr>
          <w:rFonts w:ascii="宋体" w:hAnsi="宋体" w:cs="宋体"/>
          <w:b/>
          <w:color w:val="auto"/>
          <w:spacing w:val="20"/>
          <w:kern w:val="0"/>
          <w:szCs w:val="21"/>
          <w:highlight w:val="none"/>
        </w:rPr>
      </w:pPr>
    </w:p>
    <w:p w14:paraId="39686193">
      <w:pPr>
        <w:adjustRightInd w:val="0"/>
        <w:spacing w:line="360" w:lineRule="auto"/>
        <w:textAlignment w:val="baseline"/>
        <w:rPr>
          <w:rFonts w:ascii="宋体" w:hAnsi="宋体" w:cs="宋体"/>
          <w:b/>
          <w:color w:val="auto"/>
          <w:spacing w:val="20"/>
          <w:kern w:val="0"/>
          <w:szCs w:val="21"/>
          <w:highlight w:val="none"/>
        </w:rPr>
      </w:pPr>
    </w:p>
    <w:p w14:paraId="61D9F572">
      <w:pPr>
        <w:adjustRightInd w:val="0"/>
        <w:spacing w:line="360" w:lineRule="auto"/>
        <w:textAlignment w:val="baseline"/>
        <w:rPr>
          <w:rFonts w:ascii="宋体" w:hAnsi="宋体" w:cs="宋体"/>
          <w:b/>
          <w:color w:val="auto"/>
          <w:spacing w:val="20"/>
          <w:kern w:val="0"/>
          <w:szCs w:val="21"/>
          <w:highlight w:val="none"/>
        </w:rPr>
      </w:pPr>
    </w:p>
    <w:p w14:paraId="32479B56">
      <w:pPr>
        <w:adjustRightInd w:val="0"/>
        <w:spacing w:line="360" w:lineRule="auto"/>
        <w:textAlignment w:val="baseline"/>
        <w:rPr>
          <w:rFonts w:ascii="宋体" w:hAnsi="宋体" w:cs="宋体"/>
          <w:b/>
          <w:color w:val="auto"/>
          <w:spacing w:val="20"/>
          <w:kern w:val="0"/>
          <w:szCs w:val="21"/>
          <w:highlight w:val="none"/>
        </w:rPr>
      </w:pPr>
    </w:p>
    <w:p w14:paraId="58B18741">
      <w:pPr>
        <w:rPr>
          <w:rFonts w:hint="eastAsia" w:ascii="宋体" w:hAnsi="宋体" w:cs="宋体"/>
          <w:b/>
          <w:color w:val="auto"/>
          <w:spacing w:val="20"/>
          <w:kern w:val="0"/>
          <w:szCs w:val="21"/>
          <w:highlight w:val="none"/>
          <w:lang w:val="en-US" w:eastAsia="zh-CN"/>
        </w:rPr>
      </w:pPr>
      <w:r>
        <w:rPr>
          <w:rFonts w:hint="eastAsia" w:ascii="宋体" w:hAnsi="宋体" w:cs="宋体"/>
          <w:b/>
          <w:color w:val="auto"/>
          <w:spacing w:val="20"/>
          <w:kern w:val="0"/>
          <w:szCs w:val="21"/>
          <w:highlight w:val="none"/>
          <w:lang w:val="en-US" w:eastAsia="zh-CN"/>
        </w:rPr>
        <w:br w:type="page"/>
      </w:r>
    </w:p>
    <w:p w14:paraId="0E4D48DB">
      <w:pPr>
        <w:spacing w:line="360" w:lineRule="auto"/>
        <w:outlineLvl w:val="2"/>
        <w:rPr>
          <w:szCs w:val="21"/>
          <w:highlight w:val="none"/>
        </w:rPr>
      </w:pPr>
      <w:r>
        <w:rPr>
          <w:rFonts w:hint="eastAsia" w:ascii="宋体" w:hAnsi="宋体" w:cs="宋体"/>
          <w:b/>
          <w:szCs w:val="21"/>
          <w:highlight w:val="none"/>
        </w:rPr>
        <w:t>格式七、相关业绩</w:t>
      </w:r>
      <w:r>
        <w:rPr>
          <w:rFonts w:hint="eastAsia" w:ascii="宋体" w:hAnsi="宋体" w:cs="宋体"/>
          <w:b/>
          <w:bCs/>
          <w:szCs w:val="21"/>
          <w:highlight w:val="none"/>
        </w:rPr>
        <w:t>（格式仅供参考）</w:t>
      </w:r>
    </w:p>
    <w:tbl>
      <w:tblPr>
        <w:tblStyle w:val="26"/>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3"/>
        <w:gridCol w:w="1585"/>
        <w:gridCol w:w="3291"/>
        <w:gridCol w:w="1225"/>
        <w:gridCol w:w="1585"/>
        <w:gridCol w:w="1093"/>
      </w:tblGrid>
      <w:tr w14:paraId="67346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2" w:type="dxa"/>
            <w:noWrap w:val="0"/>
            <w:vAlign w:val="center"/>
          </w:tcPr>
          <w:p w14:paraId="2603EA13">
            <w:pPr>
              <w:keepNext w:val="0"/>
              <w:keepLines w:val="0"/>
              <w:suppressLineNumbers w:val="0"/>
              <w:spacing w:before="0" w:beforeAutospacing="0" w:after="0" w:afterAutospacing="0" w:line="480" w:lineRule="auto"/>
              <w:ind w:left="0" w:right="0"/>
              <w:jc w:val="center"/>
              <w:rPr>
                <w:rFonts w:hint="default" w:ascii="宋体" w:hAnsi="宋体" w:cs="宋体"/>
                <w:b/>
                <w:szCs w:val="21"/>
                <w:highlight w:val="none"/>
              </w:rPr>
            </w:pPr>
            <w:r>
              <w:rPr>
                <w:rFonts w:hint="eastAsia" w:ascii="宋体" w:hAnsi="宋体" w:cs="宋体"/>
                <w:b/>
                <w:szCs w:val="21"/>
                <w:highlight w:val="none"/>
              </w:rPr>
              <w:t>序号</w:t>
            </w:r>
          </w:p>
        </w:tc>
        <w:tc>
          <w:tcPr>
            <w:tcW w:w="1645" w:type="dxa"/>
            <w:noWrap w:val="0"/>
            <w:vAlign w:val="center"/>
          </w:tcPr>
          <w:p w14:paraId="3B40915E">
            <w:pPr>
              <w:keepNext w:val="0"/>
              <w:keepLines w:val="0"/>
              <w:suppressLineNumbers w:val="0"/>
              <w:spacing w:before="0" w:beforeAutospacing="0" w:after="0" w:afterAutospacing="0" w:line="480" w:lineRule="auto"/>
              <w:ind w:left="0" w:right="0"/>
              <w:jc w:val="center"/>
              <w:rPr>
                <w:rFonts w:hint="default" w:ascii="宋体" w:hAnsi="宋体" w:cs="宋体"/>
                <w:b/>
                <w:szCs w:val="21"/>
                <w:highlight w:val="none"/>
              </w:rPr>
            </w:pPr>
            <w:r>
              <w:rPr>
                <w:rFonts w:hint="eastAsia" w:ascii="宋体" w:hAnsi="宋体" w:cs="宋体"/>
                <w:b/>
                <w:szCs w:val="21"/>
                <w:highlight w:val="none"/>
              </w:rPr>
              <w:t>业主名称</w:t>
            </w:r>
          </w:p>
        </w:tc>
        <w:tc>
          <w:tcPr>
            <w:tcW w:w="3440" w:type="dxa"/>
            <w:noWrap w:val="0"/>
            <w:vAlign w:val="center"/>
          </w:tcPr>
          <w:p w14:paraId="1673D390">
            <w:pPr>
              <w:keepNext w:val="0"/>
              <w:keepLines w:val="0"/>
              <w:suppressLineNumbers w:val="0"/>
              <w:spacing w:before="0" w:beforeAutospacing="0" w:after="0" w:afterAutospacing="0" w:line="480" w:lineRule="auto"/>
              <w:ind w:left="0" w:right="0"/>
              <w:jc w:val="center"/>
              <w:rPr>
                <w:rFonts w:hint="default" w:ascii="宋体" w:hAnsi="宋体" w:cs="宋体"/>
                <w:b/>
                <w:szCs w:val="21"/>
                <w:highlight w:val="none"/>
              </w:rPr>
            </w:pPr>
            <w:r>
              <w:rPr>
                <w:rFonts w:hint="eastAsia" w:ascii="宋体" w:hAnsi="宋体" w:cs="宋体"/>
                <w:b/>
                <w:szCs w:val="21"/>
                <w:highlight w:val="none"/>
              </w:rPr>
              <w:t>项目名称</w:t>
            </w:r>
          </w:p>
        </w:tc>
        <w:tc>
          <w:tcPr>
            <w:tcW w:w="1266" w:type="dxa"/>
            <w:noWrap w:val="0"/>
            <w:vAlign w:val="center"/>
          </w:tcPr>
          <w:p w14:paraId="1587CA7C">
            <w:pPr>
              <w:keepNext w:val="0"/>
              <w:keepLines w:val="0"/>
              <w:suppressLineNumbers w:val="0"/>
              <w:spacing w:before="0" w:beforeAutospacing="0" w:after="0" w:afterAutospacing="0" w:line="480" w:lineRule="auto"/>
              <w:ind w:left="0" w:right="0"/>
              <w:jc w:val="center"/>
              <w:rPr>
                <w:rFonts w:hint="default" w:ascii="宋体" w:hAnsi="宋体" w:cs="宋体"/>
                <w:b/>
                <w:szCs w:val="21"/>
                <w:highlight w:val="none"/>
              </w:rPr>
            </w:pPr>
            <w:r>
              <w:rPr>
                <w:rFonts w:hint="eastAsia" w:ascii="宋体" w:hAnsi="宋体" w:cs="宋体"/>
                <w:b/>
                <w:szCs w:val="21"/>
                <w:highlight w:val="none"/>
              </w:rPr>
              <w:t>签订日期</w:t>
            </w:r>
          </w:p>
        </w:tc>
        <w:tc>
          <w:tcPr>
            <w:tcW w:w="1645" w:type="dxa"/>
            <w:noWrap w:val="0"/>
            <w:vAlign w:val="center"/>
          </w:tcPr>
          <w:p w14:paraId="5EDAF12E">
            <w:pPr>
              <w:keepNext w:val="0"/>
              <w:keepLines w:val="0"/>
              <w:suppressLineNumbers w:val="0"/>
              <w:spacing w:before="0" w:beforeAutospacing="0" w:after="0" w:afterAutospacing="0" w:line="480" w:lineRule="auto"/>
              <w:ind w:left="0" w:right="0"/>
              <w:jc w:val="center"/>
              <w:rPr>
                <w:rFonts w:hint="default" w:ascii="宋体" w:hAnsi="宋体" w:cs="宋体"/>
                <w:b/>
                <w:szCs w:val="21"/>
                <w:highlight w:val="none"/>
              </w:rPr>
            </w:pPr>
            <w:r>
              <w:rPr>
                <w:rFonts w:hint="eastAsia" w:ascii="宋体" w:hAnsi="宋体" w:cs="宋体"/>
                <w:b/>
                <w:szCs w:val="21"/>
                <w:highlight w:val="none"/>
              </w:rPr>
              <w:t>业主联系人及联系方式</w:t>
            </w:r>
          </w:p>
        </w:tc>
        <w:tc>
          <w:tcPr>
            <w:tcW w:w="1128" w:type="dxa"/>
            <w:noWrap w:val="0"/>
            <w:vAlign w:val="center"/>
          </w:tcPr>
          <w:p w14:paraId="63A12B82">
            <w:pPr>
              <w:keepNext w:val="0"/>
              <w:keepLines w:val="0"/>
              <w:suppressLineNumbers w:val="0"/>
              <w:snapToGrid w:val="0"/>
              <w:spacing w:before="0" w:beforeAutospacing="0" w:after="0" w:afterAutospacing="0" w:line="480" w:lineRule="auto"/>
              <w:ind w:left="0" w:right="0"/>
              <w:jc w:val="center"/>
              <w:rPr>
                <w:rFonts w:hint="default" w:ascii="宋体" w:hAnsi="宋体" w:cs="宋体"/>
                <w:b/>
                <w:szCs w:val="21"/>
                <w:highlight w:val="none"/>
              </w:rPr>
            </w:pPr>
            <w:r>
              <w:rPr>
                <w:rFonts w:hint="eastAsia" w:ascii="宋体" w:hAnsi="宋体" w:cs="宋体"/>
                <w:b/>
                <w:szCs w:val="21"/>
                <w:highlight w:val="none"/>
              </w:rPr>
              <w:t>附件</w:t>
            </w:r>
          </w:p>
          <w:p w14:paraId="70705D33">
            <w:pPr>
              <w:keepNext w:val="0"/>
              <w:keepLines w:val="0"/>
              <w:suppressLineNumbers w:val="0"/>
              <w:snapToGrid w:val="0"/>
              <w:spacing w:before="0" w:beforeAutospacing="0" w:after="0" w:afterAutospacing="0" w:line="480" w:lineRule="auto"/>
              <w:ind w:left="0" w:right="0"/>
              <w:jc w:val="center"/>
              <w:rPr>
                <w:rFonts w:hint="default" w:ascii="宋体" w:hAnsi="宋体" w:cs="宋体"/>
                <w:b/>
                <w:szCs w:val="21"/>
                <w:highlight w:val="none"/>
              </w:rPr>
            </w:pPr>
            <w:r>
              <w:rPr>
                <w:rFonts w:hint="eastAsia" w:ascii="宋体" w:hAnsi="宋体" w:cs="宋体"/>
                <w:b/>
                <w:szCs w:val="21"/>
                <w:highlight w:val="none"/>
              </w:rPr>
              <w:t>页码</w:t>
            </w:r>
          </w:p>
        </w:tc>
      </w:tr>
      <w:tr w14:paraId="2D5A1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2" w:type="dxa"/>
            <w:noWrap w:val="0"/>
            <w:vAlign w:val="top"/>
          </w:tcPr>
          <w:p w14:paraId="6A0C755D">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645" w:type="dxa"/>
            <w:noWrap w:val="0"/>
            <w:vAlign w:val="top"/>
          </w:tcPr>
          <w:p w14:paraId="43A55597">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3440" w:type="dxa"/>
            <w:noWrap w:val="0"/>
            <w:vAlign w:val="top"/>
          </w:tcPr>
          <w:p w14:paraId="4AB395E8">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266" w:type="dxa"/>
            <w:noWrap w:val="0"/>
            <w:vAlign w:val="top"/>
          </w:tcPr>
          <w:p w14:paraId="17A95173">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645" w:type="dxa"/>
            <w:noWrap w:val="0"/>
            <w:vAlign w:val="top"/>
          </w:tcPr>
          <w:p w14:paraId="740DB2BA">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128" w:type="dxa"/>
            <w:noWrap w:val="0"/>
            <w:vAlign w:val="top"/>
          </w:tcPr>
          <w:p w14:paraId="7AE827A5">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r>
      <w:tr w14:paraId="4D0D8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2" w:type="dxa"/>
            <w:noWrap w:val="0"/>
            <w:vAlign w:val="top"/>
          </w:tcPr>
          <w:p w14:paraId="16FE8EBE">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645" w:type="dxa"/>
            <w:noWrap w:val="0"/>
            <w:vAlign w:val="top"/>
          </w:tcPr>
          <w:p w14:paraId="72031C9E">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3440" w:type="dxa"/>
            <w:noWrap w:val="0"/>
            <w:vAlign w:val="top"/>
          </w:tcPr>
          <w:p w14:paraId="2E8ED1E0">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266" w:type="dxa"/>
            <w:noWrap w:val="0"/>
            <w:vAlign w:val="top"/>
          </w:tcPr>
          <w:p w14:paraId="3EFEA89B">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645" w:type="dxa"/>
            <w:noWrap w:val="0"/>
            <w:vAlign w:val="top"/>
          </w:tcPr>
          <w:p w14:paraId="673C149E">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128" w:type="dxa"/>
            <w:noWrap w:val="0"/>
            <w:vAlign w:val="top"/>
          </w:tcPr>
          <w:p w14:paraId="64D8B259">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r>
      <w:tr w14:paraId="12405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2" w:type="dxa"/>
            <w:noWrap w:val="0"/>
            <w:vAlign w:val="top"/>
          </w:tcPr>
          <w:p w14:paraId="32D77492">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645" w:type="dxa"/>
            <w:noWrap w:val="0"/>
            <w:vAlign w:val="top"/>
          </w:tcPr>
          <w:p w14:paraId="68B62C35">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3440" w:type="dxa"/>
            <w:noWrap w:val="0"/>
            <w:vAlign w:val="top"/>
          </w:tcPr>
          <w:p w14:paraId="302BA984">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266" w:type="dxa"/>
            <w:noWrap w:val="0"/>
            <w:vAlign w:val="top"/>
          </w:tcPr>
          <w:p w14:paraId="33AB148B">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645" w:type="dxa"/>
            <w:noWrap w:val="0"/>
            <w:vAlign w:val="top"/>
          </w:tcPr>
          <w:p w14:paraId="70A61901">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128" w:type="dxa"/>
            <w:noWrap w:val="0"/>
            <w:vAlign w:val="top"/>
          </w:tcPr>
          <w:p w14:paraId="7D8B86D9">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r>
      <w:tr w14:paraId="15875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2" w:type="dxa"/>
            <w:noWrap w:val="0"/>
            <w:vAlign w:val="top"/>
          </w:tcPr>
          <w:p w14:paraId="73DC529D">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645" w:type="dxa"/>
            <w:noWrap w:val="0"/>
            <w:vAlign w:val="top"/>
          </w:tcPr>
          <w:p w14:paraId="76087794">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3440" w:type="dxa"/>
            <w:noWrap w:val="0"/>
            <w:vAlign w:val="top"/>
          </w:tcPr>
          <w:p w14:paraId="07D90B80">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266" w:type="dxa"/>
            <w:noWrap w:val="0"/>
            <w:vAlign w:val="top"/>
          </w:tcPr>
          <w:p w14:paraId="63CFF337">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645" w:type="dxa"/>
            <w:noWrap w:val="0"/>
            <w:vAlign w:val="top"/>
          </w:tcPr>
          <w:p w14:paraId="11E46A69">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c>
          <w:tcPr>
            <w:tcW w:w="1128" w:type="dxa"/>
            <w:noWrap w:val="0"/>
            <w:vAlign w:val="top"/>
          </w:tcPr>
          <w:p w14:paraId="6BC5FEB7">
            <w:pPr>
              <w:keepNext w:val="0"/>
              <w:keepLines w:val="0"/>
              <w:suppressLineNumbers w:val="0"/>
              <w:spacing w:before="0" w:beforeAutospacing="0" w:after="0" w:afterAutospacing="0" w:line="480" w:lineRule="auto"/>
              <w:ind w:left="0" w:right="0"/>
              <w:rPr>
                <w:rFonts w:hint="default" w:ascii="宋体" w:hAnsi="宋体" w:cs="宋体"/>
                <w:b/>
                <w:szCs w:val="21"/>
                <w:highlight w:val="none"/>
              </w:rPr>
            </w:pPr>
          </w:p>
        </w:tc>
      </w:tr>
    </w:tbl>
    <w:p w14:paraId="67857401">
      <w:pPr>
        <w:pStyle w:val="8"/>
        <w:rPr>
          <w:color w:val="auto"/>
          <w:highlight w:val="none"/>
        </w:rPr>
      </w:pPr>
    </w:p>
    <w:p w14:paraId="5B3ACB54">
      <w:pPr>
        <w:pStyle w:val="7"/>
        <w:rPr>
          <w:color w:val="auto"/>
          <w:highlight w:val="none"/>
        </w:rPr>
      </w:pPr>
    </w:p>
    <w:p w14:paraId="30B96252">
      <w:pPr>
        <w:rPr>
          <w:highlight w:val="none"/>
        </w:rPr>
      </w:pPr>
    </w:p>
    <w:p w14:paraId="44480CAB">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ascii="宋体" w:hAnsi="宋体" w:cs="宋体"/>
          <w:color w:val="auto"/>
          <w:szCs w:val="21"/>
          <w:highlight w:val="none"/>
        </w:rPr>
      </w:pPr>
      <w:r>
        <w:rPr>
          <w:rFonts w:hint="eastAsia" w:ascii="宋体" w:hAnsi="宋体" w:cs="宋体"/>
          <w:color w:val="auto"/>
          <w:szCs w:val="21"/>
          <w:highlight w:val="none"/>
          <w:lang w:eastAsia="zh-CN"/>
        </w:rPr>
        <w:t>响应人</w:t>
      </w:r>
      <w:r>
        <w:rPr>
          <w:rFonts w:hint="eastAsia" w:ascii="宋体" w:hAnsi="宋体" w:cs="宋体"/>
          <w:color w:val="auto"/>
          <w:szCs w:val="21"/>
          <w:highlight w:val="none"/>
        </w:rPr>
        <w:t>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（加盖公章）  </w:t>
      </w:r>
    </w:p>
    <w:p w14:paraId="4DE50401">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ascii="宋体" w:hAnsi="宋体" w:cs="宋体"/>
          <w:color w:val="auto"/>
          <w:szCs w:val="21"/>
          <w:highlight w:val="none"/>
        </w:rPr>
      </w:pPr>
      <w:r>
        <w:rPr>
          <w:rFonts w:hint="eastAsia" w:ascii="宋体" w:hAnsi="宋体" w:cs="宋体"/>
          <w:color w:val="auto"/>
          <w:szCs w:val="21"/>
          <w:highlight w:val="none"/>
          <w:lang w:eastAsia="zh-CN"/>
        </w:rPr>
        <w:t>响应人</w:t>
      </w:r>
      <w:r>
        <w:rPr>
          <w:rFonts w:hint="eastAsia" w:ascii="宋体" w:hAnsi="宋体" w:cs="宋体"/>
          <w:color w:val="auto"/>
          <w:szCs w:val="21"/>
          <w:highlight w:val="none"/>
        </w:rPr>
        <w:t>代表：</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r>
        <w:rPr>
          <w:rFonts w:hint="eastAsia" w:ascii="宋体" w:hAnsi="宋体" w:cs="宋体"/>
          <w:color w:val="auto"/>
          <w:spacing w:val="-4"/>
          <w:szCs w:val="21"/>
          <w:highlight w:val="none"/>
        </w:rPr>
        <w:t>签字或盖章</w:t>
      </w:r>
      <w:r>
        <w:rPr>
          <w:rFonts w:hint="eastAsia" w:ascii="宋体" w:hAnsi="宋体" w:cs="宋体"/>
          <w:color w:val="auto"/>
          <w:szCs w:val="21"/>
          <w:highlight w:val="none"/>
        </w:rPr>
        <w:t>）</w:t>
      </w:r>
    </w:p>
    <w:p w14:paraId="3CB9354E">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hint="eastAsia" w:ascii="宋体" w:hAnsi="宋体" w:cs="宋体"/>
          <w:color w:val="auto"/>
          <w:szCs w:val="21"/>
          <w:highlight w:val="none"/>
        </w:rPr>
      </w:pPr>
      <w:r>
        <w:rPr>
          <w:rFonts w:hint="eastAsia" w:ascii="宋体" w:hAnsi="宋体" w:cs="宋体"/>
          <w:color w:val="auto"/>
          <w:szCs w:val="21"/>
          <w:highlight w:val="none"/>
        </w:rPr>
        <w:t>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26465003">
      <w:pPr>
        <w:adjustRightInd w:val="0"/>
        <w:spacing w:line="360" w:lineRule="auto"/>
        <w:textAlignment w:val="baseline"/>
        <w:rPr>
          <w:rFonts w:ascii="宋体" w:hAnsi="宋体" w:cs="宋体"/>
          <w:b/>
          <w:color w:val="auto"/>
          <w:spacing w:val="20"/>
          <w:kern w:val="0"/>
          <w:szCs w:val="21"/>
          <w:highlight w:val="none"/>
        </w:rPr>
      </w:pPr>
    </w:p>
    <w:p w14:paraId="43D5470A">
      <w:pPr>
        <w:rPr>
          <w:rFonts w:hint="eastAsia" w:ascii="宋体" w:hAnsi="宋体" w:cs="宋体"/>
          <w:b/>
          <w:color w:val="auto"/>
          <w:spacing w:val="20"/>
          <w:kern w:val="0"/>
          <w:szCs w:val="21"/>
          <w:highlight w:val="none"/>
          <w:lang w:val="en-US" w:eastAsia="zh-CN"/>
        </w:rPr>
      </w:pPr>
      <w:r>
        <w:rPr>
          <w:rFonts w:hint="eastAsia" w:ascii="宋体" w:hAnsi="宋体" w:cs="宋体"/>
          <w:b/>
          <w:color w:val="auto"/>
          <w:spacing w:val="20"/>
          <w:kern w:val="0"/>
          <w:szCs w:val="21"/>
          <w:highlight w:val="none"/>
          <w:lang w:val="en-US" w:eastAsia="zh-CN"/>
        </w:rPr>
        <w:br w:type="page"/>
      </w:r>
    </w:p>
    <w:p w14:paraId="088822E7">
      <w:pPr>
        <w:snapToGrid w:val="0"/>
        <w:spacing w:before="50" w:after="156" w:afterLines="50"/>
        <w:jc w:val="left"/>
        <w:outlineLvl w:val="2"/>
        <w:rPr>
          <w:rFonts w:ascii="宋体" w:hAnsi="宋体" w:cs="宋体"/>
          <w:b/>
          <w:bCs/>
          <w:szCs w:val="21"/>
          <w:highlight w:val="none"/>
        </w:rPr>
      </w:pPr>
      <w:r>
        <w:rPr>
          <w:rFonts w:hint="eastAsia" w:ascii="宋体" w:hAnsi="宋体" w:cs="宋体"/>
          <w:b/>
          <w:bCs/>
          <w:szCs w:val="21"/>
          <w:highlight w:val="none"/>
        </w:rPr>
        <w:t>格式八、拟派项目团队（格式仅供参考）</w:t>
      </w:r>
    </w:p>
    <w:tbl>
      <w:tblPr>
        <w:tblStyle w:val="26"/>
        <w:tblW w:w="4998" w:type="pct"/>
        <w:jc w:val="center"/>
        <w:tblLayout w:type="autofit"/>
        <w:tblCellMar>
          <w:top w:w="57" w:type="dxa"/>
          <w:left w:w="57" w:type="dxa"/>
          <w:bottom w:w="57" w:type="dxa"/>
          <w:right w:w="57" w:type="dxa"/>
        </w:tblCellMar>
      </w:tblPr>
      <w:tblGrid>
        <w:gridCol w:w="715"/>
        <w:gridCol w:w="1117"/>
        <w:gridCol w:w="686"/>
        <w:gridCol w:w="823"/>
        <w:gridCol w:w="823"/>
        <w:gridCol w:w="961"/>
        <w:gridCol w:w="1098"/>
        <w:gridCol w:w="823"/>
        <w:gridCol w:w="1235"/>
        <w:gridCol w:w="1377"/>
      </w:tblGrid>
      <w:tr w14:paraId="07A9DD59">
        <w:tblPrEx>
          <w:tblCellMar>
            <w:top w:w="57" w:type="dxa"/>
            <w:left w:w="57" w:type="dxa"/>
            <w:bottom w:w="57" w:type="dxa"/>
            <w:right w:w="57" w:type="dxa"/>
          </w:tblCellMar>
        </w:tblPrEx>
        <w:trPr>
          <w:cantSplit/>
          <w:trHeight w:val="529" w:hRule="atLeast"/>
          <w:jc w:val="center"/>
        </w:trPr>
        <w:tc>
          <w:tcPr>
            <w:tcW w:w="370" w:type="pct"/>
            <w:tcBorders>
              <w:top w:val="single" w:color="auto" w:sz="4" w:space="0"/>
              <w:left w:val="single" w:color="auto" w:sz="4" w:space="0"/>
              <w:bottom w:val="single" w:color="auto" w:sz="4" w:space="0"/>
              <w:right w:val="single" w:color="auto" w:sz="4" w:space="0"/>
            </w:tcBorders>
            <w:noWrap w:val="0"/>
            <w:vAlign w:val="center"/>
          </w:tcPr>
          <w:p w14:paraId="4DDF36DA">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序号</w:t>
            </w:r>
          </w:p>
        </w:tc>
        <w:tc>
          <w:tcPr>
            <w:tcW w:w="578" w:type="pct"/>
            <w:tcBorders>
              <w:top w:val="single" w:color="auto" w:sz="4" w:space="0"/>
              <w:left w:val="single" w:color="auto" w:sz="4" w:space="0"/>
              <w:bottom w:val="single" w:color="auto" w:sz="4" w:space="0"/>
              <w:right w:val="single" w:color="auto" w:sz="4" w:space="0"/>
            </w:tcBorders>
            <w:noWrap w:val="0"/>
            <w:vAlign w:val="center"/>
          </w:tcPr>
          <w:p w14:paraId="55E38916">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姓 名</w:t>
            </w:r>
          </w:p>
        </w:tc>
        <w:tc>
          <w:tcPr>
            <w:tcW w:w="355" w:type="pct"/>
            <w:tcBorders>
              <w:top w:val="single" w:color="auto" w:sz="4" w:space="0"/>
              <w:left w:val="single" w:color="auto" w:sz="4" w:space="0"/>
              <w:bottom w:val="single" w:color="auto" w:sz="4" w:space="0"/>
              <w:right w:val="single" w:color="auto" w:sz="4" w:space="0"/>
            </w:tcBorders>
            <w:noWrap w:val="0"/>
            <w:vAlign w:val="center"/>
          </w:tcPr>
          <w:p w14:paraId="2DFA0B67">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性别</w:t>
            </w:r>
          </w:p>
        </w:tc>
        <w:tc>
          <w:tcPr>
            <w:tcW w:w="426" w:type="pct"/>
            <w:tcBorders>
              <w:top w:val="single" w:color="auto" w:sz="4" w:space="0"/>
              <w:left w:val="single" w:color="auto" w:sz="4" w:space="0"/>
              <w:bottom w:val="single" w:color="auto" w:sz="4" w:space="0"/>
              <w:right w:val="single" w:color="auto" w:sz="4" w:space="0"/>
            </w:tcBorders>
            <w:noWrap w:val="0"/>
            <w:vAlign w:val="center"/>
          </w:tcPr>
          <w:p w14:paraId="214F011A">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年龄</w:t>
            </w:r>
          </w:p>
        </w:tc>
        <w:tc>
          <w:tcPr>
            <w:tcW w:w="426" w:type="pct"/>
            <w:tcBorders>
              <w:top w:val="single" w:color="auto" w:sz="4" w:space="0"/>
              <w:left w:val="single" w:color="auto" w:sz="4" w:space="0"/>
              <w:bottom w:val="single" w:color="auto" w:sz="4" w:space="0"/>
              <w:right w:val="single" w:color="auto" w:sz="4" w:space="0"/>
            </w:tcBorders>
            <w:noWrap w:val="0"/>
            <w:vAlign w:val="center"/>
          </w:tcPr>
          <w:p w14:paraId="65BF3825">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学 历</w:t>
            </w:r>
          </w:p>
        </w:tc>
        <w:tc>
          <w:tcPr>
            <w:tcW w:w="497" w:type="pct"/>
            <w:tcBorders>
              <w:top w:val="single" w:color="auto" w:sz="4" w:space="0"/>
              <w:left w:val="single" w:color="auto" w:sz="4" w:space="0"/>
              <w:bottom w:val="single" w:color="auto" w:sz="4" w:space="0"/>
              <w:right w:val="single" w:color="auto" w:sz="4" w:space="0"/>
            </w:tcBorders>
            <w:noWrap w:val="0"/>
            <w:vAlign w:val="center"/>
          </w:tcPr>
          <w:p w14:paraId="5D00D2C6">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证书</w:t>
            </w:r>
          </w:p>
          <w:p w14:paraId="10A804F9">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名称</w:t>
            </w:r>
          </w:p>
        </w:tc>
        <w:tc>
          <w:tcPr>
            <w:tcW w:w="568" w:type="pct"/>
            <w:tcBorders>
              <w:top w:val="single" w:color="auto" w:sz="4" w:space="0"/>
              <w:left w:val="single" w:color="auto" w:sz="4" w:space="0"/>
              <w:bottom w:val="single" w:color="auto" w:sz="4" w:space="0"/>
              <w:right w:val="single" w:color="auto" w:sz="4" w:space="0"/>
            </w:tcBorders>
            <w:noWrap w:val="0"/>
            <w:vAlign w:val="center"/>
          </w:tcPr>
          <w:p w14:paraId="29AD9261">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证书编号</w:t>
            </w:r>
          </w:p>
        </w:tc>
        <w:tc>
          <w:tcPr>
            <w:tcW w:w="426" w:type="pct"/>
            <w:tcBorders>
              <w:top w:val="single" w:color="auto" w:sz="4" w:space="0"/>
              <w:left w:val="single" w:color="auto" w:sz="4" w:space="0"/>
              <w:bottom w:val="single" w:color="auto" w:sz="4" w:space="0"/>
              <w:right w:val="single" w:color="auto" w:sz="4" w:space="0"/>
            </w:tcBorders>
            <w:noWrap w:val="0"/>
            <w:vAlign w:val="center"/>
          </w:tcPr>
          <w:p w14:paraId="4D7BA2B0">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职称</w:t>
            </w:r>
          </w:p>
        </w:tc>
        <w:tc>
          <w:tcPr>
            <w:tcW w:w="639" w:type="pct"/>
            <w:tcBorders>
              <w:top w:val="single" w:color="auto" w:sz="4" w:space="0"/>
              <w:left w:val="single" w:color="auto" w:sz="4" w:space="0"/>
              <w:bottom w:val="single" w:color="auto" w:sz="4" w:space="0"/>
              <w:right w:val="single" w:color="auto" w:sz="4" w:space="0"/>
            </w:tcBorders>
            <w:noWrap w:val="0"/>
            <w:vAlign w:val="center"/>
          </w:tcPr>
          <w:p w14:paraId="701D804F">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拟任本项目职务</w:t>
            </w:r>
          </w:p>
        </w:tc>
        <w:tc>
          <w:tcPr>
            <w:tcW w:w="712" w:type="pct"/>
            <w:tcBorders>
              <w:top w:val="single" w:color="auto" w:sz="4" w:space="0"/>
              <w:left w:val="single" w:color="auto" w:sz="4" w:space="0"/>
              <w:bottom w:val="single" w:color="auto" w:sz="4" w:space="0"/>
              <w:right w:val="single" w:color="auto" w:sz="4" w:space="0"/>
            </w:tcBorders>
            <w:noWrap w:val="0"/>
            <w:vAlign w:val="center"/>
          </w:tcPr>
          <w:p w14:paraId="188C3620">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备注</w:t>
            </w:r>
          </w:p>
        </w:tc>
      </w:tr>
      <w:tr w14:paraId="24D2907B">
        <w:tblPrEx>
          <w:tblCellMar>
            <w:top w:w="57" w:type="dxa"/>
            <w:left w:w="57" w:type="dxa"/>
            <w:bottom w:w="57" w:type="dxa"/>
            <w:right w:w="57" w:type="dxa"/>
          </w:tblCellMar>
        </w:tblPrEx>
        <w:trPr>
          <w:cantSplit/>
          <w:trHeight w:val="1022" w:hRule="atLeast"/>
          <w:jc w:val="center"/>
        </w:trPr>
        <w:tc>
          <w:tcPr>
            <w:tcW w:w="370" w:type="pct"/>
            <w:tcBorders>
              <w:top w:val="single" w:color="auto" w:sz="4" w:space="0"/>
              <w:left w:val="single" w:color="auto" w:sz="4" w:space="0"/>
              <w:bottom w:val="single" w:color="auto" w:sz="4" w:space="0"/>
              <w:right w:val="single" w:color="auto" w:sz="4" w:space="0"/>
            </w:tcBorders>
            <w:noWrap w:val="0"/>
            <w:vAlign w:val="center"/>
          </w:tcPr>
          <w:p w14:paraId="68F78557">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1</w:t>
            </w:r>
          </w:p>
        </w:tc>
        <w:tc>
          <w:tcPr>
            <w:tcW w:w="578" w:type="pct"/>
            <w:tcBorders>
              <w:top w:val="single" w:color="auto" w:sz="4" w:space="0"/>
              <w:left w:val="single" w:color="auto" w:sz="4" w:space="0"/>
              <w:bottom w:val="single" w:color="auto" w:sz="4" w:space="0"/>
              <w:right w:val="single" w:color="auto" w:sz="4" w:space="0"/>
            </w:tcBorders>
            <w:noWrap w:val="0"/>
            <w:vAlign w:val="center"/>
          </w:tcPr>
          <w:p w14:paraId="1D13C65C">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15207BBD">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26FD756A">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35DB7399">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5B02F1B2">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4ED42DE8">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0F4357C8">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4228CA6F">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712" w:type="pct"/>
            <w:tcBorders>
              <w:top w:val="single" w:color="auto" w:sz="4" w:space="0"/>
              <w:left w:val="single" w:color="auto" w:sz="4" w:space="0"/>
              <w:bottom w:val="single" w:color="auto" w:sz="4" w:space="0"/>
              <w:right w:val="single" w:color="auto" w:sz="4" w:space="0"/>
            </w:tcBorders>
            <w:noWrap w:val="0"/>
            <w:vAlign w:val="center"/>
          </w:tcPr>
          <w:p w14:paraId="4B8F5FA3">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r>
      <w:tr w14:paraId="581C1374">
        <w:tblPrEx>
          <w:tblCellMar>
            <w:top w:w="57" w:type="dxa"/>
            <w:left w:w="57" w:type="dxa"/>
            <w:bottom w:w="57" w:type="dxa"/>
            <w:right w:w="57" w:type="dxa"/>
          </w:tblCellMar>
        </w:tblPrEx>
        <w:trPr>
          <w:cantSplit/>
          <w:trHeight w:val="955" w:hRule="atLeast"/>
          <w:jc w:val="center"/>
        </w:trPr>
        <w:tc>
          <w:tcPr>
            <w:tcW w:w="370" w:type="pct"/>
            <w:tcBorders>
              <w:top w:val="single" w:color="auto" w:sz="4" w:space="0"/>
              <w:left w:val="single" w:color="auto" w:sz="4" w:space="0"/>
              <w:bottom w:val="single" w:color="auto" w:sz="4" w:space="0"/>
              <w:right w:val="single" w:color="auto" w:sz="4" w:space="0"/>
            </w:tcBorders>
            <w:noWrap w:val="0"/>
            <w:vAlign w:val="center"/>
          </w:tcPr>
          <w:p w14:paraId="1A287473">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2</w:t>
            </w:r>
          </w:p>
        </w:tc>
        <w:tc>
          <w:tcPr>
            <w:tcW w:w="578" w:type="pct"/>
            <w:tcBorders>
              <w:top w:val="single" w:color="auto" w:sz="4" w:space="0"/>
              <w:left w:val="single" w:color="auto" w:sz="4" w:space="0"/>
              <w:bottom w:val="single" w:color="auto" w:sz="4" w:space="0"/>
              <w:right w:val="single" w:color="auto" w:sz="4" w:space="0"/>
            </w:tcBorders>
            <w:noWrap w:val="0"/>
            <w:vAlign w:val="center"/>
          </w:tcPr>
          <w:p w14:paraId="5B142F3D">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355" w:type="pct"/>
            <w:tcBorders>
              <w:top w:val="single" w:color="auto" w:sz="4" w:space="0"/>
              <w:left w:val="single" w:color="auto" w:sz="4" w:space="0"/>
              <w:bottom w:val="single" w:color="auto" w:sz="4" w:space="0"/>
              <w:right w:val="single" w:color="auto" w:sz="4" w:space="0"/>
            </w:tcBorders>
            <w:noWrap w:val="0"/>
            <w:vAlign w:val="center"/>
          </w:tcPr>
          <w:p w14:paraId="327E7249">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46ED88F9">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453C6A8E">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036358C0">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6BE5207B">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4B438509">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080C933D">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712" w:type="pct"/>
            <w:tcBorders>
              <w:top w:val="single" w:color="auto" w:sz="4" w:space="0"/>
              <w:left w:val="single" w:color="auto" w:sz="4" w:space="0"/>
              <w:bottom w:val="single" w:color="auto" w:sz="4" w:space="0"/>
              <w:right w:val="single" w:color="auto" w:sz="4" w:space="0"/>
            </w:tcBorders>
            <w:noWrap w:val="0"/>
            <w:vAlign w:val="center"/>
          </w:tcPr>
          <w:p w14:paraId="4BE33BEE">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r>
      <w:tr w14:paraId="787E957D">
        <w:tblPrEx>
          <w:tblCellMar>
            <w:top w:w="57" w:type="dxa"/>
            <w:left w:w="57" w:type="dxa"/>
            <w:bottom w:w="57" w:type="dxa"/>
            <w:right w:w="57" w:type="dxa"/>
          </w:tblCellMar>
        </w:tblPrEx>
        <w:trPr>
          <w:cantSplit/>
          <w:trHeight w:val="1154" w:hRule="atLeast"/>
          <w:jc w:val="center"/>
        </w:trPr>
        <w:tc>
          <w:tcPr>
            <w:tcW w:w="370" w:type="pct"/>
            <w:tcBorders>
              <w:top w:val="single" w:color="auto" w:sz="4" w:space="0"/>
              <w:left w:val="single" w:color="auto" w:sz="4" w:space="0"/>
              <w:bottom w:val="single" w:color="auto" w:sz="4" w:space="0"/>
              <w:right w:val="single" w:color="auto" w:sz="4" w:space="0"/>
            </w:tcBorders>
            <w:noWrap w:val="0"/>
            <w:vAlign w:val="center"/>
          </w:tcPr>
          <w:p w14:paraId="75CC0D10">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3</w:t>
            </w:r>
          </w:p>
        </w:tc>
        <w:tc>
          <w:tcPr>
            <w:tcW w:w="578" w:type="pct"/>
            <w:tcBorders>
              <w:top w:val="single" w:color="auto" w:sz="4" w:space="0"/>
              <w:left w:val="single" w:color="auto" w:sz="4" w:space="0"/>
              <w:bottom w:val="single" w:color="auto" w:sz="4" w:space="0"/>
              <w:right w:val="single" w:color="auto" w:sz="4" w:space="0"/>
            </w:tcBorders>
            <w:noWrap w:val="0"/>
            <w:vAlign w:val="center"/>
          </w:tcPr>
          <w:p w14:paraId="26B1367C">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r>
              <w:rPr>
                <w:rFonts w:hint="eastAsia" w:ascii="宋体" w:hAnsi="宋体" w:cs="宋体"/>
                <w:szCs w:val="21"/>
                <w:highlight w:val="none"/>
              </w:rPr>
              <w:t>......</w:t>
            </w:r>
          </w:p>
        </w:tc>
        <w:tc>
          <w:tcPr>
            <w:tcW w:w="355" w:type="pct"/>
            <w:tcBorders>
              <w:top w:val="single" w:color="auto" w:sz="4" w:space="0"/>
              <w:left w:val="single" w:color="auto" w:sz="4" w:space="0"/>
              <w:bottom w:val="single" w:color="auto" w:sz="4" w:space="0"/>
              <w:right w:val="single" w:color="auto" w:sz="4" w:space="0"/>
            </w:tcBorders>
            <w:noWrap w:val="0"/>
            <w:vAlign w:val="center"/>
          </w:tcPr>
          <w:p w14:paraId="28D28CB4">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0F516009">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2F11AF98">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97" w:type="pct"/>
            <w:tcBorders>
              <w:top w:val="single" w:color="auto" w:sz="4" w:space="0"/>
              <w:left w:val="single" w:color="auto" w:sz="4" w:space="0"/>
              <w:bottom w:val="single" w:color="auto" w:sz="4" w:space="0"/>
              <w:right w:val="single" w:color="auto" w:sz="4" w:space="0"/>
            </w:tcBorders>
            <w:noWrap w:val="0"/>
            <w:vAlign w:val="center"/>
          </w:tcPr>
          <w:p w14:paraId="02986C1F">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568" w:type="pct"/>
            <w:tcBorders>
              <w:top w:val="single" w:color="auto" w:sz="4" w:space="0"/>
              <w:left w:val="single" w:color="auto" w:sz="4" w:space="0"/>
              <w:bottom w:val="single" w:color="auto" w:sz="4" w:space="0"/>
              <w:right w:val="single" w:color="auto" w:sz="4" w:space="0"/>
            </w:tcBorders>
            <w:noWrap w:val="0"/>
            <w:vAlign w:val="center"/>
          </w:tcPr>
          <w:p w14:paraId="51296ED7">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426" w:type="pct"/>
            <w:tcBorders>
              <w:top w:val="single" w:color="auto" w:sz="4" w:space="0"/>
              <w:left w:val="single" w:color="auto" w:sz="4" w:space="0"/>
              <w:bottom w:val="single" w:color="auto" w:sz="4" w:space="0"/>
              <w:right w:val="single" w:color="auto" w:sz="4" w:space="0"/>
            </w:tcBorders>
            <w:noWrap w:val="0"/>
            <w:vAlign w:val="center"/>
          </w:tcPr>
          <w:p w14:paraId="371610B8">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639" w:type="pct"/>
            <w:tcBorders>
              <w:top w:val="single" w:color="auto" w:sz="4" w:space="0"/>
              <w:left w:val="single" w:color="auto" w:sz="4" w:space="0"/>
              <w:bottom w:val="single" w:color="auto" w:sz="4" w:space="0"/>
              <w:right w:val="single" w:color="auto" w:sz="4" w:space="0"/>
            </w:tcBorders>
            <w:noWrap w:val="0"/>
            <w:vAlign w:val="center"/>
          </w:tcPr>
          <w:p w14:paraId="52AF333B">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c>
          <w:tcPr>
            <w:tcW w:w="712" w:type="pct"/>
            <w:tcBorders>
              <w:top w:val="single" w:color="auto" w:sz="4" w:space="0"/>
              <w:left w:val="single" w:color="auto" w:sz="4" w:space="0"/>
              <w:bottom w:val="single" w:color="auto" w:sz="4" w:space="0"/>
              <w:right w:val="single" w:color="auto" w:sz="4" w:space="0"/>
            </w:tcBorders>
            <w:noWrap w:val="0"/>
            <w:vAlign w:val="center"/>
          </w:tcPr>
          <w:p w14:paraId="0F6D4F8F">
            <w:pPr>
              <w:keepNext w:val="0"/>
              <w:keepLines w:val="0"/>
              <w:suppressLineNumbers w:val="0"/>
              <w:spacing w:before="0" w:beforeAutospacing="0" w:after="0" w:afterAutospacing="0" w:line="360" w:lineRule="auto"/>
              <w:ind w:left="0" w:right="0"/>
              <w:jc w:val="center"/>
              <w:rPr>
                <w:rFonts w:hint="default" w:ascii="宋体" w:hAnsi="宋体" w:cs="宋体"/>
                <w:szCs w:val="21"/>
                <w:highlight w:val="none"/>
              </w:rPr>
            </w:pPr>
          </w:p>
        </w:tc>
      </w:tr>
    </w:tbl>
    <w:p w14:paraId="59B2077E">
      <w:pPr>
        <w:snapToGrid w:val="0"/>
        <w:spacing w:line="480" w:lineRule="auto"/>
        <w:rPr>
          <w:rFonts w:ascii="宋体" w:hAnsi="宋体" w:cs="宋体"/>
          <w:b/>
          <w:bCs/>
          <w:szCs w:val="21"/>
          <w:highlight w:val="none"/>
        </w:rPr>
      </w:pPr>
      <w:r>
        <w:rPr>
          <w:rFonts w:hint="eastAsia" w:ascii="宋体" w:hAnsi="宋体" w:cs="宋体"/>
          <w:b/>
          <w:bCs/>
          <w:szCs w:val="21"/>
          <w:highlight w:val="none"/>
        </w:rPr>
        <w:t>注：1、在填写时，如本表格不适合投标单位的实际情况，可根据本表格式自行划表填写。</w:t>
      </w:r>
    </w:p>
    <w:p w14:paraId="50D54092">
      <w:pPr>
        <w:snapToGrid w:val="0"/>
        <w:spacing w:line="480" w:lineRule="auto"/>
        <w:ind w:firstLine="422" w:firstLineChars="200"/>
        <w:rPr>
          <w:rFonts w:ascii="宋体" w:hAnsi="宋体" w:cs="宋体"/>
          <w:b/>
          <w:bCs/>
          <w:szCs w:val="21"/>
          <w:highlight w:val="none"/>
        </w:rPr>
      </w:pPr>
      <w:r>
        <w:rPr>
          <w:rFonts w:hint="eastAsia" w:ascii="宋体" w:hAnsi="宋体" w:cs="宋体"/>
          <w:b/>
          <w:bCs/>
          <w:szCs w:val="21"/>
          <w:highlight w:val="none"/>
        </w:rPr>
        <w:t>2、需附人员专业证书、职称证书、</w:t>
      </w:r>
      <w:r>
        <w:rPr>
          <w:rFonts w:hint="eastAsia" w:ascii="宋体" w:hAnsi="宋体" w:cs="宋体"/>
          <w:b/>
          <w:bCs/>
          <w:szCs w:val="21"/>
          <w:highlight w:val="none"/>
          <w:lang w:val="en-US" w:eastAsia="zh-CN"/>
        </w:rPr>
        <w:t>响应人</w:t>
      </w:r>
      <w:r>
        <w:rPr>
          <w:rFonts w:hint="eastAsia" w:ascii="宋体" w:hAnsi="宋体" w:cs="宋体"/>
          <w:b/>
          <w:bCs/>
          <w:szCs w:val="21"/>
          <w:highlight w:val="none"/>
        </w:rPr>
        <w:t>为其缴纳的社保证明等相关证明材料扫描件。</w:t>
      </w:r>
    </w:p>
    <w:p w14:paraId="2E8551C2">
      <w:pPr>
        <w:spacing w:line="480" w:lineRule="auto"/>
        <w:rPr>
          <w:rFonts w:ascii="宋体" w:hAnsi="宋体" w:cs="宋体"/>
          <w:szCs w:val="21"/>
          <w:highlight w:val="none"/>
        </w:rPr>
      </w:pPr>
    </w:p>
    <w:p w14:paraId="72053696">
      <w:pPr>
        <w:spacing w:line="480" w:lineRule="auto"/>
        <w:rPr>
          <w:rFonts w:hint="eastAsia" w:ascii="宋体" w:hAnsi="宋体" w:cs="宋体"/>
          <w:color w:val="auto"/>
          <w:sz w:val="18"/>
          <w:szCs w:val="18"/>
          <w:highlight w:val="none"/>
        </w:rPr>
      </w:pPr>
    </w:p>
    <w:p w14:paraId="22940C42">
      <w:pPr>
        <w:spacing w:line="480" w:lineRule="auto"/>
        <w:rPr>
          <w:rFonts w:hint="eastAsia" w:ascii="宋体" w:hAnsi="宋体" w:cs="宋体"/>
          <w:color w:val="auto"/>
          <w:szCs w:val="21"/>
          <w:highlight w:val="none"/>
          <w:u w:val="single"/>
        </w:rPr>
      </w:pPr>
      <w:r>
        <w:rPr>
          <w:rFonts w:hint="eastAsia" w:ascii="宋体" w:hAnsi="宋体" w:cs="宋体"/>
          <w:color w:val="auto"/>
          <w:szCs w:val="21"/>
          <w:highlight w:val="none"/>
          <w:lang w:eastAsia="zh-CN"/>
        </w:rPr>
        <w:t>响应人</w:t>
      </w:r>
      <w:r>
        <w:rPr>
          <w:rFonts w:hint="eastAsia" w:ascii="宋体" w:hAnsi="宋体" w:cs="宋体"/>
          <w:color w:val="auto"/>
          <w:szCs w:val="21"/>
          <w:highlight w:val="none"/>
        </w:rPr>
        <w:t>名称：</w:t>
      </w:r>
      <w:r>
        <w:rPr>
          <w:rFonts w:hint="eastAsia" w:ascii="宋体" w:hAnsi="宋体" w:cs="宋体"/>
          <w:b/>
          <w:color w:val="auto"/>
          <w:spacing w:val="20"/>
          <w:szCs w:val="21"/>
          <w:highlight w:val="none"/>
          <w:u w:val="single"/>
        </w:rPr>
        <w:t xml:space="preserve">                </w:t>
      </w:r>
      <w:r>
        <w:rPr>
          <w:rFonts w:hint="eastAsia" w:ascii="宋体" w:hAnsi="宋体" w:cs="宋体"/>
          <w:color w:val="auto"/>
          <w:szCs w:val="21"/>
          <w:highlight w:val="none"/>
        </w:rPr>
        <w:t xml:space="preserve">（加盖公章）  </w:t>
      </w:r>
    </w:p>
    <w:p w14:paraId="71B31CEC">
      <w:pPr>
        <w:spacing w:line="480" w:lineRule="auto"/>
        <w:rPr>
          <w:rFonts w:hint="eastAsia" w:ascii="宋体" w:hAnsi="宋体" w:cs="宋体"/>
          <w:color w:val="auto"/>
          <w:szCs w:val="21"/>
          <w:highlight w:val="none"/>
        </w:rPr>
      </w:pPr>
      <w:r>
        <w:rPr>
          <w:rFonts w:hint="eastAsia" w:ascii="宋体" w:hAnsi="宋体" w:cs="宋体"/>
          <w:color w:val="auto"/>
          <w:spacing w:val="-4"/>
          <w:szCs w:val="21"/>
          <w:highlight w:val="none"/>
          <w:lang w:eastAsia="zh-CN"/>
        </w:rPr>
        <w:t>响应人</w:t>
      </w:r>
      <w:r>
        <w:rPr>
          <w:rFonts w:hint="eastAsia" w:ascii="宋体" w:hAnsi="宋体" w:cs="宋体"/>
          <w:color w:val="auto"/>
          <w:spacing w:val="-4"/>
          <w:szCs w:val="21"/>
          <w:highlight w:val="none"/>
        </w:rPr>
        <w:t>代表</w:t>
      </w:r>
      <w:r>
        <w:rPr>
          <w:rFonts w:hint="eastAsia" w:ascii="宋体" w:hAnsi="宋体" w:cs="宋体"/>
          <w:color w:val="auto"/>
          <w:szCs w:val="21"/>
          <w:highlight w:val="none"/>
        </w:rPr>
        <w:t>：</w:t>
      </w:r>
      <w:r>
        <w:rPr>
          <w:rFonts w:hint="eastAsia" w:ascii="宋体" w:hAnsi="宋体" w:cs="宋体"/>
          <w:b/>
          <w:color w:val="auto"/>
          <w:spacing w:val="20"/>
          <w:szCs w:val="21"/>
          <w:highlight w:val="none"/>
          <w:u w:val="single"/>
        </w:rPr>
        <w:t xml:space="preserve">                </w:t>
      </w:r>
      <w:r>
        <w:rPr>
          <w:rFonts w:hint="eastAsia" w:ascii="宋体" w:hAnsi="宋体" w:cs="宋体"/>
          <w:color w:val="auto"/>
          <w:szCs w:val="21"/>
          <w:highlight w:val="none"/>
        </w:rPr>
        <w:t>（</w:t>
      </w:r>
      <w:r>
        <w:rPr>
          <w:rFonts w:hint="eastAsia" w:ascii="宋体" w:hAnsi="宋体" w:cs="宋体"/>
          <w:color w:val="auto"/>
          <w:spacing w:val="-4"/>
          <w:szCs w:val="21"/>
          <w:highlight w:val="none"/>
        </w:rPr>
        <w:t>签字或盖章</w:t>
      </w:r>
      <w:r>
        <w:rPr>
          <w:rFonts w:hint="eastAsia" w:ascii="宋体" w:hAnsi="宋体" w:cs="宋体"/>
          <w:color w:val="auto"/>
          <w:szCs w:val="21"/>
          <w:highlight w:val="none"/>
        </w:rPr>
        <w:t>）</w:t>
      </w:r>
    </w:p>
    <w:p w14:paraId="11FE7A6A">
      <w:pPr>
        <w:spacing w:line="360" w:lineRule="auto"/>
        <w:rPr>
          <w:rFonts w:ascii="宋体" w:hAnsi="宋体" w:cs="宋体"/>
          <w:b/>
          <w:color w:val="auto"/>
          <w:szCs w:val="21"/>
          <w:highlight w:val="none"/>
        </w:rPr>
      </w:pPr>
      <w:r>
        <w:rPr>
          <w:rFonts w:hint="eastAsia" w:ascii="宋体" w:hAnsi="宋体" w:cs="宋体"/>
          <w:color w:val="auto"/>
          <w:spacing w:val="20"/>
          <w:szCs w:val="21"/>
          <w:highlight w:val="none"/>
        </w:rPr>
        <w:t>日期：</w:t>
      </w:r>
      <w:r>
        <w:rPr>
          <w:rFonts w:hint="eastAsia" w:ascii="宋体" w:hAnsi="宋体" w:cs="宋体"/>
          <w:b/>
          <w:color w:val="auto"/>
          <w:spacing w:val="20"/>
          <w:szCs w:val="21"/>
          <w:highlight w:val="none"/>
          <w:u w:val="single"/>
        </w:rPr>
        <w:t xml:space="preserve">    </w:t>
      </w:r>
      <w:r>
        <w:rPr>
          <w:rFonts w:hint="eastAsia" w:ascii="宋体" w:hAnsi="宋体" w:cs="宋体"/>
          <w:color w:val="auto"/>
          <w:spacing w:val="20"/>
          <w:szCs w:val="21"/>
          <w:highlight w:val="none"/>
        </w:rPr>
        <w:t>年</w:t>
      </w:r>
      <w:r>
        <w:rPr>
          <w:rFonts w:hint="eastAsia" w:ascii="宋体" w:hAnsi="宋体" w:cs="宋体"/>
          <w:b/>
          <w:color w:val="auto"/>
          <w:spacing w:val="20"/>
          <w:szCs w:val="21"/>
          <w:highlight w:val="none"/>
          <w:u w:val="single"/>
        </w:rPr>
        <w:t xml:space="preserve">    </w:t>
      </w:r>
      <w:r>
        <w:rPr>
          <w:rFonts w:hint="eastAsia" w:ascii="宋体" w:hAnsi="宋体" w:cs="宋体"/>
          <w:color w:val="auto"/>
          <w:spacing w:val="20"/>
          <w:szCs w:val="21"/>
          <w:highlight w:val="none"/>
        </w:rPr>
        <w:t>月</w:t>
      </w:r>
      <w:r>
        <w:rPr>
          <w:rFonts w:hint="eastAsia" w:ascii="宋体" w:hAnsi="宋体" w:cs="宋体"/>
          <w:b/>
          <w:color w:val="auto"/>
          <w:spacing w:val="20"/>
          <w:szCs w:val="21"/>
          <w:highlight w:val="none"/>
          <w:u w:val="single"/>
        </w:rPr>
        <w:t xml:space="preserve">    </w:t>
      </w:r>
      <w:r>
        <w:rPr>
          <w:rFonts w:hint="eastAsia" w:ascii="宋体" w:hAnsi="宋体" w:cs="宋体"/>
          <w:color w:val="auto"/>
          <w:spacing w:val="20"/>
          <w:szCs w:val="21"/>
          <w:highlight w:val="none"/>
        </w:rPr>
        <w:t>日</w:t>
      </w:r>
    </w:p>
    <w:p w14:paraId="2CB33ECB">
      <w:pPr>
        <w:rPr>
          <w:rFonts w:hint="eastAsia" w:ascii="宋体" w:hAnsi="宋体" w:cs="宋体"/>
          <w:b/>
          <w:color w:val="auto"/>
          <w:szCs w:val="21"/>
          <w:highlight w:val="none"/>
        </w:rPr>
      </w:pPr>
      <w:r>
        <w:rPr>
          <w:rFonts w:hint="eastAsia" w:ascii="宋体" w:hAnsi="宋体" w:cs="宋体"/>
          <w:b/>
          <w:color w:val="auto"/>
          <w:sz w:val="21"/>
          <w:szCs w:val="21"/>
          <w:highlight w:val="none"/>
        </w:rPr>
        <w:br w:type="page"/>
      </w:r>
    </w:p>
    <w:p w14:paraId="7820C54E">
      <w:pPr>
        <w:keepNext w:val="0"/>
        <w:keepLines w:val="0"/>
        <w:pageBreakBefore w:val="0"/>
        <w:widowControl w:val="0"/>
        <w:kinsoku/>
        <w:wordWrap/>
        <w:overflowPunct/>
        <w:topLinePunct w:val="0"/>
        <w:autoSpaceDE/>
        <w:autoSpaceDN/>
        <w:bidi w:val="0"/>
        <w:adjustRightInd/>
        <w:snapToGrid/>
        <w:textAlignment w:val="auto"/>
        <w:outlineLvl w:val="2"/>
        <w:rPr>
          <w:rFonts w:hint="eastAsia" w:ascii="宋体" w:hAnsi="Times New Roman" w:eastAsia="宋体" w:cs="宋体"/>
          <w:b/>
          <w:bCs/>
          <w:sz w:val="21"/>
          <w:szCs w:val="21"/>
          <w:highlight w:val="none"/>
          <w:lang w:val="en-US" w:eastAsia="zh-CN"/>
        </w:rPr>
      </w:pPr>
      <w:r>
        <w:rPr>
          <w:rFonts w:hint="eastAsia" w:ascii="宋体" w:hAnsi="Times New Roman" w:eastAsia="宋体" w:cs="宋体"/>
          <w:b/>
          <w:bCs/>
          <w:sz w:val="21"/>
          <w:szCs w:val="21"/>
          <w:highlight w:val="none"/>
          <w:lang w:val="en-US" w:eastAsia="zh-CN"/>
        </w:rPr>
        <w:t>格式</w:t>
      </w:r>
      <w:r>
        <w:rPr>
          <w:rFonts w:hint="eastAsia" w:ascii="宋体" w:cs="宋体"/>
          <w:b/>
          <w:bCs/>
          <w:sz w:val="21"/>
          <w:szCs w:val="21"/>
          <w:highlight w:val="none"/>
          <w:lang w:val="en-US" w:eastAsia="zh-CN"/>
        </w:rPr>
        <w:t>九</w:t>
      </w:r>
      <w:r>
        <w:rPr>
          <w:rFonts w:hint="eastAsia" w:ascii="宋体" w:hAnsi="Times New Roman" w:eastAsia="宋体" w:cs="宋体"/>
          <w:b/>
          <w:bCs/>
          <w:sz w:val="21"/>
          <w:szCs w:val="21"/>
          <w:highlight w:val="none"/>
          <w:lang w:val="en-US" w:eastAsia="zh-CN"/>
        </w:rPr>
        <w:t>、</w:t>
      </w:r>
      <w:r>
        <w:rPr>
          <w:rFonts w:hint="eastAsia" w:ascii="宋体" w:cs="宋体"/>
          <w:b/>
          <w:bCs/>
          <w:sz w:val="21"/>
          <w:szCs w:val="21"/>
          <w:highlight w:val="none"/>
          <w:lang w:val="en-US" w:eastAsia="zh-CN"/>
        </w:rPr>
        <w:t>采购</w:t>
      </w:r>
      <w:r>
        <w:rPr>
          <w:rFonts w:hint="eastAsia" w:ascii="宋体" w:hAnsi="Times New Roman" w:eastAsia="宋体" w:cs="宋体"/>
          <w:b/>
          <w:bCs/>
          <w:sz w:val="21"/>
          <w:szCs w:val="21"/>
          <w:highlight w:val="none"/>
          <w:lang w:val="en-US" w:eastAsia="zh-CN"/>
        </w:rPr>
        <w:t>清单</w:t>
      </w:r>
      <w:r>
        <w:rPr>
          <w:rFonts w:hint="eastAsia" w:ascii="宋体" w:cs="宋体"/>
          <w:b/>
          <w:bCs/>
          <w:sz w:val="21"/>
          <w:szCs w:val="21"/>
          <w:highlight w:val="none"/>
          <w:lang w:val="en-US" w:eastAsia="zh-CN"/>
        </w:rPr>
        <w:t>响应表</w:t>
      </w:r>
      <w:r>
        <w:rPr>
          <w:rFonts w:hint="eastAsia" w:ascii="宋体" w:hAnsi="宋体" w:cs="宋体"/>
          <w:b/>
          <w:bCs/>
          <w:szCs w:val="21"/>
          <w:highlight w:val="none"/>
        </w:rPr>
        <w:t>（格式仅供参考）</w:t>
      </w:r>
    </w:p>
    <w:p w14:paraId="12072616">
      <w:pPr>
        <w:pStyle w:val="38"/>
        <w:keepNext w:val="0"/>
        <w:keepLines w:val="0"/>
        <w:pageBreakBefore w:val="0"/>
        <w:widowControl w:val="0"/>
        <w:kinsoku/>
        <w:wordWrap/>
        <w:overflowPunct/>
        <w:topLinePunct w:val="0"/>
        <w:autoSpaceDE w:val="0"/>
        <w:autoSpaceDN w:val="0"/>
        <w:bidi w:val="0"/>
        <w:adjustRightInd w:val="0"/>
        <w:snapToGrid/>
        <w:textAlignment w:val="auto"/>
        <w:outlineLvl w:val="9"/>
        <w:rPr>
          <w:rFonts w:hint="eastAsia" w:ascii="宋体" w:hAnsi="Times New Roman" w:eastAsia="宋体" w:cs="宋体"/>
          <w:b/>
          <w:bCs/>
          <w:sz w:val="21"/>
          <w:szCs w:val="21"/>
          <w:highlight w:val="none"/>
          <w:lang w:val="en-US" w:eastAsia="zh-CN"/>
        </w:rPr>
      </w:pPr>
    </w:p>
    <w:tbl>
      <w:tblPr>
        <w:tblStyle w:val="26"/>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930"/>
        <w:gridCol w:w="2519"/>
        <w:gridCol w:w="2452"/>
        <w:gridCol w:w="1272"/>
        <w:gridCol w:w="1272"/>
        <w:gridCol w:w="1109"/>
      </w:tblGrid>
      <w:tr w14:paraId="24758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jc w:val="center"/>
        </w:trPr>
        <w:tc>
          <w:tcPr>
            <w:tcW w:w="928" w:type="dxa"/>
            <w:noWrap w:val="0"/>
            <w:vAlign w:val="center"/>
          </w:tcPr>
          <w:p w14:paraId="7C23B581">
            <w:pPr>
              <w:widowControl/>
              <w:spacing w:line="360" w:lineRule="auto"/>
              <w:jc w:val="center"/>
              <w:textAlignment w:val="center"/>
              <w:rPr>
                <w:rFonts w:ascii="宋体" w:hAnsi="宋体" w:cs="宋体"/>
                <w:b/>
                <w:bCs/>
                <w:szCs w:val="21"/>
              </w:rPr>
            </w:pPr>
            <w:r>
              <w:rPr>
                <w:rFonts w:hint="eastAsia" w:ascii="宋体" w:hAnsi="宋体" w:cs="宋体"/>
                <w:b/>
                <w:bCs/>
                <w:color w:val="000000"/>
                <w:kern w:val="0"/>
                <w:szCs w:val="21"/>
                <w:lang w:bidi="ar"/>
              </w:rPr>
              <w:t>序号</w:t>
            </w:r>
          </w:p>
        </w:tc>
        <w:tc>
          <w:tcPr>
            <w:tcW w:w="2512" w:type="dxa"/>
            <w:noWrap w:val="0"/>
            <w:vAlign w:val="center"/>
          </w:tcPr>
          <w:p w14:paraId="6073CC2A">
            <w:pPr>
              <w:widowControl/>
              <w:spacing w:line="360" w:lineRule="auto"/>
              <w:jc w:val="center"/>
              <w:textAlignment w:val="center"/>
              <w:rPr>
                <w:rFonts w:ascii="宋体" w:hAnsi="宋体" w:cs="宋体"/>
                <w:b/>
                <w:bCs/>
                <w:spacing w:val="2"/>
                <w:szCs w:val="21"/>
              </w:rPr>
            </w:pPr>
            <w:r>
              <w:rPr>
                <w:rFonts w:hint="eastAsia" w:ascii="宋体" w:hAnsi="宋体" w:cs="宋体"/>
                <w:b/>
                <w:bCs/>
                <w:color w:val="000000"/>
                <w:kern w:val="0"/>
                <w:szCs w:val="21"/>
                <w:lang w:bidi="ar"/>
              </w:rPr>
              <w:t>系统功能</w:t>
            </w:r>
          </w:p>
        </w:tc>
        <w:tc>
          <w:tcPr>
            <w:tcW w:w="2446" w:type="dxa"/>
            <w:noWrap w:val="0"/>
            <w:vAlign w:val="center"/>
          </w:tcPr>
          <w:p w14:paraId="052AA045">
            <w:pPr>
              <w:widowControl/>
              <w:spacing w:line="360" w:lineRule="auto"/>
              <w:jc w:val="center"/>
              <w:textAlignment w:val="center"/>
              <w:rPr>
                <w:rFonts w:ascii="宋体" w:hAnsi="宋体" w:cs="宋体"/>
                <w:b/>
                <w:bCs/>
                <w:spacing w:val="2"/>
                <w:szCs w:val="21"/>
              </w:rPr>
            </w:pPr>
            <w:r>
              <w:rPr>
                <w:rFonts w:hint="eastAsia" w:ascii="宋体" w:hAnsi="宋体" w:cs="宋体"/>
                <w:b/>
                <w:bCs/>
                <w:color w:val="000000"/>
                <w:kern w:val="0"/>
                <w:szCs w:val="21"/>
                <w:lang w:bidi="ar"/>
              </w:rPr>
              <w:t>功能描述及要求</w:t>
            </w:r>
          </w:p>
        </w:tc>
        <w:tc>
          <w:tcPr>
            <w:tcW w:w="665" w:type="pct"/>
            <w:noWrap w:val="0"/>
            <w:vAlign w:val="center"/>
          </w:tcPr>
          <w:p w14:paraId="3636FE55">
            <w:pPr>
              <w:spacing w:line="360" w:lineRule="auto"/>
              <w:jc w:val="center"/>
              <w:rPr>
                <w:rFonts w:ascii="宋体" w:hAnsi="宋体" w:cs="宋体"/>
                <w:b/>
                <w:bCs/>
                <w:spacing w:val="2"/>
                <w:szCs w:val="21"/>
              </w:rPr>
            </w:pPr>
            <w:r>
              <w:rPr>
                <w:rFonts w:hint="eastAsia" w:ascii="宋体" w:hAnsi="宋体" w:cs="宋体"/>
                <w:b/>
                <w:bCs/>
                <w:spacing w:val="2"/>
                <w:szCs w:val="21"/>
              </w:rPr>
              <w:t>开发者</w:t>
            </w:r>
          </w:p>
        </w:tc>
        <w:tc>
          <w:tcPr>
            <w:tcW w:w="665" w:type="pct"/>
            <w:noWrap w:val="0"/>
            <w:vAlign w:val="center"/>
          </w:tcPr>
          <w:p w14:paraId="3D6EA537">
            <w:pPr>
              <w:spacing w:line="360" w:lineRule="auto"/>
              <w:jc w:val="center"/>
              <w:rPr>
                <w:rFonts w:ascii="宋体" w:hAnsi="宋体" w:cs="宋体"/>
                <w:b/>
                <w:bCs/>
                <w:szCs w:val="21"/>
              </w:rPr>
            </w:pPr>
            <w:r>
              <w:rPr>
                <w:rFonts w:hint="eastAsia" w:ascii="宋体" w:hAnsi="宋体" w:cs="宋体"/>
                <w:b/>
                <w:bCs/>
                <w:szCs w:val="21"/>
              </w:rPr>
              <w:t>数量</w:t>
            </w:r>
          </w:p>
        </w:tc>
        <w:tc>
          <w:tcPr>
            <w:tcW w:w="580" w:type="pct"/>
            <w:noWrap w:val="0"/>
            <w:vAlign w:val="center"/>
          </w:tcPr>
          <w:p w14:paraId="2D0A59AD">
            <w:pPr>
              <w:spacing w:line="360" w:lineRule="auto"/>
              <w:jc w:val="center"/>
              <w:rPr>
                <w:rFonts w:ascii="宋体" w:hAnsi="宋体" w:cs="宋体"/>
                <w:b/>
                <w:bCs/>
                <w:spacing w:val="-2"/>
                <w:szCs w:val="21"/>
              </w:rPr>
            </w:pPr>
            <w:r>
              <w:rPr>
                <w:rFonts w:hint="eastAsia" w:ascii="宋体" w:hAnsi="宋体" w:cs="宋体"/>
                <w:b/>
                <w:bCs/>
                <w:spacing w:val="-2"/>
                <w:szCs w:val="21"/>
              </w:rPr>
              <w:t>单位</w:t>
            </w:r>
          </w:p>
        </w:tc>
      </w:tr>
      <w:tr w14:paraId="41D50D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jc w:val="center"/>
        </w:trPr>
        <w:tc>
          <w:tcPr>
            <w:tcW w:w="487" w:type="pct"/>
            <w:noWrap w:val="0"/>
            <w:vAlign w:val="center"/>
          </w:tcPr>
          <w:p w14:paraId="1E235F03">
            <w:pPr>
              <w:spacing w:line="360" w:lineRule="auto"/>
              <w:jc w:val="center"/>
              <w:rPr>
                <w:rFonts w:ascii="宋体" w:hAnsi="宋体" w:cs="宋体"/>
                <w:szCs w:val="21"/>
              </w:rPr>
            </w:pPr>
            <w:r>
              <w:rPr>
                <w:rFonts w:hint="eastAsia" w:ascii="宋体" w:hAnsi="宋体" w:cs="宋体"/>
                <w:szCs w:val="21"/>
              </w:rPr>
              <w:t>1</w:t>
            </w:r>
          </w:p>
        </w:tc>
        <w:tc>
          <w:tcPr>
            <w:tcW w:w="1317" w:type="pct"/>
            <w:noWrap w:val="0"/>
            <w:vAlign w:val="center"/>
          </w:tcPr>
          <w:p w14:paraId="2591BE6A">
            <w:pPr>
              <w:spacing w:line="360" w:lineRule="auto"/>
              <w:jc w:val="center"/>
              <w:rPr>
                <w:rFonts w:ascii="宋体" w:hAnsi="宋体" w:cs="宋体"/>
                <w:spacing w:val="2"/>
                <w:szCs w:val="21"/>
              </w:rPr>
            </w:pPr>
          </w:p>
        </w:tc>
        <w:tc>
          <w:tcPr>
            <w:tcW w:w="1282" w:type="pct"/>
            <w:noWrap w:val="0"/>
            <w:vAlign w:val="center"/>
          </w:tcPr>
          <w:p w14:paraId="4FC8710A">
            <w:pPr>
              <w:spacing w:line="360" w:lineRule="auto"/>
              <w:jc w:val="center"/>
              <w:rPr>
                <w:rFonts w:ascii="宋体" w:hAnsi="宋体" w:cs="宋体"/>
                <w:szCs w:val="21"/>
              </w:rPr>
            </w:pPr>
          </w:p>
        </w:tc>
        <w:tc>
          <w:tcPr>
            <w:tcW w:w="665" w:type="pct"/>
            <w:noWrap w:val="0"/>
            <w:vAlign w:val="center"/>
          </w:tcPr>
          <w:p w14:paraId="046D1256">
            <w:pPr>
              <w:spacing w:line="360" w:lineRule="auto"/>
              <w:jc w:val="center"/>
              <w:rPr>
                <w:rFonts w:ascii="宋体" w:hAnsi="宋体" w:cs="宋体"/>
                <w:szCs w:val="21"/>
              </w:rPr>
            </w:pPr>
          </w:p>
        </w:tc>
        <w:tc>
          <w:tcPr>
            <w:tcW w:w="665" w:type="pct"/>
            <w:noWrap w:val="0"/>
            <w:vAlign w:val="center"/>
          </w:tcPr>
          <w:p w14:paraId="32A0CBBD">
            <w:pPr>
              <w:spacing w:line="360" w:lineRule="auto"/>
              <w:jc w:val="center"/>
              <w:rPr>
                <w:rFonts w:ascii="宋体" w:hAnsi="宋体" w:cs="宋体"/>
                <w:szCs w:val="21"/>
              </w:rPr>
            </w:pPr>
          </w:p>
        </w:tc>
        <w:tc>
          <w:tcPr>
            <w:tcW w:w="580" w:type="pct"/>
            <w:noWrap w:val="0"/>
            <w:vAlign w:val="center"/>
          </w:tcPr>
          <w:p w14:paraId="226866E6">
            <w:pPr>
              <w:spacing w:line="360" w:lineRule="auto"/>
              <w:jc w:val="center"/>
              <w:rPr>
                <w:rFonts w:ascii="宋体" w:hAnsi="宋体" w:cs="宋体"/>
                <w:szCs w:val="21"/>
              </w:rPr>
            </w:pPr>
          </w:p>
        </w:tc>
      </w:tr>
      <w:tr w14:paraId="64BE3B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jc w:val="center"/>
        </w:trPr>
        <w:tc>
          <w:tcPr>
            <w:tcW w:w="487" w:type="pct"/>
            <w:noWrap w:val="0"/>
            <w:vAlign w:val="center"/>
          </w:tcPr>
          <w:p w14:paraId="6C9EB754">
            <w:pPr>
              <w:spacing w:line="360" w:lineRule="auto"/>
              <w:jc w:val="center"/>
              <w:rPr>
                <w:rFonts w:ascii="宋体" w:hAnsi="宋体" w:cs="宋体"/>
                <w:szCs w:val="21"/>
              </w:rPr>
            </w:pPr>
            <w:r>
              <w:rPr>
                <w:rFonts w:hint="eastAsia" w:ascii="宋体" w:hAnsi="宋体" w:cs="宋体"/>
                <w:szCs w:val="21"/>
              </w:rPr>
              <w:t>2</w:t>
            </w:r>
          </w:p>
        </w:tc>
        <w:tc>
          <w:tcPr>
            <w:tcW w:w="1317" w:type="pct"/>
            <w:noWrap w:val="0"/>
            <w:vAlign w:val="center"/>
          </w:tcPr>
          <w:p w14:paraId="13C33EAE">
            <w:pPr>
              <w:spacing w:line="360" w:lineRule="auto"/>
              <w:jc w:val="center"/>
              <w:rPr>
                <w:rFonts w:ascii="宋体" w:hAnsi="宋体" w:cs="宋体"/>
                <w:spacing w:val="2"/>
                <w:szCs w:val="21"/>
              </w:rPr>
            </w:pPr>
          </w:p>
        </w:tc>
        <w:tc>
          <w:tcPr>
            <w:tcW w:w="1282" w:type="pct"/>
            <w:noWrap w:val="0"/>
            <w:vAlign w:val="center"/>
          </w:tcPr>
          <w:p w14:paraId="168C89D8">
            <w:pPr>
              <w:spacing w:line="360" w:lineRule="auto"/>
              <w:jc w:val="center"/>
              <w:rPr>
                <w:rFonts w:ascii="宋体" w:hAnsi="宋体" w:cs="宋体"/>
                <w:szCs w:val="21"/>
              </w:rPr>
            </w:pPr>
          </w:p>
        </w:tc>
        <w:tc>
          <w:tcPr>
            <w:tcW w:w="665" w:type="pct"/>
            <w:noWrap w:val="0"/>
            <w:vAlign w:val="center"/>
          </w:tcPr>
          <w:p w14:paraId="5567F0E3">
            <w:pPr>
              <w:spacing w:line="360" w:lineRule="auto"/>
              <w:jc w:val="center"/>
              <w:rPr>
                <w:rFonts w:ascii="宋体" w:hAnsi="宋体" w:cs="宋体"/>
                <w:szCs w:val="21"/>
              </w:rPr>
            </w:pPr>
          </w:p>
        </w:tc>
        <w:tc>
          <w:tcPr>
            <w:tcW w:w="665" w:type="pct"/>
            <w:noWrap w:val="0"/>
            <w:vAlign w:val="center"/>
          </w:tcPr>
          <w:p w14:paraId="072F9EEA">
            <w:pPr>
              <w:spacing w:line="360" w:lineRule="auto"/>
              <w:jc w:val="center"/>
              <w:rPr>
                <w:rFonts w:ascii="宋体" w:hAnsi="宋体" w:cs="宋体"/>
                <w:szCs w:val="21"/>
              </w:rPr>
            </w:pPr>
          </w:p>
        </w:tc>
        <w:tc>
          <w:tcPr>
            <w:tcW w:w="580" w:type="pct"/>
            <w:noWrap w:val="0"/>
            <w:vAlign w:val="center"/>
          </w:tcPr>
          <w:p w14:paraId="51598ABE">
            <w:pPr>
              <w:spacing w:line="360" w:lineRule="auto"/>
              <w:jc w:val="center"/>
              <w:rPr>
                <w:rFonts w:ascii="宋体" w:hAnsi="宋体" w:cs="宋体"/>
                <w:szCs w:val="21"/>
              </w:rPr>
            </w:pPr>
          </w:p>
        </w:tc>
      </w:tr>
      <w:tr w14:paraId="240397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jc w:val="center"/>
        </w:trPr>
        <w:tc>
          <w:tcPr>
            <w:tcW w:w="487" w:type="pct"/>
            <w:noWrap w:val="0"/>
            <w:vAlign w:val="center"/>
          </w:tcPr>
          <w:p w14:paraId="16ED7290">
            <w:pPr>
              <w:spacing w:line="360" w:lineRule="auto"/>
              <w:jc w:val="center"/>
              <w:rPr>
                <w:rFonts w:ascii="宋体" w:hAnsi="宋体" w:cs="宋体"/>
                <w:szCs w:val="21"/>
              </w:rPr>
            </w:pPr>
            <w:r>
              <w:rPr>
                <w:rFonts w:hint="eastAsia" w:ascii="宋体" w:hAnsi="宋体" w:cs="宋体"/>
                <w:szCs w:val="21"/>
              </w:rPr>
              <w:t>3</w:t>
            </w:r>
          </w:p>
        </w:tc>
        <w:tc>
          <w:tcPr>
            <w:tcW w:w="1317" w:type="pct"/>
            <w:noWrap w:val="0"/>
            <w:vAlign w:val="center"/>
          </w:tcPr>
          <w:p w14:paraId="02E3451D">
            <w:pPr>
              <w:spacing w:line="360" w:lineRule="auto"/>
              <w:jc w:val="center"/>
              <w:rPr>
                <w:rFonts w:ascii="宋体" w:hAnsi="宋体" w:cs="宋体"/>
                <w:spacing w:val="2"/>
                <w:szCs w:val="21"/>
              </w:rPr>
            </w:pPr>
          </w:p>
        </w:tc>
        <w:tc>
          <w:tcPr>
            <w:tcW w:w="1282" w:type="pct"/>
            <w:noWrap w:val="0"/>
            <w:vAlign w:val="center"/>
          </w:tcPr>
          <w:p w14:paraId="1A4F830F">
            <w:pPr>
              <w:spacing w:line="360" w:lineRule="auto"/>
              <w:jc w:val="center"/>
              <w:rPr>
                <w:rFonts w:ascii="宋体" w:hAnsi="宋体" w:cs="宋体"/>
                <w:szCs w:val="21"/>
              </w:rPr>
            </w:pPr>
          </w:p>
        </w:tc>
        <w:tc>
          <w:tcPr>
            <w:tcW w:w="665" w:type="pct"/>
            <w:noWrap w:val="0"/>
            <w:vAlign w:val="center"/>
          </w:tcPr>
          <w:p w14:paraId="0A1A6A85">
            <w:pPr>
              <w:spacing w:line="360" w:lineRule="auto"/>
              <w:jc w:val="center"/>
              <w:rPr>
                <w:rFonts w:ascii="宋体" w:hAnsi="宋体" w:cs="宋体"/>
                <w:szCs w:val="21"/>
              </w:rPr>
            </w:pPr>
          </w:p>
        </w:tc>
        <w:tc>
          <w:tcPr>
            <w:tcW w:w="665" w:type="pct"/>
            <w:noWrap w:val="0"/>
            <w:vAlign w:val="center"/>
          </w:tcPr>
          <w:p w14:paraId="4B86472D">
            <w:pPr>
              <w:spacing w:line="360" w:lineRule="auto"/>
              <w:jc w:val="center"/>
              <w:rPr>
                <w:rFonts w:ascii="宋体" w:hAnsi="宋体" w:cs="宋体"/>
                <w:szCs w:val="21"/>
              </w:rPr>
            </w:pPr>
          </w:p>
        </w:tc>
        <w:tc>
          <w:tcPr>
            <w:tcW w:w="580" w:type="pct"/>
            <w:noWrap w:val="0"/>
            <w:vAlign w:val="center"/>
          </w:tcPr>
          <w:p w14:paraId="2E678A3C">
            <w:pPr>
              <w:spacing w:line="360" w:lineRule="auto"/>
              <w:jc w:val="center"/>
              <w:rPr>
                <w:rFonts w:ascii="宋体" w:hAnsi="宋体" w:cs="宋体"/>
                <w:szCs w:val="21"/>
              </w:rPr>
            </w:pPr>
          </w:p>
        </w:tc>
      </w:tr>
      <w:tr w14:paraId="1E2424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jc w:val="center"/>
        </w:trPr>
        <w:tc>
          <w:tcPr>
            <w:tcW w:w="487" w:type="pct"/>
            <w:noWrap w:val="0"/>
            <w:vAlign w:val="center"/>
          </w:tcPr>
          <w:p w14:paraId="33618B94">
            <w:pPr>
              <w:spacing w:line="360" w:lineRule="auto"/>
              <w:jc w:val="center"/>
              <w:rPr>
                <w:rFonts w:ascii="宋体" w:hAnsi="宋体" w:cs="宋体"/>
                <w:szCs w:val="21"/>
              </w:rPr>
            </w:pPr>
            <w:r>
              <w:rPr>
                <w:rFonts w:hint="eastAsia" w:ascii="宋体" w:hAnsi="宋体" w:cs="宋体"/>
                <w:szCs w:val="21"/>
              </w:rPr>
              <w:t>4</w:t>
            </w:r>
          </w:p>
        </w:tc>
        <w:tc>
          <w:tcPr>
            <w:tcW w:w="1317" w:type="pct"/>
            <w:noWrap w:val="0"/>
            <w:vAlign w:val="center"/>
          </w:tcPr>
          <w:p w14:paraId="705BC10A">
            <w:pPr>
              <w:spacing w:line="360" w:lineRule="auto"/>
              <w:jc w:val="center"/>
              <w:rPr>
                <w:rFonts w:ascii="宋体" w:hAnsi="宋体" w:cs="宋体"/>
                <w:spacing w:val="2"/>
                <w:szCs w:val="21"/>
              </w:rPr>
            </w:pPr>
          </w:p>
        </w:tc>
        <w:tc>
          <w:tcPr>
            <w:tcW w:w="1282" w:type="pct"/>
            <w:noWrap w:val="0"/>
            <w:vAlign w:val="center"/>
          </w:tcPr>
          <w:p w14:paraId="4D549E52">
            <w:pPr>
              <w:spacing w:line="360" w:lineRule="auto"/>
              <w:jc w:val="center"/>
              <w:rPr>
                <w:rFonts w:ascii="宋体" w:hAnsi="宋体" w:cs="宋体"/>
                <w:szCs w:val="21"/>
              </w:rPr>
            </w:pPr>
          </w:p>
        </w:tc>
        <w:tc>
          <w:tcPr>
            <w:tcW w:w="665" w:type="pct"/>
            <w:noWrap w:val="0"/>
            <w:vAlign w:val="center"/>
          </w:tcPr>
          <w:p w14:paraId="1849BEA6">
            <w:pPr>
              <w:spacing w:line="360" w:lineRule="auto"/>
              <w:jc w:val="center"/>
              <w:rPr>
                <w:rFonts w:ascii="宋体" w:hAnsi="宋体" w:cs="宋体"/>
                <w:szCs w:val="21"/>
              </w:rPr>
            </w:pPr>
          </w:p>
        </w:tc>
        <w:tc>
          <w:tcPr>
            <w:tcW w:w="665" w:type="pct"/>
            <w:noWrap w:val="0"/>
            <w:vAlign w:val="center"/>
          </w:tcPr>
          <w:p w14:paraId="7637D1B3">
            <w:pPr>
              <w:spacing w:line="360" w:lineRule="auto"/>
              <w:jc w:val="center"/>
              <w:rPr>
                <w:rFonts w:ascii="宋体" w:hAnsi="宋体" w:cs="宋体"/>
                <w:szCs w:val="21"/>
              </w:rPr>
            </w:pPr>
          </w:p>
        </w:tc>
        <w:tc>
          <w:tcPr>
            <w:tcW w:w="580" w:type="pct"/>
            <w:noWrap w:val="0"/>
            <w:vAlign w:val="center"/>
          </w:tcPr>
          <w:p w14:paraId="744D9363">
            <w:pPr>
              <w:spacing w:line="360" w:lineRule="auto"/>
              <w:jc w:val="center"/>
              <w:rPr>
                <w:rFonts w:ascii="宋体" w:hAnsi="宋体" w:cs="宋体"/>
                <w:szCs w:val="21"/>
              </w:rPr>
            </w:pPr>
          </w:p>
        </w:tc>
      </w:tr>
      <w:tr w14:paraId="1D5221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jc w:val="center"/>
        </w:trPr>
        <w:tc>
          <w:tcPr>
            <w:tcW w:w="487" w:type="pct"/>
            <w:noWrap w:val="0"/>
            <w:vAlign w:val="center"/>
          </w:tcPr>
          <w:p w14:paraId="08BC6F54">
            <w:pPr>
              <w:spacing w:line="360" w:lineRule="auto"/>
              <w:jc w:val="center"/>
              <w:rPr>
                <w:rFonts w:ascii="宋体" w:hAnsi="宋体" w:cs="宋体"/>
                <w:szCs w:val="21"/>
              </w:rPr>
            </w:pPr>
            <w:r>
              <w:rPr>
                <w:rFonts w:hint="eastAsia" w:ascii="宋体" w:hAnsi="宋体" w:cs="宋体"/>
                <w:szCs w:val="21"/>
              </w:rPr>
              <w:t>...</w:t>
            </w:r>
          </w:p>
        </w:tc>
        <w:tc>
          <w:tcPr>
            <w:tcW w:w="1317" w:type="pct"/>
            <w:noWrap w:val="0"/>
            <w:vAlign w:val="center"/>
          </w:tcPr>
          <w:p w14:paraId="5490DB65">
            <w:pPr>
              <w:spacing w:line="360" w:lineRule="auto"/>
              <w:jc w:val="center"/>
              <w:rPr>
                <w:rFonts w:ascii="宋体" w:hAnsi="宋体" w:cs="宋体"/>
                <w:spacing w:val="2"/>
                <w:szCs w:val="21"/>
              </w:rPr>
            </w:pPr>
          </w:p>
        </w:tc>
        <w:tc>
          <w:tcPr>
            <w:tcW w:w="1282" w:type="pct"/>
            <w:noWrap w:val="0"/>
            <w:vAlign w:val="center"/>
          </w:tcPr>
          <w:p w14:paraId="5D69E6FE">
            <w:pPr>
              <w:spacing w:line="360" w:lineRule="auto"/>
              <w:jc w:val="center"/>
              <w:rPr>
                <w:rFonts w:ascii="宋体" w:hAnsi="宋体" w:cs="宋体"/>
                <w:szCs w:val="21"/>
              </w:rPr>
            </w:pPr>
          </w:p>
        </w:tc>
        <w:tc>
          <w:tcPr>
            <w:tcW w:w="665" w:type="pct"/>
            <w:noWrap w:val="0"/>
            <w:vAlign w:val="center"/>
          </w:tcPr>
          <w:p w14:paraId="5F326529">
            <w:pPr>
              <w:spacing w:line="360" w:lineRule="auto"/>
              <w:jc w:val="center"/>
              <w:rPr>
                <w:rFonts w:ascii="宋体" w:hAnsi="宋体" w:cs="宋体"/>
                <w:szCs w:val="21"/>
              </w:rPr>
            </w:pPr>
          </w:p>
        </w:tc>
        <w:tc>
          <w:tcPr>
            <w:tcW w:w="665" w:type="pct"/>
            <w:noWrap w:val="0"/>
            <w:vAlign w:val="center"/>
          </w:tcPr>
          <w:p w14:paraId="23F8254E">
            <w:pPr>
              <w:spacing w:line="360" w:lineRule="auto"/>
              <w:jc w:val="center"/>
              <w:rPr>
                <w:rFonts w:ascii="宋体" w:hAnsi="宋体" w:cs="宋体"/>
                <w:szCs w:val="21"/>
              </w:rPr>
            </w:pPr>
          </w:p>
        </w:tc>
        <w:tc>
          <w:tcPr>
            <w:tcW w:w="580" w:type="pct"/>
            <w:noWrap w:val="0"/>
            <w:vAlign w:val="center"/>
          </w:tcPr>
          <w:p w14:paraId="6E819893">
            <w:pPr>
              <w:spacing w:line="360" w:lineRule="auto"/>
              <w:jc w:val="center"/>
              <w:rPr>
                <w:rFonts w:ascii="宋体" w:hAnsi="宋体" w:cs="宋体"/>
                <w:szCs w:val="21"/>
              </w:rPr>
            </w:pPr>
          </w:p>
        </w:tc>
      </w:tr>
    </w:tbl>
    <w:p w14:paraId="0CFD0372">
      <w:pPr>
        <w:pStyle w:val="38"/>
        <w:keepNext w:val="0"/>
        <w:keepLines w:val="0"/>
        <w:pageBreakBefore w:val="0"/>
        <w:widowControl w:val="0"/>
        <w:kinsoku/>
        <w:wordWrap/>
        <w:overflowPunct/>
        <w:topLinePunct w:val="0"/>
        <w:bidi w:val="0"/>
        <w:snapToGrid/>
        <w:textAlignment w:val="auto"/>
        <w:outlineLvl w:val="9"/>
        <w:rPr>
          <w:rFonts w:hint="eastAsia" w:ascii="宋体" w:hAnsi="Times New Roman" w:eastAsia="宋体" w:cs="宋体"/>
          <w:b/>
          <w:bCs/>
          <w:sz w:val="21"/>
          <w:szCs w:val="21"/>
          <w:highlight w:val="none"/>
          <w:lang w:val="en-US" w:eastAsia="zh-CN"/>
        </w:rPr>
      </w:pPr>
    </w:p>
    <w:p w14:paraId="11A826F3">
      <w:pPr>
        <w:keepNext w:val="0"/>
        <w:keepLines w:val="0"/>
        <w:pageBreakBefore w:val="0"/>
        <w:widowControl w:val="0"/>
        <w:kinsoku/>
        <w:wordWrap/>
        <w:overflowPunct/>
        <w:topLinePunct w:val="0"/>
        <w:bidi w:val="0"/>
        <w:snapToGrid/>
        <w:textAlignment w:val="auto"/>
        <w:outlineLvl w:val="9"/>
        <w:rPr>
          <w:rFonts w:hint="eastAsia" w:ascii="宋体" w:cs="宋体"/>
          <w:b/>
          <w:bCs/>
          <w:color w:val="auto"/>
          <w:szCs w:val="21"/>
          <w:highlight w:val="none"/>
        </w:rPr>
      </w:pPr>
    </w:p>
    <w:p w14:paraId="2FD1324E">
      <w:pPr>
        <w:spacing w:line="480" w:lineRule="auto"/>
        <w:rPr>
          <w:rFonts w:hint="default" w:ascii="宋体" w:hAnsi="宋体" w:eastAsia="宋体" w:cs="宋体"/>
          <w:b/>
          <w:bCs/>
          <w:szCs w:val="21"/>
          <w:highlight w:val="none"/>
          <w:lang w:val="en-US" w:eastAsia="zh-CN"/>
        </w:rPr>
      </w:pPr>
      <w:r>
        <w:rPr>
          <w:rFonts w:hint="eastAsia" w:ascii="宋体" w:hAnsi="宋体" w:eastAsia="宋体" w:cs="宋体"/>
          <w:b/>
          <w:bCs/>
          <w:szCs w:val="21"/>
          <w:highlight w:val="none"/>
          <w:lang w:val="en-US" w:eastAsia="zh-CN"/>
        </w:rPr>
        <w:t>注：根据</w:t>
      </w:r>
      <w:r>
        <w:rPr>
          <w:rFonts w:hint="eastAsia" w:ascii="宋体" w:hAnsi="宋体" w:cs="宋体"/>
          <w:b/>
          <w:bCs/>
          <w:szCs w:val="21"/>
          <w:highlight w:val="none"/>
          <w:lang w:val="en-US" w:eastAsia="zh-CN"/>
        </w:rPr>
        <w:t>磋商文件</w:t>
      </w:r>
      <w:r>
        <w:rPr>
          <w:rFonts w:hint="eastAsia" w:ascii="宋体" w:hAnsi="宋体" w:eastAsia="宋体" w:cs="宋体"/>
          <w:b/>
          <w:bCs/>
          <w:szCs w:val="21"/>
          <w:highlight w:val="none"/>
          <w:lang w:val="en-US" w:eastAsia="zh-CN"/>
        </w:rPr>
        <w:t>第二章的采购需求中的</w:t>
      </w:r>
      <w:r>
        <w:rPr>
          <w:rFonts w:hint="eastAsia" w:ascii="宋体" w:hAnsi="宋体" w:cs="宋体"/>
          <w:b/>
          <w:bCs/>
          <w:szCs w:val="21"/>
          <w:highlight w:val="none"/>
          <w:lang w:val="en-US" w:eastAsia="zh-CN"/>
        </w:rPr>
        <w:t>三、</w:t>
      </w:r>
      <w:r>
        <w:rPr>
          <w:rFonts w:hint="eastAsia" w:ascii="宋体" w:hAnsi="宋体" w:eastAsia="宋体" w:cs="宋体"/>
          <w:b/>
          <w:bCs/>
          <w:szCs w:val="21"/>
          <w:highlight w:val="none"/>
          <w:lang w:val="en-US" w:eastAsia="zh-CN"/>
        </w:rPr>
        <w:t>采购清单要求进行填写。</w:t>
      </w:r>
    </w:p>
    <w:p w14:paraId="196F61E0">
      <w:pPr>
        <w:pStyle w:val="53"/>
        <w:rPr>
          <w:rFonts w:ascii="宋体" w:hAnsi="宋体"/>
          <w:b/>
          <w:sz w:val="24"/>
          <w:szCs w:val="24"/>
          <w:highlight w:val="none"/>
        </w:rPr>
      </w:pPr>
    </w:p>
    <w:p w14:paraId="1EAADEAA">
      <w:pPr>
        <w:spacing w:line="360" w:lineRule="auto"/>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名称：</w:t>
      </w:r>
      <w:r>
        <w:rPr>
          <w:rFonts w:hint="eastAsia" w:ascii="宋体" w:hAnsi="宋体" w:cs="宋体"/>
          <w:szCs w:val="21"/>
          <w:highlight w:val="none"/>
          <w:u w:val="single"/>
        </w:rPr>
        <w:t xml:space="preserve">                   </w:t>
      </w:r>
      <w:r>
        <w:rPr>
          <w:rFonts w:hint="eastAsia" w:ascii="宋体" w:hAnsi="宋体" w:cs="宋体"/>
          <w:szCs w:val="21"/>
          <w:highlight w:val="none"/>
        </w:rPr>
        <w:t xml:space="preserve">（加盖公章）  </w:t>
      </w:r>
    </w:p>
    <w:p w14:paraId="3A31D60C">
      <w:pPr>
        <w:spacing w:line="360" w:lineRule="auto"/>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代表：</w:t>
      </w:r>
      <w:r>
        <w:rPr>
          <w:rFonts w:hint="eastAsia" w:ascii="宋体" w:hAnsi="宋体" w:cs="宋体"/>
          <w:szCs w:val="21"/>
          <w:highlight w:val="none"/>
          <w:u w:val="single"/>
        </w:rPr>
        <w:t xml:space="preserve">                </w:t>
      </w:r>
      <w:r>
        <w:rPr>
          <w:rFonts w:hint="eastAsia" w:ascii="宋体" w:hAnsi="宋体" w:cs="宋体"/>
          <w:szCs w:val="21"/>
          <w:highlight w:val="none"/>
        </w:rPr>
        <w:t>（</w:t>
      </w:r>
      <w:r>
        <w:rPr>
          <w:rFonts w:hint="eastAsia" w:ascii="宋体" w:hAnsi="宋体" w:cs="宋体"/>
          <w:color w:val="auto"/>
          <w:spacing w:val="-4"/>
          <w:szCs w:val="21"/>
          <w:highlight w:val="none"/>
        </w:rPr>
        <w:t>签字或盖章</w:t>
      </w:r>
      <w:r>
        <w:rPr>
          <w:rFonts w:hint="eastAsia" w:ascii="宋体" w:hAnsi="宋体" w:cs="宋体"/>
          <w:szCs w:val="21"/>
          <w:highlight w:val="none"/>
        </w:rPr>
        <w:t>）</w:t>
      </w:r>
    </w:p>
    <w:p w14:paraId="0A521284">
      <w:pPr>
        <w:spacing w:line="360" w:lineRule="auto"/>
        <w:rPr>
          <w:rFonts w:ascii="宋体" w:hAnsi="宋体" w:cs="宋体"/>
          <w:szCs w:val="21"/>
          <w:highlight w:val="none"/>
        </w:rPr>
      </w:pPr>
      <w:r>
        <w:rPr>
          <w:rFonts w:hint="eastAsia" w:ascii="宋体" w:hAnsi="宋体" w:cs="宋体"/>
          <w:szCs w:val="21"/>
          <w:highlight w:val="none"/>
        </w:rPr>
        <w:t>日期：</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7577777A">
      <w:pPr>
        <w:rPr>
          <w:rFonts w:hint="eastAsia" w:ascii="宋体" w:cs="宋体"/>
          <w:b/>
          <w:bCs/>
          <w:color w:val="auto"/>
          <w:szCs w:val="21"/>
          <w:highlight w:val="none"/>
        </w:rPr>
      </w:pPr>
    </w:p>
    <w:p w14:paraId="02A82881">
      <w:pPr>
        <w:rPr>
          <w:rFonts w:hint="eastAsia" w:ascii="宋体" w:hAnsi="宋体" w:eastAsia="宋体" w:cs="宋体"/>
          <w:b/>
          <w:spacing w:val="20"/>
          <w:sz w:val="24"/>
          <w:szCs w:val="24"/>
          <w:highlight w:val="none"/>
          <w:lang w:val="en-US" w:eastAsia="zh-CN"/>
        </w:rPr>
      </w:pPr>
      <w:r>
        <w:rPr>
          <w:rFonts w:hint="eastAsia" w:ascii="宋体" w:hAnsi="宋体" w:eastAsia="宋体" w:cs="宋体"/>
          <w:b/>
          <w:spacing w:val="20"/>
          <w:sz w:val="24"/>
          <w:szCs w:val="24"/>
          <w:highlight w:val="none"/>
          <w:lang w:val="en-US" w:eastAsia="zh-CN"/>
        </w:rPr>
        <w:br w:type="page"/>
      </w:r>
    </w:p>
    <w:p w14:paraId="4B001459">
      <w:pPr>
        <w:pStyle w:val="38"/>
        <w:outlineLvl w:val="2"/>
        <w:rPr>
          <w:rFonts w:hint="eastAsia" w:ascii="宋体" w:hAnsi="Times New Roman" w:eastAsia="宋体" w:cs="宋体"/>
          <w:b/>
          <w:bCs/>
          <w:sz w:val="21"/>
          <w:szCs w:val="21"/>
          <w:highlight w:val="none"/>
          <w:lang w:val="en-US" w:eastAsia="zh-CN"/>
        </w:rPr>
      </w:pPr>
      <w:r>
        <w:rPr>
          <w:rFonts w:hint="eastAsia" w:ascii="宋体" w:hAnsi="Times New Roman" w:eastAsia="宋体" w:cs="宋体"/>
          <w:b/>
          <w:bCs/>
          <w:sz w:val="21"/>
          <w:szCs w:val="21"/>
          <w:highlight w:val="none"/>
          <w:lang w:val="en-US" w:eastAsia="zh-CN"/>
        </w:rPr>
        <w:t>格式十、技术参数偏离表</w:t>
      </w:r>
      <w:r>
        <w:rPr>
          <w:rFonts w:hint="eastAsia" w:ascii="宋体" w:hAnsi="宋体" w:cs="宋体"/>
          <w:b/>
          <w:bCs/>
          <w:sz w:val="21"/>
          <w:szCs w:val="21"/>
          <w:highlight w:val="none"/>
        </w:rPr>
        <w:t>（格式仅供参考）</w:t>
      </w:r>
    </w:p>
    <w:p w14:paraId="4F1F0FA0">
      <w:pPr>
        <w:rPr>
          <w:rFonts w:hint="eastAsia" w:ascii="宋体" w:cs="宋体"/>
          <w:b/>
          <w:bCs/>
          <w:color w:val="auto"/>
          <w:szCs w:val="21"/>
          <w:highlight w:val="none"/>
        </w:rPr>
      </w:pPr>
    </w:p>
    <w:tbl>
      <w:tblPr>
        <w:tblStyle w:val="26"/>
        <w:tblW w:w="4997"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633"/>
        <w:gridCol w:w="1715"/>
        <w:gridCol w:w="1851"/>
        <w:gridCol w:w="1853"/>
        <w:gridCol w:w="1853"/>
        <w:gridCol w:w="1853"/>
      </w:tblGrid>
      <w:tr w14:paraId="3C6C28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9" w:hRule="atLeast"/>
          <w:jc w:val="center"/>
        </w:trPr>
        <w:tc>
          <w:tcPr>
            <w:tcW w:w="630" w:type="dxa"/>
            <w:tcBorders>
              <w:top w:val="single" w:color="auto" w:sz="4" w:space="0"/>
              <w:left w:val="single" w:color="auto" w:sz="4" w:space="0"/>
              <w:bottom w:val="single" w:color="auto" w:sz="4" w:space="0"/>
              <w:right w:val="single" w:color="auto" w:sz="4" w:space="0"/>
            </w:tcBorders>
            <w:noWrap w:val="0"/>
            <w:vAlign w:val="center"/>
          </w:tcPr>
          <w:p w14:paraId="50393B84">
            <w:pPr>
              <w:keepNext w:val="0"/>
              <w:keepLines w:val="0"/>
              <w:widowControl/>
              <w:suppressLineNumbers w:val="0"/>
              <w:spacing w:before="0" w:beforeAutospacing="0" w:after="0" w:afterAutospacing="0" w:line="360" w:lineRule="auto"/>
              <w:ind w:left="0" w:right="0"/>
              <w:jc w:val="center"/>
              <w:textAlignment w:val="center"/>
              <w:rPr>
                <w:rFonts w:hint="default"/>
                <w:b/>
                <w:bCs/>
                <w:szCs w:val="20"/>
              </w:rPr>
            </w:pPr>
            <w:r>
              <w:rPr>
                <w:rStyle w:val="62"/>
                <w:b/>
                <w:bCs/>
                <w:sz w:val="21"/>
                <w:szCs w:val="21"/>
                <w:lang w:bidi="ar"/>
              </w:rPr>
              <w:t>序号</w:t>
            </w:r>
          </w:p>
        </w:tc>
        <w:tc>
          <w:tcPr>
            <w:tcW w:w="1710" w:type="dxa"/>
            <w:tcBorders>
              <w:top w:val="single" w:color="auto" w:sz="4" w:space="0"/>
              <w:left w:val="single" w:color="auto" w:sz="4" w:space="0"/>
              <w:bottom w:val="single" w:color="auto" w:sz="4" w:space="0"/>
              <w:right w:val="single" w:color="auto" w:sz="4" w:space="0"/>
            </w:tcBorders>
            <w:noWrap w:val="0"/>
            <w:vAlign w:val="center"/>
          </w:tcPr>
          <w:p w14:paraId="4B05C0B4">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cs="宋体"/>
                <w:b/>
                <w:bCs/>
                <w:szCs w:val="21"/>
              </w:rPr>
            </w:pPr>
            <w:r>
              <w:rPr>
                <w:rStyle w:val="62"/>
                <w:b/>
                <w:bCs/>
                <w:sz w:val="21"/>
                <w:szCs w:val="21"/>
                <w:lang w:bidi="ar"/>
              </w:rPr>
              <w:t>系统功能</w:t>
            </w:r>
          </w:p>
        </w:tc>
        <w:tc>
          <w:tcPr>
            <w:tcW w:w="1847" w:type="dxa"/>
            <w:tcBorders>
              <w:top w:val="single" w:color="auto" w:sz="4" w:space="0"/>
              <w:left w:val="single" w:color="auto" w:sz="4" w:space="0"/>
              <w:bottom w:val="single" w:color="auto" w:sz="4" w:space="0"/>
              <w:right w:val="single" w:color="auto" w:sz="4" w:space="0"/>
            </w:tcBorders>
            <w:noWrap w:val="0"/>
            <w:vAlign w:val="center"/>
          </w:tcPr>
          <w:p w14:paraId="65FBDB89">
            <w:pPr>
              <w:keepNext w:val="0"/>
              <w:keepLines w:val="0"/>
              <w:widowControl/>
              <w:suppressLineNumbers w:val="0"/>
              <w:spacing w:before="0" w:beforeAutospacing="0" w:after="0" w:afterAutospacing="0" w:line="360" w:lineRule="auto"/>
              <w:ind w:left="0" w:right="0"/>
              <w:jc w:val="center"/>
              <w:textAlignment w:val="center"/>
              <w:rPr>
                <w:rFonts w:hint="default" w:ascii="宋体" w:hAnsi="宋体" w:cs="宋体"/>
                <w:b/>
                <w:bCs/>
                <w:szCs w:val="21"/>
              </w:rPr>
            </w:pPr>
            <w:r>
              <w:rPr>
                <w:rStyle w:val="62"/>
                <w:b/>
                <w:bCs/>
                <w:sz w:val="21"/>
                <w:szCs w:val="21"/>
                <w:lang w:bidi="ar"/>
              </w:rPr>
              <w:t>功能描述及要求</w:t>
            </w:r>
          </w:p>
        </w:tc>
        <w:tc>
          <w:tcPr>
            <w:tcW w:w="949" w:type="pct"/>
            <w:tcBorders>
              <w:top w:val="single" w:color="auto" w:sz="4" w:space="0"/>
              <w:left w:val="single" w:color="auto" w:sz="4" w:space="0"/>
              <w:bottom w:val="single" w:color="auto" w:sz="4" w:space="0"/>
              <w:right w:val="single" w:color="auto" w:sz="4" w:space="0"/>
            </w:tcBorders>
            <w:noWrap w:val="0"/>
            <w:vAlign w:val="center"/>
          </w:tcPr>
          <w:p w14:paraId="1C84FF8F">
            <w:pPr>
              <w:keepNext w:val="0"/>
              <w:keepLines w:val="0"/>
              <w:widowControl/>
              <w:suppressLineNumbers w:val="0"/>
              <w:spacing w:before="0" w:beforeAutospacing="0" w:after="0" w:afterAutospacing="0" w:line="360" w:lineRule="auto"/>
              <w:ind w:left="0" w:right="0"/>
              <w:jc w:val="center"/>
              <w:rPr>
                <w:rFonts w:hint="default"/>
                <w:b/>
                <w:bCs/>
                <w:szCs w:val="20"/>
              </w:rPr>
            </w:pPr>
            <w:r>
              <w:rPr>
                <w:rFonts w:hint="eastAsia" w:ascii="宋体" w:hAnsi="宋体" w:cs="宋体"/>
                <w:b/>
                <w:bCs/>
                <w:szCs w:val="21"/>
                <w:lang w:val="en-US" w:eastAsia="zh-CN"/>
              </w:rPr>
              <w:t>磋商</w:t>
            </w:r>
            <w:r>
              <w:rPr>
                <w:rFonts w:hint="eastAsia" w:ascii="宋体" w:hAnsi="宋体" w:cs="宋体"/>
                <w:b/>
                <w:bCs/>
                <w:szCs w:val="21"/>
              </w:rPr>
              <w:t>文件所需技术参数</w:t>
            </w:r>
          </w:p>
        </w:tc>
        <w:tc>
          <w:tcPr>
            <w:tcW w:w="949" w:type="pct"/>
            <w:tcBorders>
              <w:top w:val="single" w:color="auto" w:sz="4" w:space="0"/>
              <w:left w:val="single" w:color="auto" w:sz="4" w:space="0"/>
              <w:bottom w:val="single" w:color="auto" w:sz="4" w:space="0"/>
              <w:right w:val="single" w:color="auto" w:sz="4" w:space="0"/>
            </w:tcBorders>
            <w:noWrap w:val="0"/>
            <w:vAlign w:val="center"/>
          </w:tcPr>
          <w:p w14:paraId="5C4D289B">
            <w:pPr>
              <w:keepNext w:val="0"/>
              <w:keepLines w:val="0"/>
              <w:widowControl/>
              <w:suppressLineNumbers w:val="0"/>
              <w:spacing w:before="0" w:beforeAutospacing="0" w:after="0" w:afterAutospacing="0" w:line="360" w:lineRule="auto"/>
              <w:ind w:left="0" w:right="0"/>
              <w:jc w:val="center"/>
              <w:rPr>
                <w:rFonts w:hint="default"/>
                <w:b/>
                <w:bCs/>
                <w:szCs w:val="20"/>
              </w:rPr>
            </w:pPr>
            <w:r>
              <w:rPr>
                <w:rFonts w:hint="eastAsia" w:ascii="宋体" w:hAnsi="宋体" w:cs="宋体"/>
                <w:b/>
                <w:bCs/>
                <w:szCs w:val="21"/>
              </w:rPr>
              <w:t>所投技术参数</w:t>
            </w:r>
          </w:p>
          <w:p w14:paraId="7813102A">
            <w:pPr>
              <w:keepNext w:val="0"/>
              <w:keepLines w:val="0"/>
              <w:widowControl/>
              <w:suppressLineNumbers w:val="0"/>
              <w:spacing w:before="0" w:beforeAutospacing="0" w:after="0" w:afterAutospacing="0" w:line="360" w:lineRule="auto"/>
              <w:ind w:left="0" w:right="0"/>
              <w:jc w:val="center"/>
              <w:rPr>
                <w:rFonts w:hint="default"/>
                <w:b/>
                <w:bCs/>
                <w:szCs w:val="20"/>
              </w:rPr>
            </w:pPr>
            <w:r>
              <w:rPr>
                <w:rFonts w:hint="eastAsia" w:ascii="宋体" w:hAnsi="宋体" w:cs="宋体"/>
                <w:b/>
                <w:bCs/>
                <w:szCs w:val="21"/>
              </w:rPr>
              <w:t>及性能说明</w:t>
            </w:r>
          </w:p>
        </w:tc>
        <w:tc>
          <w:tcPr>
            <w:tcW w:w="949" w:type="pct"/>
            <w:tcBorders>
              <w:top w:val="single" w:color="auto" w:sz="4" w:space="0"/>
              <w:left w:val="single" w:color="auto" w:sz="4" w:space="0"/>
              <w:bottom w:val="single" w:color="auto" w:sz="4" w:space="0"/>
              <w:right w:val="single" w:color="auto" w:sz="4" w:space="0"/>
            </w:tcBorders>
            <w:noWrap w:val="0"/>
            <w:vAlign w:val="center"/>
          </w:tcPr>
          <w:p w14:paraId="6CE593E5">
            <w:pPr>
              <w:keepNext w:val="0"/>
              <w:keepLines w:val="0"/>
              <w:widowControl/>
              <w:suppressLineNumbers w:val="0"/>
              <w:spacing w:before="0" w:beforeAutospacing="0" w:after="0" w:afterAutospacing="0" w:line="360" w:lineRule="auto"/>
              <w:ind w:left="0" w:right="0"/>
              <w:jc w:val="center"/>
              <w:rPr>
                <w:rFonts w:hint="default"/>
                <w:b/>
                <w:bCs/>
                <w:szCs w:val="20"/>
              </w:rPr>
            </w:pPr>
            <w:r>
              <w:rPr>
                <w:rFonts w:hint="eastAsia" w:ascii="宋体" w:hAnsi="宋体" w:cs="宋体"/>
                <w:b/>
                <w:bCs/>
                <w:szCs w:val="21"/>
              </w:rPr>
              <w:t>偏离情况及说明</w:t>
            </w:r>
          </w:p>
        </w:tc>
      </w:tr>
      <w:tr w14:paraId="041D69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9" w:hRule="atLeast"/>
          <w:jc w:val="center"/>
        </w:trPr>
        <w:tc>
          <w:tcPr>
            <w:tcW w:w="324" w:type="pct"/>
            <w:tcBorders>
              <w:top w:val="single" w:color="auto" w:sz="4" w:space="0"/>
              <w:left w:val="single" w:color="auto" w:sz="4" w:space="0"/>
              <w:bottom w:val="single" w:color="auto" w:sz="4" w:space="0"/>
              <w:right w:val="single" w:color="auto" w:sz="4" w:space="0"/>
            </w:tcBorders>
            <w:noWrap w:val="0"/>
            <w:vAlign w:val="center"/>
          </w:tcPr>
          <w:p w14:paraId="69F8B497">
            <w:pPr>
              <w:keepNext w:val="0"/>
              <w:keepLines w:val="0"/>
              <w:widowControl/>
              <w:suppressLineNumbers w:val="0"/>
              <w:spacing w:before="0" w:beforeAutospacing="0" w:after="0" w:afterAutospacing="0" w:line="360" w:lineRule="auto"/>
              <w:ind w:left="0" w:right="0"/>
              <w:jc w:val="center"/>
              <w:rPr>
                <w:rFonts w:hint="default"/>
                <w:szCs w:val="20"/>
              </w:rPr>
            </w:pPr>
            <w:r>
              <w:rPr>
                <w:rFonts w:hint="eastAsia" w:ascii="宋体" w:hAnsi="宋体" w:cs="宋体"/>
                <w:szCs w:val="21"/>
              </w:rPr>
              <w:t>1</w:t>
            </w:r>
          </w:p>
        </w:tc>
        <w:tc>
          <w:tcPr>
            <w:tcW w:w="878" w:type="pct"/>
            <w:tcBorders>
              <w:top w:val="single" w:color="auto" w:sz="4" w:space="0"/>
              <w:left w:val="single" w:color="auto" w:sz="4" w:space="0"/>
              <w:bottom w:val="single" w:color="auto" w:sz="4" w:space="0"/>
              <w:right w:val="single" w:color="auto" w:sz="4" w:space="0"/>
            </w:tcBorders>
            <w:noWrap w:val="0"/>
            <w:vAlign w:val="center"/>
          </w:tcPr>
          <w:p w14:paraId="32C7B045">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8" w:type="pct"/>
            <w:tcBorders>
              <w:top w:val="single" w:color="auto" w:sz="4" w:space="0"/>
              <w:left w:val="single" w:color="auto" w:sz="4" w:space="0"/>
              <w:bottom w:val="single" w:color="auto" w:sz="4" w:space="0"/>
              <w:right w:val="single" w:color="auto" w:sz="4" w:space="0"/>
            </w:tcBorders>
            <w:noWrap w:val="0"/>
            <w:vAlign w:val="center"/>
          </w:tcPr>
          <w:p w14:paraId="7135A522">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9" w:type="pct"/>
            <w:tcBorders>
              <w:top w:val="single" w:color="auto" w:sz="4" w:space="0"/>
              <w:left w:val="single" w:color="auto" w:sz="4" w:space="0"/>
              <w:bottom w:val="single" w:color="auto" w:sz="4" w:space="0"/>
              <w:right w:val="single" w:color="auto" w:sz="4" w:space="0"/>
            </w:tcBorders>
            <w:noWrap w:val="0"/>
            <w:vAlign w:val="center"/>
          </w:tcPr>
          <w:p w14:paraId="530E40BC">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9" w:type="pct"/>
            <w:tcBorders>
              <w:top w:val="single" w:color="auto" w:sz="4" w:space="0"/>
              <w:left w:val="single" w:color="auto" w:sz="4" w:space="0"/>
              <w:bottom w:val="single" w:color="auto" w:sz="4" w:space="0"/>
              <w:right w:val="single" w:color="auto" w:sz="4" w:space="0"/>
            </w:tcBorders>
            <w:noWrap w:val="0"/>
            <w:vAlign w:val="center"/>
          </w:tcPr>
          <w:p w14:paraId="11D906CF">
            <w:pPr>
              <w:keepNext w:val="0"/>
              <w:keepLines w:val="0"/>
              <w:widowControl/>
              <w:suppressLineNumbers w:val="0"/>
              <w:spacing w:before="0" w:beforeAutospacing="0" w:after="0" w:afterAutospacing="0" w:line="360" w:lineRule="auto"/>
              <w:ind w:left="0" w:right="0"/>
              <w:jc w:val="center"/>
              <w:rPr>
                <w:rFonts w:hint="default"/>
                <w:szCs w:val="20"/>
              </w:rPr>
            </w:pPr>
          </w:p>
        </w:tc>
        <w:tc>
          <w:tcPr>
            <w:tcW w:w="949" w:type="pct"/>
            <w:tcBorders>
              <w:top w:val="single" w:color="auto" w:sz="4" w:space="0"/>
              <w:left w:val="single" w:color="auto" w:sz="4" w:space="0"/>
              <w:bottom w:val="single" w:color="auto" w:sz="4" w:space="0"/>
              <w:right w:val="single" w:color="auto" w:sz="4" w:space="0"/>
            </w:tcBorders>
            <w:noWrap w:val="0"/>
            <w:vAlign w:val="center"/>
          </w:tcPr>
          <w:p w14:paraId="76450994">
            <w:pPr>
              <w:keepNext w:val="0"/>
              <w:keepLines w:val="0"/>
              <w:widowControl/>
              <w:suppressLineNumbers w:val="0"/>
              <w:spacing w:before="0" w:beforeAutospacing="0" w:after="0" w:afterAutospacing="0" w:line="360" w:lineRule="auto"/>
              <w:ind w:left="0" w:right="0"/>
              <w:jc w:val="center"/>
              <w:rPr>
                <w:rFonts w:hint="default"/>
                <w:szCs w:val="20"/>
              </w:rPr>
            </w:pPr>
            <w:r>
              <w:rPr>
                <w:rFonts w:hint="eastAsia" w:ascii="宋体" w:hAnsi="宋体" w:cs="宋体"/>
                <w:b/>
                <w:bCs/>
                <w:szCs w:val="21"/>
              </w:rPr>
              <w:t>正偏离/符合/负偏离</w:t>
            </w:r>
          </w:p>
        </w:tc>
      </w:tr>
      <w:tr w14:paraId="3CDD50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9" w:hRule="atLeast"/>
          <w:jc w:val="center"/>
        </w:trPr>
        <w:tc>
          <w:tcPr>
            <w:tcW w:w="324" w:type="pct"/>
            <w:noWrap w:val="0"/>
            <w:vAlign w:val="center"/>
          </w:tcPr>
          <w:p w14:paraId="38E4A441">
            <w:pPr>
              <w:keepNext w:val="0"/>
              <w:keepLines w:val="0"/>
              <w:widowControl/>
              <w:suppressLineNumbers w:val="0"/>
              <w:spacing w:before="0" w:beforeAutospacing="0" w:after="0" w:afterAutospacing="0" w:line="360" w:lineRule="auto"/>
              <w:ind w:left="0" w:right="0"/>
              <w:jc w:val="center"/>
              <w:rPr>
                <w:rFonts w:hint="default"/>
                <w:szCs w:val="20"/>
              </w:rPr>
            </w:pPr>
            <w:r>
              <w:rPr>
                <w:rFonts w:hint="eastAsia" w:ascii="宋体" w:hAnsi="宋体" w:cs="宋体"/>
                <w:szCs w:val="21"/>
              </w:rPr>
              <w:t>2</w:t>
            </w:r>
          </w:p>
        </w:tc>
        <w:tc>
          <w:tcPr>
            <w:tcW w:w="878" w:type="pct"/>
            <w:noWrap w:val="0"/>
            <w:vAlign w:val="center"/>
          </w:tcPr>
          <w:p w14:paraId="1F7AE876">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8" w:type="pct"/>
            <w:noWrap w:val="0"/>
            <w:vAlign w:val="center"/>
          </w:tcPr>
          <w:p w14:paraId="1048AA0D">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9" w:type="pct"/>
            <w:noWrap w:val="0"/>
            <w:vAlign w:val="center"/>
          </w:tcPr>
          <w:p w14:paraId="2588C351">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9" w:type="pct"/>
            <w:noWrap w:val="0"/>
            <w:vAlign w:val="center"/>
          </w:tcPr>
          <w:p w14:paraId="47887431">
            <w:pPr>
              <w:keepNext w:val="0"/>
              <w:keepLines w:val="0"/>
              <w:widowControl/>
              <w:suppressLineNumbers w:val="0"/>
              <w:spacing w:before="0" w:beforeAutospacing="0" w:after="0" w:afterAutospacing="0" w:line="360" w:lineRule="auto"/>
              <w:ind w:left="0" w:right="0"/>
              <w:jc w:val="center"/>
              <w:rPr>
                <w:rFonts w:hint="default"/>
                <w:szCs w:val="20"/>
              </w:rPr>
            </w:pPr>
          </w:p>
        </w:tc>
        <w:tc>
          <w:tcPr>
            <w:tcW w:w="949" w:type="pct"/>
            <w:noWrap w:val="0"/>
            <w:vAlign w:val="center"/>
          </w:tcPr>
          <w:p w14:paraId="3A45A28A">
            <w:pPr>
              <w:keepNext w:val="0"/>
              <w:keepLines w:val="0"/>
              <w:widowControl/>
              <w:suppressLineNumbers w:val="0"/>
              <w:spacing w:before="0" w:beforeAutospacing="0" w:after="0" w:afterAutospacing="0" w:line="360" w:lineRule="auto"/>
              <w:ind w:left="0" w:right="0"/>
              <w:jc w:val="center"/>
              <w:rPr>
                <w:rFonts w:hint="default"/>
                <w:szCs w:val="20"/>
              </w:rPr>
            </w:pPr>
          </w:p>
        </w:tc>
      </w:tr>
      <w:tr w14:paraId="7C69F2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9" w:hRule="atLeast"/>
          <w:jc w:val="center"/>
        </w:trPr>
        <w:tc>
          <w:tcPr>
            <w:tcW w:w="324" w:type="pct"/>
            <w:tcBorders>
              <w:top w:val="single" w:color="auto" w:sz="4" w:space="0"/>
              <w:left w:val="single" w:color="auto" w:sz="4" w:space="0"/>
              <w:right w:val="single" w:color="auto" w:sz="4" w:space="0"/>
            </w:tcBorders>
            <w:noWrap w:val="0"/>
            <w:vAlign w:val="center"/>
          </w:tcPr>
          <w:p w14:paraId="186CBA0F">
            <w:pPr>
              <w:keepNext w:val="0"/>
              <w:keepLines w:val="0"/>
              <w:widowControl/>
              <w:suppressLineNumbers w:val="0"/>
              <w:spacing w:before="0" w:beforeAutospacing="0" w:after="0" w:afterAutospacing="0" w:line="360" w:lineRule="auto"/>
              <w:ind w:left="0" w:right="0"/>
              <w:jc w:val="center"/>
              <w:rPr>
                <w:rFonts w:hint="default"/>
                <w:szCs w:val="20"/>
              </w:rPr>
            </w:pPr>
            <w:r>
              <w:rPr>
                <w:rFonts w:hint="eastAsia" w:ascii="宋体" w:hAnsi="宋体" w:cs="宋体"/>
                <w:szCs w:val="21"/>
              </w:rPr>
              <w:t>3</w:t>
            </w:r>
          </w:p>
        </w:tc>
        <w:tc>
          <w:tcPr>
            <w:tcW w:w="878" w:type="pct"/>
            <w:tcBorders>
              <w:top w:val="single" w:color="auto" w:sz="4" w:space="0"/>
              <w:left w:val="single" w:color="auto" w:sz="4" w:space="0"/>
              <w:right w:val="single" w:color="auto" w:sz="4" w:space="0"/>
            </w:tcBorders>
            <w:noWrap w:val="0"/>
            <w:vAlign w:val="center"/>
          </w:tcPr>
          <w:p w14:paraId="5CEE4A0D">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8" w:type="pct"/>
            <w:tcBorders>
              <w:top w:val="single" w:color="auto" w:sz="4" w:space="0"/>
              <w:left w:val="single" w:color="auto" w:sz="4" w:space="0"/>
              <w:bottom w:val="single" w:color="auto" w:sz="4" w:space="0"/>
              <w:right w:val="single" w:color="auto" w:sz="4" w:space="0"/>
            </w:tcBorders>
            <w:noWrap w:val="0"/>
            <w:vAlign w:val="center"/>
          </w:tcPr>
          <w:p w14:paraId="6CB243FA">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9" w:type="pct"/>
            <w:tcBorders>
              <w:top w:val="single" w:color="auto" w:sz="4" w:space="0"/>
              <w:left w:val="single" w:color="auto" w:sz="4" w:space="0"/>
              <w:bottom w:val="single" w:color="auto" w:sz="4" w:space="0"/>
              <w:right w:val="single" w:color="auto" w:sz="4" w:space="0"/>
            </w:tcBorders>
            <w:noWrap w:val="0"/>
            <w:vAlign w:val="center"/>
          </w:tcPr>
          <w:p w14:paraId="11D27302">
            <w:pPr>
              <w:keepNext w:val="0"/>
              <w:keepLines w:val="0"/>
              <w:widowControl/>
              <w:suppressLineNumbers w:val="0"/>
              <w:spacing w:before="0" w:beforeAutospacing="0" w:after="0" w:afterAutospacing="0"/>
              <w:ind w:left="0" w:right="0"/>
              <w:jc w:val="center"/>
              <w:textAlignment w:val="center"/>
              <w:rPr>
                <w:rFonts w:hint="default"/>
                <w:szCs w:val="20"/>
              </w:rPr>
            </w:pPr>
          </w:p>
        </w:tc>
        <w:tc>
          <w:tcPr>
            <w:tcW w:w="949" w:type="pct"/>
            <w:tcBorders>
              <w:top w:val="single" w:color="auto" w:sz="4" w:space="0"/>
              <w:left w:val="single" w:color="auto" w:sz="4" w:space="0"/>
              <w:bottom w:val="single" w:color="auto" w:sz="4" w:space="0"/>
              <w:right w:val="single" w:color="auto" w:sz="4" w:space="0"/>
            </w:tcBorders>
            <w:noWrap w:val="0"/>
            <w:vAlign w:val="center"/>
          </w:tcPr>
          <w:p w14:paraId="3169AE76">
            <w:pPr>
              <w:keepNext w:val="0"/>
              <w:keepLines w:val="0"/>
              <w:widowControl/>
              <w:suppressLineNumbers w:val="0"/>
              <w:spacing w:before="0" w:beforeAutospacing="0" w:after="0" w:afterAutospacing="0" w:line="360" w:lineRule="auto"/>
              <w:ind w:left="0" w:right="0"/>
              <w:jc w:val="center"/>
              <w:rPr>
                <w:rFonts w:hint="default"/>
                <w:szCs w:val="20"/>
              </w:rPr>
            </w:pPr>
          </w:p>
        </w:tc>
        <w:tc>
          <w:tcPr>
            <w:tcW w:w="949" w:type="pct"/>
            <w:tcBorders>
              <w:top w:val="single" w:color="auto" w:sz="4" w:space="0"/>
              <w:left w:val="single" w:color="auto" w:sz="4" w:space="0"/>
              <w:bottom w:val="single" w:color="auto" w:sz="4" w:space="0"/>
              <w:right w:val="single" w:color="auto" w:sz="4" w:space="0"/>
            </w:tcBorders>
            <w:noWrap w:val="0"/>
            <w:vAlign w:val="center"/>
          </w:tcPr>
          <w:p w14:paraId="579C1EE0">
            <w:pPr>
              <w:keepNext w:val="0"/>
              <w:keepLines w:val="0"/>
              <w:widowControl/>
              <w:suppressLineNumbers w:val="0"/>
              <w:spacing w:before="0" w:beforeAutospacing="0" w:after="0" w:afterAutospacing="0" w:line="360" w:lineRule="auto"/>
              <w:ind w:left="0" w:right="0"/>
              <w:jc w:val="center"/>
              <w:rPr>
                <w:rFonts w:hint="default"/>
                <w:szCs w:val="20"/>
              </w:rPr>
            </w:pPr>
          </w:p>
        </w:tc>
      </w:tr>
      <w:tr w14:paraId="0C6EDC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9" w:hRule="atLeast"/>
          <w:jc w:val="center"/>
        </w:trPr>
        <w:tc>
          <w:tcPr>
            <w:tcW w:w="324" w:type="pct"/>
            <w:tcBorders>
              <w:top w:val="single" w:color="auto" w:sz="4" w:space="0"/>
              <w:left w:val="single" w:color="auto" w:sz="4" w:space="0"/>
              <w:bottom w:val="single" w:color="auto" w:sz="4" w:space="0"/>
              <w:right w:val="single" w:color="auto" w:sz="4" w:space="0"/>
            </w:tcBorders>
            <w:noWrap w:val="0"/>
            <w:vAlign w:val="center"/>
          </w:tcPr>
          <w:p w14:paraId="2BEEF866">
            <w:pPr>
              <w:keepNext w:val="0"/>
              <w:keepLines w:val="0"/>
              <w:widowControl/>
              <w:suppressLineNumbers w:val="0"/>
              <w:spacing w:before="0" w:beforeAutospacing="0" w:after="0" w:afterAutospacing="0" w:line="360" w:lineRule="auto"/>
              <w:ind w:left="0" w:right="0"/>
              <w:jc w:val="center"/>
              <w:rPr>
                <w:rFonts w:hint="default"/>
                <w:szCs w:val="20"/>
              </w:rPr>
            </w:pPr>
            <w:r>
              <w:rPr>
                <w:rFonts w:hint="eastAsia" w:ascii="宋体" w:hAnsi="宋体" w:cs="宋体"/>
                <w:szCs w:val="21"/>
              </w:rPr>
              <w:t>...</w:t>
            </w:r>
          </w:p>
        </w:tc>
        <w:tc>
          <w:tcPr>
            <w:tcW w:w="878" w:type="pct"/>
            <w:tcBorders>
              <w:top w:val="single" w:color="auto" w:sz="4" w:space="0"/>
              <w:left w:val="single" w:color="auto" w:sz="4" w:space="0"/>
              <w:bottom w:val="single" w:color="auto" w:sz="4" w:space="0"/>
              <w:right w:val="single" w:color="auto" w:sz="4" w:space="0"/>
            </w:tcBorders>
            <w:noWrap w:val="0"/>
            <w:vAlign w:val="center"/>
          </w:tcPr>
          <w:p w14:paraId="3E132B41">
            <w:pPr>
              <w:keepNext w:val="0"/>
              <w:keepLines w:val="0"/>
              <w:widowControl/>
              <w:suppressLineNumbers w:val="0"/>
              <w:spacing w:before="0" w:beforeAutospacing="0" w:after="0" w:afterAutospacing="0" w:line="360" w:lineRule="auto"/>
              <w:ind w:left="0" w:right="0"/>
              <w:jc w:val="center"/>
              <w:rPr>
                <w:rFonts w:hint="default"/>
                <w:szCs w:val="20"/>
              </w:rPr>
            </w:pPr>
            <w:r>
              <w:rPr>
                <w:rFonts w:hint="eastAsia" w:ascii="宋体" w:hAnsi="宋体" w:cs="宋体"/>
                <w:szCs w:val="21"/>
              </w:rPr>
              <w:t>...</w:t>
            </w:r>
          </w:p>
        </w:tc>
        <w:tc>
          <w:tcPr>
            <w:tcW w:w="948" w:type="pct"/>
            <w:tcBorders>
              <w:top w:val="single" w:color="auto" w:sz="4" w:space="0"/>
              <w:left w:val="single" w:color="auto" w:sz="4" w:space="0"/>
              <w:bottom w:val="single" w:color="auto" w:sz="4" w:space="0"/>
              <w:right w:val="single" w:color="auto" w:sz="4" w:space="0"/>
            </w:tcBorders>
            <w:noWrap w:val="0"/>
            <w:vAlign w:val="center"/>
          </w:tcPr>
          <w:p w14:paraId="3BDF7AEF">
            <w:pPr>
              <w:keepNext w:val="0"/>
              <w:keepLines w:val="0"/>
              <w:widowControl/>
              <w:suppressLineNumbers w:val="0"/>
              <w:spacing w:before="0" w:beforeAutospacing="0" w:after="0" w:afterAutospacing="0" w:line="360" w:lineRule="auto"/>
              <w:ind w:left="0" w:right="0"/>
              <w:jc w:val="center"/>
              <w:rPr>
                <w:rFonts w:hint="default" w:ascii="宋体" w:hAnsi="宋体" w:cs="宋体"/>
                <w:szCs w:val="21"/>
              </w:rPr>
            </w:pPr>
          </w:p>
        </w:tc>
        <w:tc>
          <w:tcPr>
            <w:tcW w:w="949" w:type="pct"/>
            <w:tcBorders>
              <w:top w:val="single" w:color="auto" w:sz="4" w:space="0"/>
              <w:left w:val="single" w:color="auto" w:sz="4" w:space="0"/>
              <w:bottom w:val="single" w:color="auto" w:sz="4" w:space="0"/>
              <w:right w:val="single" w:color="auto" w:sz="4" w:space="0"/>
            </w:tcBorders>
            <w:noWrap w:val="0"/>
            <w:vAlign w:val="center"/>
          </w:tcPr>
          <w:p w14:paraId="1E98B3E5">
            <w:pPr>
              <w:keepNext w:val="0"/>
              <w:keepLines w:val="0"/>
              <w:widowControl/>
              <w:suppressLineNumbers w:val="0"/>
              <w:spacing w:before="0" w:beforeAutospacing="0" w:after="0" w:afterAutospacing="0" w:line="360" w:lineRule="auto"/>
              <w:ind w:left="0" w:right="0"/>
              <w:jc w:val="center"/>
              <w:rPr>
                <w:rFonts w:hint="default"/>
                <w:szCs w:val="20"/>
              </w:rPr>
            </w:pPr>
            <w:r>
              <w:rPr>
                <w:rFonts w:hint="eastAsia" w:ascii="宋体" w:hAnsi="宋体" w:cs="宋体"/>
                <w:szCs w:val="21"/>
              </w:rPr>
              <w:t>...</w:t>
            </w:r>
          </w:p>
        </w:tc>
        <w:tc>
          <w:tcPr>
            <w:tcW w:w="949" w:type="pct"/>
            <w:tcBorders>
              <w:top w:val="single" w:color="auto" w:sz="4" w:space="0"/>
              <w:left w:val="single" w:color="auto" w:sz="4" w:space="0"/>
              <w:bottom w:val="single" w:color="auto" w:sz="4" w:space="0"/>
              <w:right w:val="single" w:color="auto" w:sz="4" w:space="0"/>
            </w:tcBorders>
            <w:noWrap w:val="0"/>
            <w:vAlign w:val="center"/>
          </w:tcPr>
          <w:p w14:paraId="188944C6">
            <w:pPr>
              <w:keepNext w:val="0"/>
              <w:keepLines w:val="0"/>
              <w:widowControl/>
              <w:suppressLineNumbers w:val="0"/>
              <w:spacing w:before="0" w:beforeAutospacing="0" w:after="0" w:afterAutospacing="0" w:line="360" w:lineRule="auto"/>
              <w:ind w:left="0" w:right="0"/>
              <w:jc w:val="center"/>
              <w:rPr>
                <w:rFonts w:hint="default"/>
                <w:szCs w:val="20"/>
              </w:rPr>
            </w:pPr>
          </w:p>
        </w:tc>
        <w:tc>
          <w:tcPr>
            <w:tcW w:w="949" w:type="pct"/>
            <w:tcBorders>
              <w:top w:val="single" w:color="auto" w:sz="4" w:space="0"/>
              <w:left w:val="single" w:color="auto" w:sz="4" w:space="0"/>
              <w:bottom w:val="single" w:color="auto" w:sz="4" w:space="0"/>
              <w:right w:val="single" w:color="auto" w:sz="4" w:space="0"/>
            </w:tcBorders>
            <w:noWrap w:val="0"/>
            <w:vAlign w:val="center"/>
          </w:tcPr>
          <w:p w14:paraId="3CE7E34C">
            <w:pPr>
              <w:keepNext w:val="0"/>
              <w:keepLines w:val="0"/>
              <w:widowControl/>
              <w:suppressLineNumbers w:val="0"/>
              <w:spacing w:before="0" w:beforeAutospacing="0" w:after="0" w:afterAutospacing="0" w:line="360" w:lineRule="auto"/>
              <w:ind w:left="0" w:right="0"/>
              <w:jc w:val="center"/>
              <w:rPr>
                <w:rFonts w:hint="default"/>
                <w:szCs w:val="20"/>
              </w:rPr>
            </w:pPr>
          </w:p>
        </w:tc>
      </w:tr>
    </w:tbl>
    <w:p w14:paraId="6B71A90F">
      <w:pPr>
        <w:rPr>
          <w:rFonts w:hint="eastAsia" w:ascii="宋体" w:cs="宋体"/>
          <w:b/>
          <w:bCs/>
          <w:color w:val="auto"/>
          <w:szCs w:val="21"/>
          <w:highlight w:val="none"/>
        </w:rPr>
      </w:pPr>
    </w:p>
    <w:p w14:paraId="2B1FE668">
      <w:pPr>
        <w:spacing w:line="480" w:lineRule="auto"/>
        <w:rPr>
          <w:rFonts w:hint="eastAsia" w:ascii="宋体" w:hAnsi="宋体" w:eastAsia="宋体" w:cs="宋体"/>
          <w:b/>
          <w:bCs/>
          <w:szCs w:val="21"/>
          <w:highlight w:val="none"/>
          <w:lang w:eastAsia="zh-CN"/>
        </w:rPr>
      </w:pPr>
      <w:r>
        <w:rPr>
          <w:rFonts w:hint="eastAsia" w:ascii="宋体" w:hAnsi="宋体" w:cs="宋体"/>
          <w:b/>
          <w:bCs/>
          <w:szCs w:val="21"/>
          <w:highlight w:val="none"/>
        </w:rPr>
        <w:t>注：</w:t>
      </w:r>
      <w:r>
        <w:rPr>
          <w:rFonts w:hint="eastAsia" w:ascii="宋体" w:hAnsi="宋体" w:cs="宋体"/>
          <w:b/>
          <w:bCs/>
          <w:szCs w:val="21"/>
          <w:highlight w:val="none"/>
          <w:lang w:eastAsia="zh-CN"/>
        </w:rPr>
        <w:t>根据第二章采购需求中的</w:t>
      </w:r>
      <w:r>
        <w:rPr>
          <w:rFonts w:hint="eastAsia" w:ascii="宋体" w:hAnsi="宋体" w:cs="宋体"/>
          <w:b/>
          <w:bCs/>
          <w:szCs w:val="21"/>
          <w:highlight w:val="none"/>
          <w:lang w:val="en-US" w:eastAsia="zh-CN"/>
        </w:rPr>
        <w:t xml:space="preserve"> 四</w:t>
      </w:r>
      <w:r>
        <w:rPr>
          <w:rFonts w:hint="eastAsia" w:ascii="宋体" w:hAnsi="宋体" w:cs="宋体"/>
          <w:b/>
          <w:bCs/>
          <w:szCs w:val="21"/>
          <w:highlight w:val="none"/>
          <w:lang w:eastAsia="zh-CN"/>
        </w:rPr>
        <w:t>、</w:t>
      </w:r>
      <w:r>
        <w:rPr>
          <w:rFonts w:hint="eastAsia" w:ascii="宋体" w:hAnsi="宋体" w:cs="宋体"/>
          <w:b/>
          <w:bCs/>
          <w:szCs w:val="21"/>
          <w:highlight w:val="none"/>
          <w:lang w:val="en-US" w:eastAsia="zh-CN"/>
        </w:rPr>
        <w:t>详细技术参数要求</w:t>
      </w:r>
      <w:r>
        <w:rPr>
          <w:rFonts w:hint="eastAsia" w:ascii="宋体" w:hAnsi="宋体" w:cs="宋体"/>
          <w:b/>
          <w:bCs/>
          <w:szCs w:val="21"/>
          <w:highlight w:val="none"/>
          <w:lang w:eastAsia="zh-CN"/>
        </w:rPr>
        <w:t>进行填写。</w:t>
      </w:r>
    </w:p>
    <w:p w14:paraId="669740B2">
      <w:pPr>
        <w:rPr>
          <w:highlight w:val="none"/>
        </w:rPr>
      </w:pPr>
    </w:p>
    <w:p w14:paraId="2FFB5CEB">
      <w:pPr>
        <w:spacing w:line="360" w:lineRule="auto"/>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名称：</w:t>
      </w:r>
      <w:r>
        <w:rPr>
          <w:rFonts w:hint="eastAsia" w:ascii="宋体" w:hAnsi="宋体" w:cs="宋体"/>
          <w:szCs w:val="21"/>
          <w:highlight w:val="none"/>
          <w:u w:val="single"/>
        </w:rPr>
        <w:t xml:space="preserve">                   </w:t>
      </w:r>
      <w:r>
        <w:rPr>
          <w:rFonts w:hint="eastAsia" w:ascii="宋体" w:hAnsi="宋体" w:cs="宋体"/>
          <w:szCs w:val="21"/>
          <w:highlight w:val="none"/>
        </w:rPr>
        <w:t xml:space="preserve">（加盖公章）  </w:t>
      </w:r>
    </w:p>
    <w:p w14:paraId="5DC7CD66">
      <w:pPr>
        <w:spacing w:line="360" w:lineRule="auto"/>
        <w:rPr>
          <w:rFonts w:ascii="宋体" w:hAnsi="宋体" w:cs="宋体"/>
          <w:szCs w:val="21"/>
          <w:highlight w:val="none"/>
        </w:rPr>
      </w:pPr>
      <w:r>
        <w:rPr>
          <w:rFonts w:hint="eastAsia" w:ascii="宋体" w:hAnsi="宋体" w:cs="宋体"/>
          <w:szCs w:val="21"/>
          <w:highlight w:val="none"/>
          <w:lang w:eastAsia="zh-CN"/>
        </w:rPr>
        <w:t>响应人</w:t>
      </w:r>
      <w:r>
        <w:rPr>
          <w:rFonts w:hint="eastAsia" w:ascii="宋体" w:hAnsi="宋体" w:cs="宋体"/>
          <w:szCs w:val="21"/>
          <w:highlight w:val="none"/>
        </w:rPr>
        <w:t>代表：</w:t>
      </w:r>
      <w:r>
        <w:rPr>
          <w:rFonts w:hint="eastAsia" w:ascii="宋体" w:hAnsi="宋体" w:cs="宋体"/>
          <w:szCs w:val="21"/>
          <w:highlight w:val="none"/>
          <w:u w:val="single"/>
        </w:rPr>
        <w:t xml:space="preserve">                </w:t>
      </w:r>
      <w:r>
        <w:rPr>
          <w:rFonts w:hint="eastAsia" w:ascii="宋体" w:hAnsi="宋体" w:cs="宋体"/>
          <w:szCs w:val="21"/>
          <w:highlight w:val="none"/>
        </w:rPr>
        <w:t>（</w:t>
      </w:r>
      <w:r>
        <w:rPr>
          <w:rFonts w:hint="eastAsia" w:ascii="宋体" w:hAnsi="宋体" w:cs="宋体"/>
          <w:color w:val="auto"/>
          <w:spacing w:val="-4"/>
          <w:szCs w:val="21"/>
          <w:highlight w:val="none"/>
        </w:rPr>
        <w:t>签字或盖章</w:t>
      </w:r>
      <w:r>
        <w:rPr>
          <w:rFonts w:hint="eastAsia" w:ascii="宋体" w:hAnsi="宋体" w:cs="宋体"/>
          <w:szCs w:val="21"/>
          <w:highlight w:val="none"/>
        </w:rPr>
        <w:t>）</w:t>
      </w:r>
    </w:p>
    <w:p w14:paraId="79F229F0">
      <w:pPr>
        <w:spacing w:line="360" w:lineRule="auto"/>
        <w:rPr>
          <w:rFonts w:ascii="宋体" w:hAnsi="宋体" w:cs="宋体"/>
          <w:szCs w:val="21"/>
          <w:highlight w:val="none"/>
        </w:rPr>
      </w:pPr>
      <w:r>
        <w:rPr>
          <w:rFonts w:hint="eastAsia" w:ascii="宋体" w:hAnsi="宋体" w:cs="宋体"/>
          <w:szCs w:val="21"/>
          <w:highlight w:val="none"/>
        </w:rPr>
        <w:t>日期：</w:t>
      </w: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14:paraId="51FFCE4D">
      <w:pPr>
        <w:keepNext/>
        <w:keepLines/>
        <w:pageBreakBefore w:val="0"/>
        <w:widowControl w:val="0"/>
        <w:kinsoku/>
        <w:wordWrap/>
        <w:overflowPunct/>
        <w:topLinePunct w:val="0"/>
        <w:autoSpaceDE/>
        <w:autoSpaceDN/>
        <w:bidi w:val="0"/>
        <w:adjustRightInd/>
        <w:snapToGrid/>
        <w:spacing w:line="579" w:lineRule="auto"/>
        <w:textAlignment w:val="auto"/>
        <w:outlineLvl w:val="9"/>
        <w:rPr>
          <w:highlight w:val="none"/>
        </w:rPr>
      </w:pPr>
    </w:p>
    <w:p w14:paraId="5ED26F8F">
      <w:pPr>
        <w:rPr>
          <w:rFonts w:hint="eastAsia" w:ascii="宋体" w:cs="宋体"/>
          <w:b/>
          <w:bCs/>
          <w:color w:val="auto"/>
          <w:szCs w:val="21"/>
          <w:highlight w:val="none"/>
        </w:rPr>
      </w:pPr>
      <w:r>
        <w:rPr>
          <w:rFonts w:hint="eastAsia" w:ascii="宋体" w:cs="宋体"/>
          <w:b/>
          <w:bCs/>
          <w:color w:val="auto"/>
          <w:szCs w:val="21"/>
          <w:highlight w:val="none"/>
        </w:rPr>
        <w:br w:type="page"/>
      </w:r>
    </w:p>
    <w:p w14:paraId="7B4DDA26">
      <w:pPr>
        <w:outlineLvl w:val="2"/>
        <w:rPr>
          <w:rFonts w:ascii="宋体" w:cs="宋体"/>
          <w:b/>
          <w:bCs/>
          <w:color w:val="auto"/>
          <w:szCs w:val="21"/>
          <w:highlight w:val="none"/>
        </w:rPr>
      </w:pPr>
      <w:r>
        <w:rPr>
          <w:rFonts w:hint="eastAsia" w:ascii="宋体" w:cs="宋体"/>
          <w:b/>
          <w:bCs/>
          <w:color w:val="auto"/>
          <w:szCs w:val="21"/>
          <w:highlight w:val="none"/>
        </w:rPr>
        <w:t>格式</w:t>
      </w:r>
      <w:r>
        <w:rPr>
          <w:rFonts w:hint="eastAsia" w:ascii="宋体" w:cs="宋体"/>
          <w:b/>
          <w:bCs/>
          <w:color w:val="auto"/>
          <w:szCs w:val="21"/>
          <w:highlight w:val="none"/>
          <w:lang w:val="en-US" w:eastAsia="zh-CN"/>
        </w:rPr>
        <w:t>十一</w:t>
      </w:r>
      <w:r>
        <w:rPr>
          <w:rFonts w:hint="eastAsia" w:ascii="宋体" w:cs="宋体"/>
          <w:b/>
          <w:bCs/>
          <w:color w:val="auto"/>
          <w:szCs w:val="21"/>
          <w:highlight w:val="none"/>
        </w:rPr>
        <w:t>、质疑函（范本）</w:t>
      </w:r>
    </w:p>
    <w:p w14:paraId="33416FC2">
      <w:pPr>
        <w:spacing w:line="360" w:lineRule="auto"/>
        <w:jc w:val="center"/>
        <w:rPr>
          <w:rFonts w:ascii="宋体" w:hAnsi="宋体"/>
          <w:color w:val="auto"/>
          <w:szCs w:val="21"/>
          <w:highlight w:val="none"/>
        </w:rPr>
      </w:pPr>
      <w:r>
        <w:rPr>
          <w:rFonts w:hint="eastAsia" w:ascii="宋体" w:hAnsi="宋体"/>
          <w:color w:val="auto"/>
          <w:szCs w:val="21"/>
          <w:highlight w:val="none"/>
        </w:rPr>
        <w:t>质疑函（范本）</w:t>
      </w:r>
    </w:p>
    <w:p w14:paraId="491F24D6">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质疑供应商：</w:t>
      </w:r>
      <w:r>
        <w:rPr>
          <w:rFonts w:hint="eastAsia" w:ascii="宋体" w:hAnsi="宋体" w:cs="Calibri"/>
          <w:color w:val="auto"/>
          <w:kern w:val="0"/>
          <w:szCs w:val="21"/>
          <w:highlight w:val="none"/>
          <w:u w:val="single"/>
          <w:shd w:val="clear" w:color="auto" w:fill="FFFFFF"/>
          <w:lang w:bidi="ar"/>
        </w:rPr>
        <w:t xml:space="preserve">                                                                           </w:t>
      </w:r>
    </w:p>
    <w:p w14:paraId="50434E52">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地址：</w:t>
      </w:r>
      <w:r>
        <w:rPr>
          <w:rFonts w:hint="eastAsia" w:ascii="宋体" w:hAnsi="宋体" w:cs="Calibri"/>
          <w:color w:val="auto"/>
          <w:kern w:val="0"/>
          <w:szCs w:val="21"/>
          <w:highlight w:val="none"/>
          <w:u w:val="single"/>
          <w:shd w:val="clear" w:color="auto" w:fill="FFFFFF"/>
          <w:lang w:bidi="ar"/>
        </w:rPr>
        <w:t xml:space="preserve">                                                             </w:t>
      </w:r>
      <w:r>
        <w:rPr>
          <w:rFonts w:hint="eastAsia" w:ascii="宋体" w:hAnsi="宋体" w:cs="仿宋"/>
          <w:color w:val="auto"/>
          <w:kern w:val="0"/>
          <w:szCs w:val="21"/>
          <w:highlight w:val="none"/>
          <w:shd w:val="clear" w:color="auto" w:fill="FFFFFF"/>
          <w:lang w:bidi="ar"/>
        </w:rPr>
        <w:t>邮编：</w:t>
      </w:r>
      <w:r>
        <w:rPr>
          <w:rFonts w:hint="eastAsia" w:ascii="宋体" w:hAnsi="宋体" w:cs="Calibri"/>
          <w:color w:val="auto"/>
          <w:kern w:val="0"/>
          <w:szCs w:val="21"/>
          <w:highlight w:val="none"/>
          <w:u w:val="single"/>
          <w:shd w:val="clear" w:color="auto" w:fill="FFFFFF"/>
          <w:lang w:bidi="ar"/>
        </w:rPr>
        <w:t xml:space="preserve">             </w:t>
      </w:r>
    </w:p>
    <w:p w14:paraId="0C6E178F">
      <w:pPr>
        <w:widowControl/>
        <w:spacing w:before="100" w:beforeAutospacing="1" w:after="100" w:afterAutospacing="1" w:line="276" w:lineRule="auto"/>
        <w:jc w:val="left"/>
        <w:rPr>
          <w:rFonts w:ascii="宋体" w:hAnsi="宋体" w:cs="Calibri"/>
          <w:color w:val="auto"/>
          <w:kern w:val="0"/>
          <w:szCs w:val="21"/>
          <w:highlight w:val="none"/>
          <w:u w:val="single"/>
          <w:shd w:val="clear" w:color="auto" w:fill="FFFFFF"/>
          <w:lang w:bidi="ar"/>
        </w:rPr>
      </w:pPr>
      <w:r>
        <w:rPr>
          <w:rFonts w:hint="eastAsia" w:ascii="宋体" w:hAnsi="宋体" w:cs="仿宋"/>
          <w:color w:val="auto"/>
          <w:kern w:val="0"/>
          <w:szCs w:val="21"/>
          <w:highlight w:val="none"/>
          <w:shd w:val="clear" w:color="auto" w:fill="FFFFFF"/>
          <w:lang w:bidi="ar"/>
        </w:rPr>
        <w:t>联系人：</w:t>
      </w:r>
      <w:r>
        <w:rPr>
          <w:rFonts w:hint="eastAsia" w:ascii="宋体" w:hAnsi="宋体" w:cs="Calibri"/>
          <w:color w:val="auto"/>
          <w:kern w:val="0"/>
          <w:szCs w:val="21"/>
          <w:highlight w:val="none"/>
          <w:u w:val="single"/>
          <w:shd w:val="clear" w:color="auto" w:fill="FFFFFF"/>
          <w:lang w:bidi="ar"/>
        </w:rPr>
        <w:t xml:space="preserve">                                                                              </w:t>
      </w:r>
    </w:p>
    <w:p w14:paraId="0D8CE2A8">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联系电话：</w:t>
      </w:r>
      <w:r>
        <w:rPr>
          <w:rFonts w:hint="eastAsia" w:ascii="宋体" w:hAnsi="宋体" w:cs="Calibri"/>
          <w:color w:val="auto"/>
          <w:kern w:val="0"/>
          <w:szCs w:val="21"/>
          <w:highlight w:val="none"/>
          <w:u w:val="single"/>
          <w:shd w:val="clear" w:color="auto" w:fill="FFFFFF"/>
          <w:lang w:bidi="ar"/>
        </w:rPr>
        <w:t xml:space="preserve">                                                                            </w:t>
      </w:r>
    </w:p>
    <w:p w14:paraId="63DDBFAB">
      <w:pPr>
        <w:widowControl/>
        <w:spacing w:before="100" w:beforeAutospacing="1" w:after="100" w:afterAutospacing="1" w:line="276" w:lineRule="auto"/>
        <w:jc w:val="left"/>
        <w:rPr>
          <w:rFonts w:ascii="宋体" w:hAnsi="宋体" w:cs="Calibri"/>
          <w:color w:val="auto"/>
          <w:kern w:val="0"/>
          <w:szCs w:val="21"/>
          <w:highlight w:val="none"/>
          <w:u w:val="single"/>
          <w:shd w:val="clear" w:color="auto" w:fill="FFFFFF"/>
          <w:lang w:bidi="ar"/>
        </w:rPr>
      </w:pPr>
      <w:r>
        <w:rPr>
          <w:rFonts w:hint="eastAsia" w:ascii="宋体" w:hAnsi="宋体" w:cs="仿宋"/>
          <w:color w:val="auto"/>
          <w:kern w:val="0"/>
          <w:szCs w:val="21"/>
          <w:highlight w:val="none"/>
          <w:shd w:val="clear" w:color="auto" w:fill="FFFFFF"/>
          <w:lang w:bidi="ar"/>
        </w:rPr>
        <w:t>授权代表：</w:t>
      </w:r>
      <w:r>
        <w:rPr>
          <w:rFonts w:hint="eastAsia" w:ascii="宋体" w:hAnsi="宋体" w:cs="Calibri"/>
          <w:color w:val="auto"/>
          <w:kern w:val="0"/>
          <w:szCs w:val="21"/>
          <w:highlight w:val="none"/>
          <w:u w:val="single"/>
          <w:shd w:val="clear" w:color="auto" w:fill="FFFFFF"/>
          <w:lang w:bidi="ar"/>
        </w:rPr>
        <w:t xml:space="preserve">                                                                            </w:t>
      </w:r>
    </w:p>
    <w:p w14:paraId="2B586A3A">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联系电话：</w:t>
      </w:r>
      <w:r>
        <w:rPr>
          <w:rFonts w:hint="eastAsia" w:ascii="宋体" w:hAnsi="宋体" w:cs="Calibri"/>
          <w:color w:val="auto"/>
          <w:kern w:val="0"/>
          <w:szCs w:val="21"/>
          <w:highlight w:val="none"/>
          <w:u w:val="single"/>
          <w:shd w:val="clear" w:color="auto" w:fill="FFFFFF"/>
          <w:lang w:bidi="ar"/>
        </w:rPr>
        <w:t xml:space="preserve">                                                                            </w:t>
      </w:r>
    </w:p>
    <w:p w14:paraId="037B204B">
      <w:pPr>
        <w:widowControl/>
        <w:spacing w:before="100" w:beforeAutospacing="1" w:after="100" w:afterAutospacing="1" w:line="276"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地址：</w:t>
      </w:r>
      <w:r>
        <w:rPr>
          <w:rFonts w:hint="eastAsia" w:ascii="宋体" w:hAnsi="宋体" w:cs="Calibri"/>
          <w:color w:val="auto"/>
          <w:kern w:val="0"/>
          <w:szCs w:val="21"/>
          <w:highlight w:val="none"/>
          <w:u w:val="single"/>
          <w:shd w:val="clear" w:color="auto" w:fill="FFFFFF"/>
          <w:lang w:bidi="ar"/>
        </w:rPr>
        <w:t xml:space="preserve">                                                             </w:t>
      </w:r>
      <w:r>
        <w:rPr>
          <w:rFonts w:hint="eastAsia" w:ascii="宋体" w:hAnsi="宋体" w:cs="仿宋"/>
          <w:color w:val="auto"/>
          <w:kern w:val="0"/>
          <w:szCs w:val="21"/>
          <w:highlight w:val="none"/>
          <w:shd w:val="clear" w:color="auto" w:fill="FFFFFF"/>
          <w:lang w:bidi="ar"/>
        </w:rPr>
        <w:t>邮编：</w:t>
      </w:r>
      <w:r>
        <w:rPr>
          <w:rFonts w:hint="eastAsia" w:ascii="宋体" w:hAnsi="宋体" w:cs="Calibri"/>
          <w:color w:val="auto"/>
          <w:kern w:val="0"/>
          <w:szCs w:val="21"/>
          <w:highlight w:val="none"/>
          <w:u w:val="single"/>
          <w:shd w:val="clear" w:color="auto" w:fill="FFFFFF"/>
          <w:lang w:bidi="ar"/>
        </w:rPr>
        <w:t xml:space="preserve">             </w:t>
      </w:r>
    </w:p>
    <w:p w14:paraId="3212370C">
      <w:pPr>
        <w:widowControl/>
        <w:spacing w:before="100" w:beforeAutospacing="1" w:after="100" w:afterAutospacing="1" w:line="360" w:lineRule="auto"/>
        <w:jc w:val="left"/>
        <w:rPr>
          <w:rFonts w:ascii="宋体" w:hAnsi="宋体" w:cs="黑体"/>
          <w:color w:val="auto"/>
          <w:kern w:val="0"/>
          <w:szCs w:val="21"/>
          <w:highlight w:val="none"/>
          <w:shd w:val="clear" w:color="auto" w:fill="FFFFFF"/>
          <w:lang w:bidi="ar"/>
        </w:rPr>
      </w:pPr>
    </w:p>
    <w:p w14:paraId="4A8334EF">
      <w:pPr>
        <w:widowControl/>
        <w:spacing w:before="100" w:beforeAutospacing="1" w:after="100" w:afterAutospacing="1" w:line="360" w:lineRule="auto"/>
        <w:jc w:val="left"/>
        <w:rPr>
          <w:rFonts w:ascii="宋体" w:hAnsi="宋体" w:cs="宋体"/>
          <w:color w:val="auto"/>
          <w:szCs w:val="21"/>
          <w:highlight w:val="none"/>
        </w:rPr>
      </w:pPr>
      <w:r>
        <w:rPr>
          <w:rFonts w:ascii="宋体" w:hAnsi="宋体" w:cs="黑体"/>
          <w:color w:val="auto"/>
          <w:kern w:val="0"/>
          <w:szCs w:val="21"/>
          <w:highlight w:val="none"/>
          <w:shd w:val="clear" w:color="auto" w:fill="FFFFFF"/>
          <w:lang w:bidi="ar"/>
        </w:rPr>
        <w:t>二、质疑项目基本情况</w:t>
      </w:r>
    </w:p>
    <w:p w14:paraId="79C4550B">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质疑项目的名称：</w:t>
      </w:r>
      <w:r>
        <w:rPr>
          <w:rFonts w:hint="eastAsia" w:ascii="宋体" w:hAnsi="宋体" w:cs="Calibri"/>
          <w:color w:val="auto"/>
          <w:kern w:val="0"/>
          <w:szCs w:val="21"/>
          <w:highlight w:val="none"/>
          <w:u w:val="single"/>
          <w:shd w:val="clear" w:color="auto" w:fill="FFFFFF"/>
          <w:lang w:bidi="ar"/>
        </w:rPr>
        <w:t xml:space="preserve">                                                                            </w:t>
      </w:r>
    </w:p>
    <w:p w14:paraId="27F82AAD">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质疑项目的编号：</w:t>
      </w:r>
      <w:r>
        <w:rPr>
          <w:rFonts w:hint="eastAsia" w:ascii="宋体" w:hAnsi="宋体" w:cs="Calibri"/>
          <w:color w:val="auto"/>
          <w:kern w:val="0"/>
          <w:szCs w:val="21"/>
          <w:highlight w:val="none"/>
          <w:u w:val="single"/>
          <w:shd w:val="clear" w:color="auto" w:fill="FFFFFF"/>
          <w:lang w:bidi="ar"/>
        </w:rPr>
        <w:t xml:space="preserve">                                                                            </w:t>
      </w:r>
    </w:p>
    <w:p w14:paraId="64AA329F">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采购人名称：</w:t>
      </w:r>
      <w:r>
        <w:rPr>
          <w:rFonts w:hint="eastAsia" w:ascii="宋体" w:hAnsi="宋体" w:cs="Calibri"/>
          <w:color w:val="auto"/>
          <w:kern w:val="0"/>
          <w:szCs w:val="21"/>
          <w:highlight w:val="none"/>
          <w:u w:val="single"/>
          <w:shd w:val="clear" w:color="auto" w:fill="FFFFFF"/>
          <w:lang w:bidi="ar"/>
        </w:rPr>
        <w:t xml:space="preserve">                                                                                </w:t>
      </w:r>
    </w:p>
    <w:p w14:paraId="343480D3">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采购文件获取日期：</w:t>
      </w:r>
      <w:r>
        <w:rPr>
          <w:rFonts w:hint="eastAsia" w:ascii="宋体" w:hAnsi="宋体" w:cs="Calibri"/>
          <w:color w:val="auto"/>
          <w:kern w:val="0"/>
          <w:szCs w:val="21"/>
          <w:highlight w:val="none"/>
          <w:u w:val="single"/>
          <w:shd w:val="clear" w:color="auto" w:fill="FFFFFF"/>
          <w:lang w:bidi="ar"/>
        </w:rPr>
        <w:t xml:space="preserve">                                                                          </w:t>
      </w:r>
    </w:p>
    <w:p w14:paraId="00A20C32">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黑体"/>
          <w:color w:val="auto"/>
          <w:kern w:val="0"/>
          <w:szCs w:val="21"/>
          <w:highlight w:val="none"/>
          <w:shd w:val="clear" w:color="auto" w:fill="FFFFFF"/>
          <w:lang w:bidi="ar"/>
        </w:rPr>
        <w:t>三、质疑事项具体内容</w:t>
      </w:r>
    </w:p>
    <w:p w14:paraId="044F3CD2">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质疑事项1：</w:t>
      </w:r>
      <w:r>
        <w:rPr>
          <w:rFonts w:hint="eastAsia" w:ascii="宋体" w:hAnsi="宋体" w:cs="Calibri"/>
          <w:color w:val="auto"/>
          <w:kern w:val="0"/>
          <w:szCs w:val="21"/>
          <w:highlight w:val="none"/>
          <w:u w:val="single"/>
          <w:shd w:val="clear" w:color="auto" w:fill="FFFFFF"/>
          <w:lang w:bidi="ar"/>
        </w:rPr>
        <w:t xml:space="preserve">                                                                            </w:t>
      </w:r>
    </w:p>
    <w:p w14:paraId="4FFA1E0D">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事实依据：</w:t>
      </w:r>
      <w:r>
        <w:rPr>
          <w:rFonts w:hint="eastAsia" w:ascii="宋体" w:hAnsi="宋体" w:cs="Calibri"/>
          <w:color w:val="auto"/>
          <w:kern w:val="0"/>
          <w:szCs w:val="21"/>
          <w:highlight w:val="none"/>
          <w:u w:val="single"/>
          <w:shd w:val="clear" w:color="auto" w:fill="FFFFFF"/>
          <w:lang w:bidi="ar"/>
        </w:rPr>
        <w:t xml:space="preserve">                                                                            </w:t>
      </w:r>
    </w:p>
    <w:p w14:paraId="4BC4F6B8">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法律依据：</w:t>
      </w:r>
      <w:r>
        <w:rPr>
          <w:rFonts w:hint="eastAsia" w:ascii="宋体" w:hAnsi="宋体" w:cs="Calibri"/>
          <w:color w:val="auto"/>
          <w:kern w:val="0"/>
          <w:szCs w:val="21"/>
          <w:highlight w:val="none"/>
          <w:u w:val="single"/>
          <w:shd w:val="clear" w:color="auto" w:fill="FFFFFF"/>
          <w:lang w:bidi="ar"/>
        </w:rPr>
        <w:t xml:space="preserve">                                                                            </w:t>
      </w:r>
    </w:p>
    <w:p w14:paraId="56D35AB6">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质疑事项2</w:t>
      </w:r>
    </w:p>
    <w:p w14:paraId="0EF0DD82">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仿宋"/>
          <w:color w:val="auto"/>
          <w:kern w:val="0"/>
          <w:szCs w:val="21"/>
          <w:highlight w:val="none"/>
          <w:shd w:val="clear" w:color="auto" w:fill="FFFFFF"/>
          <w:lang w:bidi="ar"/>
        </w:rPr>
        <w:t>……</w:t>
      </w:r>
    </w:p>
    <w:p w14:paraId="5116C439">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黑体"/>
          <w:color w:val="auto"/>
          <w:kern w:val="0"/>
          <w:szCs w:val="21"/>
          <w:highlight w:val="none"/>
          <w:shd w:val="clear" w:color="auto" w:fill="FFFFFF"/>
          <w:lang w:bidi="ar"/>
        </w:rPr>
        <w:t>四、与质疑事项相关的质疑请求</w:t>
      </w:r>
    </w:p>
    <w:p w14:paraId="2ED0E4DC">
      <w:pPr>
        <w:widowControl/>
        <w:spacing w:before="100" w:beforeAutospacing="1" w:after="100" w:afterAutospacing="1" w:line="360" w:lineRule="auto"/>
        <w:jc w:val="left"/>
        <w:rPr>
          <w:rFonts w:ascii="宋体" w:hAnsi="宋体" w:cs="Calibri"/>
          <w:color w:val="auto"/>
          <w:kern w:val="0"/>
          <w:szCs w:val="21"/>
          <w:highlight w:val="none"/>
          <w:u w:val="single"/>
          <w:shd w:val="clear" w:color="auto" w:fill="FFFFFF"/>
          <w:lang w:bidi="ar"/>
        </w:rPr>
      </w:pPr>
      <w:r>
        <w:rPr>
          <w:rFonts w:hint="eastAsia" w:ascii="宋体" w:hAnsi="宋体" w:cs="仿宋"/>
          <w:color w:val="auto"/>
          <w:kern w:val="0"/>
          <w:szCs w:val="21"/>
          <w:highlight w:val="none"/>
          <w:shd w:val="clear" w:color="auto" w:fill="FFFFFF"/>
          <w:lang w:bidi="ar"/>
        </w:rPr>
        <w:t>请求：</w:t>
      </w:r>
      <w:r>
        <w:rPr>
          <w:rFonts w:hint="eastAsia" w:ascii="宋体" w:hAnsi="宋体" w:cs="Calibri"/>
          <w:color w:val="auto"/>
          <w:kern w:val="0"/>
          <w:szCs w:val="21"/>
          <w:highlight w:val="none"/>
          <w:u w:val="single"/>
          <w:shd w:val="clear" w:color="auto" w:fill="FFFFFF"/>
          <w:lang w:bidi="ar"/>
        </w:rPr>
        <w:t xml:space="preserve">                                                                            </w:t>
      </w:r>
    </w:p>
    <w:p w14:paraId="0A796BCF">
      <w:pPr>
        <w:widowControl/>
        <w:spacing w:before="100" w:beforeAutospacing="1" w:after="100" w:afterAutospacing="1" w:line="360" w:lineRule="auto"/>
        <w:jc w:val="left"/>
        <w:rPr>
          <w:rFonts w:ascii="宋体" w:hAnsi="宋体" w:cs="宋体"/>
          <w:color w:val="auto"/>
          <w:szCs w:val="21"/>
          <w:highlight w:val="none"/>
        </w:rPr>
      </w:pPr>
    </w:p>
    <w:p w14:paraId="30FEAE88">
      <w:pPr>
        <w:widowControl/>
        <w:spacing w:before="100" w:beforeAutospacing="1" w:after="100" w:afterAutospacing="1" w:line="360" w:lineRule="auto"/>
        <w:jc w:val="left"/>
        <w:rPr>
          <w:rFonts w:ascii="宋体" w:hAnsi="宋体" w:cs="仿宋_GB2312"/>
          <w:color w:val="auto"/>
          <w:kern w:val="0"/>
          <w:szCs w:val="21"/>
          <w:highlight w:val="none"/>
          <w:shd w:val="clear" w:color="auto" w:fill="FFFFFF"/>
          <w:lang w:bidi="ar"/>
        </w:rPr>
      </w:pPr>
      <w:r>
        <w:rPr>
          <w:rFonts w:ascii="宋体" w:hAnsi="宋体" w:cs="仿宋_GB2312"/>
          <w:color w:val="auto"/>
          <w:kern w:val="0"/>
          <w:szCs w:val="21"/>
          <w:highlight w:val="none"/>
          <w:shd w:val="clear" w:color="auto" w:fill="FFFFFF"/>
          <w:lang w:bidi="ar"/>
        </w:rPr>
        <w:t>签字(签章)：</w:t>
      </w:r>
    </w:p>
    <w:p w14:paraId="3DB244F9">
      <w:pPr>
        <w:widowControl/>
        <w:spacing w:before="100" w:beforeAutospacing="1" w:after="100" w:afterAutospacing="1" w:line="360" w:lineRule="auto"/>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公章：</w:t>
      </w:r>
    </w:p>
    <w:p w14:paraId="16B18DF0">
      <w:pPr>
        <w:widowControl/>
        <w:spacing w:before="100" w:beforeAutospacing="1" w:after="100" w:afterAutospacing="1" w:line="360" w:lineRule="auto"/>
        <w:jc w:val="left"/>
        <w:rPr>
          <w:rFonts w:ascii="宋体" w:hAnsi="宋体" w:cs="Calibri"/>
          <w:color w:val="auto"/>
          <w:kern w:val="0"/>
          <w:szCs w:val="21"/>
          <w:highlight w:val="none"/>
          <w:shd w:val="clear" w:color="auto" w:fill="FFFFFF"/>
          <w:lang w:bidi="ar"/>
        </w:rPr>
      </w:pPr>
      <w:r>
        <w:rPr>
          <w:rFonts w:ascii="宋体" w:hAnsi="宋体" w:cs="仿宋_GB2312"/>
          <w:color w:val="auto"/>
          <w:kern w:val="0"/>
          <w:szCs w:val="21"/>
          <w:highlight w:val="none"/>
          <w:shd w:val="clear" w:color="auto" w:fill="FFFFFF"/>
          <w:lang w:bidi="ar"/>
        </w:rPr>
        <w:t>日期：</w:t>
      </w:r>
    </w:p>
    <w:p w14:paraId="7C4E8320">
      <w:pPr>
        <w:widowControl/>
        <w:spacing w:before="100" w:beforeAutospacing="1" w:after="100" w:afterAutospacing="1" w:line="360" w:lineRule="auto"/>
        <w:jc w:val="left"/>
        <w:rPr>
          <w:rFonts w:ascii="宋体" w:hAnsi="宋体" w:cs="宋体"/>
          <w:color w:val="auto"/>
          <w:szCs w:val="21"/>
          <w:highlight w:val="none"/>
        </w:rPr>
      </w:pPr>
    </w:p>
    <w:p w14:paraId="2B96D9E8">
      <w:pPr>
        <w:widowControl/>
        <w:spacing w:before="100" w:beforeAutospacing="1" w:after="100" w:afterAutospacing="1" w:line="360" w:lineRule="auto"/>
        <w:jc w:val="left"/>
        <w:rPr>
          <w:rFonts w:ascii="宋体" w:hAnsi="宋体" w:cs="宋体"/>
          <w:color w:val="auto"/>
          <w:szCs w:val="21"/>
          <w:highlight w:val="none"/>
        </w:rPr>
      </w:pPr>
      <w:r>
        <w:rPr>
          <w:rFonts w:hint="eastAsia" w:ascii="宋体" w:hAnsi="宋体" w:cs="黑体"/>
          <w:b/>
          <w:color w:val="auto"/>
          <w:kern w:val="0"/>
          <w:szCs w:val="21"/>
          <w:highlight w:val="none"/>
          <w:shd w:val="clear" w:color="auto" w:fill="FFFFFF"/>
          <w:lang w:bidi="ar"/>
        </w:rPr>
        <w:t>质疑函制作说明：</w:t>
      </w:r>
    </w:p>
    <w:p w14:paraId="07A10E0A">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1.供应商提出质疑时，应提交质疑函和必要的证明材料。</w:t>
      </w:r>
    </w:p>
    <w:p w14:paraId="348B2DB6">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0E4CF56">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3.质疑供应商若对项目的某一</w:t>
      </w:r>
      <w:r>
        <w:rPr>
          <w:rFonts w:hint="eastAsia" w:ascii="宋体" w:hAnsi="宋体" w:cs="仿宋_GB2312"/>
          <w:color w:val="auto"/>
          <w:kern w:val="0"/>
          <w:szCs w:val="21"/>
          <w:highlight w:val="none"/>
          <w:shd w:val="clear" w:color="auto" w:fill="FFFFFF"/>
          <w:lang w:bidi="ar"/>
        </w:rPr>
        <w:t>标项</w:t>
      </w:r>
      <w:r>
        <w:rPr>
          <w:rFonts w:ascii="宋体" w:hAnsi="宋体" w:cs="仿宋_GB2312"/>
          <w:color w:val="auto"/>
          <w:kern w:val="0"/>
          <w:szCs w:val="21"/>
          <w:highlight w:val="none"/>
          <w:shd w:val="clear" w:color="auto" w:fill="FFFFFF"/>
          <w:lang w:bidi="ar"/>
        </w:rPr>
        <w:t>进行质疑，质疑函中应列明具体</w:t>
      </w:r>
      <w:r>
        <w:rPr>
          <w:rFonts w:hint="eastAsia" w:ascii="宋体" w:hAnsi="宋体" w:cs="仿宋_GB2312"/>
          <w:color w:val="auto"/>
          <w:kern w:val="0"/>
          <w:szCs w:val="21"/>
          <w:highlight w:val="none"/>
          <w:shd w:val="clear" w:color="auto" w:fill="FFFFFF"/>
          <w:lang w:bidi="ar"/>
        </w:rPr>
        <w:t>标项</w:t>
      </w:r>
      <w:r>
        <w:rPr>
          <w:rFonts w:ascii="宋体" w:hAnsi="宋体" w:cs="仿宋_GB2312"/>
          <w:color w:val="auto"/>
          <w:kern w:val="0"/>
          <w:szCs w:val="21"/>
          <w:highlight w:val="none"/>
          <w:shd w:val="clear" w:color="auto" w:fill="FFFFFF"/>
          <w:lang w:bidi="ar"/>
        </w:rPr>
        <w:t>。</w:t>
      </w:r>
    </w:p>
    <w:p w14:paraId="3170BD31">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4.质疑函的质疑事项应具体、明确，并有必要的事实依据和法律依据。</w:t>
      </w:r>
    </w:p>
    <w:p w14:paraId="7E732473">
      <w:pPr>
        <w:widowControl/>
        <w:spacing w:before="100" w:beforeAutospacing="1" w:after="100" w:afterAutospacing="1" w:line="360" w:lineRule="auto"/>
        <w:ind w:firstLine="640"/>
        <w:jc w:val="left"/>
        <w:rPr>
          <w:rFonts w:ascii="宋体" w:hAnsi="宋体" w:cs="宋体"/>
          <w:color w:val="auto"/>
          <w:szCs w:val="21"/>
          <w:highlight w:val="none"/>
        </w:rPr>
      </w:pPr>
      <w:r>
        <w:rPr>
          <w:rFonts w:ascii="宋体" w:hAnsi="宋体" w:cs="仿宋_GB2312"/>
          <w:color w:val="auto"/>
          <w:kern w:val="0"/>
          <w:szCs w:val="21"/>
          <w:highlight w:val="none"/>
          <w:shd w:val="clear" w:color="auto" w:fill="FFFFFF"/>
          <w:lang w:bidi="ar"/>
        </w:rPr>
        <w:t>5.质疑函的质疑请求应与质疑事项相关。</w:t>
      </w:r>
    </w:p>
    <w:p w14:paraId="3CB95E1D">
      <w:pPr>
        <w:widowControl/>
        <w:spacing w:before="100" w:beforeAutospacing="1" w:after="100" w:afterAutospacing="1" w:line="360" w:lineRule="auto"/>
        <w:ind w:firstLine="640"/>
        <w:jc w:val="left"/>
        <w:rPr>
          <w:rFonts w:ascii="宋体" w:hAnsi="宋体" w:cs="宋体"/>
          <w:szCs w:val="21"/>
          <w:highlight w:val="none"/>
        </w:rPr>
      </w:pPr>
      <w:r>
        <w:rPr>
          <w:rFonts w:ascii="宋体" w:hAnsi="宋体" w:cs="仿宋_GB2312"/>
          <w:color w:val="auto"/>
          <w:kern w:val="0"/>
          <w:szCs w:val="21"/>
          <w:highlight w:val="none"/>
          <w:shd w:val="clear" w:color="auto" w:fill="FFFFFF"/>
          <w:lang w:bidi="ar"/>
        </w:rPr>
        <w:t>6.质疑供应商为自然人的，质疑函应由本人签字；质疑供应商为法人或者其他组织的，质疑函应由法定代表人、主要负责人，或者其授权代表签字或者盖章，并加盖公章。</w:t>
      </w:r>
    </w:p>
    <w:p w14:paraId="1241F12D">
      <w:pPr>
        <w:pStyle w:val="13"/>
        <w:snapToGrid w:val="0"/>
        <w:spacing w:line="360" w:lineRule="auto"/>
        <w:rPr>
          <w:rFonts w:hAnsi="宋体" w:eastAsia="宋体" w:cs="宋体"/>
          <w:sz w:val="21"/>
          <w:szCs w:val="21"/>
          <w:highlight w:val="none"/>
        </w:rPr>
      </w:pPr>
    </w:p>
    <w:sectPr>
      <w:pgSz w:w="11906" w:h="16838"/>
      <w:pgMar w:top="1531" w:right="1179" w:bottom="737" w:left="1179" w:header="851" w:footer="584"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CA9908C-9299-421F-A406-430417476D8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F8F4A820-D039-4E00-909E-097F197ABEC2}"/>
  </w:font>
  <w:font w:name="??">
    <w:altName w:val="Times New Roman"/>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embedRegular r:id="rId3" w:fontKey="{DFD879EA-D1FF-495F-AE27-1698C35E3DB8}"/>
  </w:font>
  <w:font w:name="仿宋">
    <w:panose1 w:val="02010609060101010101"/>
    <w:charset w:val="86"/>
    <w:family w:val="modern"/>
    <w:pitch w:val="default"/>
    <w:sig w:usb0="800002BF" w:usb1="38CF7CFA" w:usb2="00000016" w:usb3="00000000" w:csb0="00040001" w:csb1="00000000"/>
    <w:embedRegular r:id="rId4" w:fontKey="{E27432B5-F8F0-4572-918A-7304632A1129}"/>
  </w:font>
  <w:font w:name="楷体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embedRegular r:id="rId5" w:fontKey="{5847381B-F966-428C-AB03-0A881AA52F09}"/>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D4B33">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32280">
    <w:pPr>
      <w:pStyle w:val="16"/>
      <w:jc w:val="center"/>
      <w:rPr>
        <w:kern w:val="0"/>
        <w:szCs w:val="21"/>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D323BB">
                          <w:pPr>
                            <w:pStyle w:val="16"/>
                            <w:rPr>
                              <w:rFonts w:hint="eastAsia" w:ascii="宋体" w:hAnsi="宋体" w:eastAsia="宋体" w:cs="宋体"/>
                            </w:rPr>
                          </w:pPr>
                          <w:r>
                            <w:rPr>
                              <w:rFonts w:hint="eastAsia" w:ascii="宋体" w:hAnsi="宋体" w:eastAsia="宋体" w:cs="宋体"/>
                            </w:rPr>
                            <w:t xml:space="preserve">第 </w:t>
                          </w: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8D323BB">
                    <w:pPr>
                      <w:pStyle w:val="16"/>
                      <w:rPr>
                        <w:rFonts w:hint="eastAsia" w:ascii="宋体" w:hAnsi="宋体" w:eastAsia="宋体" w:cs="宋体"/>
                      </w:rPr>
                    </w:pPr>
                    <w:r>
                      <w:rPr>
                        <w:rFonts w:hint="eastAsia" w:ascii="宋体" w:hAnsi="宋体" w:eastAsia="宋体" w:cs="宋体"/>
                      </w:rPr>
                      <w:t xml:space="preserve">第 </w:t>
                    </w: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AC6E8">
    <w:pPr>
      <w:pStyle w:val="18"/>
      <w:jc w:val="both"/>
      <w:rPr>
        <w:rFonts w:hint="eastAsia" w:ascii="宋体" w:eastAsia="宋体"/>
        <w:lang w:eastAsia="zh-CN"/>
      </w:rPr>
    </w:pPr>
    <w:r>
      <w:rPr>
        <w:rFonts w:hint="eastAsia" w:ascii="宋体"/>
      </w:rPr>
      <w:drawing>
        <wp:inline distT="0" distB="0" distL="114300" distR="114300">
          <wp:extent cx="1316355" cy="340995"/>
          <wp:effectExtent l="0" t="0" r="0" b="1905"/>
          <wp:docPr id="2" name="图片 1" descr="C:/Users/CC/Desktop/图片1.png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C:/Users/CC/Desktop/图片1.png图片1"/>
                  <pic:cNvPicPr>
                    <a:picLocks noChangeAspect="1"/>
                  </pic:cNvPicPr>
                </pic:nvPicPr>
                <pic:blipFill>
                  <a:blip r:embed="rId1"/>
                  <a:srcRect t="-1153" b="4865"/>
                  <a:stretch>
                    <a:fillRect/>
                  </a:stretch>
                </pic:blipFill>
                <pic:spPr>
                  <a:xfrm>
                    <a:off x="0" y="0"/>
                    <a:ext cx="1316355" cy="340995"/>
                  </a:xfrm>
                  <a:prstGeom prst="rect">
                    <a:avLst/>
                  </a:prstGeom>
                  <a:noFill/>
                  <a:ln>
                    <a:noFill/>
                  </a:ln>
                </pic:spPr>
              </pic:pic>
            </a:graphicData>
          </a:graphic>
        </wp:inline>
      </w:drawing>
    </w:r>
    <w:r>
      <w:rPr>
        <w:rFonts w:hint="eastAsia" w:ascii="宋体"/>
      </w:rPr>
      <w:t xml:space="preserve">          </w:t>
    </w:r>
    <w:r>
      <w:rPr>
        <w:rFonts w:hint="eastAsia" w:ascii="宋体"/>
        <w:lang w:val="en-US" w:eastAsia="zh-CN"/>
      </w:rPr>
      <w:t xml:space="preserve">    </w:t>
    </w:r>
    <w:r>
      <w:rPr>
        <w:rFonts w:hint="eastAsia" w:ascii="宋体"/>
        <w:lang w:eastAsia="zh-CN"/>
      </w:rPr>
      <w:t>定海区公共数据支撑平台项目二期</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0E8C1">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DDDD0">
    <w:pPr>
      <w:pStyle w:val="18"/>
      <w:pBdr>
        <w:bottom w:val="none" w:color="auto" w:sz="0" w:space="1"/>
      </w:pBdr>
      <w:jc w:val="both"/>
    </w:pPr>
    <w:r>
      <w:rPr>
        <w:rFonts w:hint="eastAsia" w:ascii="宋体"/>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A3C2"/>
    <w:multiLevelType w:val="singleLevel"/>
    <w:tmpl w:val="9AF0A3C2"/>
    <w:lvl w:ilvl="0" w:tentative="0">
      <w:start w:val="1"/>
      <w:numFmt w:val="decimal"/>
      <w:suff w:val="nothing"/>
      <w:lvlText w:val="%1"/>
      <w:lvlJc w:val="left"/>
      <w:pPr>
        <w:ind w:left="0" w:firstLine="403"/>
      </w:pPr>
      <w:rPr>
        <w:rFonts w:hint="default"/>
      </w:rPr>
    </w:lvl>
  </w:abstractNum>
  <w:abstractNum w:abstractNumId="1">
    <w:nsid w:val="A3403562"/>
    <w:multiLevelType w:val="singleLevel"/>
    <w:tmpl w:val="A3403562"/>
    <w:lvl w:ilvl="0" w:tentative="0">
      <w:start w:val="1"/>
      <w:numFmt w:val="chineseCounting"/>
      <w:suff w:val="nothing"/>
      <w:lvlText w:val="%1、"/>
      <w:lvlJc w:val="left"/>
      <w:pPr>
        <w:ind w:left="0" w:firstLine="420"/>
      </w:pPr>
      <w:rPr>
        <w:rFonts w:hint="eastAsia" w:ascii="宋体" w:hAnsi="宋体" w:eastAsia="宋体" w:cs="宋体"/>
        <w:sz w:val="21"/>
        <w:szCs w:val="21"/>
      </w:rPr>
    </w:lvl>
  </w:abstractNum>
  <w:abstractNum w:abstractNumId="2">
    <w:nsid w:val="DCDB690B"/>
    <w:multiLevelType w:val="multilevel"/>
    <w:tmpl w:val="DCDB690B"/>
    <w:lvl w:ilvl="0" w:tentative="0">
      <w:start w:val="1"/>
      <w:numFmt w:val="chineseCounting"/>
      <w:lvlText w:val="第%1章"/>
      <w:lvlJc w:val="center"/>
      <w:pPr>
        <w:ind w:left="-11" w:firstLine="299"/>
      </w:pPr>
      <w:rPr>
        <w:rFonts w:hint="eastAsia" w:ascii="宋体" w:hAnsi="宋体" w:eastAsia="宋体" w:cs="宋体"/>
        <w:sz w:val="44"/>
      </w:rPr>
    </w:lvl>
    <w:lvl w:ilvl="1" w:tentative="0">
      <w:start w:val="1"/>
      <w:numFmt w:val="decimal"/>
      <w:isLgl/>
      <w:suff w:val="space"/>
      <w:lvlText w:val="%1.%2"/>
      <w:lvlJc w:val="left"/>
      <w:pPr>
        <w:ind w:left="575" w:hanging="575"/>
      </w:pPr>
      <w:rPr>
        <w:rFonts w:hint="eastAsia" w:ascii="宋体" w:hAnsi="宋体" w:eastAsia="宋体" w:cs="宋体"/>
        <w:sz w:val="32"/>
      </w:rPr>
    </w:lvl>
    <w:lvl w:ilvl="2" w:tentative="0">
      <w:start w:val="1"/>
      <w:numFmt w:val="decimal"/>
      <w:isLgl/>
      <w:suff w:val="space"/>
      <w:lvlText w:val="%1.%2.%3"/>
      <w:lvlJc w:val="left"/>
      <w:pPr>
        <w:ind w:left="720" w:hanging="720"/>
      </w:pPr>
      <w:rPr>
        <w:rFonts w:hint="eastAsia" w:ascii="宋体" w:hAnsi="宋体" w:eastAsia="宋体" w:cs="宋体"/>
        <w:sz w:val="30"/>
      </w:rPr>
    </w:lvl>
    <w:lvl w:ilvl="3" w:tentative="0">
      <w:start w:val="1"/>
      <w:numFmt w:val="decimal"/>
      <w:pStyle w:val="5"/>
      <w:isLgl/>
      <w:suff w:val="space"/>
      <w:lvlText w:val="%1.%2.%3.%4"/>
      <w:lvlJc w:val="left"/>
      <w:pPr>
        <w:ind w:left="864" w:hanging="864"/>
      </w:pPr>
      <w:rPr>
        <w:rFonts w:hint="default" w:ascii="宋体" w:hAnsi="宋体" w:eastAsia="宋体" w:cs="宋体"/>
        <w:sz w:val="30"/>
      </w:rPr>
    </w:lvl>
    <w:lvl w:ilvl="4" w:tentative="0">
      <w:start w:val="1"/>
      <w:numFmt w:val="decimal"/>
      <w:isLgl/>
      <w:suff w:val="space"/>
      <w:lvlText w:val="%1.%2.%3.%4.%5"/>
      <w:lvlJc w:val="left"/>
      <w:pPr>
        <w:ind w:left="1008" w:hanging="1008"/>
      </w:pPr>
      <w:rPr>
        <w:rFonts w:hint="eastAsia"/>
        <w:sz w:val="30"/>
      </w:rPr>
    </w:lvl>
    <w:lvl w:ilvl="5" w:tentative="0">
      <w:start w:val="1"/>
      <w:numFmt w:val="decimal"/>
      <w:isLgl/>
      <w:suff w:val="space"/>
      <w:lvlText w:val="%1.%2.%3.%4.%5.%6"/>
      <w:lvlJc w:val="left"/>
      <w:pPr>
        <w:ind w:left="1151" w:hanging="1151"/>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abstractNum w:abstractNumId="3">
    <w:nsid w:val="00000004"/>
    <w:multiLevelType w:val="multilevel"/>
    <w:tmpl w:val="00000004"/>
    <w:lvl w:ilvl="0" w:tentative="0">
      <w:start w:val="1"/>
      <w:numFmt w:val="lowerLetter"/>
      <w:lvlText w:val="%1．"/>
      <w:lvlJc w:val="left"/>
      <w:pPr>
        <w:tabs>
          <w:tab w:val="left" w:pos="840"/>
        </w:tabs>
        <w:ind w:left="84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
    <w:nsid w:val="00000009"/>
    <w:multiLevelType w:val="singleLevel"/>
    <w:tmpl w:val="00000009"/>
    <w:lvl w:ilvl="0" w:tentative="0">
      <w:start w:val="1"/>
      <w:numFmt w:val="decimal"/>
      <w:suff w:val="nothing"/>
      <w:lvlText w:val="%1、"/>
      <w:lvlJc w:val="left"/>
    </w:lvl>
  </w:abstractNum>
  <w:abstractNum w:abstractNumId="5">
    <w:nsid w:val="67B81CC1"/>
    <w:multiLevelType w:val="singleLevel"/>
    <w:tmpl w:val="67B81CC1"/>
    <w:lvl w:ilvl="0" w:tentative="0">
      <w:start w:val="6"/>
      <w:numFmt w:val="chineseCounting"/>
      <w:suff w:val="nothing"/>
      <w:lvlText w:val="%1、"/>
      <w:lvlJc w:val="left"/>
      <w:rPr>
        <w:rFonts w:hint="eastAsia"/>
      </w:rPr>
    </w:lvl>
  </w:abstractNum>
  <w:num w:numId="1">
    <w:abstractNumId w:val="2"/>
  </w:num>
  <w:num w:numId="2">
    <w:abstractNumId w:val="5"/>
  </w:num>
  <w:num w:numId="3">
    <w:abstractNumId w:val="1"/>
  </w:num>
  <w:num w:numId="4">
    <w:abstractNumId w:val="4"/>
  </w:num>
  <w:num w:numId="5">
    <w:abstractNumId w:val="0"/>
  </w:num>
  <w:num w:numId="6">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60"/>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yN2NlYWU5N2I0MGZiNTJiODAxZjUxZjQ5MmUyNzQifQ=="/>
  </w:docVars>
  <w:rsids>
    <w:rsidRoot w:val="00172A27"/>
    <w:rsid w:val="000008AE"/>
    <w:rsid w:val="00000DA0"/>
    <w:rsid w:val="0000107B"/>
    <w:rsid w:val="00001255"/>
    <w:rsid w:val="00001351"/>
    <w:rsid w:val="00001616"/>
    <w:rsid w:val="00002240"/>
    <w:rsid w:val="0000249F"/>
    <w:rsid w:val="000036AE"/>
    <w:rsid w:val="000053DD"/>
    <w:rsid w:val="000067D2"/>
    <w:rsid w:val="00006CD5"/>
    <w:rsid w:val="00010275"/>
    <w:rsid w:val="00011F5B"/>
    <w:rsid w:val="00012FC0"/>
    <w:rsid w:val="000131FB"/>
    <w:rsid w:val="00013F7B"/>
    <w:rsid w:val="000148CF"/>
    <w:rsid w:val="000150F2"/>
    <w:rsid w:val="00015267"/>
    <w:rsid w:val="00015B00"/>
    <w:rsid w:val="000161B6"/>
    <w:rsid w:val="00020487"/>
    <w:rsid w:val="00021229"/>
    <w:rsid w:val="00021CDE"/>
    <w:rsid w:val="00021CF2"/>
    <w:rsid w:val="000225BC"/>
    <w:rsid w:val="00022EFA"/>
    <w:rsid w:val="00023C49"/>
    <w:rsid w:val="00023E4C"/>
    <w:rsid w:val="0002452C"/>
    <w:rsid w:val="000260AD"/>
    <w:rsid w:val="000265C2"/>
    <w:rsid w:val="00026CC2"/>
    <w:rsid w:val="000273C7"/>
    <w:rsid w:val="00027CC8"/>
    <w:rsid w:val="00027CEC"/>
    <w:rsid w:val="00027D38"/>
    <w:rsid w:val="000303E1"/>
    <w:rsid w:val="00030AD8"/>
    <w:rsid w:val="000317CA"/>
    <w:rsid w:val="0003181C"/>
    <w:rsid w:val="00032134"/>
    <w:rsid w:val="000325CE"/>
    <w:rsid w:val="0003329B"/>
    <w:rsid w:val="00033641"/>
    <w:rsid w:val="000342EC"/>
    <w:rsid w:val="00034D19"/>
    <w:rsid w:val="0003660B"/>
    <w:rsid w:val="000369D2"/>
    <w:rsid w:val="00037EE2"/>
    <w:rsid w:val="000407B3"/>
    <w:rsid w:val="0004111B"/>
    <w:rsid w:val="000415B1"/>
    <w:rsid w:val="00041BE4"/>
    <w:rsid w:val="0004279E"/>
    <w:rsid w:val="0004335D"/>
    <w:rsid w:val="00043AC8"/>
    <w:rsid w:val="00044AE2"/>
    <w:rsid w:val="00044B3F"/>
    <w:rsid w:val="00045883"/>
    <w:rsid w:val="00046374"/>
    <w:rsid w:val="00047114"/>
    <w:rsid w:val="0005095B"/>
    <w:rsid w:val="00050DEE"/>
    <w:rsid w:val="000516E3"/>
    <w:rsid w:val="00051B80"/>
    <w:rsid w:val="00052F70"/>
    <w:rsid w:val="00053F58"/>
    <w:rsid w:val="0005415C"/>
    <w:rsid w:val="00055835"/>
    <w:rsid w:val="00055B9A"/>
    <w:rsid w:val="00055C01"/>
    <w:rsid w:val="00055DD9"/>
    <w:rsid w:val="000566FC"/>
    <w:rsid w:val="00057A16"/>
    <w:rsid w:val="000601BC"/>
    <w:rsid w:val="0006107F"/>
    <w:rsid w:val="00061AE1"/>
    <w:rsid w:val="00061B2C"/>
    <w:rsid w:val="00063583"/>
    <w:rsid w:val="00064447"/>
    <w:rsid w:val="00064E63"/>
    <w:rsid w:val="00065112"/>
    <w:rsid w:val="00065300"/>
    <w:rsid w:val="0006586E"/>
    <w:rsid w:val="00065C18"/>
    <w:rsid w:val="00066224"/>
    <w:rsid w:val="000668F7"/>
    <w:rsid w:val="00067BAD"/>
    <w:rsid w:val="00070E4F"/>
    <w:rsid w:val="00070F6C"/>
    <w:rsid w:val="0007335F"/>
    <w:rsid w:val="000735C6"/>
    <w:rsid w:val="00074E0B"/>
    <w:rsid w:val="00074E62"/>
    <w:rsid w:val="00074FAC"/>
    <w:rsid w:val="00075588"/>
    <w:rsid w:val="0007669B"/>
    <w:rsid w:val="00076754"/>
    <w:rsid w:val="00077441"/>
    <w:rsid w:val="000779FD"/>
    <w:rsid w:val="0008040C"/>
    <w:rsid w:val="00080D08"/>
    <w:rsid w:val="00081A6F"/>
    <w:rsid w:val="00081C6F"/>
    <w:rsid w:val="00083162"/>
    <w:rsid w:val="000839AD"/>
    <w:rsid w:val="00083C5C"/>
    <w:rsid w:val="00085105"/>
    <w:rsid w:val="00086507"/>
    <w:rsid w:val="00086933"/>
    <w:rsid w:val="00086EEC"/>
    <w:rsid w:val="00087E11"/>
    <w:rsid w:val="00090784"/>
    <w:rsid w:val="000911CB"/>
    <w:rsid w:val="00091498"/>
    <w:rsid w:val="00091A59"/>
    <w:rsid w:val="00091E8E"/>
    <w:rsid w:val="0009261A"/>
    <w:rsid w:val="00094603"/>
    <w:rsid w:val="00094871"/>
    <w:rsid w:val="00096762"/>
    <w:rsid w:val="00096E45"/>
    <w:rsid w:val="00096F0A"/>
    <w:rsid w:val="00097D22"/>
    <w:rsid w:val="00097F86"/>
    <w:rsid w:val="000A0344"/>
    <w:rsid w:val="000A0956"/>
    <w:rsid w:val="000A0A54"/>
    <w:rsid w:val="000A0D2D"/>
    <w:rsid w:val="000A147D"/>
    <w:rsid w:val="000A258D"/>
    <w:rsid w:val="000A2631"/>
    <w:rsid w:val="000A40BB"/>
    <w:rsid w:val="000A4221"/>
    <w:rsid w:val="000A4912"/>
    <w:rsid w:val="000A4A6F"/>
    <w:rsid w:val="000A4C96"/>
    <w:rsid w:val="000A566A"/>
    <w:rsid w:val="000A59AD"/>
    <w:rsid w:val="000A5FA5"/>
    <w:rsid w:val="000A693E"/>
    <w:rsid w:val="000B0ECA"/>
    <w:rsid w:val="000B1196"/>
    <w:rsid w:val="000B123C"/>
    <w:rsid w:val="000B1E98"/>
    <w:rsid w:val="000B28DB"/>
    <w:rsid w:val="000B2A5F"/>
    <w:rsid w:val="000B2EA7"/>
    <w:rsid w:val="000B46A2"/>
    <w:rsid w:val="000B4979"/>
    <w:rsid w:val="000B4C39"/>
    <w:rsid w:val="000B7447"/>
    <w:rsid w:val="000B7738"/>
    <w:rsid w:val="000C021F"/>
    <w:rsid w:val="000C0E70"/>
    <w:rsid w:val="000C16D6"/>
    <w:rsid w:val="000C1DC6"/>
    <w:rsid w:val="000C4808"/>
    <w:rsid w:val="000C48DE"/>
    <w:rsid w:val="000C4B01"/>
    <w:rsid w:val="000C5A51"/>
    <w:rsid w:val="000C783F"/>
    <w:rsid w:val="000C7CF8"/>
    <w:rsid w:val="000D130E"/>
    <w:rsid w:val="000D1459"/>
    <w:rsid w:val="000D1936"/>
    <w:rsid w:val="000D1AA4"/>
    <w:rsid w:val="000D1DF0"/>
    <w:rsid w:val="000D291A"/>
    <w:rsid w:val="000D2B33"/>
    <w:rsid w:val="000D32EC"/>
    <w:rsid w:val="000D33F2"/>
    <w:rsid w:val="000D3438"/>
    <w:rsid w:val="000D3A03"/>
    <w:rsid w:val="000D4477"/>
    <w:rsid w:val="000D5E43"/>
    <w:rsid w:val="000D750F"/>
    <w:rsid w:val="000D79EB"/>
    <w:rsid w:val="000D7AF8"/>
    <w:rsid w:val="000D7E24"/>
    <w:rsid w:val="000E028B"/>
    <w:rsid w:val="000E02F2"/>
    <w:rsid w:val="000E1E85"/>
    <w:rsid w:val="000E2837"/>
    <w:rsid w:val="000E2BC0"/>
    <w:rsid w:val="000E3EEF"/>
    <w:rsid w:val="000E416C"/>
    <w:rsid w:val="000E56DE"/>
    <w:rsid w:val="000E706B"/>
    <w:rsid w:val="000F02E6"/>
    <w:rsid w:val="000F0550"/>
    <w:rsid w:val="000F1074"/>
    <w:rsid w:val="000F13AF"/>
    <w:rsid w:val="000F2A94"/>
    <w:rsid w:val="000F2E5E"/>
    <w:rsid w:val="000F421C"/>
    <w:rsid w:val="000F4472"/>
    <w:rsid w:val="000F4C37"/>
    <w:rsid w:val="000F4F94"/>
    <w:rsid w:val="000F55ED"/>
    <w:rsid w:val="000F5680"/>
    <w:rsid w:val="000F5897"/>
    <w:rsid w:val="000F6027"/>
    <w:rsid w:val="000F6E50"/>
    <w:rsid w:val="001007C1"/>
    <w:rsid w:val="00101001"/>
    <w:rsid w:val="00101417"/>
    <w:rsid w:val="00102CD6"/>
    <w:rsid w:val="00103EDC"/>
    <w:rsid w:val="00103FBC"/>
    <w:rsid w:val="00105C54"/>
    <w:rsid w:val="001062C4"/>
    <w:rsid w:val="0010669E"/>
    <w:rsid w:val="00107048"/>
    <w:rsid w:val="0010765D"/>
    <w:rsid w:val="00107E23"/>
    <w:rsid w:val="00110878"/>
    <w:rsid w:val="00111204"/>
    <w:rsid w:val="001113A5"/>
    <w:rsid w:val="00111D5D"/>
    <w:rsid w:val="00112791"/>
    <w:rsid w:val="0011355D"/>
    <w:rsid w:val="0011384C"/>
    <w:rsid w:val="0011396E"/>
    <w:rsid w:val="00113E4C"/>
    <w:rsid w:val="00113FC6"/>
    <w:rsid w:val="0011495F"/>
    <w:rsid w:val="00115E32"/>
    <w:rsid w:val="0011602B"/>
    <w:rsid w:val="00116541"/>
    <w:rsid w:val="001172A3"/>
    <w:rsid w:val="00120EEE"/>
    <w:rsid w:val="00120F3A"/>
    <w:rsid w:val="00121115"/>
    <w:rsid w:val="001223F9"/>
    <w:rsid w:val="00122D30"/>
    <w:rsid w:val="00122D3E"/>
    <w:rsid w:val="00123169"/>
    <w:rsid w:val="001232C5"/>
    <w:rsid w:val="00124AFE"/>
    <w:rsid w:val="00124EF7"/>
    <w:rsid w:val="001258CD"/>
    <w:rsid w:val="00125A10"/>
    <w:rsid w:val="00126051"/>
    <w:rsid w:val="0012621D"/>
    <w:rsid w:val="00126F03"/>
    <w:rsid w:val="0012782B"/>
    <w:rsid w:val="00131683"/>
    <w:rsid w:val="00131B3F"/>
    <w:rsid w:val="00132E4D"/>
    <w:rsid w:val="00133D3A"/>
    <w:rsid w:val="00133F40"/>
    <w:rsid w:val="00135C96"/>
    <w:rsid w:val="00136020"/>
    <w:rsid w:val="001363C1"/>
    <w:rsid w:val="001375A8"/>
    <w:rsid w:val="00141886"/>
    <w:rsid w:val="00143FF7"/>
    <w:rsid w:val="00145C0D"/>
    <w:rsid w:val="001464CC"/>
    <w:rsid w:val="00146A29"/>
    <w:rsid w:val="00146B1C"/>
    <w:rsid w:val="00150017"/>
    <w:rsid w:val="001504B3"/>
    <w:rsid w:val="0015086E"/>
    <w:rsid w:val="00150F5B"/>
    <w:rsid w:val="00150FD2"/>
    <w:rsid w:val="001517FA"/>
    <w:rsid w:val="001526CD"/>
    <w:rsid w:val="0015311C"/>
    <w:rsid w:val="001538AB"/>
    <w:rsid w:val="00153ACA"/>
    <w:rsid w:val="001543EB"/>
    <w:rsid w:val="0015506F"/>
    <w:rsid w:val="00155A65"/>
    <w:rsid w:val="00155F0F"/>
    <w:rsid w:val="0015624B"/>
    <w:rsid w:val="00156900"/>
    <w:rsid w:val="00156A6A"/>
    <w:rsid w:val="00156AD8"/>
    <w:rsid w:val="00156B04"/>
    <w:rsid w:val="00157751"/>
    <w:rsid w:val="00157978"/>
    <w:rsid w:val="0016017E"/>
    <w:rsid w:val="00160802"/>
    <w:rsid w:val="00163495"/>
    <w:rsid w:val="00163779"/>
    <w:rsid w:val="0016455C"/>
    <w:rsid w:val="00165846"/>
    <w:rsid w:val="00165BBD"/>
    <w:rsid w:val="00165C2B"/>
    <w:rsid w:val="00166238"/>
    <w:rsid w:val="001670C9"/>
    <w:rsid w:val="00167C19"/>
    <w:rsid w:val="00170FBD"/>
    <w:rsid w:val="00170FE9"/>
    <w:rsid w:val="001716ED"/>
    <w:rsid w:val="0017193F"/>
    <w:rsid w:val="00171E07"/>
    <w:rsid w:val="00171E68"/>
    <w:rsid w:val="00172A27"/>
    <w:rsid w:val="00172AB0"/>
    <w:rsid w:val="00172EC3"/>
    <w:rsid w:val="00173114"/>
    <w:rsid w:val="00174BF0"/>
    <w:rsid w:val="00174CD8"/>
    <w:rsid w:val="001756D5"/>
    <w:rsid w:val="00175E3B"/>
    <w:rsid w:val="001766C9"/>
    <w:rsid w:val="001777BF"/>
    <w:rsid w:val="0018014D"/>
    <w:rsid w:val="00180445"/>
    <w:rsid w:val="001811B0"/>
    <w:rsid w:val="00181604"/>
    <w:rsid w:val="0018175C"/>
    <w:rsid w:val="001822EE"/>
    <w:rsid w:val="001839A5"/>
    <w:rsid w:val="00183DFE"/>
    <w:rsid w:val="0018435A"/>
    <w:rsid w:val="00186E86"/>
    <w:rsid w:val="00191A11"/>
    <w:rsid w:val="00191BAF"/>
    <w:rsid w:val="00193AF0"/>
    <w:rsid w:val="00193D77"/>
    <w:rsid w:val="00196D89"/>
    <w:rsid w:val="00196E1C"/>
    <w:rsid w:val="00197723"/>
    <w:rsid w:val="001A06DA"/>
    <w:rsid w:val="001A0C59"/>
    <w:rsid w:val="001A0CC2"/>
    <w:rsid w:val="001A0D8E"/>
    <w:rsid w:val="001A11C6"/>
    <w:rsid w:val="001A12B0"/>
    <w:rsid w:val="001A174D"/>
    <w:rsid w:val="001A1A69"/>
    <w:rsid w:val="001A26B9"/>
    <w:rsid w:val="001A2735"/>
    <w:rsid w:val="001A302D"/>
    <w:rsid w:val="001A4ED4"/>
    <w:rsid w:val="001A5A17"/>
    <w:rsid w:val="001A6013"/>
    <w:rsid w:val="001A60CD"/>
    <w:rsid w:val="001A6EE2"/>
    <w:rsid w:val="001A7817"/>
    <w:rsid w:val="001B0139"/>
    <w:rsid w:val="001B0528"/>
    <w:rsid w:val="001B1FF0"/>
    <w:rsid w:val="001B3018"/>
    <w:rsid w:val="001B37FC"/>
    <w:rsid w:val="001B3C2A"/>
    <w:rsid w:val="001B3E80"/>
    <w:rsid w:val="001B4EE8"/>
    <w:rsid w:val="001B5DD2"/>
    <w:rsid w:val="001B6AB2"/>
    <w:rsid w:val="001B700B"/>
    <w:rsid w:val="001C0AE0"/>
    <w:rsid w:val="001C10E7"/>
    <w:rsid w:val="001C1A4D"/>
    <w:rsid w:val="001C2753"/>
    <w:rsid w:val="001C2C2A"/>
    <w:rsid w:val="001C2C3B"/>
    <w:rsid w:val="001C3489"/>
    <w:rsid w:val="001C3751"/>
    <w:rsid w:val="001C39CD"/>
    <w:rsid w:val="001C4002"/>
    <w:rsid w:val="001C44E0"/>
    <w:rsid w:val="001C45A6"/>
    <w:rsid w:val="001C46EA"/>
    <w:rsid w:val="001C57FE"/>
    <w:rsid w:val="001C62BD"/>
    <w:rsid w:val="001C6CAA"/>
    <w:rsid w:val="001C7CDF"/>
    <w:rsid w:val="001D063F"/>
    <w:rsid w:val="001D158D"/>
    <w:rsid w:val="001D1953"/>
    <w:rsid w:val="001D1C72"/>
    <w:rsid w:val="001D308A"/>
    <w:rsid w:val="001D34F9"/>
    <w:rsid w:val="001D35AA"/>
    <w:rsid w:val="001D39A1"/>
    <w:rsid w:val="001D4145"/>
    <w:rsid w:val="001D5538"/>
    <w:rsid w:val="001D6CC5"/>
    <w:rsid w:val="001D75C1"/>
    <w:rsid w:val="001D7BAA"/>
    <w:rsid w:val="001D7BB5"/>
    <w:rsid w:val="001E1A83"/>
    <w:rsid w:val="001E1E4B"/>
    <w:rsid w:val="001E27F2"/>
    <w:rsid w:val="001E2A03"/>
    <w:rsid w:val="001E4836"/>
    <w:rsid w:val="001E489E"/>
    <w:rsid w:val="001E4DD3"/>
    <w:rsid w:val="001E6C80"/>
    <w:rsid w:val="001E6F65"/>
    <w:rsid w:val="001E72E4"/>
    <w:rsid w:val="001E77DC"/>
    <w:rsid w:val="001F1468"/>
    <w:rsid w:val="001F2C36"/>
    <w:rsid w:val="001F2E29"/>
    <w:rsid w:val="001F32E1"/>
    <w:rsid w:val="001F5049"/>
    <w:rsid w:val="001F57E8"/>
    <w:rsid w:val="001F73E3"/>
    <w:rsid w:val="00200B8A"/>
    <w:rsid w:val="00202BAD"/>
    <w:rsid w:val="002033B0"/>
    <w:rsid w:val="00203813"/>
    <w:rsid w:val="00203CBD"/>
    <w:rsid w:val="00204173"/>
    <w:rsid w:val="00204255"/>
    <w:rsid w:val="00204E0B"/>
    <w:rsid w:val="0020572E"/>
    <w:rsid w:val="002074C7"/>
    <w:rsid w:val="002076B2"/>
    <w:rsid w:val="002077D4"/>
    <w:rsid w:val="00210917"/>
    <w:rsid w:val="002109CC"/>
    <w:rsid w:val="00210A2F"/>
    <w:rsid w:val="00210C93"/>
    <w:rsid w:val="00210FF5"/>
    <w:rsid w:val="00211F2E"/>
    <w:rsid w:val="002121FB"/>
    <w:rsid w:val="002131E2"/>
    <w:rsid w:val="002132F3"/>
    <w:rsid w:val="00213854"/>
    <w:rsid w:val="0021389D"/>
    <w:rsid w:val="00215118"/>
    <w:rsid w:val="00215256"/>
    <w:rsid w:val="002153EE"/>
    <w:rsid w:val="00215753"/>
    <w:rsid w:val="00216140"/>
    <w:rsid w:val="00217077"/>
    <w:rsid w:val="00217D2C"/>
    <w:rsid w:val="00220417"/>
    <w:rsid w:val="002214F8"/>
    <w:rsid w:val="00221800"/>
    <w:rsid w:val="002219DE"/>
    <w:rsid w:val="00221E2B"/>
    <w:rsid w:val="00222143"/>
    <w:rsid w:val="00222549"/>
    <w:rsid w:val="0022331B"/>
    <w:rsid w:val="002234D2"/>
    <w:rsid w:val="00223D20"/>
    <w:rsid w:val="002245E7"/>
    <w:rsid w:val="00225ED0"/>
    <w:rsid w:val="00232FE0"/>
    <w:rsid w:val="0023434B"/>
    <w:rsid w:val="0023487B"/>
    <w:rsid w:val="00234B90"/>
    <w:rsid w:val="00234DDF"/>
    <w:rsid w:val="00235302"/>
    <w:rsid w:val="0023545C"/>
    <w:rsid w:val="00235928"/>
    <w:rsid w:val="002362B4"/>
    <w:rsid w:val="0023667C"/>
    <w:rsid w:val="002367A2"/>
    <w:rsid w:val="00236B19"/>
    <w:rsid w:val="00237206"/>
    <w:rsid w:val="00237FF3"/>
    <w:rsid w:val="0024050C"/>
    <w:rsid w:val="002416B2"/>
    <w:rsid w:val="00241D30"/>
    <w:rsid w:val="00242A57"/>
    <w:rsid w:val="002458CA"/>
    <w:rsid w:val="00245F3C"/>
    <w:rsid w:val="00246E62"/>
    <w:rsid w:val="0024774E"/>
    <w:rsid w:val="002478C0"/>
    <w:rsid w:val="00247A3F"/>
    <w:rsid w:val="00247CD9"/>
    <w:rsid w:val="00250461"/>
    <w:rsid w:val="002509F6"/>
    <w:rsid w:val="00252F64"/>
    <w:rsid w:val="002549ED"/>
    <w:rsid w:val="00254A27"/>
    <w:rsid w:val="00254C17"/>
    <w:rsid w:val="00255555"/>
    <w:rsid w:val="00255BF9"/>
    <w:rsid w:val="00256489"/>
    <w:rsid w:val="0025677D"/>
    <w:rsid w:val="00256852"/>
    <w:rsid w:val="00257583"/>
    <w:rsid w:val="00257B9B"/>
    <w:rsid w:val="00257C06"/>
    <w:rsid w:val="002600B8"/>
    <w:rsid w:val="00260567"/>
    <w:rsid w:val="002613F0"/>
    <w:rsid w:val="0026184C"/>
    <w:rsid w:val="00262C3E"/>
    <w:rsid w:val="00263D21"/>
    <w:rsid w:val="00265BF6"/>
    <w:rsid w:val="00267758"/>
    <w:rsid w:val="00267846"/>
    <w:rsid w:val="00267917"/>
    <w:rsid w:val="00270ABA"/>
    <w:rsid w:val="00270AC8"/>
    <w:rsid w:val="00270BEF"/>
    <w:rsid w:val="00271361"/>
    <w:rsid w:val="00272DBA"/>
    <w:rsid w:val="00273D91"/>
    <w:rsid w:val="00275801"/>
    <w:rsid w:val="00276E78"/>
    <w:rsid w:val="00277869"/>
    <w:rsid w:val="00277FAD"/>
    <w:rsid w:val="00280E3D"/>
    <w:rsid w:val="00281426"/>
    <w:rsid w:val="00282A91"/>
    <w:rsid w:val="00282EDB"/>
    <w:rsid w:val="002839B4"/>
    <w:rsid w:val="00284A1F"/>
    <w:rsid w:val="00284B14"/>
    <w:rsid w:val="002855A8"/>
    <w:rsid w:val="002858CB"/>
    <w:rsid w:val="00285F68"/>
    <w:rsid w:val="002865E2"/>
    <w:rsid w:val="00287327"/>
    <w:rsid w:val="00287CC0"/>
    <w:rsid w:val="00287D61"/>
    <w:rsid w:val="00287F07"/>
    <w:rsid w:val="0029021B"/>
    <w:rsid w:val="00290724"/>
    <w:rsid w:val="00290767"/>
    <w:rsid w:val="00291273"/>
    <w:rsid w:val="0029289B"/>
    <w:rsid w:val="00292953"/>
    <w:rsid w:val="00292C88"/>
    <w:rsid w:val="002935DA"/>
    <w:rsid w:val="00294734"/>
    <w:rsid w:val="00294C4F"/>
    <w:rsid w:val="0029596A"/>
    <w:rsid w:val="00297B9B"/>
    <w:rsid w:val="002A0A4D"/>
    <w:rsid w:val="002A143F"/>
    <w:rsid w:val="002A23F6"/>
    <w:rsid w:val="002A27AE"/>
    <w:rsid w:val="002A33CA"/>
    <w:rsid w:val="002A407B"/>
    <w:rsid w:val="002A40F4"/>
    <w:rsid w:val="002A4F61"/>
    <w:rsid w:val="002A5107"/>
    <w:rsid w:val="002A51D8"/>
    <w:rsid w:val="002A51F8"/>
    <w:rsid w:val="002A5465"/>
    <w:rsid w:val="002A56B4"/>
    <w:rsid w:val="002A6BF4"/>
    <w:rsid w:val="002A7308"/>
    <w:rsid w:val="002A787A"/>
    <w:rsid w:val="002B0084"/>
    <w:rsid w:val="002B0A91"/>
    <w:rsid w:val="002B0EFE"/>
    <w:rsid w:val="002B1551"/>
    <w:rsid w:val="002B1AA7"/>
    <w:rsid w:val="002B2125"/>
    <w:rsid w:val="002B2987"/>
    <w:rsid w:val="002B44A7"/>
    <w:rsid w:val="002B4F2E"/>
    <w:rsid w:val="002B5515"/>
    <w:rsid w:val="002B6782"/>
    <w:rsid w:val="002B6A7C"/>
    <w:rsid w:val="002B6AA8"/>
    <w:rsid w:val="002C01E9"/>
    <w:rsid w:val="002C49B8"/>
    <w:rsid w:val="002C4CBD"/>
    <w:rsid w:val="002C4F37"/>
    <w:rsid w:val="002C595B"/>
    <w:rsid w:val="002C68F3"/>
    <w:rsid w:val="002D0FFF"/>
    <w:rsid w:val="002D19BE"/>
    <w:rsid w:val="002D1CFB"/>
    <w:rsid w:val="002D255E"/>
    <w:rsid w:val="002D2A23"/>
    <w:rsid w:val="002D2B25"/>
    <w:rsid w:val="002D2E0E"/>
    <w:rsid w:val="002D307A"/>
    <w:rsid w:val="002D371F"/>
    <w:rsid w:val="002D3AA3"/>
    <w:rsid w:val="002D54A2"/>
    <w:rsid w:val="002D68BE"/>
    <w:rsid w:val="002D759B"/>
    <w:rsid w:val="002D7D28"/>
    <w:rsid w:val="002E12A6"/>
    <w:rsid w:val="002E207D"/>
    <w:rsid w:val="002E2385"/>
    <w:rsid w:val="002E3A85"/>
    <w:rsid w:val="002E459C"/>
    <w:rsid w:val="002E4F10"/>
    <w:rsid w:val="002E5AE6"/>
    <w:rsid w:val="002E5B85"/>
    <w:rsid w:val="002F0DC9"/>
    <w:rsid w:val="002F142C"/>
    <w:rsid w:val="002F167A"/>
    <w:rsid w:val="002F1C69"/>
    <w:rsid w:val="002F1DA5"/>
    <w:rsid w:val="002F1FD6"/>
    <w:rsid w:val="002F21B8"/>
    <w:rsid w:val="002F2219"/>
    <w:rsid w:val="002F27E5"/>
    <w:rsid w:val="002F2931"/>
    <w:rsid w:val="002F39BA"/>
    <w:rsid w:val="002F425E"/>
    <w:rsid w:val="002F5531"/>
    <w:rsid w:val="002F55C4"/>
    <w:rsid w:val="002F5DBB"/>
    <w:rsid w:val="002F6266"/>
    <w:rsid w:val="002F6F34"/>
    <w:rsid w:val="002F7004"/>
    <w:rsid w:val="002F7C47"/>
    <w:rsid w:val="003004C0"/>
    <w:rsid w:val="003016A8"/>
    <w:rsid w:val="0030369D"/>
    <w:rsid w:val="00303D1E"/>
    <w:rsid w:val="003052B5"/>
    <w:rsid w:val="0030654F"/>
    <w:rsid w:val="00307176"/>
    <w:rsid w:val="00307C2B"/>
    <w:rsid w:val="0031128C"/>
    <w:rsid w:val="00311354"/>
    <w:rsid w:val="0031207F"/>
    <w:rsid w:val="00312A64"/>
    <w:rsid w:val="00312B07"/>
    <w:rsid w:val="00312C5E"/>
    <w:rsid w:val="00314869"/>
    <w:rsid w:val="00315039"/>
    <w:rsid w:val="003151F1"/>
    <w:rsid w:val="003156AE"/>
    <w:rsid w:val="00315782"/>
    <w:rsid w:val="00316D79"/>
    <w:rsid w:val="00317701"/>
    <w:rsid w:val="00317DFB"/>
    <w:rsid w:val="0032014A"/>
    <w:rsid w:val="00320601"/>
    <w:rsid w:val="00320BB5"/>
    <w:rsid w:val="00320E91"/>
    <w:rsid w:val="00321187"/>
    <w:rsid w:val="00322AC0"/>
    <w:rsid w:val="00322EB5"/>
    <w:rsid w:val="0032419F"/>
    <w:rsid w:val="00324515"/>
    <w:rsid w:val="00325465"/>
    <w:rsid w:val="00325DA0"/>
    <w:rsid w:val="00326083"/>
    <w:rsid w:val="0032642C"/>
    <w:rsid w:val="00327877"/>
    <w:rsid w:val="003304FC"/>
    <w:rsid w:val="0033072C"/>
    <w:rsid w:val="00332221"/>
    <w:rsid w:val="003327BC"/>
    <w:rsid w:val="00332FD6"/>
    <w:rsid w:val="00333CC4"/>
    <w:rsid w:val="00333FCA"/>
    <w:rsid w:val="0033425E"/>
    <w:rsid w:val="00334543"/>
    <w:rsid w:val="00335037"/>
    <w:rsid w:val="003361AE"/>
    <w:rsid w:val="00336C5A"/>
    <w:rsid w:val="00337523"/>
    <w:rsid w:val="00337B9F"/>
    <w:rsid w:val="003401CF"/>
    <w:rsid w:val="003401F3"/>
    <w:rsid w:val="00340FEB"/>
    <w:rsid w:val="0034131D"/>
    <w:rsid w:val="00341441"/>
    <w:rsid w:val="00341A4A"/>
    <w:rsid w:val="00341AF8"/>
    <w:rsid w:val="00342E67"/>
    <w:rsid w:val="003432E0"/>
    <w:rsid w:val="003445A6"/>
    <w:rsid w:val="00345011"/>
    <w:rsid w:val="00345641"/>
    <w:rsid w:val="00345DF5"/>
    <w:rsid w:val="00345FC9"/>
    <w:rsid w:val="003478E0"/>
    <w:rsid w:val="003516BA"/>
    <w:rsid w:val="00351820"/>
    <w:rsid w:val="00351D4D"/>
    <w:rsid w:val="003529BE"/>
    <w:rsid w:val="00353221"/>
    <w:rsid w:val="003538C4"/>
    <w:rsid w:val="003538CF"/>
    <w:rsid w:val="0035394B"/>
    <w:rsid w:val="00353C85"/>
    <w:rsid w:val="0035411A"/>
    <w:rsid w:val="0035478C"/>
    <w:rsid w:val="00354A83"/>
    <w:rsid w:val="00354C6E"/>
    <w:rsid w:val="003553E5"/>
    <w:rsid w:val="003564AB"/>
    <w:rsid w:val="00356676"/>
    <w:rsid w:val="00356AD4"/>
    <w:rsid w:val="003577A2"/>
    <w:rsid w:val="00357928"/>
    <w:rsid w:val="00360699"/>
    <w:rsid w:val="00360913"/>
    <w:rsid w:val="00360D67"/>
    <w:rsid w:val="0036126C"/>
    <w:rsid w:val="00361720"/>
    <w:rsid w:val="00361CAE"/>
    <w:rsid w:val="003637A5"/>
    <w:rsid w:val="003638A9"/>
    <w:rsid w:val="003648B6"/>
    <w:rsid w:val="00366A21"/>
    <w:rsid w:val="00366ED4"/>
    <w:rsid w:val="00367079"/>
    <w:rsid w:val="00370695"/>
    <w:rsid w:val="003711A1"/>
    <w:rsid w:val="00371AC2"/>
    <w:rsid w:val="00371E7B"/>
    <w:rsid w:val="00372D2E"/>
    <w:rsid w:val="00373488"/>
    <w:rsid w:val="00373B32"/>
    <w:rsid w:val="00373B73"/>
    <w:rsid w:val="003740C9"/>
    <w:rsid w:val="00375269"/>
    <w:rsid w:val="00375369"/>
    <w:rsid w:val="00375E48"/>
    <w:rsid w:val="00376C94"/>
    <w:rsid w:val="00377A80"/>
    <w:rsid w:val="00377AD2"/>
    <w:rsid w:val="00377D7E"/>
    <w:rsid w:val="0038009B"/>
    <w:rsid w:val="00380A86"/>
    <w:rsid w:val="00382058"/>
    <w:rsid w:val="003827E3"/>
    <w:rsid w:val="00382AA2"/>
    <w:rsid w:val="00383172"/>
    <w:rsid w:val="003847DC"/>
    <w:rsid w:val="00390A14"/>
    <w:rsid w:val="00391481"/>
    <w:rsid w:val="003916DE"/>
    <w:rsid w:val="00391B33"/>
    <w:rsid w:val="0039215F"/>
    <w:rsid w:val="00392486"/>
    <w:rsid w:val="0039593F"/>
    <w:rsid w:val="003A018D"/>
    <w:rsid w:val="003A060E"/>
    <w:rsid w:val="003A07D1"/>
    <w:rsid w:val="003A15E4"/>
    <w:rsid w:val="003A19DF"/>
    <w:rsid w:val="003A1A79"/>
    <w:rsid w:val="003A26FB"/>
    <w:rsid w:val="003A2C91"/>
    <w:rsid w:val="003A3B63"/>
    <w:rsid w:val="003A3CDF"/>
    <w:rsid w:val="003A50D4"/>
    <w:rsid w:val="003A5854"/>
    <w:rsid w:val="003A5FCF"/>
    <w:rsid w:val="003B06D3"/>
    <w:rsid w:val="003B1E64"/>
    <w:rsid w:val="003B2DD8"/>
    <w:rsid w:val="003B483E"/>
    <w:rsid w:val="003B4C85"/>
    <w:rsid w:val="003B5149"/>
    <w:rsid w:val="003B736A"/>
    <w:rsid w:val="003C04C3"/>
    <w:rsid w:val="003C16A3"/>
    <w:rsid w:val="003C1722"/>
    <w:rsid w:val="003C31BC"/>
    <w:rsid w:val="003C3482"/>
    <w:rsid w:val="003C50C9"/>
    <w:rsid w:val="003C5F35"/>
    <w:rsid w:val="003C5FCB"/>
    <w:rsid w:val="003C7AD3"/>
    <w:rsid w:val="003C7FF6"/>
    <w:rsid w:val="003D0389"/>
    <w:rsid w:val="003D073E"/>
    <w:rsid w:val="003D0B4C"/>
    <w:rsid w:val="003D1763"/>
    <w:rsid w:val="003D1CA3"/>
    <w:rsid w:val="003D2180"/>
    <w:rsid w:val="003D236F"/>
    <w:rsid w:val="003D421B"/>
    <w:rsid w:val="003D53D1"/>
    <w:rsid w:val="003D5C1F"/>
    <w:rsid w:val="003D61C1"/>
    <w:rsid w:val="003D6EA3"/>
    <w:rsid w:val="003E00F6"/>
    <w:rsid w:val="003E020A"/>
    <w:rsid w:val="003E09D5"/>
    <w:rsid w:val="003E2D93"/>
    <w:rsid w:val="003E3B68"/>
    <w:rsid w:val="003E461C"/>
    <w:rsid w:val="003E646C"/>
    <w:rsid w:val="003E78A4"/>
    <w:rsid w:val="003E7D84"/>
    <w:rsid w:val="003E7FAF"/>
    <w:rsid w:val="003F06A1"/>
    <w:rsid w:val="003F0CA2"/>
    <w:rsid w:val="003F0D00"/>
    <w:rsid w:val="003F0D5D"/>
    <w:rsid w:val="003F1C31"/>
    <w:rsid w:val="003F247F"/>
    <w:rsid w:val="003F287E"/>
    <w:rsid w:val="003F3ACD"/>
    <w:rsid w:val="003F498F"/>
    <w:rsid w:val="003F533D"/>
    <w:rsid w:val="003F54CB"/>
    <w:rsid w:val="003F6578"/>
    <w:rsid w:val="003F65BC"/>
    <w:rsid w:val="003F771B"/>
    <w:rsid w:val="004000E0"/>
    <w:rsid w:val="004006B3"/>
    <w:rsid w:val="00400784"/>
    <w:rsid w:val="00400CA4"/>
    <w:rsid w:val="00400FD2"/>
    <w:rsid w:val="00401676"/>
    <w:rsid w:val="004022E5"/>
    <w:rsid w:val="00402AEA"/>
    <w:rsid w:val="00404FFE"/>
    <w:rsid w:val="00405FF7"/>
    <w:rsid w:val="00406167"/>
    <w:rsid w:val="00406758"/>
    <w:rsid w:val="004074BA"/>
    <w:rsid w:val="00407D4B"/>
    <w:rsid w:val="004107B7"/>
    <w:rsid w:val="00410AF7"/>
    <w:rsid w:val="004114B0"/>
    <w:rsid w:val="004122A8"/>
    <w:rsid w:val="00413CD3"/>
    <w:rsid w:val="00413DDA"/>
    <w:rsid w:val="00414E41"/>
    <w:rsid w:val="004156DD"/>
    <w:rsid w:val="004156FF"/>
    <w:rsid w:val="00415A34"/>
    <w:rsid w:val="00415B66"/>
    <w:rsid w:val="004169C1"/>
    <w:rsid w:val="00416DAC"/>
    <w:rsid w:val="00417314"/>
    <w:rsid w:val="00417C69"/>
    <w:rsid w:val="00420792"/>
    <w:rsid w:val="0042094D"/>
    <w:rsid w:val="00421108"/>
    <w:rsid w:val="004228CF"/>
    <w:rsid w:val="004233F5"/>
    <w:rsid w:val="00423638"/>
    <w:rsid w:val="00423920"/>
    <w:rsid w:val="0042395D"/>
    <w:rsid w:val="00423E04"/>
    <w:rsid w:val="004244A9"/>
    <w:rsid w:val="0042490A"/>
    <w:rsid w:val="004253BD"/>
    <w:rsid w:val="00425977"/>
    <w:rsid w:val="004260C1"/>
    <w:rsid w:val="004268E4"/>
    <w:rsid w:val="0043100F"/>
    <w:rsid w:val="004317E9"/>
    <w:rsid w:val="00431C92"/>
    <w:rsid w:val="00432F83"/>
    <w:rsid w:val="00433C5E"/>
    <w:rsid w:val="00433CC9"/>
    <w:rsid w:val="00434814"/>
    <w:rsid w:val="00434E86"/>
    <w:rsid w:val="00435A7C"/>
    <w:rsid w:val="00435DFB"/>
    <w:rsid w:val="00435FB9"/>
    <w:rsid w:val="00436B91"/>
    <w:rsid w:val="00441796"/>
    <w:rsid w:val="00443054"/>
    <w:rsid w:val="00444670"/>
    <w:rsid w:val="00444714"/>
    <w:rsid w:val="00444922"/>
    <w:rsid w:val="00444D36"/>
    <w:rsid w:val="004455F2"/>
    <w:rsid w:val="00446AAA"/>
    <w:rsid w:val="0045089C"/>
    <w:rsid w:val="004513AF"/>
    <w:rsid w:val="0045200D"/>
    <w:rsid w:val="00452A57"/>
    <w:rsid w:val="004537CC"/>
    <w:rsid w:val="004542B6"/>
    <w:rsid w:val="00454D8F"/>
    <w:rsid w:val="0045532A"/>
    <w:rsid w:val="004559F0"/>
    <w:rsid w:val="00457476"/>
    <w:rsid w:val="004576C3"/>
    <w:rsid w:val="00457A68"/>
    <w:rsid w:val="00457DA6"/>
    <w:rsid w:val="00461CF9"/>
    <w:rsid w:val="00463360"/>
    <w:rsid w:val="00463831"/>
    <w:rsid w:val="00463CD7"/>
    <w:rsid w:val="00464A12"/>
    <w:rsid w:val="00465688"/>
    <w:rsid w:val="00466FA9"/>
    <w:rsid w:val="004678CE"/>
    <w:rsid w:val="00471A96"/>
    <w:rsid w:val="00471B20"/>
    <w:rsid w:val="00472B4F"/>
    <w:rsid w:val="00473D97"/>
    <w:rsid w:val="00473DBD"/>
    <w:rsid w:val="00474317"/>
    <w:rsid w:val="004748C5"/>
    <w:rsid w:val="00474C0A"/>
    <w:rsid w:val="0047541A"/>
    <w:rsid w:val="0047549D"/>
    <w:rsid w:val="004757A0"/>
    <w:rsid w:val="00476392"/>
    <w:rsid w:val="004771A9"/>
    <w:rsid w:val="0047779B"/>
    <w:rsid w:val="00477D77"/>
    <w:rsid w:val="0048017D"/>
    <w:rsid w:val="00480CE0"/>
    <w:rsid w:val="00480F5D"/>
    <w:rsid w:val="00481577"/>
    <w:rsid w:val="00483E22"/>
    <w:rsid w:val="00484835"/>
    <w:rsid w:val="00484931"/>
    <w:rsid w:val="00484DA3"/>
    <w:rsid w:val="0048502E"/>
    <w:rsid w:val="0048664D"/>
    <w:rsid w:val="00487B00"/>
    <w:rsid w:val="00487EE5"/>
    <w:rsid w:val="004903FD"/>
    <w:rsid w:val="00490645"/>
    <w:rsid w:val="0049084B"/>
    <w:rsid w:val="0049203C"/>
    <w:rsid w:val="0049250A"/>
    <w:rsid w:val="00492C8F"/>
    <w:rsid w:val="00493F47"/>
    <w:rsid w:val="004951C5"/>
    <w:rsid w:val="004960D5"/>
    <w:rsid w:val="004963AD"/>
    <w:rsid w:val="00496949"/>
    <w:rsid w:val="0049717B"/>
    <w:rsid w:val="0049728C"/>
    <w:rsid w:val="00497437"/>
    <w:rsid w:val="00497C57"/>
    <w:rsid w:val="004A0CB9"/>
    <w:rsid w:val="004A334D"/>
    <w:rsid w:val="004A33D3"/>
    <w:rsid w:val="004A3805"/>
    <w:rsid w:val="004A38F6"/>
    <w:rsid w:val="004A46D4"/>
    <w:rsid w:val="004A5077"/>
    <w:rsid w:val="004A5EA1"/>
    <w:rsid w:val="004A5EB2"/>
    <w:rsid w:val="004A6038"/>
    <w:rsid w:val="004A6150"/>
    <w:rsid w:val="004A74E8"/>
    <w:rsid w:val="004A7B81"/>
    <w:rsid w:val="004B0BEA"/>
    <w:rsid w:val="004B0EAA"/>
    <w:rsid w:val="004B1029"/>
    <w:rsid w:val="004B21C0"/>
    <w:rsid w:val="004B2F0E"/>
    <w:rsid w:val="004B3151"/>
    <w:rsid w:val="004B3E6A"/>
    <w:rsid w:val="004B4C30"/>
    <w:rsid w:val="004B5716"/>
    <w:rsid w:val="004B587A"/>
    <w:rsid w:val="004B5F87"/>
    <w:rsid w:val="004B6317"/>
    <w:rsid w:val="004B6F83"/>
    <w:rsid w:val="004B7F74"/>
    <w:rsid w:val="004C0306"/>
    <w:rsid w:val="004C0428"/>
    <w:rsid w:val="004C0640"/>
    <w:rsid w:val="004C0919"/>
    <w:rsid w:val="004C09D9"/>
    <w:rsid w:val="004C0F2F"/>
    <w:rsid w:val="004C1522"/>
    <w:rsid w:val="004C2111"/>
    <w:rsid w:val="004C27D8"/>
    <w:rsid w:val="004C4283"/>
    <w:rsid w:val="004C45CB"/>
    <w:rsid w:val="004C49BA"/>
    <w:rsid w:val="004C517F"/>
    <w:rsid w:val="004C51B9"/>
    <w:rsid w:val="004C5250"/>
    <w:rsid w:val="004C526E"/>
    <w:rsid w:val="004C5293"/>
    <w:rsid w:val="004C5FF1"/>
    <w:rsid w:val="004C6BC5"/>
    <w:rsid w:val="004C73FD"/>
    <w:rsid w:val="004D10FC"/>
    <w:rsid w:val="004D2CED"/>
    <w:rsid w:val="004D2D38"/>
    <w:rsid w:val="004D35E5"/>
    <w:rsid w:val="004D3EAC"/>
    <w:rsid w:val="004D4263"/>
    <w:rsid w:val="004D47EA"/>
    <w:rsid w:val="004D4CE9"/>
    <w:rsid w:val="004D6673"/>
    <w:rsid w:val="004D781C"/>
    <w:rsid w:val="004E0B5F"/>
    <w:rsid w:val="004E15D5"/>
    <w:rsid w:val="004E1768"/>
    <w:rsid w:val="004E295D"/>
    <w:rsid w:val="004E2B00"/>
    <w:rsid w:val="004E306B"/>
    <w:rsid w:val="004E33C3"/>
    <w:rsid w:val="004E4054"/>
    <w:rsid w:val="004E5240"/>
    <w:rsid w:val="004E6FCF"/>
    <w:rsid w:val="004E7336"/>
    <w:rsid w:val="004F0711"/>
    <w:rsid w:val="004F094C"/>
    <w:rsid w:val="004F0FBF"/>
    <w:rsid w:val="004F2C39"/>
    <w:rsid w:val="004F34A8"/>
    <w:rsid w:val="004F361E"/>
    <w:rsid w:val="004F38E6"/>
    <w:rsid w:val="004F3B51"/>
    <w:rsid w:val="004F3C21"/>
    <w:rsid w:val="004F4E0B"/>
    <w:rsid w:val="004F50B7"/>
    <w:rsid w:val="004F51DE"/>
    <w:rsid w:val="004F5522"/>
    <w:rsid w:val="004F567B"/>
    <w:rsid w:val="004F59CA"/>
    <w:rsid w:val="004F61A2"/>
    <w:rsid w:val="004F6217"/>
    <w:rsid w:val="004F6E63"/>
    <w:rsid w:val="004F6F73"/>
    <w:rsid w:val="004F76F7"/>
    <w:rsid w:val="00500405"/>
    <w:rsid w:val="005006C9"/>
    <w:rsid w:val="005014E8"/>
    <w:rsid w:val="005025E7"/>
    <w:rsid w:val="00502832"/>
    <w:rsid w:val="00502B6A"/>
    <w:rsid w:val="0050338F"/>
    <w:rsid w:val="005047D6"/>
    <w:rsid w:val="005050E1"/>
    <w:rsid w:val="00505997"/>
    <w:rsid w:val="00505CBF"/>
    <w:rsid w:val="005060D0"/>
    <w:rsid w:val="005064BC"/>
    <w:rsid w:val="00506725"/>
    <w:rsid w:val="00507386"/>
    <w:rsid w:val="005073EF"/>
    <w:rsid w:val="00510049"/>
    <w:rsid w:val="00510645"/>
    <w:rsid w:val="0051183C"/>
    <w:rsid w:val="00511A97"/>
    <w:rsid w:val="00512B55"/>
    <w:rsid w:val="00513DE8"/>
    <w:rsid w:val="00513FBD"/>
    <w:rsid w:val="00515A0E"/>
    <w:rsid w:val="00516030"/>
    <w:rsid w:val="005200FB"/>
    <w:rsid w:val="00520459"/>
    <w:rsid w:val="005207F6"/>
    <w:rsid w:val="00520FB2"/>
    <w:rsid w:val="00521563"/>
    <w:rsid w:val="00521BED"/>
    <w:rsid w:val="00521F94"/>
    <w:rsid w:val="00523D80"/>
    <w:rsid w:val="00524565"/>
    <w:rsid w:val="005246FB"/>
    <w:rsid w:val="005249E3"/>
    <w:rsid w:val="00525A86"/>
    <w:rsid w:val="0052613D"/>
    <w:rsid w:val="005262E2"/>
    <w:rsid w:val="005264F8"/>
    <w:rsid w:val="00526ADE"/>
    <w:rsid w:val="0052710A"/>
    <w:rsid w:val="00530EC7"/>
    <w:rsid w:val="00531BEE"/>
    <w:rsid w:val="00531E06"/>
    <w:rsid w:val="0053240B"/>
    <w:rsid w:val="00532A36"/>
    <w:rsid w:val="00532F8A"/>
    <w:rsid w:val="00533622"/>
    <w:rsid w:val="00533899"/>
    <w:rsid w:val="0053434A"/>
    <w:rsid w:val="00535762"/>
    <w:rsid w:val="00535DEF"/>
    <w:rsid w:val="00537069"/>
    <w:rsid w:val="00540025"/>
    <w:rsid w:val="0054015D"/>
    <w:rsid w:val="005412EE"/>
    <w:rsid w:val="00541D23"/>
    <w:rsid w:val="00543D14"/>
    <w:rsid w:val="005444CA"/>
    <w:rsid w:val="00544F85"/>
    <w:rsid w:val="00545293"/>
    <w:rsid w:val="00545565"/>
    <w:rsid w:val="00546038"/>
    <w:rsid w:val="00546343"/>
    <w:rsid w:val="0054687B"/>
    <w:rsid w:val="005477FA"/>
    <w:rsid w:val="00547A44"/>
    <w:rsid w:val="00547C05"/>
    <w:rsid w:val="00550B3C"/>
    <w:rsid w:val="005518FA"/>
    <w:rsid w:val="00551952"/>
    <w:rsid w:val="00551B51"/>
    <w:rsid w:val="0055214C"/>
    <w:rsid w:val="00552A19"/>
    <w:rsid w:val="0055366E"/>
    <w:rsid w:val="00553D3E"/>
    <w:rsid w:val="00553D47"/>
    <w:rsid w:val="0055443C"/>
    <w:rsid w:val="00554990"/>
    <w:rsid w:val="00554AB3"/>
    <w:rsid w:val="00556D8C"/>
    <w:rsid w:val="00556DDB"/>
    <w:rsid w:val="00556E0A"/>
    <w:rsid w:val="0055787B"/>
    <w:rsid w:val="00560B97"/>
    <w:rsid w:val="00560EE4"/>
    <w:rsid w:val="0056126A"/>
    <w:rsid w:val="00562046"/>
    <w:rsid w:val="005639C3"/>
    <w:rsid w:val="005645DA"/>
    <w:rsid w:val="00564D75"/>
    <w:rsid w:val="00565B91"/>
    <w:rsid w:val="00565E66"/>
    <w:rsid w:val="00565FB1"/>
    <w:rsid w:val="00566479"/>
    <w:rsid w:val="00566E53"/>
    <w:rsid w:val="005674FB"/>
    <w:rsid w:val="005710E6"/>
    <w:rsid w:val="00571D7C"/>
    <w:rsid w:val="00571FD2"/>
    <w:rsid w:val="0057477A"/>
    <w:rsid w:val="00575360"/>
    <w:rsid w:val="005754AC"/>
    <w:rsid w:val="00576111"/>
    <w:rsid w:val="005800DE"/>
    <w:rsid w:val="005809E3"/>
    <w:rsid w:val="005810FE"/>
    <w:rsid w:val="00581C05"/>
    <w:rsid w:val="005826A4"/>
    <w:rsid w:val="00582A41"/>
    <w:rsid w:val="00582B6E"/>
    <w:rsid w:val="00584270"/>
    <w:rsid w:val="005847BC"/>
    <w:rsid w:val="00584C94"/>
    <w:rsid w:val="00584D21"/>
    <w:rsid w:val="005851D0"/>
    <w:rsid w:val="00585A86"/>
    <w:rsid w:val="005860E4"/>
    <w:rsid w:val="00587B89"/>
    <w:rsid w:val="00587EC3"/>
    <w:rsid w:val="00591F70"/>
    <w:rsid w:val="00592210"/>
    <w:rsid w:val="00592724"/>
    <w:rsid w:val="0059380A"/>
    <w:rsid w:val="00593B36"/>
    <w:rsid w:val="00594524"/>
    <w:rsid w:val="005947D2"/>
    <w:rsid w:val="005965AA"/>
    <w:rsid w:val="00596F5B"/>
    <w:rsid w:val="005976A6"/>
    <w:rsid w:val="005977CE"/>
    <w:rsid w:val="005979F2"/>
    <w:rsid w:val="005A00BC"/>
    <w:rsid w:val="005A053C"/>
    <w:rsid w:val="005A08E2"/>
    <w:rsid w:val="005A10AD"/>
    <w:rsid w:val="005A17C1"/>
    <w:rsid w:val="005A42B3"/>
    <w:rsid w:val="005A453B"/>
    <w:rsid w:val="005A485D"/>
    <w:rsid w:val="005A569C"/>
    <w:rsid w:val="005A7B38"/>
    <w:rsid w:val="005B0E97"/>
    <w:rsid w:val="005B1512"/>
    <w:rsid w:val="005B2691"/>
    <w:rsid w:val="005B30FB"/>
    <w:rsid w:val="005B3245"/>
    <w:rsid w:val="005B328A"/>
    <w:rsid w:val="005B6345"/>
    <w:rsid w:val="005B6DD2"/>
    <w:rsid w:val="005B6F56"/>
    <w:rsid w:val="005B6F5A"/>
    <w:rsid w:val="005B709A"/>
    <w:rsid w:val="005B7331"/>
    <w:rsid w:val="005B79EF"/>
    <w:rsid w:val="005B7B2A"/>
    <w:rsid w:val="005C01C6"/>
    <w:rsid w:val="005C0B7A"/>
    <w:rsid w:val="005C0FAB"/>
    <w:rsid w:val="005C2B1C"/>
    <w:rsid w:val="005C3632"/>
    <w:rsid w:val="005C4125"/>
    <w:rsid w:val="005C4587"/>
    <w:rsid w:val="005C6EDC"/>
    <w:rsid w:val="005D1B3A"/>
    <w:rsid w:val="005D1E11"/>
    <w:rsid w:val="005D1E58"/>
    <w:rsid w:val="005D1FBF"/>
    <w:rsid w:val="005D28DF"/>
    <w:rsid w:val="005D454A"/>
    <w:rsid w:val="005D4821"/>
    <w:rsid w:val="005D4CA4"/>
    <w:rsid w:val="005D5B24"/>
    <w:rsid w:val="005D672F"/>
    <w:rsid w:val="005D750A"/>
    <w:rsid w:val="005D7AC9"/>
    <w:rsid w:val="005E033A"/>
    <w:rsid w:val="005E0941"/>
    <w:rsid w:val="005E09C7"/>
    <w:rsid w:val="005E0DF2"/>
    <w:rsid w:val="005E1A5B"/>
    <w:rsid w:val="005E231B"/>
    <w:rsid w:val="005E2725"/>
    <w:rsid w:val="005E307C"/>
    <w:rsid w:val="005E36C4"/>
    <w:rsid w:val="005E647A"/>
    <w:rsid w:val="005E654B"/>
    <w:rsid w:val="005E6A86"/>
    <w:rsid w:val="005E6B00"/>
    <w:rsid w:val="005E708C"/>
    <w:rsid w:val="005E712E"/>
    <w:rsid w:val="005E79F5"/>
    <w:rsid w:val="005E7D01"/>
    <w:rsid w:val="005F11AA"/>
    <w:rsid w:val="005F1919"/>
    <w:rsid w:val="005F1D5C"/>
    <w:rsid w:val="005F232F"/>
    <w:rsid w:val="005F321F"/>
    <w:rsid w:val="005F4EBD"/>
    <w:rsid w:val="005F530B"/>
    <w:rsid w:val="005F590F"/>
    <w:rsid w:val="005F623C"/>
    <w:rsid w:val="005F6525"/>
    <w:rsid w:val="005F7BC5"/>
    <w:rsid w:val="006003D7"/>
    <w:rsid w:val="00600BB5"/>
    <w:rsid w:val="006014DB"/>
    <w:rsid w:val="006042FA"/>
    <w:rsid w:val="0060635D"/>
    <w:rsid w:val="00607924"/>
    <w:rsid w:val="006108EE"/>
    <w:rsid w:val="00611C7D"/>
    <w:rsid w:val="006121E6"/>
    <w:rsid w:val="006140F3"/>
    <w:rsid w:val="00614CD6"/>
    <w:rsid w:val="00615A26"/>
    <w:rsid w:val="00615A2E"/>
    <w:rsid w:val="00620EE4"/>
    <w:rsid w:val="00623A9C"/>
    <w:rsid w:val="0062428C"/>
    <w:rsid w:val="0062429B"/>
    <w:rsid w:val="00624805"/>
    <w:rsid w:val="00625A02"/>
    <w:rsid w:val="00625AE7"/>
    <w:rsid w:val="00630415"/>
    <w:rsid w:val="006325C7"/>
    <w:rsid w:val="00633139"/>
    <w:rsid w:val="0063358D"/>
    <w:rsid w:val="006345CE"/>
    <w:rsid w:val="006353B1"/>
    <w:rsid w:val="006354F8"/>
    <w:rsid w:val="00637C2D"/>
    <w:rsid w:val="00640B08"/>
    <w:rsid w:val="00641F45"/>
    <w:rsid w:val="00642CC9"/>
    <w:rsid w:val="00644079"/>
    <w:rsid w:val="00644124"/>
    <w:rsid w:val="0064422E"/>
    <w:rsid w:val="00644768"/>
    <w:rsid w:val="00645127"/>
    <w:rsid w:val="00645926"/>
    <w:rsid w:val="0064648C"/>
    <w:rsid w:val="00646B58"/>
    <w:rsid w:val="00646BEB"/>
    <w:rsid w:val="00646CCB"/>
    <w:rsid w:val="00646E28"/>
    <w:rsid w:val="0065199F"/>
    <w:rsid w:val="006521B2"/>
    <w:rsid w:val="006532B4"/>
    <w:rsid w:val="0065351F"/>
    <w:rsid w:val="00653DAD"/>
    <w:rsid w:val="00656339"/>
    <w:rsid w:val="0065675E"/>
    <w:rsid w:val="00657030"/>
    <w:rsid w:val="006608F1"/>
    <w:rsid w:val="00660B06"/>
    <w:rsid w:val="00660C1B"/>
    <w:rsid w:val="00660E5B"/>
    <w:rsid w:val="0066192D"/>
    <w:rsid w:val="00662993"/>
    <w:rsid w:val="00662C01"/>
    <w:rsid w:val="00663874"/>
    <w:rsid w:val="00663B24"/>
    <w:rsid w:val="00664167"/>
    <w:rsid w:val="00664EE2"/>
    <w:rsid w:val="00664EE4"/>
    <w:rsid w:val="00665365"/>
    <w:rsid w:val="00665C01"/>
    <w:rsid w:val="00665D6C"/>
    <w:rsid w:val="0066697F"/>
    <w:rsid w:val="006675A7"/>
    <w:rsid w:val="00667C59"/>
    <w:rsid w:val="0067002C"/>
    <w:rsid w:val="00670AEB"/>
    <w:rsid w:val="00670BB2"/>
    <w:rsid w:val="00670D99"/>
    <w:rsid w:val="00671837"/>
    <w:rsid w:val="0067225C"/>
    <w:rsid w:val="00672D7C"/>
    <w:rsid w:val="00673AF8"/>
    <w:rsid w:val="00673B28"/>
    <w:rsid w:val="006741D7"/>
    <w:rsid w:val="00674F70"/>
    <w:rsid w:val="00675836"/>
    <w:rsid w:val="00675F43"/>
    <w:rsid w:val="0067632A"/>
    <w:rsid w:val="00677315"/>
    <w:rsid w:val="00677720"/>
    <w:rsid w:val="00680304"/>
    <w:rsid w:val="00680AF4"/>
    <w:rsid w:val="006811EF"/>
    <w:rsid w:val="0068124D"/>
    <w:rsid w:val="00681E06"/>
    <w:rsid w:val="00681F3E"/>
    <w:rsid w:val="00682612"/>
    <w:rsid w:val="0068332B"/>
    <w:rsid w:val="00683A3A"/>
    <w:rsid w:val="00683DF4"/>
    <w:rsid w:val="00683F6B"/>
    <w:rsid w:val="006841B2"/>
    <w:rsid w:val="006851B1"/>
    <w:rsid w:val="0068575A"/>
    <w:rsid w:val="00685792"/>
    <w:rsid w:val="00685C63"/>
    <w:rsid w:val="006863DE"/>
    <w:rsid w:val="00686729"/>
    <w:rsid w:val="00687549"/>
    <w:rsid w:val="006879C6"/>
    <w:rsid w:val="00687C33"/>
    <w:rsid w:val="00693567"/>
    <w:rsid w:val="006936A2"/>
    <w:rsid w:val="00693826"/>
    <w:rsid w:val="00694C49"/>
    <w:rsid w:val="00694F01"/>
    <w:rsid w:val="006954FE"/>
    <w:rsid w:val="006955B0"/>
    <w:rsid w:val="006960E4"/>
    <w:rsid w:val="00696202"/>
    <w:rsid w:val="00696451"/>
    <w:rsid w:val="0069745E"/>
    <w:rsid w:val="006974A5"/>
    <w:rsid w:val="00697815"/>
    <w:rsid w:val="00697E55"/>
    <w:rsid w:val="00697F65"/>
    <w:rsid w:val="006A01AD"/>
    <w:rsid w:val="006A1957"/>
    <w:rsid w:val="006A29F4"/>
    <w:rsid w:val="006A2CB0"/>
    <w:rsid w:val="006A35D9"/>
    <w:rsid w:val="006A38D8"/>
    <w:rsid w:val="006A409E"/>
    <w:rsid w:val="006A42E4"/>
    <w:rsid w:val="006A48A0"/>
    <w:rsid w:val="006A49AE"/>
    <w:rsid w:val="006A4C36"/>
    <w:rsid w:val="006A4E0B"/>
    <w:rsid w:val="006A5922"/>
    <w:rsid w:val="006A5BDE"/>
    <w:rsid w:val="006A72DB"/>
    <w:rsid w:val="006B02B6"/>
    <w:rsid w:val="006B0C53"/>
    <w:rsid w:val="006B0CAA"/>
    <w:rsid w:val="006B12C4"/>
    <w:rsid w:val="006B140F"/>
    <w:rsid w:val="006B22E3"/>
    <w:rsid w:val="006B25FF"/>
    <w:rsid w:val="006B2655"/>
    <w:rsid w:val="006B2E16"/>
    <w:rsid w:val="006B33B9"/>
    <w:rsid w:val="006B3A47"/>
    <w:rsid w:val="006B47E3"/>
    <w:rsid w:val="006B488E"/>
    <w:rsid w:val="006B4A48"/>
    <w:rsid w:val="006B4BB5"/>
    <w:rsid w:val="006B5229"/>
    <w:rsid w:val="006B531B"/>
    <w:rsid w:val="006B670E"/>
    <w:rsid w:val="006B703C"/>
    <w:rsid w:val="006B7D34"/>
    <w:rsid w:val="006B7F0A"/>
    <w:rsid w:val="006C120F"/>
    <w:rsid w:val="006C1937"/>
    <w:rsid w:val="006C27E7"/>
    <w:rsid w:val="006C4B00"/>
    <w:rsid w:val="006C553A"/>
    <w:rsid w:val="006C5A9C"/>
    <w:rsid w:val="006C5FB5"/>
    <w:rsid w:val="006C62C2"/>
    <w:rsid w:val="006C66F7"/>
    <w:rsid w:val="006D0EA1"/>
    <w:rsid w:val="006D1D39"/>
    <w:rsid w:val="006D247B"/>
    <w:rsid w:val="006D2641"/>
    <w:rsid w:val="006D3A34"/>
    <w:rsid w:val="006D47E5"/>
    <w:rsid w:val="006D5035"/>
    <w:rsid w:val="006D5977"/>
    <w:rsid w:val="006D5CC1"/>
    <w:rsid w:val="006D64BD"/>
    <w:rsid w:val="006D670E"/>
    <w:rsid w:val="006D749F"/>
    <w:rsid w:val="006D7971"/>
    <w:rsid w:val="006D7E3B"/>
    <w:rsid w:val="006E075F"/>
    <w:rsid w:val="006E0F7E"/>
    <w:rsid w:val="006E10A3"/>
    <w:rsid w:val="006E20FB"/>
    <w:rsid w:val="006E23CE"/>
    <w:rsid w:val="006E2C5D"/>
    <w:rsid w:val="006E2F60"/>
    <w:rsid w:val="006E30F9"/>
    <w:rsid w:val="006E37D9"/>
    <w:rsid w:val="006E3A3C"/>
    <w:rsid w:val="006E3AB7"/>
    <w:rsid w:val="006E573E"/>
    <w:rsid w:val="006E7A2C"/>
    <w:rsid w:val="006F0DC7"/>
    <w:rsid w:val="006F2037"/>
    <w:rsid w:val="006F3688"/>
    <w:rsid w:val="006F6F59"/>
    <w:rsid w:val="006F7B4D"/>
    <w:rsid w:val="00700CFE"/>
    <w:rsid w:val="0070166C"/>
    <w:rsid w:val="0070179E"/>
    <w:rsid w:val="0070369F"/>
    <w:rsid w:val="0070413A"/>
    <w:rsid w:val="00704DDE"/>
    <w:rsid w:val="00704F07"/>
    <w:rsid w:val="007057DA"/>
    <w:rsid w:val="007064A9"/>
    <w:rsid w:val="00706BF8"/>
    <w:rsid w:val="00706F65"/>
    <w:rsid w:val="00713786"/>
    <w:rsid w:val="00714375"/>
    <w:rsid w:val="007150E0"/>
    <w:rsid w:val="0071570C"/>
    <w:rsid w:val="00716231"/>
    <w:rsid w:val="00716581"/>
    <w:rsid w:val="0071668F"/>
    <w:rsid w:val="00720741"/>
    <w:rsid w:val="00721CDE"/>
    <w:rsid w:val="0072397A"/>
    <w:rsid w:val="00723F5C"/>
    <w:rsid w:val="007248A2"/>
    <w:rsid w:val="00725BD0"/>
    <w:rsid w:val="007260FC"/>
    <w:rsid w:val="00726990"/>
    <w:rsid w:val="00726C7F"/>
    <w:rsid w:val="00727E80"/>
    <w:rsid w:val="007300B0"/>
    <w:rsid w:val="00730C03"/>
    <w:rsid w:val="007318FD"/>
    <w:rsid w:val="00731FF9"/>
    <w:rsid w:val="00732C61"/>
    <w:rsid w:val="0073344D"/>
    <w:rsid w:val="00735043"/>
    <w:rsid w:val="0073551E"/>
    <w:rsid w:val="00735886"/>
    <w:rsid w:val="007369F5"/>
    <w:rsid w:val="00736BF7"/>
    <w:rsid w:val="0073763A"/>
    <w:rsid w:val="0073783F"/>
    <w:rsid w:val="0074005B"/>
    <w:rsid w:val="00741379"/>
    <w:rsid w:val="00741518"/>
    <w:rsid w:val="0074192F"/>
    <w:rsid w:val="00741C93"/>
    <w:rsid w:val="00741EFF"/>
    <w:rsid w:val="007432EA"/>
    <w:rsid w:val="00743517"/>
    <w:rsid w:val="00744442"/>
    <w:rsid w:val="00745253"/>
    <w:rsid w:val="00745AA1"/>
    <w:rsid w:val="00745BB9"/>
    <w:rsid w:val="0074643A"/>
    <w:rsid w:val="00747049"/>
    <w:rsid w:val="00747412"/>
    <w:rsid w:val="007476D2"/>
    <w:rsid w:val="00747972"/>
    <w:rsid w:val="00747D83"/>
    <w:rsid w:val="007509EF"/>
    <w:rsid w:val="00750D6E"/>
    <w:rsid w:val="00751ADB"/>
    <w:rsid w:val="007530BF"/>
    <w:rsid w:val="00754F83"/>
    <w:rsid w:val="007555E4"/>
    <w:rsid w:val="00756074"/>
    <w:rsid w:val="00756F56"/>
    <w:rsid w:val="00757C04"/>
    <w:rsid w:val="00757CCB"/>
    <w:rsid w:val="007612AA"/>
    <w:rsid w:val="0076179F"/>
    <w:rsid w:val="00761866"/>
    <w:rsid w:val="007619FB"/>
    <w:rsid w:val="00761BE9"/>
    <w:rsid w:val="007626BD"/>
    <w:rsid w:val="00765666"/>
    <w:rsid w:val="007657DA"/>
    <w:rsid w:val="00766053"/>
    <w:rsid w:val="00766FA8"/>
    <w:rsid w:val="007703FE"/>
    <w:rsid w:val="00770B14"/>
    <w:rsid w:val="00771928"/>
    <w:rsid w:val="00771B62"/>
    <w:rsid w:val="00773AFA"/>
    <w:rsid w:val="0077449D"/>
    <w:rsid w:val="00774A2E"/>
    <w:rsid w:val="007768CB"/>
    <w:rsid w:val="0078270A"/>
    <w:rsid w:val="00782FD6"/>
    <w:rsid w:val="00783AA6"/>
    <w:rsid w:val="00783BE7"/>
    <w:rsid w:val="00783EC5"/>
    <w:rsid w:val="007856F9"/>
    <w:rsid w:val="0078571B"/>
    <w:rsid w:val="00785D24"/>
    <w:rsid w:val="007865C4"/>
    <w:rsid w:val="00787650"/>
    <w:rsid w:val="00787B67"/>
    <w:rsid w:val="00790169"/>
    <w:rsid w:val="007913AE"/>
    <w:rsid w:val="0079236F"/>
    <w:rsid w:val="0079247D"/>
    <w:rsid w:val="007928E4"/>
    <w:rsid w:val="00793A0F"/>
    <w:rsid w:val="00796E2A"/>
    <w:rsid w:val="007A05E0"/>
    <w:rsid w:val="007A0C45"/>
    <w:rsid w:val="007A1061"/>
    <w:rsid w:val="007A2386"/>
    <w:rsid w:val="007A3F71"/>
    <w:rsid w:val="007A4712"/>
    <w:rsid w:val="007A703C"/>
    <w:rsid w:val="007A70ED"/>
    <w:rsid w:val="007A7661"/>
    <w:rsid w:val="007B015F"/>
    <w:rsid w:val="007B0ECE"/>
    <w:rsid w:val="007B1EC1"/>
    <w:rsid w:val="007B3A08"/>
    <w:rsid w:val="007B4552"/>
    <w:rsid w:val="007B57F7"/>
    <w:rsid w:val="007B5E79"/>
    <w:rsid w:val="007B63C0"/>
    <w:rsid w:val="007B6CE6"/>
    <w:rsid w:val="007B7A72"/>
    <w:rsid w:val="007B7EA9"/>
    <w:rsid w:val="007B7F48"/>
    <w:rsid w:val="007C0C22"/>
    <w:rsid w:val="007C224F"/>
    <w:rsid w:val="007C2EFE"/>
    <w:rsid w:val="007C31F6"/>
    <w:rsid w:val="007C3D21"/>
    <w:rsid w:val="007C4906"/>
    <w:rsid w:val="007C4AA7"/>
    <w:rsid w:val="007C4CD5"/>
    <w:rsid w:val="007C505A"/>
    <w:rsid w:val="007C5632"/>
    <w:rsid w:val="007C5AA4"/>
    <w:rsid w:val="007C5D27"/>
    <w:rsid w:val="007C6900"/>
    <w:rsid w:val="007C786E"/>
    <w:rsid w:val="007C7F40"/>
    <w:rsid w:val="007D03F9"/>
    <w:rsid w:val="007D0D37"/>
    <w:rsid w:val="007D0DF3"/>
    <w:rsid w:val="007D24BF"/>
    <w:rsid w:val="007D273A"/>
    <w:rsid w:val="007D278B"/>
    <w:rsid w:val="007D2B30"/>
    <w:rsid w:val="007D45B8"/>
    <w:rsid w:val="007D4860"/>
    <w:rsid w:val="007D4885"/>
    <w:rsid w:val="007D4E72"/>
    <w:rsid w:val="007D6970"/>
    <w:rsid w:val="007E0C4D"/>
    <w:rsid w:val="007E0FF4"/>
    <w:rsid w:val="007E1A2D"/>
    <w:rsid w:val="007E3DE8"/>
    <w:rsid w:val="007E4194"/>
    <w:rsid w:val="007E45E0"/>
    <w:rsid w:val="007E49AE"/>
    <w:rsid w:val="007E4D96"/>
    <w:rsid w:val="007E4DFA"/>
    <w:rsid w:val="007E4EAF"/>
    <w:rsid w:val="007E5712"/>
    <w:rsid w:val="007E5AA3"/>
    <w:rsid w:val="007E6098"/>
    <w:rsid w:val="007E7615"/>
    <w:rsid w:val="007F0441"/>
    <w:rsid w:val="007F2FD1"/>
    <w:rsid w:val="007F45BE"/>
    <w:rsid w:val="007F4620"/>
    <w:rsid w:val="007F4B0E"/>
    <w:rsid w:val="007F4C67"/>
    <w:rsid w:val="007F52DF"/>
    <w:rsid w:val="007F5C8E"/>
    <w:rsid w:val="007F67F8"/>
    <w:rsid w:val="00800658"/>
    <w:rsid w:val="00801357"/>
    <w:rsid w:val="00801EB4"/>
    <w:rsid w:val="00802D21"/>
    <w:rsid w:val="00804137"/>
    <w:rsid w:val="00804285"/>
    <w:rsid w:val="00804C56"/>
    <w:rsid w:val="0080506B"/>
    <w:rsid w:val="00805370"/>
    <w:rsid w:val="008067E0"/>
    <w:rsid w:val="00806EE5"/>
    <w:rsid w:val="008103B5"/>
    <w:rsid w:val="00813BC7"/>
    <w:rsid w:val="0081594D"/>
    <w:rsid w:val="00815B55"/>
    <w:rsid w:val="00815C56"/>
    <w:rsid w:val="00816250"/>
    <w:rsid w:val="00816AE5"/>
    <w:rsid w:val="00817711"/>
    <w:rsid w:val="00820522"/>
    <w:rsid w:val="00821544"/>
    <w:rsid w:val="008215CB"/>
    <w:rsid w:val="00821660"/>
    <w:rsid w:val="008218A6"/>
    <w:rsid w:val="0082272D"/>
    <w:rsid w:val="008227E3"/>
    <w:rsid w:val="008236B6"/>
    <w:rsid w:val="00823B78"/>
    <w:rsid w:val="00823D73"/>
    <w:rsid w:val="008240C2"/>
    <w:rsid w:val="00824428"/>
    <w:rsid w:val="00824ABE"/>
    <w:rsid w:val="008255BA"/>
    <w:rsid w:val="00825F0C"/>
    <w:rsid w:val="00826E27"/>
    <w:rsid w:val="00826EFD"/>
    <w:rsid w:val="008270C2"/>
    <w:rsid w:val="00827615"/>
    <w:rsid w:val="00827776"/>
    <w:rsid w:val="00830492"/>
    <w:rsid w:val="00830AED"/>
    <w:rsid w:val="008329E9"/>
    <w:rsid w:val="00832C00"/>
    <w:rsid w:val="008338DD"/>
    <w:rsid w:val="00834DE7"/>
    <w:rsid w:val="0083522C"/>
    <w:rsid w:val="008355D8"/>
    <w:rsid w:val="00835AC1"/>
    <w:rsid w:val="00836B07"/>
    <w:rsid w:val="0084018A"/>
    <w:rsid w:val="00841383"/>
    <w:rsid w:val="008416EC"/>
    <w:rsid w:val="008425EF"/>
    <w:rsid w:val="008427F7"/>
    <w:rsid w:val="008429B9"/>
    <w:rsid w:val="00842A3D"/>
    <w:rsid w:val="00843761"/>
    <w:rsid w:val="008446B6"/>
    <w:rsid w:val="0084540C"/>
    <w:rsid w:val="00847521"/>
    <w:rsid w:val="0084775A"/>
    <w:rsid w:val="00850323"/>
    <w:rsid w:val="00850874"/>
    <w:rsid w:val="00850CE9"/>
    <w:rsid w:val="00851001"/>
    <w:rsid w:val="008537D4"/>
    <w:rsid w:val="00855618"/>
    <w:rsid w:val="0085593E"/>
    <w:rsid w:val="00855AAA"/>
    <w:rsid w:val="00856168"/>
    <w:rsid w:val="00857114"/>
    <w:rsid w:val="0086039B"/>
    <w:rsid w:val="008608B6"/>
    <w:rsid w:val="00860F3C"/>
    <w:rsid w:val="00861146"/>
    <w:rsid w:val="00861399"/>
    <w:rsid w:val="00862ECE"/>
    <w:rsid w:val="0086354A"/>
    <w:rsid w:val="00864057"/>
    <w:rsid w:val="00864BF5"/>
    <w:rsid w:val="00867175"/>
    <w:rsid w:val="00867DAD"/>
    <w:rsid w:val="008702A6"/>
    <w:rsid w:val="008711F2"/>
    <w:rsid w:val="00872768"/>
    <w:rsid w:val="00872D74"/>
    <w:rsid w:val="0087300E"/>
    <w:rsid w:val="00873027"/>
    <w:rsid w:val="0087317C"/>
    <w:rsid w:val="00873B6A"/>
    <w:rsid w:val="00874155"/>
    <w:rsid w:val="0087498C"/>
    <w:rsid w:val="008749EA"/>
    <w:rsid w:val="008754C8"/>
    <w:rsid w:val="00875E33"/>
    <w:rsid w:val="00876282"/>
    <w:rsid w:val="0087684C"/>
    <w:rsid w:val="008778F3"/>
    <w:rsid w:val="008802FC"/>
    <w:rsid w:val="008808D8"/>
    <w:rsid w:val="00880C48"/>
    <w:rsid w:val="00880F2D"/>
    <w:rsid w:val="008812F3"/>
    <w:rsid w:val="00881A77"/>
    <w:rsid w:val="00881DDE"/>
    <w:rsid w:val="00882945"/>
    <w:rsid w:val="00883B74"/>
    <w:rsid w:val="00883D71"/>
    <w:rsid w:val="00886573"/>
    <w:rsid w:val="00886FCD"/>
    <w:rsid w:val="008872DC"/>
    <w:rsid w:val="0088764A"/>
    <w:rsid w:val="00887C5F"/>
    <w:rsid w:val="00891E82"/>
    <w:rsid w:val="008922D8"/>
    <w:rsid w:val="008925E0"/>
    <w:rsid w:val="00892BA5"/>
    <w:rsid w:val="008938A4"/>
    <w:rsid w:val="00893E42"/>
    <w:rsid w:val="00895C2D"/>
    <w:rsid w:val="0089605C"/>
    <w:rsid w:val="00897372"/>
    <w:rsid w:val="008A2C93"/>
    <w:rsid w:val="008A4E00"/>
    <w:rsid w:val="008A56BD"/>
    <w:rsid w:val="008A5FA4"/>
    <w:rsid w:val="008A6619"/>
    <w:rsid w:val="008A69C9"/>
    <w:rsid w:val="008A6ADE"/>
    <w:rsid w:val="008A6D39"/>
    <w:rsid w:val="008A7591"/>
    <w:rsid w:val="008B0B9E"/>
    <w:rsid w:val="008B1293"/>
    <w:rsid w:val="008B1B8A"/>
    <w:rsid w:val="008B29AD"/>
    <w:rsid w:val="008B310A"/>
    <w:rsid w:val="008B4011"/>
    <w:rsid w:val="008B4106"/>
    <w:rsid w:val="008B422E"/>
    <w:rsid w:val="008B4941"/>
    <w:rsid w:val="008B49AF"/>
    <w:rsid w:val="008B4BB7"/>
    <w:rsid w:val="008B7172"/>
    <w:rsid w:val="008B75C7"/>
    <w:rsid w:val="008B78D9"/>
    <w:rsid w:val="008C013E"/>
    <w:rsid w:val="008C01FD"/>
    <w:rsid w:val="008C02ED"/>
    <w:rsid w:val="008C0E05"/>
    <w:rsid w:val="008C0EC4"/>
    <w:rsid w:val="008C10BE"/>
    <w:rsid w:val="008C2868"/>
    <w:rsid w:val="008C2A1D"/>
    <w:rsid w:val="008C2F90"/>
    <w:rsid w:val="008C2FE9"/>
    <w:rsid w:val="008C3394"/>
    <w:rsid w:val="008C3658"/>
    <w:rsid w:val="008C3EC4"/>
    <w:rsid w:val="008C49EC"/>
    <w:rsid w:val="008C4B84"/>
    <w:rsid w:val="008C6A51"/>
    <w:rsid w:val="008C6E51"/>
    <w:rsid w:val="008D138D"/>
    <w:rsid w:val="008D1B58"/>
    <w:rsid w:val="008D1F0A"/>
    <w:rsid w:val="008D29EF"/>
    <w:rsid w:val="008D2F73"/>
    <w:rsid w:val="008D3DA9"/>
    <w:rsid w:val="008D3E9A"/>
    <w:rsid w:val="008D45FC"/>
    <w:rsid w:val="008D5CBA"/>
    <w:rsid w:val="008D744B"/>
    <w:rsid w:val="008E0D26"/>
    <w:rsid w:val="008E1472"/>
    <w:rsid w:val="008E1D82"/>
    <w:rsid w:val="008E2181"/>
    <w:rsid w:val="008E21AE"/>
    <w:rsid w:val="008E2EDB"/>
    <w:rsid w:val="008E311D"/>
    <w:rsid w:val="008E35EB"/>
    <w:rsid w:val="008E42AE"/>
    <w:rsid w:val="008E46A6"/>
    <w:rsid w:val="008E474D"/>
    <w:rsid w:val="008E4D7B"/>
    <w:rsid w:val="008E510F"/>
    <w:rsid w:val="008E56A7"/>
    <w:rsid w:val="008E5973"/>
    <w:rsid w:val="008E5A90"/>
    <w:rsid w:val="008E681A"/>
    <w:rsid w:val="008E732C"/>
    <w:rsid w:val="008E777D"/>
    <w:rsid w:val="008F0C20"/>
    <w:rsid w:val="008F170E"/>
    <w:rsid w:val="008F1DB7"/>
    <w:rsid w:val="008F263F"/>
    <w:rsid w:val="008F5B67"/>
    <w:rsid w:val="008F6E60"/>
    <w:rsid w:val="008F7329"/>
    <w:rsid w:val="008F76CC"/>
    <w:rsid w:val="008F782E"/>
    <w:rsid w:val="00903446"/>
    <w:rsid w:val="00903B1C"/>
    <w:rsid w:val="009077E7"/>
    <w:rsid w:val="009100C1"/>
    <w:rsid w:val="0091029F"/>
    <w:rsid w:val="00910948"/>
    <w:rsid w:val="00910AA5"/>
    <w:rsid w:val="00910B90"/>
    <w:rsid w:val="00911456"/>
    <w:rsid w:val="00911AE9"/>
    <w:rsid w:val="009133FC"/>
    <w:rsid w:val="009143D9"/>
    <w:rsid w:val="009147B3"/>
    <w:rsid w:val="009169F4"/>
    <w:rsid w:val="009171C5"/>
    <w:rsid w:val="00917FB9"/>
    <w:rsid w:val="00920B87"/>
    <w:rsid w:val="00920FD2"/>
    <w:rsid w:val="0092154F"/>
    <w:rsid w:val="009223B2"/>
    <w:rsid w:val="00922C9F"/>
    <w:rsid w:val="00923126"/>
    <w:rsid w:val="00923261"/>
    <w:rsid w:val="00923A7F"/>
    <w:rsid w:val="00924410"/>
    <w:rsid w:val="00924546"/>
    <w:rsid w:val="00925052"/>
    <w:rsid w:val="00926263"/>
    <w:rsid w:val="009262E9"/>
    <w:rsid w:val="009267D8"/>
    <w:rsid w:val="0092695C"/>
    <w:rsid w:val="00926BDC"/>
    <w:rsid w:val="00926D50"/>
    <w:rsid w:val="00930227"/>
    <w:rsid w:val="00931041"/>
    <w:rsid w:val="0093112A"/>
    <w:rsid w:val="009316BF"/>
    <w:rsid w:val="00931ACB"/>
    <w:rsid w:val="009323B9"/>
    <w:rsid w:val="00932D57"/>
    <w:rsid w:val="00932F88"/>
    <w:rsid w:val="0093349F"/>
    <w:rsid w:val="009334CB"/>
    <w:rsid w:val="009358FD"/>
    <w:rsid w:val="0093685C"/>
    <w:rsid w:val="00936CD4"/>
    <w:rsid w:val="0093747B"/>
    <w:rsid w:val="00937ADD"/>
    <w:rsid w:val="00937B20"/>
    <w:rsid w:val="0094020D"/>
    <w:rsid w:val="009408AC"/>
    <w:rsid w:val="009409DE"/>
    <w:rsid w:val="0094232B"/>
    <w:rsid w:val="00942EEB"/>
    <w:rsid w:val="00943993"/>
    <w:rsid w:val="00943DBD"/>
    <w:rsid w:val="009440F9"/>
    <w:rsid w:val="009444C5"/>
    <w:rsid w:val="00944DBA"/>
    <w:rsid w:val="0094564A"/>
    <w:rsid w:val="00945728"/>
    <w:rsid w:val="00945F5F"/>
    <w:rsid w:val="009466A0"/>
    <w:rsid w:val="00946806"/>
    <w:rsid w:val="0094685F"/>
    <w:rsid w:val="00946C22"/>
    <w:rsid w:val="00950AF3"/>
    <w:rsid w:val="009515F5"/>
    <w:rsid w:val="00952669"/>
    <w:rsid w:val="00952AC3"/>
    <w:rsid w:val="009532DF"/>
    <w:rsid w:val="00953431"/>
    <w:rsid w:val="0095348C"/>
    <w:rsid w:val="009534F1"/>
    <w:rsid w:val="00954629"/>
    <w:rsid w:val="0095511A"/>
    <w:rsid w:val="00955BC3"/>
    <w:rsid w:val="0095616F"/>
    <w:rsid w:val="009568B8"/>
    <w:rsid w:val="00956CE2"/>
    <w:rsid w:val="009571A3"/>
    <w:rsid w:val="009614B1"/>
    <w:rsid w:val="00961F83"/>
    <w:rsid w:val="0096340A"/>
    <w:rsid w:val="00963CC7"/>
    <w:rsid w:val="00963E79"/>
    <w:rsid w:val="00965ABF"/>
    <w:rsid w:val="00965E11"/>
    <w:rsid w:val="0097064A"/>
    <w:rsid w:val="00970C52"/>
    <w:rsid w:val="00970C88"/>
    <w:rsid w:val="00972F12"/>
    <w:rsid w:val="0097469A"/>
    <w:rsid w:val="00975A7B"/>
    <w:rsid w:val="00976F29"/>
    <w:rsid w:val="0097761F"/>
    <w:rsid w:val="00980380"/>
    <w:rsid w:val="00980FC1"/>
    <w:rsid w:val="00982031"/>
    <w:rsid w:val="00983408"/>
    <w:rsid w:val="00983CC6"/>
    <w:rsid w:val="00984903"/>
    <w:rsid w:val="00984BDD"/>
    <w:rsid w:val="00984CDA"/>
    <w:rsid w:val="00984F9C"/>
    <w:rsid w:val="009862CF"/>
    <w:rsid w:val="00986C7D"/>
    <w:rsid w:val="00986E75"/>
    <w:rsid w:val="00987995"/>
    <w:rsid w:val="00990909"/>
    <w:rsid w:val="00990DAE"/>
    <w:rsid w:val="00991978"/>
    <w:rsid w:val="0099252A"/>
    <w:rsid w:val="00993824"/>
    <w:rsid w:val="00994C63"/>
    <w:rsid w:val="00995BA0"/>
    <w:rsid w:val="009965F7"/>
    <w:rsid w:val="0099662F"/>
    <w:rsid w:val="009A04D3"/>
    <w:rsid w:val="009A07BE"/>
    <w:rsid w:val="009A23D0"/>
    <w:rsid w:val="009A55A8"/>
    <w:rsid w:val="009A59C2"/>
    <w:rsid w:val="009A59DD"/>
    <w:rsid w:val="009A6C67"/>
    <w:rsid w:val="009A766B"/>
    <w:rsid w:val="009A77C5"/>
    <w:rsid w:val="009A799A"/>
    <w:rsid w:val="009B03FC"/>
    <w:rsid w:val="009B065A"/>
    <w:rsid w:val="009B0D5F"/>
    <w:rsid w:val="009B10C7"/>
    <w:rsid w:val="009B1CF6"/>
    <w:rsid w:val="009B2260"/>
    <w:rsid w:val="009B2491"/>
    <w:rsid w:val="009B3573"/>
    <w:rsid w:val="009B3B52"/>
    <w:rsid w:val="009B48DA"/>
    <w:rsid w:val="009B505B"/>
    <w:rsid w:val="009B6659"/>
    <w:rsid w:val="009B7888"/>
    <w:rsid w:val="009B79E4"/>
    <w:rsid w:val="009C0B67"/>
    <w:rsid w:val="009C0DCA"/>
    <w:rsid w:val="009C16E3"/>
    <w:rsid w:val="009C1C9C"/>
    <w:rsid w:val="009C2838"/>
    <w:rsid w:val="009C2877"/>
    <w:rsid w:val="009C3C63"/>
    <w:rsid w:val="009C47F4"/>
    <w:rsid w:val="009C48B3"/>
    <w:rsid w:val="009C4911"/>
    <w:rsid w:val="009C5600"/>
    <w:rsid w:val="009C5796"/>
    <w:rsid w:val="009C6442"/>
    <w:rsid w:val="009C65D5"/>
    <w:rsid w:val="009C6B72"/>
    <w:rsid w:val="009C7188"/>
    <w:rsid w:val="009C7865"/>
    <w:rsid w:val="009D00D8"/>
    <w:rsid w:val="009D1334"/>
    <w:rsid w:val="009D1C72"/>
    <w:rsid w:val="009D1D9C"/>
    <w:rsid w:val="009D21A2"/>
    <w:rsid w:val="009D24D4"/>
    <w:rsid w:val="009D2521"/>
    <w:rsid w:val="009D27B2"/>
    <w:rsid w:val="009D2D08"/>
    <w:rsid w:val="009D2ED5"/>
    <w:rsid w:val="009D4F3F"/>
    <w:rsid w:val="009D5DDE"/>
    <w:rsid w:val="009D61A5"/>
    <w:rsid w:val="009D66DE"/>
    <w:rsid w:val="009D71C7"/>
    <w:rsid w:val="009D79B4"/>
    <w:rsid w:val="009D7E26"/>
    <w:rsid w:val="009D7E68"/>
    <w:rsid w:val="009E042D"/>
    <w:rsid w:val="009E06AB"/>
    <w:rsid w:val="009E1DEB"/>
    <w:rsid w:val="009E2896"/>
    <w:rsid w:val="009E3160"/>
    <w:rsid w:val="009E5536"/>
    <w:rsid w:val="009E56BA"/>
    <w:rsid w:val="009E5B96"/>
    <w:rsid w:val="009E63AF"/>
    <w:rsid w:val="009E7008"/>
    <w:rsid w:val="009E74C2"/>
    <w:rsid w:val="009E769C"/>
    <w:rsid w:val="009F0E77"/>
    <w:rsid w:val="009F0E8A"/>
    <w:rsid w:val="009F1367"/>
    <w:rsid w:val="009F1410"/>
    <w:rsid w:val="009F1B26"/>
    <w:rsid w:val="009F1DC9"/>
    <w:rsid w:val="009F2F2A"/>
    <w:rsid w:val="009F3BE9"/>
    <w:rsid w:val="009F58A7"/>
    <w:rsid w:val="009F61D7"/>
    <w:rsid w:val="009F6358"/>
    <w:rsid w:val="009F75CE"/>
    <w:rsid w:val="009F790B"/>
    <w:rsid w:val="009F7DA3"/>
    <w:rsid w:val="00A0095D"/>
    <w:rsid w:val="00A00976"/>
    <w:rsid w:val="00A00B1B"/>
    <w:rsid w:val="00A01847"/>
    <w:rsid w:val="00A020DC"/>
    <w:rsid w:val="00A02FF4"/>
    <w:rsid w:val="00A033E6"/>
    <w:rsid w:val="00A0406E"/>
    <w:rsid w:val="00A04C6C"/>
    <w:rsid w:val="00A05436"/>
    <w:rsid w:val="00A06924"/>
    <w:rsid w:val="00A07136"/>
    <w:rsid w:val="00A07C15"/>
    <w:rsid w:val="00A104A5"/>
    <w:rsid w:val="00A112FF"/>
    <w:rsid w:val="00A12893"/>
    <w:rsid w:val="00A13881"/>
    <w:rsid w:val="00A13E52"/>
    <w:rsid w:val="00A144F2"/>
    <w:rsid w:val="00A14D04"/>
    <w:rsid w:val="00A15766"/>
    <w:rsid w:val="00A16E61"/>
    <w:rsid w:val="00A17B22"/>
    <w:rsid w:val="00A2064B"/>
    <w:rsid w:val="00A20B06"/>
    <w:rsid w:val="00A211B8"/>
    <w:rsid w:val="00A21E94"/>
    <w:rsid w:val="00A2325F"/>
    <w:rsid w:val="00A235A2"/>
    <w:rsid w:val="00A23749"/>
    <w:rsid w:val="00A24359"/>
    <w:rsid w:val="00A24594"/>
    <w:rsid w:val="00A25CCE"/>
    <w:rsid w:val="00A27AE0"/>
    <w:rsid w:val="00A30ED6"/>
    <w:rsid w:val="00A311E1"/>
    <w:rsid w:val="00A31DCE"/>
    <w:rsid w:val="00A33DEB"/>
    <w:rsid w:val="00A3401E"/>
    <w:rsid w:val="00A3445F"/>
    <w:rsid w:val="00A3507E"/>
    <w:rsid w:val="00A35471"/>
    <w:rsid w:val="00A35C4F"/>
    <w:rsid w:val="00A36880"/>
    <w:rsid w:val="00A36C44"/>
    <w:rsid w:val="00A377E9"/>
    <w:rsid w:val="00A40223"/>
    <w:rsid w:val="00A40A4A"/>
    <w:rsid w:val="00A40E64"/>
    <w:rsid w:val="00A415C2"/>
    <w:rsid w:val="00A42685"/>
    <w:rsid w:val="00A42B99"/>
    <w:rsid w:val="00A4304F"/>
    <w:rsid w:val="00A439DD"/>
    <w:rsid w:val="00A43AC6"/>
    <w:rsid w:val="00A43B1E"/>
    <w:rsid w:val="00A447F7"/>
    <w:rsid w:val="00A44D01"/>
    <w:rsid w:val="00A44F96"/>
    <w:rsid w:val="00A45F9C"/>
    <w:rsid w:val="00A46B1A"/>
    <w:rsid w:val="00A46E38"/>
    <w:rsid w:val="00A50737"/>
    <w:rsid w:val="00A5104D"/>
    <w:rsid w:val="00A51B26"/>
    <w:rsid w:val="00A51CC4"/>
    <w:rsid w:val="00A51F48"/>
    <w:rsid w:val="00A5281F"/>
    <w:rsid w:val="00A52935"/>
    <w:rsid w:val="00A53466"/>
    <w:rsid w:val="00A536F5"/>
    <w:rsid w:val="00A53D38"/>
    <w:rsid w:val="00A544D8"/>
    <w:rsid w:val="00A54787"/>
    <w:rsid w:val="00A54BE6"/>
    <w:rsid w:val="00A55239"/>
    <w:rsid w:val="00A56355"/>
    <w:rsid w:val="00A565C8"/>
    <w:rsid w:val="00A57351"/>
    <w:rsid w:val="00A609DC"/>
    <w:rsid w:val="00A60CC6"/>
    <w:rsid w:val="00A61388"/>
    <w:rsid w:val="00A61AA8"/>
    <w:rsid w:val="00A61CE3"/>
    <w:rsid w:val="00A630D2"/>
    <w:rsid w:val="00A6445E"/>
    <w:rsid w:val="00A644BD"/>
    <w:rsid w:val="00A64FAE"/>
    <w:rsid w:val="00A65287"/>
    <w:rsid w:val="00A65746"/>
    <w:rsid w:val="00A65755"/>
    <w:rsid w:val="00A673AB"/>
    <w:rsid w:val="00A67AEE"/>
    <w:rsid w:val="00A70085"/>
    <w:rsid w:val="00A70B72"/>
    <w:rsid w:val="00A73508"/>
    <w:rsid w:val="00A74965"/>
    <w:rsid w:val="00A7712E"/>
    <w:rsid w:val="00A7741B"/>
    <w:rsid w:val="00A77C3D"/>
    <w:rsid w:val="00A80A0E"/>
    <w:rsid w:val="00A81DE9"/>
    <w:rsid w:val="00A81FF7"/>
    <w:rsid w:val="00A822EC"/>
    <w:rsid w:val="00A835F5"/>
    <w:rsid w:val="00A836A9"/>
    <w:rsid w:val="00A8507C"/>
    <w:rsid w:val="00A852C4"/>
    <w:rsid w:val="00A85519"/>
    <w:rsid w:val="00A867E6"/>
    <w:rsid w:val="00A87811"/>
    <w:rsid w:val="00A8791C"/>
    <w:rsid w:val="00A87EF0"/>
    <w:rsid w:val="00A91CF7"/>
    <w:rsid w:val="00A92250"/>
    <w:rsid w:val="00A94429"/>
    <w:rsid w:val="00A948BF"/>
    <w:rsid w:val="00A9556B"/>
    <w:rsid w:val="00A95637"/>
    <w:rsid w:val="00A95B87"/>
    <w:rsid w:val="00A95F7B"/>
    <w:rsid w:val="00A967D3"/>
    <w:rsid w:val="00A9709B"/>
    <w:rsid w:val="00A97AEC"/>
    <w:rsid w:val="00AA01F7"/>
    <w:rsid w:val="00AA165D"/>
    <w:rsid w:val="00AA1E21"/>
    <w:rsid w:val="00AA1FF5"/>
    <w:rsid w:val="00AA2D9D"/>
    <w:rsid w:val="00AA39B0"/>
    <w:rsid w:val="00AA3DD7"/>
    <w:rsid w:val="00AA75D4"/>
    <w:rsid w:val="00AA75DC"/>
    <w:rsid w:val="00AA79A1"/>
    <w:rsid w:val="00AA7E4C"/>
    <w:rsid w:val="00AB0310"/>
    <w:rsid w:val="00AB1856"/>
    <w:rsid w:val="00AB2572"/>
    <w:rsid w:val="00AB3785"/>
    <w:rsid w:val="00AB3C22"/>
    <w:rsid w:val="00AB4721"/>
    <w:rsid w:val="00AB4D1E"/>
    <w:rsid w:val="00AB5FF8"/>
    <w:rsid w:val="00AB6091"/>
    <w:rsid w:val="00AB7618"/>
    <w:rsid w:val="00AB7DA0"/>
    <w:rsid w:val="00AC03B1"/>
    <w:rsid w:val="00AC03BE"/>
    <w:rsid w:val="00AC0A86"/>
    <w:rsid w:val="00AC0C5D"/>
    <w:rsid w:val="00AC27D8"/>
    <w:rsid w:val="00AC3A6A"/>
    <w:rsid w:val="00AC3B94"/>
    <w:rsid w:val="00AC44F8"/>
    <w:rsid w:val="00AC4B70"/>
    <w:rsid w:val="00AC598D"/>
    <w:rsid w:val="00AC5A1C"/>
    <w:rsid w:val="00AC5A68"/>
    <w:rsid w:val="00AC6F82"/>
    <w:rsid w:val="00AC739B"/>
    <w:rsid w:val="00AC7E75"/>
    <w:rsid w:val="00AC7FC5"/>
    <w:rsid w:val="00AD0AE8"/>
    <w:rsid w:val="00AD1251"/>
    <w:rsid w:val="00AD1DCE"/>
    <w:rsid w:val="00AD2C66"/>
    <w:rsid w:val="00AD3BA1"/>
    <w:rsid w:val="00AD4D9F"/>
    <w:rsid w:val="00AD4FF5"/>
    <w:rsid w:val="00AD566F"/>
    <w:rsid w:val="00AD617C"/>
    <w:rsid w:val="00AD682C"/>
    <w:rsid w:val="00AD6DD7"/>
    <w:rsid w:val="00AD6F97"/>
    <w:rsid w:val="00AD7BC4"/>
    <w:rsid w:val="00AD7DDF"/>
    <w:rsid w:val="00AE07DA"/>
    <w:rsid w:val="00AE10AC"/>
    <w:rsid w:val="00AE1597"/>
    <w:rsid w:val="00AE1A74"/>
    <w:rsid w:val="00AE2077"/>
    <w:rsid w:val="00AE303D"/>
    <w:rsid w:val="00AE415B"/>
    <w:rsid w:val="00AE49C9"/>
    <w:rsid w:val="00AE4ACB"/>
    <w:rsid w:val="00AE5755"/>
    <w:rsid w:val="00AE5B84"/>
    <w:rsid w:val="00AE7EC6"/>
    <w:rsid w:val="00AF0E9D"/>
    <w:rsid w:val="00AF1F5D"/>
    <w:rsid w:val="00AF2034"/>
    <w:rsid w:val="00AF2BD4"/>
    <w:rsid w:val="00AF2D1E"/>
    <w:rsid w:val="00AF3ADA"/>
    <w:rsid w:val="00AF3C92"/>
    <w:rsid w:val="00AF4979"/>
    <w:rsid w:val="00AF4AEF"/>
    <w:rsid w:val="00AF51FC"/>
    <w:rsid w:val="00AF599A"/>
    <w:rsid w:val="00AF5C74"/>
    <w:rsid w:val="00AF5F82"/>
    <w:rsid w:val="00AF6CB0"/>
    <w:rsid w:val="00AF6F2E"/>
    <w:rsid w:val="00AF72C6"/>
    <w:rsid w:val="00B01423"/>
    <w:rsid w:val="00B02412"/>
    <w:rsid w:val="00B02819"/>
    <w:rsid w:val="00B04704"/>
    <w:rsid w:val="00B053FF"/>
    <w:rsid w:val="00B05C17"/>
    <w:rsid w:val="00B061AF"/>
    <w:rsid w:val="00B07342"/>
    <w:rsid w:val="00B07ABF"/>
    <w:rsid w:val="00B10719"/>
    <w:rsid w:val="00B108A4"/>
    <w:rsid w:val="00B11046"/>
    <w:rsid w:val="00B11217"/>
    <w:rsid w:val="00B1139B"/>
    <w:rsid w:val="00B11B9A"/>
    <w:rsid w:val="00B11EE4"/>
    <w:rsid w:val="00B13DD8"/>
    <w:rsid w:val="00B14687"/>
    <w:rsid w:val="00B146B3"/>
    <w:rsid w:val="00B15452"/>
    <w:rsid w:val="00B1623A"/>
    <w:rsid w:val="00B170C9"/>
    <w:rsid w:val="00B17A39"/>
    <w:rsid w:val="00B21476"/>
    <w:rsid w:val="00B21935"/>
    <w:rsid w:val="00B21E3A"/>
    <w:rsid w:val="00B21F7F"/>
    <w:rsid w:val="00B23FEC"/>
    <w:rsid w:val="00B2470C"/>
    <w:rsid w:val="00B256BE"/>
    <w:rsid w:val="00B25EB9"/>
    <w:rsid w:val="00B275AD"/>
    <w:rsid w:val="00B3078E"/>
    <w:rsid w:val="00B3110C"/>
    <w:rsid w:val="00B31509"/>
    <w:rsid w:val="00B31A60"/>
    <w:rsid w:val="00B31BB3"/>
    <w:rsid w:val="00B325F4"/>
    <w:rsid w:val="00B3321A"/>
    <w:rsid w:val="00B33916"/>
    <w:rsid w:val="00B33C9D"/>
    <w:rsid w:val="00B344F9"/>
    <w:rsid w:val="00B35095"/>
    <w:rsid w:val="00B3605A"/>
    <w:rsid w:val="00B36A9C"/>
    <w:rsid w:val="00B36FEA"/>
    <w:rsid w:val="00B37743"/>
    <w:rsid w:val="00B3775A"/>
    <w:rsid w:val="00B3776A"/>
    <w:rsid w:val="00B402CD"/>
    <w:rsid w:val="00B406BE"/>
    <w:rsid w:val="00B41924"/>
    <w:rsid w:val="00B41C8E"/>
    <w:rsid w:val="00B42F98"/>
    <w:rsid w:val="00B43372"/>
    <w:rsid w:val="00B43E2B"/>
    <w:rsid w:val="00B44736"/>
    <w:rsid w:val="00B4592C"/>
    <w:rsid w:val="00B4698C"/>
    <w:rsid w:val="00B476FB"/>
    <w:rsid w:val="00B5238D"/>
    <w:rsid w:val="00B52D24"/>
    <w:rsid w:val="00B53753"/>
    <w:rsid w:val="00B53BCA"/>
    <w:rsid w:val="00B54AE0"/>
    <w:rsid w:val="00B54C2F"/>
    <w:rsid w:val="00B56112"/>
    <w:rsid w:val="00B566D5"/>
    <w:rsid w:val="00B56FFC"/>
    <w:rsid w:val="00B60ACA"/>
    <w:rsid w:val="00B61F8E"/>
    <w:rsid w:val="00B620AF"/>
    <w:rsid w:val="00B6246D"/>
    <w:rsid w:val="00B624D6"/>
    <w:rsid w:val="00B62813"/>
    <w:rsid w:val="00B62D29"/>
    <w:rsid w:val="00B6413E"/>
    <w:rsid w:val="00B642D8"/>
    <w:rsid w:val="00B647A9"/>
    <w:rsid w:val="00B65C18"/>
    <w:rsid w:val="00B66520"/>
    <w:rsid w:val="00B669AD"/>
    <w:rsid w:val="00B6797B"/>
    <w:rsid w:val="00B70AE3"/>
    <w:rsid w:val="00B71780"/>
    <w:rsid w:val="00B7272F"/>
    <w:rsid w:val="00B72EDB"/>
    <w:rsid w:val="00B7339A"/>
    <w:rsid w:val="00B739EC"/>
    <w:rsid w:val="00B73C6D"/>
    <w:rsid w:val="00B74C1D"/>
    <w:rsid w:val="00B7564E"/>
    <w:rsid w:val="00B75BF2"/>
    <w:rsid w:val="00B765B3"/>
    <w:rsid w:val="00B76B79"/>
    <w:rsid w:val="00B76BDB"/>
    <w:rsid w:val="00B777C2"/>
    <w:rsid w:val="00B77EBA"/>
    <w:rsid w:val="00B77F92"/>
    <w:rsid w:val="00B82084"/>
    <w:rsid w:val="00B8307A"/>
    <w:rsid w:val="00B83807"/>
    <w:rsid w:val="00B848F8"/>
    <w:rsid w:val="00B84A39"/>
    <w:rsid w:val="00B8529F"/>
    <w:rsid w:val="00B85639"/>
    <w:rsid w:val="00B85C69"/>
    <w:rsid w:val="00B86607"/>
    <w:rsid w:val="00B8681B"/>
    <w:rsid w:val="00B90614"/>
    <w:rsid w:val="00B9075C"/>
    <w:rsid w:val="00B90F81"/>
    <w:rsid w:val="00B921D7"/>
    <w:rsid w:val="00B922AE"/>
    <w:rsid w:val="00B926AF"/>
    <w:rsid w:val="00B92C76"/>
    <w:rsid w:val="00B95099"/>
    <w:rsid w:val="00B9582E"/>
    <w:rsid w:val="00B96949"/>
    <w:rsid w:val="00B97053"/>
    <w:rsid w:val="00B9730E"/>
    <w:rsid w:val="00B97F42"/>
    <w:rsid w:val="00BA0519"/>
    <w:rsid w:val="00BA0C39"/>
    <w:rsid w:val="00BA1CB2"/>
    <w:rsid w:val="00BA1CB9"/>
    <w:rsid w:val="00BA395A"/>
    <w:rsid w:val="00BA40B7"/>
    <w:rsid w:val="00BA4397"/>
    <w:rsid w:val="00BA47B3"/>
    <w:rsid w:val="00BA538C"/>
    <w:rsid w:val="00BA581E"/>
    <w:rsid w:val="00BA5860"/>
    <w:rsid w:val="00BA6E9D"/>
    <w:rsid w:val="00BA721D"/>
    <w:rsid w:val="00BA7B0E"/>
    <w:rsid w:val="00BB00D2"/>
    <w:rsid w:val="00BB01D5"/>
    <w:rsid w:val="00BB020F"/>
    <w:rsid w:val="00BB06AF"/>
    <w:rsid w:val="00BB1793"/>
    <w:rsid w:val="00BB253B"/>
    <w:rsid w:val="00BB3C74"/>
    <w:rsid w:val="00BB46AD"/>
    <w:rsid w:val="00BB572D"/>
    <w:rsid w:val="00BB7003"/>
    <w:rsid w:val="00BB734A"/>
    <w:rsid w:val="00BB7974"/>
    <w:rsid w:val="00BC03CA"/>
    <w:rsid w:val="00BC0A06"/>
    <w:rsid w:val="00BC0D6E"/>
    <w:rsid w:val="00BC1CA0"/>
    <w:rsid w:val="00BC2486"/>
    <w:rsid w:val="00BC273A"/>
    <w:rsid w:val="00BC28A4"/>
    <w:rsid w:val="00BC2A74"/>
    <w:rsid w:val="00BC3D28"/>
    <w:rsid w:val="00BC4638"/>
    <w:rsid w:val="00BC49D8"/>
    <w:rsid w:val="00BC49EA"/>
    <w:rsid w:val="00BC5355"/>
    <w:rsid w:val="00BC6C48"/>
    <w:rsid w:val="00BC6F10"/>
    <w:rsid w:val="00BC7189"/>
    <w:rsid w:val="00BC74D7"/>
    <w:rsid w:val="00BD016F"/>
    <w:rsid w:val="00BD0C9F"/>
    <w:rsid w:val="00BD1165"/>
    <w:rsid w:val="00BD1461"/>
    <w:rsid w:val="00BD1DD9"/>
    <w:rsid w:val="00BD2B19"/>
    <w:rsid w:val="00BD2C07"/>
    <w:rsid w:val="00BD2D14"/>
    <w:rsid w:val="00BD3A45"/>
    <w:rsid w:val="00BD49E8"/>
    <w:rsid w:val="00BD5064"/>
    <w:rsid w:val="00BD5385"/>
    <w:rsid w:val="00BD6D2C"/>
    <w:rsid w:val="00BD726A"/>
    <w:rsid w:val="00BE079A"/>
    <w:rsid w:val="00BE08D9"/>
    <w:rsid w:val="00BE0BA2"/>
    <w:rsid w:val="00BE1888"/>
    <w:rsid w:val="00BE19B0"/>
    <w:rsid w:val="00BE2085"/>
    <w:rsid w:val="00BE27CC"/>
    <w:rsid w:val="00BE2D84"/>
    <w:rsid w:val="00BE2F95"/>
    <w:rsid w:val="00BE4AAB"/>
    <w:rsid w:val="00BE4F39"/>
    <w:rsid w:val="00BE692F"/>
    <w:rsid w:val="00BF0216"/>
    <w:rsid w:val="00BF0845"/>
    <w:rsid w:val="00BF08D2"/>
    <w:rsid w:val="00BF24B7"/>
    <w:rsid w:val="00BF270E"/>
    <w:rsid w:val="00BF340F"/>
    <w:rsid w:val="00BF3569"/>
    <w:rsid w:val="00BF37A7"/>
    <w:rsid w:val="00BF3B3A"/>
    <w:rsid w:val="00BF41D3"/>
    <w:rsid w:val="00BF4863"/>
    <w:rsid w:val="00BF7065"/>
    <w:rsid w:val="00BF78BE"/>
    <w:rsid w:val="00C003A2"/>
    <w:rsid w:val="00C00C4F"/>
    <w:rsid w:val="00C00C87"/>
    <w:rsid w:val="00C015A6"/>
    <w:rsid w:val="00C016D8"/>
    <w:rsid w:val="00C01DB2"/>
    <w:rsid w:val="00C02974"/>
    <w:rsid w:val="00C03225"/>
    <w:rsid w:val="00C05375"/>
    <w:rsid w:val="00C062C5"/>
    <w:rsid w:val="00C07260"/>
    <w:rsid w:val="00C07985"/>
    <w:rsid w:val="00C1011C"/>
    <w:rsid w:val="00C101D7"/>
    <w:rsid w:val="00C10D85"/>
    <w:rsid w:val="00C12974"/>
    <w:rsid w:val="00C12BD7"/>
    <w:rsid w:val="00C13D3A"/>
    <w:rsid w:val="00C1508A"/>
    <w:rsid w:val="00C1539D"/>
    <w:rsid w:val="00C158F5"/>
    <w:rsid w:val="00C1604C"/>
    <w:rsid w:val="00C16674"/>
    <w:rsid w:val="00C16891"/>
    <w:rsid w:val="00C170A7"/>
    <w:rsid w:val="00C179A2"/>
    <w:rsid w:val="00C20A57"/>
    <w:rsid w:val="00C21113"/>
    <w:rsid w:val="00C21987"/>
    <w:rsid w:val="00C2198E"/>
    <w:rsid w:val="00C21FD9"/>
    <w:rsid w:val="00C22557"/>
    <w:rsid w:val="00C22DAD"/>
    <w:rsid w:val="00C230ED"/>
    <w:rsid w:val="00C23766"/>
    <w:rsid w:val="00C24F95"/>
    <w:rsid w:val="00C25079"/>
    <w:rsid w:val="00C255D1"/>
    <w:rsid w:val="00C25C1D"/>
    <w:rsid w:val="00C2606D"/>
    <w:rsid w:val="00C319AF"/>
    <w:rsid w:val="00C3232D"/>
    <w:rsid w:val="00C3257C"/>
    <w:rsid w:val="00C330FF"/>
    <w:rsid w:val="00C3378F"/>
    <w:rsid w:val="00C3381F"/>
    <w:rsid w:val="00C34CFD"/>
    <w:rsid w:val="00C35391"/>
    <w:rsid w:val="00C35F5F"/>
    <w:rsid w:val="00C37E01"/>
    <w:rsid w:val="00C400B5"/>
    <w:rsid w:val="00C40158"/>
    <w:rsid w:val="00C407E0"/>
    <w:rsid w:val="00C40B78"/>
    <w:rsid w:val="00C412CC"/>
    <w:rsid w:val="00C43115"/>
    <w:rsid w:val="00C431BE"/>
    <w:rsid w:val="00C435FA"/>
    <w:rsid w:val="00C44600"/>
    <w:rsid w:val="00C453AD"/>
    <w:rsid w:val="00C4602D"/>
    <w:rsid w:val="00C4621D"/>
    <w:rsid w:val="00C471D3"/>
    <w:rsid w:val="00C47527"/>
    <w:rsid w:val="00C5077A"/>
    <w:rsid w:val="00C50A6A"/>
    <w:rsid w:val="00C50DB7"/>
    <w:rsid w:val="00C51460"/>
    <w:rsid w:val="00C51AA5"/>
    <w:rsid w:val="00C524AC"/>
    <w:rsid w:val="00C5351F"/>
    <w:rsid w:val="00C53E40"/>
    <w:rsid w:val="00C5465D"/>
    <w:rsid w:val="00C557EE"/>
    <w:rsid w:val="00C55CA5"/>
    <w:rsid w:val="00C5685B"/>
    <w:rsid w:val="00C570A2"/>
    <w:rsid w:val="00C60664"/>
    <w:rsid w:val="00C60B61"/>
    <w:rsid w:val="00C61574"/>
    <w:rsid w:val="00C645E2"/>
    <w:rsid w:val="00C65232"/>
    <w:rsid w:val="00C6674B"/>
    <w:rsid w:val="00C67D1F"/>
    <w:rsid w:val="00C67E5D"/>
    <w:rsid w:val="00C702C1"/>
    <w:rsid w:val="00C703AD"/>
    <w:rsid w:val="00C70B20"/>
    <w:rsid w:val="00C70C3A"/>
    <w:rsid w:val="00C70E1C"/>
    <w:rsid w:val="00C722A1"/>
    <w:rsid w:val="00C74E37"/>
    <w:rsid w:val="00C80AEE"/>
    <w:rsid w:val="00C811FC"/>
    <w:rsid w:val="00C8233D"/>
    <w:rsid w:val="00C82440"/>
    <w:rsid w:val="00C82535"/>
    <w:rsid w:val="00C831D5"/>
    <w:rsid w:val="00C83411"/>
    <w:rsid w:val="00C836C7"/>
    <w:rsid w:val="00C83B76"/>
    <w:rsid w:val="00C84CDC"/>
    <w:rsid w:val="00C8560A"/>
    <w:rsid w:val="00C86A40"/>
    <w:rsid w:val="00C87407"/>
    <w:rsid w:val="00C8745F"/>
    <w:rsid w:val="00C875F8"/>
    <w:rsid w:val="00C8767B"/>
    <w:rsid w:val="00C87DA2"/>
    <w:rsid w:val="00C87F28"/>
    <w:rsid w:val="00C903DA"/>
    <w:rsid w:val="00C903FF"/>
    <w:rsid w:val="00C90714"/>
    <w:rsid w:val="00C915AF"/>
    <w:rsid w:val="00C91B3D"/>
    <w:rsid w:val="00C92CA1"/>
    <w:rsid w:val="00C92D64"/>
    <w:rsid w:val="00C93592"/>
    <w:rsid w:val="00C93CD2"/>
    <w:rsid w:val="00C94291"/>
    <w:rsid w:val="00C94306"/>
    <w:rsid w:val="00C948A7"/>
    <w:rsid w:val="00C958C3"/>
    <w:rsid w:val="00C9724B"/>
    <w:rsid w:val="00C97F4B"/>
    <w:rsid w:val="00CA065D"/>
    <w:rsid w:val="00CA1923"/>
    <w:rsid w:val="00CA34EE"/>
    <w:rsid w:val="00CA3D48"/>
    <w:rsid w:val="00CA40E2"/>
    <w:rsid w:val="00CA522B"/>
    <w:rsid w:val="00CA5C73"/>
    <w:rsid w:val="00CA5D02"/>
    <w:rsid w:val="00CA5EC8"/>
    <w:rsid w:val="00CA61F4"/>
    <w:rsid w:val="00CA745E"/>
    <w:rsid w:val="00CB001A"/>
    <w:rsid w:val="00CB00B8"/>
    <w:rsid w:val="00CB168A"/>
    <w:rsid w:val="00CB1717"/>
    <w:rsid w:val="00CB1924"/>
    <w:rsid w:val="00CB1E5F"/>
    <w:rsid w:val="00CB1F2D"/>
    <w:rsid w:val="00CB2DD0"/>
    <w:rsid w:val="00CB4755"/>
    <w:rsid w:val="00CB480B"/>
    <w:rsid w:val="00CB6057"/>
    <w:rsid w:val="00CB68FB"/>
    <w:rsid w:val="00CB6FC3"/>
    <w:rsid w:val="00CB74EF"/>
    <w:rsid w:val="00CB7772"/>
    <w:rsid w:val="00CB7FC7"/>
    <w:rsid w:val="00CC24F6"/>
    <w:rsid w:val="00CC3590"/>
    <w:rsid w:val="00CC3B30"/>
    <w:rsid w:val="00CC5D7C"/>
    <w:rsid w:val="00CC7BD3"/>
    <w:rsid w:val="00CD0D5A"/>
    <w:rsid w:val="00CD197F"/>
    <w:rsid w:val="00CD2980"/>
    <w:rsid w:val="00CD2DCB"/>
    <w:rsid w:val="00CD2FB3"/>
    <w:rsid w:val="00CD379D"/>
    <w:rsid w:val="00CD3AF1"/>
    <w:rsid w:val="00CD3E4D"/>
    <w:rsid w:val="00CD55CC"/>
    <w:rsid w:val="00CD573B"/>
    <w:rsid w:val="00CD5BAD"/>
    <w:rsid w:val="00CD601C"/>
    <w:rsid w:val="00CD625A"/>
    <w:rsid w:val="00CD65AB"/>
    <w:rsid w:val="00CD6B64"/>
    <w:rsid w:val="00CD6C75"/>
    <w:rsid w:val="00CD721B"/>
    <w:rsid w:val="00CD7DAB"/>
    <w:rsid w:val="00CE00F6"/>
    <w:rsid w:val="00CE05E7"/>
    <w:rsid w:val="00CE09F6"/>
    <w:rsid w:val="00CE12E9"/>
    <w:rsid w:val="00CE14AC"/>
    <w:rsid w:val="00CE1C09"/>
    <w:rsid w:val="00CE2153"/>
    <w:rsid w:val="00CE39C1"/>
    <w:rsid w:val="00CE4239"/>
    <w:rsid w:val="00CE53E8"/>
    <w:rsid w:val="00CE56EB"/>
    <w:rsid w:val="00CE6352"/>
    <w:rsid w:val="00CE73FB"/>
    <w:rsid w:val="00CE797F"/>
    <w:rsid w:val="00CF05F7"/>
    <w:rsid w:val="00CF0633"/>
    <w:rsid w:val="00CF1865"/>
    <w:rsid w:val="00CF2991"/>
    <w:rsid w:val="00CF38DD"/>
    <w:rsid w:val="00CF42F7"/>
    <w:rsid w:val="00CF5902"/>
    <w:rsid w:val="00CF687B"/>
    <w:rsid w:val="00CF74D4"/>
    <w:rsid w:val="00CF7A8E"/>
    <w:rsid w:val="00D00A46"/>
    <w:rsid w:val="00D012A4"/>
    <w:rsid w:val="00D0299D"/>
    <w:rsid w:val="00D02A0C"/>
    <w:rsid w:val="00D02B25"/>
    <w:rsid w:val="00D03721"/>
    <w:rsid w:val="00D042F0"/>
    <w:rsid w:val="00D0508F"/>
    <w:rsid w:val="00D057A7"/>
    <w:rsid w:val="00D061DB"/>
    <w:rsid w:val="00D06B5C"/>
    <w:rsid w:val="00D0748E"/>
    <w:rsid w:val="00D07887"/>
    <w:rsid w:val="00D07BCE"/>
    <w:rsid w:val="00D10939"/>
    <w:rsid w:val="00D10FCD"/>
    <w:rsid w:val="00D11349"/>
    <w:rsid w:val="00D12A55"/>
    <w:rsid w:val="00D13EF9"/>
    <w:rsid w:val="00D14B83"/>
    <w:rsid w:val="00D1515B"/>
    <w:rsid w:val="00D15241"/>
    <w:rsid w:val="00D15C25"/>
    <w:rsid w:val="00D17D9F"/>
    <w:rsid w:val="00D17DA4"/>
    <w:rsid w:val="00D224DB"/>
    <w:rsid w:val="00D25381"/>
    <w:rsid w:val="00D255D5"/>
    <w:rsid w:val="00D259ED"/>
    <w:rsid w:val="00D2635B"/>
    <w:rsid w:val="00D27035"/>
    <w:rsid w:val="00D27B65"/>
    <w:rsid w:val="00D301AC"/>
    <w:rsid w:val="00D30442"/>
    <w:rsid w:val="00D3057F"/>
    <w:rsid w:val="00D31B03"/>
    <w:rsid w:val="00D31D63"/>
    <w:rsid w:val="00D325E7"/>
    <w:rsid w:val="00D33081"/>
    <w:rsid w:val="00D339DE"/>
    <w:rsid w:val="00D33CC9"/>
    <w:rsid w:val="00D34424"/>
    <w:rsid w:val="00D34801"/>
    <w:rsid w:val="00D3618F"/>
    <w:rsid w:val="00D37E51"/>
    <w:rsid w:val="00D43629"/>
    <w:rsid w:val="00D437C2"/>
    <w:rsid w:val="00D44664"/>
    <w:rsid w:val="00D458B9"/>
    <w:rsid w:val="00D46FFD"/>
    <w:rsid w:val="00D47089"/>
    <w:rsid w:val="00D47AA5"/>
    <w:rsid w:val="00D503E7"/>
    <w:rsid w:val="00D50F43"/>
    <w:rsid w:val="00D520F2"/>
    <w:rsid w:val="00D52F51"/>
    <w:rsid w:val="00D53320"/>
    <w:rsid w:val="00D54177"/>
    <w:rsid w:val="00D54216"/>
    <w:rsid w:val="00D556D8"/>
    <w:rsid w:val="00D56D74"/>
    <w:rsid w:val="00D60A41"/>
    <w:rsid w:val="00D61205"/>
    <w:rsid w:val="00D61CB8"/>
    <w:rsid w:val="00D6271F"/>
    <w:rsid w:val="00D634F9"/>
    <w:rsid w:val="00D6395F"/>
    <w:rsid w:val="00D640A7"/>
    <w:rsid w:val="00D642F1"/>
    <w:rsid w:val="00D65276"/>
    <w:rsid w:val="00D65D01"/>
    <w:rsid w:val="00D65D48"/>
    <w:rsid w:val="00D65E3C"/>
    <w:rsid w:val="00D65E53"/>
    <w:rsid w:val="00D66050"/>
    <w:rsid w:val="00D6750A"/>
    <w:rsid w:val="00D67F1A"/>
    <w:rsid w:val="00D67FE9"/>
    <w:rsid w:val="00D7098C"/>
    <w:rsid w:val="00D710F1"/>
    <w:rsid w:val="00D71B07"/>
    <w:rsid w:val="00D72629"/>
    <w:rsid w:val="00D732C5"/>
    <w:rsid w:val="00D7385D"/>
    <w:rsid w:val="00D752A6"/>
    <w:rsid w:val="00D756E7"/>
    <w:rsid w:val="00D759D1"/>
    <w:rsid w:val="00D76453"/>
    <w:rsid w:val="00D76723"/>
    <w:rsid w:val="00D76EAA"/>
    <w:rsid w:val="00D7720D"/>
    <w:rsid w:val="00D77743"/>
    <w:rsid w:val="00D77933"/>
    <w:rsid w:val="00D809A8"/>
    <w:rsid w:val="00D80ACF"/>
    <w:rsid w:val="00D80F74"/>
    <w:rsid w:val="00D81544"/>
    <w:rsid w:val="00D818B2"/>
    <w:rsid w:val="00D8272A"/>
    <w:rsid w:val="00D8290B"/>
    <w:rsid w:val="00D82CF1"/>
    <w:rsid w:val="00D82E97"/>
    <w:rsid w:val="00D8348B"/>
    <w:rsid w:val="00D8385F"/>
    <w:rsid w:val="00D850ED"/>
    <w:rsid w:val="00D85A1D"/>
    <w:rsid w:val="00D865A8"/>
    <w:rsid w:val="00D86AFE"/>
    <w:rsid w:val="00D86C5C"/>
    <w:rsid w:val="00D8761B"/>
    <w:rsid w:val="00D8771E"/>
    <w:rsid w:val="00D8777D"/>
    <w:rsid w:val="00D90103"/>
    <w:rsid w:val="00D906F8"/>
    <w:rsid w:val="00D914C7"/>
    <w:rsid w:val="00D93172"/>
    <w:rsid w:val="00D93318"/>
    <w:rsid w:val="00D9595D"/>
    <w:rsid w:val="00D95CE1"/>
    <w:rsid w:val="00D9673D"/>
    <w:rsid w:val="00D96B4F"/>
    <w:rsid w:val="00D97451"/>
    <w:rsid w:val="00DA02E4"/>
    <w:rsid w:val="00DA11A4"/>
    <w:rsid w:val="00DA16F7"/>
    <w:rsid w:val="00DA17EC"/>
    <w:rsid w:val="00DA1F4D"/>
    <w:rsid w:val="00DA26A6"/>
    <w:rsid w:val="00DA2BF0"/>
    <w:rsid w:val="00DA31DC"/>
    <w:rsid w:val="00DA3C22"/>
    <w:rsid w:val="00DA5849"/>
    <w:rsid w:val="00DA5D0A"/>
    <w:rsid w:val="00DA6052"/>
    <w:rsid w:val="00DA6AF4"/>
    <w:rsid w:val="00DA6B0C"/>
    <w:rsid w:val="00DA7F27"/>
    <w:rsid w:val="00DB078E"/>
    <w:rsid w:val="00DB2172"/>
    <w:rsid w:val="00DB25FA"/>
    <w:rsid w:val="00DB2F07"/>
    <w:rsid w:val="00DB3059"/>
    <w:rsid w:val="00DB3280"/>
    <w:rsid w:val="00DB42D4"/>
    <w:rsid w:val="00DB44B2"/>
    <w:rsid w:val="00DB5571"/>
    <w:rsid w:val="00DB55CF"/>
    <w:rsid w:val="00DB6704"/>
    <w:rsid w:val="00DB6C9F"/>
    <w:rsid w:val="00DB6D9B"/>
    <w:rsid w:val="00DB6F89"/>
    <w:rsid w:val="00DC08D5"/>
    <w:rsid w:val="00DC1B53"/>
    <w:rsid w:val="00DC3471"/>
    <w:rsid w:val="00DC525E"/>
    <w:rsid w:val="00DC5B42"/>
    <w:rsid w:val="00DC680D"/>
    <w:rsid w:val="00DC68C7"/>
    <w:rsid w:val="00DC77EB"/>
    <w:rsid w:val="00DC7C57"/>
    <w:rsid w:val="00DD05AD"/>
    <w:rsid w:val="00DD11B3"/>
    <w:rsid w:val="00DD1401"/>
    <w:rsid w:val="00DD14E3"/>
    <w:rsid w:val="00DD1F4A"/>
    <w:rsid w:val="00DD1F9F"/>
    <w:rsid w:val="00DD2891"/>
    <w:rsid w:val="00DD3316"/>
    <w:rsid w:val="00DD3B19"/>
    <w:rsid w:val="00DD5EB4"/>
    <w:rsid w:val="00DD6E30"/>
    <w:rsid w:val="00DD751F"/>
    <w:rsid w:val="00DE06BA"/>
    <w:rsid w:val="00DE0750"/>
    <w:rsid w:val="00DE1A22"/>
    <w:rsid w:val="00DE1C5C"/>
    <w:rsid w:val="00DE2939"/>
    <w:rsid w:val="00DE4615"/>
    <w:rsid w:val="00DE4CB3"/>
    <w:rsid w:val="00DE53E5"/>
    <w:rsid w:val="00DE5AC3"/>
    <w:rsid w:val="00DE6B87"/>
    <w:rsid w:val="00DE75A7"/>
    <w:rsid w:val="00DF0B5A"/>
    <w:rsid w:val="00DF139F"/>
    <w:rsid w:val="00DF1BAD"/>
    <w:rsid w:val="00DF362B"/>
    <w:rsid w:val="00DF397B"/>
    <w:rsid w:val="00DF3DBD"/>
    <w:rsid w:val="00DF504D"/>
    <w:rsid w:val="00DF63C0"/>
    <w:rsid w:val="00DF64BF"/>
    <w:rsid w:val="00DF7583"/>
    <w:rsid w:val="00DF7656"/>
    <w:rsid w:val="00E000DE"/>
    <w:rsid w:val="00E00332"/>
    <w:rsid w:val="00E00997"/>
    <w:rsid w:val="00E00A92"/>
    <w:rsid w:val="00E00FAB"/>
    <w:rsid w:val="00E032EF"/>
    <w:rsid w:val="00E03506"/>
    <w:rsid w:val="00E0403D"/>
    <w:rsid w:val="00E04986"/>
    <w:rsid w:val="00E04A9D"/>
    <w:rsid w:val="00E04BFC"/>
    <w:rsid w:val="00E05502"/>
    <w:rsid w:val="00E0596A"/>
    <w:rsid w:val="00E0667E"/>
    <w:rsid w:val="00E077AF"/>
    <w:rsid w:val="00E07BAD"/>
    <w:rsid w:val="00E10309"/>
    <w:rsid w:val="00E106CB"/>
    <w:rsid w:val="00E120EF"/>
    <w:rsid w:val="00E12274"/>
    <w:rsid w:val="00E137A5"/>
    <w:rsid w:val="00E13E96"/>
    <w:rsid w:val="00E1414F"/>
    <w:rsid w:val="00E1471B"/>
    <w:rsid w:val="00E14D56"/>
    <w:rsid w:val="00E15861"/>
    <w:rsid w:val="00E162F3"/>
    <w:rsid w:val="00E167CF"/>
    <w:rsid w:val="00E16DAC"/>
    <w:rsid w:val="00E20C11"/>
    <w:rsid w:val="00E2184A"/>
    <w:rsid w:val="00E2213B"/>
    <w:rsid w:val="00E249B8"/>
    <w:rsid w:val="00E24DAA"/>
    <w:rsid w:val="00E251BC"/>
    <w:rsid w:val="00E251D6"/>
    <w:rsid w:val="00E25454"/>
    <w:rsid w:val="00E25AA0"/>
    <w:rsid w:val="00E26A84"/>
    <w:rsid w:val="00E27C21"/>
    <w:rsid w:val="00E27D25"/>
    <w:rsid w:val="00E3018E"/>
    <w:rsid w:val="00E30884"/>
    <w:rsid w:val="00E31751"/>
    <w:rsid w:val="00E31B16"/>
    <w:rsid w:val="00E31E49"/>
    <w:rsid w:val="00E31FAE"/>
    <w:rsid w:val="00E32E1C"/>
    <w:rsid w:val="00E36165"/>
    <w:rsid w:val="00E36423"/>
    <w:rsid w:val="00E41920"/>
    <w:rsid w:val="00E42CE3"/>
    <w:rsid w:val="00E42F7F"/>
    <w:rsid w:val="00E438D6"/>
    <w:rsid w:val="00E43DDE"/>
    <w:rsid w:val="00E43E5A"/>
    <w:rsid w:val="00E44F8E"/>
    <w:rsid w:val="00E46463"/>
    <w:rsid w:val="00E473C0"/>
    <w:rsid w:val="00E47804"/>
    <w:rsid w:val="00E47B0A"/>
    <w:rsid w:val="00E47DE4"/>
    <w:rsid w:val="00E513DD"/>
    <w:rsid w:val="00E51C1E"/>
    <w:rsid w:val="00E51DCB"/>
    <w:rsid w:val="00E52D69"/>
    <w:rsid w:val="00E547CC"/>
    <w:rsid w:val="00E55277"/>
    <w:rsid w:val="00E5770B"/>
    <w:rsid w:val="00E5779A"/>
    <w:rsid w:val="00E60295"/>
    <w:rsid w:val="00E60650"/>
    <w:rsid w:val="00E6117C"/>
    <w:rsid w:val="00E61685"/>
    <w:rsid w:val="00E620CE"/>
    <w:rsid w:val="00E629F8"/>
    <w:rsid w:val="00E63105"/>
    <w:rsid w:val="00E6314E"/>
    <w:rsid w:val="00E633EC"/>
    <w:rsid w:val="00E63D6E"/>
    <w:rsid w:val="00E63DFE"/>
    <w:rsid w:val="00E645CA"/>
    <w:rsid w:val="00E64B4D"/>
    <w:rsid w:val="00E653FF"/>
    <w:rsid w:val="00E65971"/>
    <w:rsid w:val="00E66B0A"/>
    <w:rsid w:val="00E67314"/>
    <w:rsid w:val="00E70152"/>
    <w:rsid w:val="00E706BE"/>
    <w:rsid w:val="00E7266A"/>
    <w:rsid w:val="00E72B52"/>
    <w:rsid w:val="00E72D2D"/>
    <w:rsid w:val="00E73168"/>
    <w:rsid w:val="00E736C3"/>
    <w:rsid w:val="00E74641"/>
    <w:rsid w:val="00E74B22"/>
    <w:rsid w:val="00E74F37"/>
    <w:rsid w:val="00E775B5"/>
    <w:rsid w:val="00E77958"/>
    <w:rsid w:val="00E810C0"/>
    <w:rsid w:val="00E8178E"/>
    <w:rsid w:val="00E81E2A"/>
    <w:rsid w:val="00E83545"/>
    <w:rsid w:val="00E83BAA"/>
    <w:rsid w:val="00E84012"/>
    <w:rsid w:val="00E8535A"/>
    <w:rsid w:val="00E8547B"/>
    <w:rsid w:val="00E86593"/>
    <w:rsid w:val="00E86CC5"/>
    <w:rsid w:val="00E86E17"/>
    <w:rsid w:val="00E8702A"/>
    <w:rsid w:val="00E87305"/>
    <w:rsid w:val="00E87AB9"/>
    <w:rsid w:val="00E87F66"/>
    <w:rsid w:val="00E9114D"/>
    <w:rsid w:val="00E9127F"/>
    <w:rsid w:val="00E9168F"/>
    <w:rsid w:val="00E923DC"/>
    <w:rsid w:val="00E92AAC"/>
    <w:rsid w:val="00E92C43"/>
    <w:rsid w:val="00E93129"/>
    <w:rsid w:val="00E94166"/>
    <w:rsid w:val="00E9554D"/>
    <w:rsid w:val="00E9598A"/>
    <w:rsid w:val="00E975AF"/>
    <w:rsid w:val="00E9793A"/>
    <w:rsid w:val="00EA137D"/>
    <w:rsid w:val="00EA276D"/>
    <w:rsid w:val="00EA340D"/>
    <w:rsid w:val="00EA3EF7"/>
    <w:rsid w:val="00EA4426"/>
    <w:rsid w:val="00EA5999"/>
    <w:rsid w:val="00EA62B3"/>
    <w:rsid w:val="00EA63B3"/>
    <w:rsid w:val="00EA65F2"/>
    <w:rsid w:val="00EA6795"/>
    <w:rsid w:val="00EA6A80"/>
    <w:rsid w:val="00EA6EE3"/>
    <w:rsid w:val="00EA7666"/>
    <w:rsid w:val="00EA7C92"/>
    <w:rsid w:val="00EA7FC1"/>
    <w:rsid w:val="00EB0BD3"/>
    <w:rsid w:val="00EB0E92"/>
    <w:rsid w:val="00EB0F3C"/>
    <w:rsid w:val="00EB1A00"/>
    <w:rsid w:val="00EB1E2D"/>
    <w:rsid w:val="00EB1EFB"/>
    <w:rsid w:val="00EB2FDB"/>
    <w:rsid w:val="00EB4CA2"/>
    <w:rsid w:val="00EB5E63"/>
    <w:rsid w:val="00EB6BF8"/>
    <w:rsid w:val="00EB72BD"/>
    <w:rsid w:val="00EC1767"/>
    <w:rsid w:val="00EC302F"/>
    <w:rsid w:val="00EC4597"/>
    <w:rsid w:val="00EC4D86"/>
    <w:rsid w:val="00EC533A"/>
    <w:rsid w:val="00EC5369"/>
    <w:rsid w:val="00EC711C"/>
    <w:rsid w:val="00EC76E1"/>
    <w:rsid w:val="00ED183A"/>
    <w:rsid w:val="00ED2FF4"/>
    <w:rsid w:val="00ED37FE"/>
    <w:rsid w:val="00ED452A"/>
    <w:rsid w:val="00ED45D8"/>
    <w:rsid w:val="00ED46BE"/>
    <w:rsid w:val="00ED489D"/>
    <w:rsid w:val="00ED4B23"/>
    <w:rsid w:val="00ED55E0"/>
    <w:rsid w:val="00ED64C2"/>
    <w:rsid w:val="00ED7388"/>
    <w:rsid w:val="00ED7D95"/>
    <w:rsid w:val="00EE08EA"/>
    <w:rsid w:val="00EE2EB8"/>
    <w:rsid w:val="00EE3118"/>
    <w:rsid w:val="00EE410F"/>
    <w:rsid w:val="00EE4944"/>
    <w:rsid w:val="00EE5643"/>
    <w:rsid w:val="00EE5DAF"/>
    <w:rsid w:val="00EE60C0"/>
    <w:rsid w:val="00EE6A96"/>
    <w:rsid w:val="00EE7D0D"/>
    <w:rsid w:val="00EF0040"/>
    <w:rsid w:val="00EF0CE7"/>
    <w:rsid w:val="00EF18C0"/>
    <w:rsid w:val="00EF23BB"/>
    <w:rsid w:val="00EF3B2F"/>
    <w:rsid w:val="00EF48E9"/>
    <w:rsid w:val="00EF4CDF"/>
    <w:rsid w:val="00EF58A2"/>
    <w:rsid w:val="00EF6A1C"/>
    <w:rsid w:val="00EF7589"/>
    <w:rsid w:val="00EF75AD"/>
    <w:rsid w:val="00EF79A7"/>
    <w:rsid w:val="00EF7EEF"/>
    <w:rsid w:val="00F00524"/>
    <w:rsid w:val="00F00643"/>
    <w:rsid w:val="00F007D0"/>
    <w:rsid w:val="00F00EDE"/>
    <w:rsid w:val="00F01400"/>
    <w:rsid w:val="00F0189E"/>
    <w:rsid w:val="00F02C6E"/>
    <w:rsid w:val="00F04B43"/>
    <w:rsid w:val="00F04E7D"/>
    <w:rsid w:val="00F05C46"/>
    <w:rsid w:val="00F05C5E"/>
    <w:rsid w:val="00F062A8"/>
    <w:rsid w:val="00F06479"/>
    <w:rsid w:val="00F07D23"/>
    <w:rsid w:val="00F07E9A"/>
    <w:rsid w:val="00F10544"/>
    <w:rsid w:val="00F10B94"/>
    <w:rsid w:val="00F1121E"/>
    <w:rsid w:val="00F116C2"/>
    <w:rsid w:val="00F1194E"/>
    <w:rsid w:val="00F11F9B"/>
    <w:rsid w:val="00F12832"/>
    <w:rsid w:val="00F12861"/>
    <w:rsid w:val="00F12C74"/>
    <w:rsid w:val="00F13F1B"/>
    <w:rsid w:val="00F14021"/>
    <w:rsid w:val="00F14394"/>
    <w:rsid w:val="00F151A7"/>
    <w:rsid w:val="00F15CA1"/>
    <w:rsid w:val="00F16B71"/>
    <w:rsid w:val="00F175C6"/>
    <w:rsid w:val="00F21212"/>
    <w:rsid w:val="00F2145D"/>
    <w:rsid w:val="00F21666"/>
    <w:rsid w:val="00F23179"/>
    <w:rsid w:val="00F25647"/>
    <w:rsid w:val="00F25802"/>
    <w:rsid w:val="00F2718A"/>
    <w:rsid w:val="00F276DD"/>
    <w:rsid w:val="00F300E5"/>
    <w:rsid w:val="00F302E9"/>
    <w:rsid w:val="00F30E37"/>
    <w:rsid w:val="00F31DD6"/>
    <w:rsid w:val="00F32D9D"/>
    <w:rsid w:val="00F332D8"/>
    <w:rsid w:val="00F336A0"/>
    <w:rsid w:val="00F363C3"/>
    <w:rsid w:val="00F36D66"/>
    <w:rsid w:val="00F405B4"/>
    <w:rsid w:val="00F405D9"/>
    <w:rsid w:val="00F40B0B"/>
    <w:rsid w:val="00F40B79"/>
    <w:rsid w:val="00F40D47"/>
    <w:rsid w:val="00F40FC0"/>
    <w:rsid w:val="00F42045"/>
    <w:rsid w:val="00F42F5A"/>
    <w:rsid w:val="00F4316A"/>
    <w:rsid w:val="00F43FB4"/>
    <w:rsid w:val="00F44571"/>
    <w:rsid w:val="00F44DEA"/>
    <w:rsid w:val="00F45146"/>
    <w:rsid w:val="00F4641D"/>
    <w:rsid w:val="00F470B6"/>
    <w:rsid w:val="00F47655"/>
    <w:rsid w:val="00F47670"/>
    <w:rsid w:val="00F47B8A"/>
    <w:rsid w:val="00F47CAA"/>
    <w:rsid w:val="00F50163"/>
    <w:rsid w:val="00F507A9"/>
    <w:rsid w:val="00F51634"/>
    <w:rsid w:val="00F52257"/>
    <w:rsid w:val="00F534E9"/>
    <w:rsid w:val="00F538D8"/>
    <w:rsid w:val="00F53F45"/>
    <w:rsid w:val="00F54310"/>
    <w:rsid w:val="00F60849"/>
    <w:rsid w:val="00F6151C"/>
    <w:rsid w:val="00F6197D"/>
    <w:rsid w:val="00F629BD"/>
    <w:rsid w:val="00F63227"/>
    <w:rsid w:val="00F6356E"/>
    <w:rsid w:val="00F63807"/>
    <w:rsid w:val="00F63FD8"/>
    <w:rsid w:val="00F649F2"/>
    <w:rsid w:val="00F65319"/>
    <w:rsid w:val="00F6564F"/>
    <w:rsid w:val="00F65AAF"/>
    <w:rsid w:val="00F65D71"/>
    <w:rsid w:val="00F6636E"/>
    <w:rsid w:val="00F66F02"/>
    <w:rsid w:val="00F70CAE"/>
    <w:rsid w:val="00F71247"/>
    <w:rsid w:val="00F72D89"/>
    <w:rsid w:val="00F74D7E"/>
    <w:rsid w:val="00F74EF3"/>
    <w:rsid w:val="00F7620D"/>
    <w:rsid w:val="00F7687B"/>
    <w:rsid w:val="00F776C2"/>
    <w:rsid w:val="00F77A9B"/>
    <w:rsid w:val="00F80122"/>
    <w:rsid w:val="00F81CB4"/>
    <w:rsid w:val="00F82907"/>
    <w:rsid w:val="00F82C76"/>
    <w:rsid w:val="00F83BB4"/>
    <w:rsid w:val="00F85571"/>
    <w:rsid w:val="00F85A26"/>
    <w:rsid w:val="00F87057"/>
    <w:rsid w:val="00F8727D"/>
    <w:rsid w:val="00F87FAC"/>
    <w:rsid w:val="00F906CC"/>
    <w:rsid w:val="00F90EE3"/>
    <w:rsid w:val="00F92259"/>
    <w:rsid w:val="00F9231B"/>
    <w:rsid w:val="00F92326"/>
    <w:rsid w:val="00F93E3F"/>
    <w:rsid w:val="00F9582D"/>
    <w:rsid w:val="00F95BC8"/>
    <w:rsid w:val="00F97511"/>
    <w:rsid w:val="00F9768E"/>
    <w:rsid w:val="00FA2B7C"/>
    <w:rsid w:val="00FA314C"/>
    <w:rsid w:val="00FA39CF"/>
    <w:rsid w:val="00FA5388"/>
    <w:rsid w:val="00FA6420"/>
    <w:rsid w:val="00FA71B2"/>
    <w:rsid w:val="00FA71FF"/>
    <w:rsid w:val="00FA75D1"/>
    <w:rsid w:val="00FA78C8"/>
    <w:rsid w:val="00FA7FD2"/>
    <w:rsid w:val="00FB02F2"/>
    <w:rsid w:val="00FB2169"/>
    <w:rsid w:val="00FB4183"/>
    <w:rsid w:val="00FB5BBE"/>
    <w:rsid w:val="00FB5FC6"/>
    <w:rsid w:val="00FB6BEC"/>
    <w:rsid w:val="00FB7876"/>
    <w:rsid w:val="00FB7E3D"/>
    <w:rsid w:val="00FC00B1"/>
    <w:rsid w:val="00FC05A3"/>
    <w:rsid w:val="00FC0E29"/>
    <w:rsid w:val="00FC0E42"/>
    <w:rsid w:val="00FC1180"/>
    <w:rsid w:val="00FC119D"/>
    <w:rsid w:val="00FC2C49"/>
    <w:rsid w:val="00FC354D"/>
    <w:rsid w:val="00FC3A62"/>
    <w:rsid w:val="00FC3B40"/>
    <w:rsid w:val="00FC3F05"/>
    <w:rsid w:val="00FC47A6"/>
    <w:rsid w:val="00FC53E9"/>
    <w:rsid w:val="00FC6E46"/>
    <w:rsid w:val="00FC704D"/>
    <w:rsid w:val="00FC71F0"/>
    <w:rsid w:val="00FC723D"/>
    <w:rsid w:val="00FC7C50"/>
    <w:rsid w:val="00FD0230"/>
    <w:rsid w:val="00FD0265"/>
    <w:rsid w:val="00FD0B8C"/>
    <w:rsid w:val="00FD177F"/>
    <w:rsid w:val="00FD1976"/>
    <w:rsid w:val="00FD1E19"/>
    <w:rsid w:val="00FD237C"/>
    <w:rsid w:val="00FD251D"/>
    <w:rsid w:val="00FD3056"/>
    <w:rsid w:val="00FD3D91"/>
    <w:rsid w:val="00FD4A18"/>
    <w:rsid w:val="00FD6C6B"/>
    <w:rsid w:val="00FD7C34"/>
    <w:rsid w:val="00FD7E2A"/>
    <w:rsid w:val="00FE00B7"/>
    <w:rsid w:val="00FE0287"/>
    <w:rsid w:val="00FE076D"/>
    <w:rsid w:val="00FE1134"/>
    <w:rsid w:val="00FE1ADB"/>
    <w:rsid w:val="00FE2A63"/>
    <w:rsid w:val="00FE2BF2"/>
    <w:rsid w:val="00FE3892"/>
    <w:rsid w:val="00FE39FC"/>
    <w:rsid w:val="00FE3AB2"/>
    <w:rsid w:val="00FE3E05"/>
    <w:rsid w:val="00FE4176"/>
    <w:rsid w:val="00FE4474"/>
    <w:rsid w:val="00FE5721"/>
    <w:rsid w:val="00FE6D8B"/>
    <w:rsid w:val="00FE72EE"/>
    <w:rsid w:val="00FE76C8"/>
    <w:rsid w:val="00FE77CC"/>
    <w:rsid w:val="00FF1DFD"/>
    <w:rsid w:val="00FF2ABA"/>
    <w:rsid w:val="00FF3967"/>
    <w:rsid w:val="00FF3EE4"/>
    <w:rsid w:val="00FF4058"/>
    <w:rsid w:val="00FF4534"/>
    <w:rsid w:val="00FF4886"/>
    <w:rsid w:val="00FF4F4C"/>
    <w:rsid w:val="00FF53A9"/>
    <w:rsid w:val="00FF53EE"/>
    <w:rsid w:val="00FF6BCA"/>
    <w:rsid w:val="010057A7"/>
    <w:rsid w:val="010F2882"/>
    <w:rsid w:val="01247755"/>
    <w:rsid w:val="01303F65"/>
    <w:rsid w:val="013A09C4"/>
    <w:rsid w:val="014C5266"/>
    <w:rsid w:val="01683BB5"/>
    <w:rsid w:val="0176597C"/>
    <w:rsid w:val="017A540E"/>
    <w:rsid w:val="018351D3"/>
    <w:rsid w:val="018710A3"/>
    <w:rsid w:val="01A53EA2"/>
    <w:rsid w:val="01A7086A"/>
    <w:rsid w:val="01A93A5A"/>
    <w:rsid w:val="01AA782E"/>
    <w:rsid w:val="01AD7D01"/>
    <w:rsid w:val="01B009AB"/>
    <w:rsid w:val="01B82220"/>
    <w:rsid w:val="01C601C2"/>
    <w:rsid w:val="01E462AD"/>
    <w:rsid w:val="01E65B03"/>
    <w:rsid w:val="01E92F08"/>
    <w:rsid w:val="020016FD"/>
    <w:rsid w:val="0201252C"/>
    <w:rsid w:val="02060918"/>
    <w:rsid w:val="021576DD"/>
    <w:rsid w:val="02293759"/>
    <w:rsid w:val="02624329"/>
    <w:rsid w:val="027658E7"/>
    <w:rsid w:val="02A818C0"/>
    <w:rsid w:val="02C32F68"/>
    <w:rsid w:val="02F21EEB"/>
    <w:rsid w:val="02FA132F"/>
    <w:rsid w:val="02FC4B9B"/>
    <w:rsid w:val="032166EF"/>
    <w:rsid w:val="033F7C3E"/>
    <w:rsid w:val="03470120"/>
    <w:rsid w:val="034D4DD8"/>
    <w:rsid w:val="03541EC5"/>
    <w:rsid w:val="035D7D75"/>
    <w:rsid w:val="035E5F74"/>
    <w:rsid w:val="0365592C"/>
    <w:rsid w:val="036B7E52"/>
    <w:rsid w:val="0372035D"/>
    <w:rsid w:val="03831553"/>
    <w:rsid w:val="03960557"/>
    <w:rsid w:val="03ED1BFC"/>
    <w:rsid w:val="03ED2838"/>
    <w:rsid w:val="04302795"/>
    <w:rsid w:val="043729FA"/>
    <w:rsid w:val="04591A2E"/>
    <w:rsid w:val="045F0640"/>
    <w:rsid w:val="0461422D"/>
    <w:rsid w:val="046E7456"/>
    <w:rsid w:val="04826CFA"/>
    <w:rsid w:val="04976926"/>
    <w:rsid w:val="04A05494"/>
    <w:rsid w:val="04A722F0"/>
    <w:rsid w:val="04A9499D"/>
    <w:rsid w:val="04B45435"/>
    <w:rsid w:val="04D55D13"/>
    <w:rsid w:val="04DC666C"/>
    <w:rsid w:val="04EC78FC"/>
    <w:rsid w:val="04FF46D6"/>
    <w:rsid w:val="050B39B0"/>
    <w:rsid w:val="05301C5F"/>
    <w:rsid w:val="05447943"/>
    <w:rsid w:val="054D67F1"/>
    <w:rsid w:val="057A69BF"/>
    <w:rsid w:val="057B0E62"/>
    <w:rsid w:val="0580785F"/>
    <w:rsid w:val="058A1C57"/>
    <w:rsid w:val="05955611"/>
    <w:rsid w:val="05964489"/>
    <w:rsid w:val="0597082A"/>
    <w:rsid w:val="05CB0E27"/>
    <w:rsid w:val="05CC0218"/>
    <w:rsid w:val="05D05124"/>
    <w:rsid w:val="05EA3095"/>
    <w:rsid w:val="05F33C03"/>
    <w:rsid w:val="0608114D"/>
    <w:rsid w:val="063C7A07"/>
    <w:rsid w:val="063E3B0B"/>
    <w:rsid w:val="065036EF"/>
    <w:rsid w:val="066811D3"/>
    <w:rsid w:val="066F5174"/>
    <w:rsid w:val="06706E5D"/>
    <w:rsid w:val="06737F68"/>
    <w:rsid w:val="06792D62"/>
    <w:rsid w:val="06A238AF"/>
    <w:rsid w:val="06AD4DCE"/>
    <w:rsid w:val="06CC4A19"/>
    <w:rsid w:val="06D84107"/>
    <w:rsid w:val="06DA6645"/>
    <w:rsid w:val="06E930F9"/>
    <w:rsid w:val="070E1192"/>
    <w:rsid w:val="070F0EB1"/>
    <w:rsid w:val="07265ECA"/>
    <w:rsid w:val="073F6540"/>
    <w:rsid w:val="074F4521"/>
    <w:rsid w:val="07505787"/>
    <w:rsid w:val="0754675F"/>
    <w:rsid w:val="076707A0"/>
    <w:rsid w:val="07707E48"/>
    <w:rsid w:val="07761B42"/>
    <w:rsid w:val="0780311D"/>
    <w:rsid w:val="07862D11"/>
    <w:rsid w:val="07981A91"/>
    <w:rsid w:val="079B4158"/>
    <w:rsid w:val="07A27EEC"/>
    <w:rsid w:val="07AC389C"/>
    <w:rsid w:val="07BA375B"/>
    <w:rsid w:val="07CB2146"/>
    <w:rsid w:val="07CE525D"/>
    <w:rsid w:val="07CF512D"/>
    <w:rsid w:val="07D04F64"/>
    <w:rsid w:val="07E17544"/>
    <w:rsid w:val="080001B0"/>
    <w:rsid w:val="0806636F"/>
    <w:rsid w:val="080E5F49"/>
    <w:rsid w:val="0810264A"/>
    <w:rsid w:val="081661AF"/>
    <w:rsid w:val="08664345"/>
    <w:rsid w:val="08697816"/>
    <w:rsid w:val="08723626"/>
    <w:rsid w:val="089C5B28"/>
    <w:rsid w:val="08BB2017"/>
    <w:rsid w:val="08CE3215"/>
    <w:rsid w:val="08DE4389"/>
    <w:rsid w:val="08FE4DC1"/>
    <w:rsid w:val="090C2147"/>
    <w:rsid w:val="0927512D"/>
    <w:rsid w:val="09573866"/>
    <w:rsid w:val="0960347E"/>
    <w:rsid w:val="09652590"/>
    <w:rsid w:val="097653E7"/>
    <w:rsid w:val="097C0DEA"/>
    <w:rsid w:val="097E16AA"/>
    <w:rsid w:val="098415CA"/>
    <w:rsid w:val="098766D8"/>
    <w:rsid w:val="09917881"/>
    <w:rsid w:val="099536FE"/>
    <w:rsid w:val="09C922E7"/>
    <w:rsid w:val="09F92B47"/>
    <w:rsid w:val="0A0E2098"/>
    <w:rsid w:val="0A6D4E8D"/>
    <w:rsid w:val="0A7F7F97"/>
    <w:rsid w:val="0AAB0902"/>
    <w:rsid w:val="0AB079D6"/>
    <w:rsid w:val="0AB80DB3"/>
    <w:rsid w:val="0AE4227C"/>
    <w:rsid w:val="0AE77A0C"/>
    <w:rsid w:val="0AE81B19"/>
    <w:rsid w:val="0AF90184"/>
    <w:rsid w:val="0AFB755B"/>
    <w:rsid w:val="0AFF2C5A"/>
    <w:rsid w:val="0B046039"/>
    <w:rsid w:val="0B30586F"/>
    <w:rsid w:val="0B61769D"/>
    <w:rsid w:val="0B6A78FF"/>
    <w:rsid w:val="0B821434"/>
    <w:rsid w:val="0BA67E6C"/>
    <w:rsid w:val="0BAD401F"/>
    <w:rsid w:val="0BB55567"/>
    <w:rsid w:val="0BC40744"/>
    <w:rsid w:val="0BDC1CE9"/>
    <w:rsid w:val="0BDC46A3"/>
    <w:rsid w:val="0C0B6D68"/>
    <w:rsid w:val="0C0C3F82"/>
    <w:rsid w:val="0C197785"/>
    <w:rsid w:val="0C1A3D59"/>
    <w:rsid w:val="0C257B40"/>
    <w:rsid w:val="0C2C064B"/>
    <w:rsid w:val="0C315BCD"/>
    <w:rsid w:val="0C385ADF"/>
    <w:rsid w:val="0C3E34A5"/>
    <w:rsid w:val="0C546315"/>
    <w:rsid w:val="0C610DA4"/>
    <w:rsid w:val="0C6874EB"/>
    <w:rsid w:val="0C812DED"/>
    <w:rsid w:val="0C950BA6"/>
    <w:rsid w:val="0CAF695A"/>
    <w:rsid w:val="0CB12611"/>
    <w:rsid w:val="0CC44840"/>
    <w:rsid w:val="0CCE3C1A"/>
    <w:rsid w:val="0CD43E9E"/>
    <w:rsid w:val="0CEF2175"/>
    <w:rsid w:val="0D124D83"/>
    <w:rsid w:val="0D16252B"/>
    <w:rsid w:val="0D203DB4"/>
    <w:rsid w:val="0D2E24AB"/>
    <w:rsid w:val="0D396BF9"/>
    <w:rsid w:val="0D3E12AA"/>
    <w:rsid w:val="0D422A1C"/>
    <w:rsid w:val="0D434BB0"/>
    <w:rsid w:val="0D4E642E"/>
    <w:rsid w:val="0D5D17E3"/>
    <w:rsid w:val="0D5E1D12"/>
    <w:rsid w:val="0D8C68E2"/>
    <w:rsid w:val="0D9943EA"/>
    <w:rsid w:val="0DB51F5E"/>
    <w:rsid w:val="0DB545D2"/>
    <w:rsid w:val="0DC7118E"/>
    <w:rsid w:val="0DE01F75"/>
    <w:rsid w:val="0DE5659B"/>
    <w:rsid w:val="0DE56FE8"/>
    <w:rsid w:val="0DED34C2"/>
    <w:rsid w:val="0DF40F7F"/>
    <w:rsid w:val="0DF47AE0"/>
    <w:rsid w:val="0E1E3AB1"/>
    <w:rsid w:val="0E245078"/>
    <w:rsid w:val="0E331822"/>
    <w:rsid w:val="0E5B7068"/>
    <w:rsid w:val="0E671431"/>
    <w:rsid w:val="0E710B71"/>
    <w:rsid w:val="0E8F5C4C"/>
    <w:rsid w:val="0E96765D"/>
    <w:rsid w:val="0EB653B4"/>
    <w:rsid w:val="0EB72DE1"/>
    <w:rsid w:val="0ED42113"/>
    <w:rsid w:val="0ED6340D"/>
    <w:rsid w:val="0EF04DE5"/>
    <w:rsid w:val="0EFF43BA"/>
    <w:rsid w:val="0F061FFE"/>
    <w:rsid w:val="0F092CD6"/>
    <w:rsid w:val="0F143963"/>
    <w:rsid w:val="0F4425B0"/>
    <w:rsid w:val="0F57471B"/>
    <w:rsid w:val="0F5B6AB1"/>
    <w:rsid w:val="0F777651"/>
    <w:rsid w:val="0F7A203F"/>
    <w:rsid w:val="0FA37114"/>
    <w:rsid w:val="0FD44A2E"/>
    <w:rsid w:val="100827DD"/>
    <w:rsid w:val="100C34AE"/>
    <w:rsid w:val="100D5F57"/>
    <w:rsid w:val="10286655"/>
    <w:rsid w:val="102B1565"/>
    <w:rsid w:val="103E6637"/>
    <w:rsid w:val="10454916"/>
    <w:rsid w:val="105C6197"/>
    <w:rsid w:val="10672A16"/>
    <w:rsid w:val="107E71D4"/>
    <w:rsid w:val="107F13A6"/>
    <w:rsid w:val="10A76C07"/>
    <w:rsid w:val="10B4070D"/>
    <w:rsid w:val="10C20616"/>
    <w:rsid w:val="10CC54A2"/>
    <w:rsid w:val="10E832B4"/>
    <w:rsid w:val="10EA3953"/>
    <w:rsid w:val="10EF0884"/>
    <w:rsid w:val="10FE28C6"/>
    <w:rsid w:val="111369C6"/>
    <w:rsid w:val="111934E7"/>
    <w:rsid w:val="112172C2"/>
    <w:rsid w:val="114D7618"/>
    <w:rsid w:val="11527F92"/>
    <w:rsid w:val="116F6BC1"/>
    <w:rsid w:val="11766346"/>
    <w:rsid w:val="1186449F"/>
    <w:rsid w:val="11983D3E"/>
    <w:rsid w:val="119F34BD"/>
    <w:rsid w:val="11AE39F8"/>
    <w:rsid w:val="11C53F61"/>
    <w:rsid w:val="11F8380E"/>
    <w:rsid w:val="11F93D82"/>
    <w:rsid w:val="12056CBD"/>
    <w:rsid w:val="1207758E"/>
    <w:rsid w:val="1208619C"/>
    <w:rsid w:val="120E0D54"/>
    <w:rsid w:val="121767DB"/>
    <w:rsid w:val="122E26AC"/>
    <w:rsid w:val="12383E59"/>
    <w:rsid w:val="12445E42"/>
    <w:rsid w:val="12465C21"/>
    <w:rsid w:val="12550B18"/>
    <w:rsid w:val="12663BE0"/>
    <w:rsid w:val="12735753"/>
    <w:rsid w:val="127F29F8"/>
    <w:rsid w:val="12CA084D"/>
    <w:rsid w:val="12DE6746"/>
    <w:rsid w:val="130E11A0"/>
    <w:rsid w:val="131A603D"/>
    <w:rsid w:val="133D6799"/>
    <w:rsid w:val="136007E7"/>
    <w:rsid w:val="136E327B"/>
    <w:rsid w:val="1387472C"/>
    <w:rsid w:val="138E393C"/>
    <w:rsid w:val="13914F8E"/>
    <w:rsid w:val="13A07738"/>
    <w:rsid w:val="13A631FD"/>
    <w:rsid w:val="13AB36C5"/>
    <w:rsid w:val="13B43589"/>
    <w:rsid w:val="13BB0808"/>
    <w:rsid w:val="13BC175F"/>
    <w:rsid w:val="13CB5FFB"/>
    <w:rsid w:val="14060571"/>
    <w:rsid w:val="1426082A"/>
    <w:rsid w:val="14561D62"/>
    <w:rsid w:val="145A5FD6"/>
    <w:rsid w:val="147014A9"/>
    <w:rsid w:val="1478619D"/>
    <w:rsid w:val="14B856A7"/>
    <w:rsid w:val="14DE0C0F"/>
    <w:rsid w:val="14DE573A"/>
    <w:rsid w:val="14DF3546"/>
    <w:rsid w:val="14EE1A04"/>
    <w:rsid w:val="14F134BB"/>
    <w:rsid w:val="151246ED"/>
    <w:rsid w:val="152C2AC9"/>
    <w:rsid w:val="15367333"/>
    <w:rsid w:val="153C255C"/>
    <w:rsid w:val="154304FD"/>
    <w:rsid w:val="154923E9"/>
    <w:rsid w:val="156952E9"/>
    <w:rsid w:val="157D32D4"/>
    <w:rsid w:val="15924B9F"/>
    <w:rsid w:val="15957D8F"/>
    <w:rsid w:val="15BD5E7C"/>
    <w:rsid w:val="15DA10CC"/>
    <w:rsid w:val="15EA37AE"/>
    <w:rsid w:val="1606775E"/>
    <w:rsid w:val="160A610E"/>
    <w:rsid w:val="16462E87"/>
    <w:rsid w:val="16786253"/>
    <w:rsid w:val="169F561C"/>
    <w:rsid w:val="16A132F1"/>
    <w:rsid w:val="16A90C06"/>
    <w:rsid w:val="16BC04A0"/>
    <w:rsid w:val="16C8192A"/>
    <w:rsid w:val="171A332F"/>
    <w:rsid w:val="17251EAC"/>
    <w:rsid w:val="172F5A62"/>
    <w:rsid w:val="174602F3"/>
    <w:rsid w:val="174B3433"/>
    <w:rsid w:val="175201A4"/>
    <w:rsid w:val="17581F6D"/>
    <w:rsid w:val="1763479D"/>
    <w:rsid w:val="176B007C"/>
    <w:rsid w:val="177A1481"/>
    <w:rsid w:val="177B2B64"/>
    <w:rsid w:val="17844E8E"/>
    <w:rsid w:val="179914B3"/>
    <w:rsid w:val="17A116AE"/>
    <w:rsid w:val="17B33E4D"/>
    <w:rsid w:val="17D252F9"/>
    <w:rsid w:val="17EB1780"/>
    <w:rsid w:val="17EF5266"/>
    <w:rsid w:val="18071B33"/>
    <w:rsid w:val="180E5A00"/>
    <w:rsid w:val="1813342D"/>
    <w:rsid w:val="181B2BBC"/>
    <w:rsid w:val="181B53C4"/>
    <w:rsid w:val="183C091C"/>
    <w:rsid w:val="183F3519"/>
    <w:rsid w:val="1841459E"/>
    <w:rsid w:val="184A01D4"/>
    <w:rsid w:val="186F7BC5"/>
    <w:rsid w:val="187D225E"/>
    <w:rsid w:val="187E196E"/>
    <w:rsid w:val="188C47E4"/>
    <w:rsid w:val="189039E8"/>
    <w:rsid w:val="18B157FE"/>
    <w:rsid w:val="18CF3CC0"/>
    <w:rsid w:val="18D32F39"/>
    <w:rsid w:val="18E237E6"/>
    <w:rsid w:val="18EB4A89"/>
    <w:rsid w:val="18ED10F1"/>
    <w:rsid w:val="19104A6E"/>
    <w:rsid w:val="194818B4"/>
    <w:rsid w:val="195C2DAE"/>
    <w:rsid w:val="19670B39"/>
    <w:rsid w:val="196846B9"/>
    <w:rsid w:val="1979599D"/>
    <w:rsid w:val="197B2B0A"/>
    <w:rsid w:val="19960E59"/>
    <w:rsid w:val="19A65C35"/>
    <w:rsid w:val="19A86CE9"/>
    <w:rsid w:val="19C72EE6"/>
    <w:rsid w:val="19D55685"/>
    <w:rsid w:val="19D63097"/>
    <w:rsid w:val="19FD504D"/>
    <w:rsid w:val="1A08732E"/>
    <w:rsid w:val="1A0D2A4A"/>
    <w:rsid w:val="1A2F6045"/>
    <w:rsid w:val="1A400204"/>
    <w:rsid w:val="1A4C2D0F"/>
    <w:rsid w:val="1A5678E5"/>
    <w:rsid w:val="1A685EB8"/>
    <w:rsid w:val="1A700C76"/>
    <w:rsid w:val="1A817DEA"/>
    <w:rsid w:val="1A977783"/>
    <w:rsid w:val="1A994D33"/>
    <w:rsid w:val="1AAC1E50"/>
    <w:rsid w:val="1AAC1FB7"/>
    <w:rsid w:val="1ABE7DC8"/>
    <w:rsid w:val="1AC57478"/>
    <w:rsid w:val="1AD35B55"/>
    <w:rsid w:val="1B064BEB"/>
    <w:rsid w:val="1B571741"/>
    <w:rsid w:val="1B6A64B9"/>
    <w:rsid w:val="1B6F33E5"/>
    <w:rsid w:val="1B7075AD"/>
    <w:rsid w:val="1B7F2276"/>
    <w:rsid w:val="1B871004"/>
    <w:rsid w:val="1B963FA6"/>
    <w:rsid w:val="1B9B5BFE"/>
    <w:rsid w:val="1BA23AE5"/>
    <w:rsid w:val="1BA94E24"/>
    <w:rsid w:val="1BB362E2"/>
    <w:rsid w:val="1BBA15EF"/>
    <w:rsid w:val="1BC162E8"/>
    <w:rsid w:val="1BD83779"/>
    <w:rsid w:val="1BEA4478"/>
    <w:rsid w:val="1BEB4746"/>
    <w:rsid w:val="1C000FBC"/>
    <w:rsid w:val="1C010D1D"/>
    <w:rsid w:val="1C154BFE"/>
    <w:rsid w:val="1C207F73"/>
    <w:rsid w:val="1C282F6F"/>
    <w:rsid w:val="1C3B4A23"/>
    <w:rsid w:val="1C57773B"/>
    <w:rsid w:val="1C762B3D"/>
    <w:rsid w:val="1C837BC5"/>
    <w:rsid w:val="1C8D776B"/>
    <w:rsid w:val="1CA0383F"/>
    <w:rsid w:val="1CC663F9"/>
    <w:rsid w:val="1CCC1EBA"/>
    <w:rsid w:val="1CE32728"/>
    <w:rsid w:val="1CFB7BD4"/>
    <w:rsid w:val="1D1D4E2E"/>
    <w:rsid w:val="1D1F2F14"/>
    <w:rsid w:val="1D470019"/>
    <w:rsid w:val="1D494CCF"/>
    <w:rsid w:val="1D52669D"/>
    <w:rsid w:val="1D57445C"/>
    <w:rsid w:val="1D5E4918"/>
    <w:rsid w:val="1D740B6A"/>
    <w:rsid w:val="1D8645B5"/>
    <w:rsid w:val="1D8675F0"/>
    <w:rsid w:val="1D8E6A36"/>
    <w:rsid w:val="1DB22CBA"/>
    <w:rsid w:val="1DB753E9"/>
    <w:rsid w:val="1DBA2E2E"/>
    <w:rsid w:val="1DBB1C42"/>
    <w:rsid w:val="1DE103FA"/>
    <w:rsid w:val="1DE72F8B"/>
    <w:rsid w:val="1DF41671"/>
    <w:rsid w:val="1E1D71A4"/>
    <w:rsid w:val="1E2668F4"/>
    <w:rsid w:val="1E2E6377"/>
    <w:rsid w:val="1E3104EB"/>
    <w:rsid w:val="1E3B7B3E"/>
    <w:rsid w:val="1E6D128D"/>
    <w:rsid w:val="1E722C69"/>
    <w:rsid w:val="1EB072B1"/>
    <w:rsid w:val="1EB50BBD"/>
    <w:rsid w:val="1EC06BEC"/>
    <w:rsid w:val="1EF43A77"/>
    <w:rsid w:val="1F5B5733"/>
    <w:rsid w:val="1F5F2F92"/>
    <w:rsid w:val="1F677541"/>
    <w:rsid w:val="1F6F5384"/>
    <w:rsid w:val="1FA31C4E"/>
    <w:rsid w:val="1FAA1EEE"/>
    <w:rsid w:val="1FB20C2C"/>
    <w:rsid w:val="1FCD35E0"/>
    <w:rsid w:val="1FD02EE8"/>
    <w:rsid w:val="1FD2597E"/>
    <w:rsid w:val="1FD40B4A"/>
    <w:rsid w:val="1FD71810"/>
    <w:rsid w:val="1FF20FA0"/>
    <w:rsid w:val="1FFF6B0A"/>
    <w:rsid w:val="2004034F"/>
    <w:rsid w:val="20084C24"/>
    <w:rsid w:val="200B13E8"/>
    <w:rsid w:val="201D443B"/>
    <w:rsid w:val="201E1EB2"/>
    <w:rsid w:val="203129D6"/>
    <w:rsid w:val="203F0AAD"/>
    <w:rsid w:val="204149C1"/>
    <w:rsid w:val="2044159C"/>
    <w:rsid w:val="20492558"/>
    <w:rsid w:val="205A55A3"/>
    <w:rsid w:val="205E38F0"/>
    <w:rsid w:val="206521F7"/>
    <w:rsid w:val="2075089D"/>
    <w:rsid w:val="20AA0500"/>
    <w:rsid w:val="20AD3BEB"/>
    <w:rsid w:val="20C02E9F"/>
    <w:rsid w:val="20F118B2"/>
    <w:rsid w:val="210920EF"/>
    <w:rsid w:val="21142EBD"/>
    <w:rsid w:val="21392153"/>
    <w:rsid w:val="213D3995"/>
    <w:rsid w:val="213E63DA"/>
    <w:rsid w:val="214572A0"/>
    <w:rsid w:val="21514B5B"/>
    <w:rsid w:val="215E639F"/>
    <w:rsid w:val="216A4356"/>
    <w:rsid w:val="217F7026"/>
    <w:rsid w:val="21992531"/>
    <w:rsid w:val="21A4757C"/>
    <w:rsid w:val="21AB746C"/>
    <w:rsid w:val="21BA7AFB"/>
    <w:rsid w:val="21BD7A67"/>
    <w:rsid w:val="21C66054"/>
    <w:rsid w:val="21D132BC"/>
    <w:rsid w:val="21D3684C"/>
    <w:rsid w:val="21D92705"/>
    <w:rsid w:val="21F0010E"/>
    <w:rsid w:val="221026C4"/>
    <w:rsid w:val="222B1128"/>
    <w:rsid w:val="223B02CB"/>
    <w:rsid w:val="223F0C2A"/>
    <w:rsid w:val="2253337B"/>
    <w:rsid w:val="22753104"/>
    <w:rsid w:val="22781D0B"/>
    <w:rsid w:val="22A50CDA"/>
    <w:rsid w:val="22C54964"/>
    <w:rsid w:val="22D75201"/>
    <w:rsid w:val="22F310EC"/>
    <w:rsid w:val="22F6254F"/>
    <w:rsid w:val="23024950"/>
    <w:rsid w:val="230B3186"/>
    <w:rsid w:val="232A7F55"/>
    <w:rsid w:val="232E17C5"/>
    <w:rsid w:val="2363312E"/>
    <w:rsid w:val="236E7FC9"/>
    <w:rsid w:val="23704814"/>
    <w:rsid w:val="237F3F46"/>
    <w:rsid w:val="23A07B25"/>
    <w:rsid w:val="23A835D3"/>
    <w:rsid w:val="23BF2684"/>
    <w:rsid w:val="23C11335"/>
    <w:rsid w:val="23DF4103"/>
    <w:rsid w:val="24055FBC"/>
    <w:rsid w:val="241271DB"/>
    <w:rsid w:val="242F013F"/>
    <w:rsid w:val="24381601"/>
    <w:rsid w:val="24944FF6"/>
    <w:rsid w:val="2498033F"/>
    <w:rsid w:val="249C22E1"/>
    <w:rsid w:val="24B94BCF"/>
    <w:rsid w:val="24C00822"/>
    <w:rsid w:val="24F11672"/>
    <w:rsid w:val="251331E9"/>
    <w:rsid w:val="251E464F"/>
    <w:rsid w:val="25345D39"/>
    <w:rsid w:val="25493364"/>
    <w:rsid w:val="254F7A0F"/>
    <w:rsid w:val="255C378E"/>
    <w:rsid w:val="258A22CD"/>
    <w:rsid w:val="258C2F14"/>
    <w:rsid w:val="259C58FE"/>
    <w:rsid w:val="25B152B5"/>
    <w:rsid w:val="25B862D0"/>
    <w:rsid w:val="25C001F1"/>
    <w:rsid w:val="25CB3A81"/>
    <w:rsid w:val="25E62042"/>
    <w:rsid w:val="25F9257C"/>
    <w:rsid w:val="262C5C6D"/>
    <w:rsid w:val="265D48E5"/>
    <w:rsid w:val="26662FC1"/>
    <w:rsid w:val="266F480A"/>
    <w:rsid w:val="26723EA0"/>
    <w:rsid w:val="267D1FC5"/>
    <w:rsid w:val="26805560"/>
    <w:rsid w:val="268414F9"/>
    <w:rsid w:val="269E1774"/>
    <w:rsid w:val="26A71D59"/>
    <w:rsid w:val="26C14A80"/>
    <w:rsid w:val="26CA79B1"/>
    <w:rsid w:val="26DC6C93"/>
    <w:rsid w:val="26E36DA9"/>
    <w:rsid w:val="26FB22FC"/>
    <w:rsid w:val="270D444F"/>
    <w:rsid w:val="271916C3"/>
    <w:rsid w:val="273A24AE"/>
    <w:rsid w:val="27456DDA"/>
    <w:rsid w:val="274704F7"/>
    <w:rsid w:val="27506187"/>
    <w:rsid w:val="27512C81"/>
    <w:rsid w:val="27591CFC"/>
    <w:rsid w:val="275A4399"/>
    <w:rsid w:val="276F63C2"/>
    <w:rsid w:val="276F6648"/>
    <w:rsid w:val="27703BAC"/>
    <w:rsid w:val="27816204"/>
    <w:rsid w:val="278909E9"/>
    <w:rsid w:val="278D77E9"/>
    <w:rsid w:val="27900E5F"/>
    <w:rsid w:val="279F2ADE"/>
    <w:rsid w:val="27A72656"/>
    <w:rsid w:val="27B039C8"/>
    <w:rsid w:val="27CB356E"/>
    <w:rsid w:val="27DB14E9"/>
    <w:rsid w:val="27E61A3A"/>
    <w:rsid w:val="27E63708"/>
    <w:rsid w:val="27E852AA"/>
    <w:rsid w:val="27F95DF6"/>
    <w:rsid w:val="27FC68FC"/>
    <w:rsid w:val="28015AEC"/>
    <w:rsid w:val="280B7F29"/>
    <w:rsid w:val="281175D2"/>
    <w:rsid w:val="281F6326"/>
    <w:rsid w:val="28242737"/>
    <w:rsid w:val="283718EB"/>
    <w:rsid w:val="28501150"/>
    <w:rsid w:val="28637B86"/>
    <w:rsid w:val="28642840"/>
    <w:rsid w:val="28695417"/>
    <w:rsid w:val="286B37C0"/>
    <w:rsid w:val="286F6445"/>
    <w:rsid w:val="2880029E"/>
    <w:rsid w:val="28872154"/>
    <w:rsid w:val="289243A6"/>
    <w:rsid w:val="28943227"/>
    <w:rsid w:val="28AD4E25"/>
    <w:rsid w:val="28B214EF"/>
    <w:rsid w:val="28C9221F"/>
    <w:rsid w:val="28F8088B"/>
    <w:rsid w:val="290D4165"/>
    <w:rsid w:val="291E414A"/>
    <w:rsid w:val="292661E0"/>
    <w:rsid w:val="29326F94"/>
    <w:rsid w:val="293A5C24"/>
    <w:rsid w:val="29496672"/>
    <w:rsid w:val="295223C1"/>
    <w:rsid w:val="29704239"/>
    <w:rsid w:val="29970233"/>
    <w:rsid w:val="299710B2"/>
    <w:rsid w:val="29B620C7"/>
    <w:rsid w:val="29C03002"/>
    <w:rsid w:val="29C341ED"/>
    <w:rsid w:val="29D17C06"/>
    <w:rsid w:val="29D3340F"/>
    <w:rsid w:val="29E13C7C"/>
    <w:rsid w:val="29E26806"/>
    <w:rsid w:val="29E940D0"/>
    <w:rsid w:val="29F4710C"/>
    <w:rsid w:val="29FF0B07"/>
    <w:rsid w:val="2A0E00CA"/>
    <w:rsid w:val="2A264443"/>
    <w:rsid w:val="2A2D064F"/>
    <w:rsid w:val="2A497078"/>
    <w:rsid w:val="2A4B3C6C"/>
    <w:rsid w:val="2A4C5B4D"/>
    <w:rsid w:val="2A615D77"/>
    <w:rsid w:val="2A630D17"/>
    <w:rsid w:val="2A791B21"/>
    <w:rsid w:val="2A87357D"/>
    <w:rsid w:val="2AA5169E"/>
    <w:rsid w:val="2AE57AC4"/>
    <w:rsid w:val="2AED38FF"/>
    <w:rsid w:val="2AF13218"/>
    <w:rsid w:val="2AFD3174"/>
    <w:rsid w:val="2B1E480B"/>
    <w:rsid w:val="2B2A2DA4"/>
    <w:rsid w:val="2B367DA6"/>
    <w:rsid w:val="2B4A28FF"/>
    <w:rsid w:val="2B5934AE"/>
    <w:rsid w:val="2B626BBA"/>
    <w:rsid w:val="2B69017C"/>
    <w:rsid w:val="2B7A5423"/>
    <w:rsid w:val="2B7F51D7"/>
    <w:rsid w:val="2B810344"/>
    <w:rsid w:val="2B8123CB"/>
    <w:rsid w:val="2B853CF9"/>
    <w:rsid w:val="2B914B5D"/>
    <w:rsid w:val="2BA9469B"/>
    <w:rsid w:val="2BE529C4"/>
    <w:rsid w:val="2BEB6385"/>
    <w:rsid w:val="2BF544D2"/>
    <w:rsid w:val="2BF5783F"/>
    <w:rsid w:val="2C063C1D"/>
    <w:rsid w:val="2C3D1CE0"/>
    <w:rsid w:val="2C6A56B2"/>
    <w:rsid w:val="2C893B0D"/>
    <w:rsid w:val="2C9846B7"/>
    <w:rsid w:val="2C9E0649"/>
    <w:rsid w:val="2CBC5FB0"/>
    <w:rsid w:val="2CBF274A"/>
    <w:rsid w:val="2CD17CCF"/>
    <w:rsid w:val="2CF565E1"/>
    <w:rsid w:val="2CF81347"/>
    <w:rsid w:val="2D1C517B"/>
    <w:rsid w:val="2D2824B2"/>
    <w:rsid w:val="2D355A17"/>
    <w:rsid w:val="2D6138B7"/>
    <w:rsid w:val="2D65480A"/>
    <w:rsid w:val="2D666BF9"/>
    <w:rsid w:val="2D680546"/>
    <w:rsid w:val="2D833B32"/>
    <w:rsid w:val="2D896548"/>
    <w:rsid w:val="2D8B5FDC"/>
    <w:rsid w:val="2D917EAF"/>
    <w:rsid w:val="2DAA51E4"/>
    <w:rsid w:val="2DB0030F"/>
    <w:rsid w:val="2DC70DEE"/>
    <w:rsid w:val="2DCA0BF2"/>
    <w:rsid w:val="2DCB3C37"/>
    <w:rsid w:val="2DD02FC8"/>
    <w:rsid w:val="2DE14B3C"/>
    <w:rsid w:val="2DE55A1E"/>
    <w:rsid w:val="2DFF2CE2"/>
    <w:rsid w:val="2E002321"/>
    <w:rsid w:val="2E1C647D"/>
    <w:rsid w:val="2E2F1CD6"/>
    <w:rsid w:val="2E3C37AA"/>
    <w:rsid w:val="2E3F37FA"/>
    <w:rsid w:val="2E414B35"/>
    <w:rsid w:val="2E4B4DBA"/>
    <w:rsid w:val="2E580F8F"/>
    <w:rsid w:val="2E7926B6"/>
    <w:rsid w:val="2E8639C6"/>
    <w:rsid w:val="2EB81807"/>
    <w:rsid w:val="2EC47A74"/>
    <w:rsid w:val="2ED9015F"/>
    <w:rsid w:val="2EDB7001"/>
    <w:rsid w:val="2EEC30E0"/>
    <w:rsid w:val="2F06700C"/>
    <w:rsid w:val="2F331B4A"/>
    <w:rsid w:val="2F3B45C5"/>
    <w:rsid w:val="2F5E5535"/>
    <w:rsid w:val="2F67006B"/>
    <w:rsid w:val="2F7F38EF"/>
    <w:rsid w:val="2F841DC0"/>
    <w:rsid w:val="2F992A53"/>
    <w:rsid w:val="2FAB044B"/>
    <w:rsid w:val="2FDB68C1"/>
    <w:rsid w:val="2FDD7AA8"/>
    <w:rsid w:val="2FDF05E9"/>
    <w:rsid w:val="2FE240AD"/>
    <w:rsid w:val="301221C0"/>
    <w:rsid w:val="301E7DFF"/>
    <w:rsid w:val="302A451F"/>
    <w:rsid w:val="302E0A39"/>
    <w:rsid w:val="30407780"/>
    <w:rsid w:val="305A76AB"/>
    <w:rsid w:val="30841252"/>
    <w:rsid w:val="30A21A3A"/>
    <w:rsid w:val="30AE5D9B"/>
    <w:rsid w:val="30B96527"/>
    <w:rsid w:val="30BD5A46"/>
    <w:rsid w:val="30C670C4"/>
    <w:rsid w:val="30CA166B"/>
    <w:rsid w:val="30E87423"/>
    <w:rsid w:val="30ED1101"/>
    <w:rsid w:val="30F64606"/>
    <w:rsid w:val="30F72E6E"/>
    <w:rsid w:val="30F857B9"/>
    <w:rsid w:val="31170894"/>
    <w:rsid w:val="313A36E5"/>
    <w:rsid w:val="31445C71"/>
    <w:rsid w:val="314F6742"/>
    <w:rsid w:val="31554AE7"/>
    <w:rsid w:val="31570D79"/>
    <w:rsid w:val="315C7F7F"/>
    <w:rsid w:val="31785A4E"/>
    <w:rsid w:val="31CF2D29"/>
    <w:rsid w:val="31E82675"/>
    <w:rsid w:val="31F05FAD"/>
    <w:rsid w:val="31FE41EC"/>
    <w:rsid w:val="320A31B2"/>
    <w:rsid w:val="321E6DA8"/>
    <w:rsid w:val="3225468C"/>
    <w:rsid w:val="32280685"/>
    <w:rsid w:val="324E222E"/>
    <w:rsid w:val="325869D8"/>
    <w:rsid w:val="326D7BCF"/>
    <w:rsid w:val="32792D2B"/>
    <w:rsid w:val="327A6BD0"/>
    <w:rsid w:val="32832ED6"/>
    <w:rsid w:val="32AC1117"/>
    <w:rsid w:val="32C258EB"/>
    <w:rsid w:val="32C31B6B"/>
    <w:rsid w:val="32CA7F95"/>
    <w:rsid w:val="32D1723E"/>
    <w:rsid w:val="32D45531"/>
    <w:rsid w:val="32D96982"/>
    <w:rsid w:val="32E427DE"/>
    <w:rsid w:val="32E8371C"/>
    <w:rsid w:val="32FC4EB2"/>
    <w:rsid w:val="33050AAD"/>
    <w:rsid w:val="33116608"/>
    <w:rsid w:val="3329332C"/>
    <w:rsid w:val="332C3F79"/>
    <w:rsid w:val="333429CE"/>
    <w:rsid w:val="33392236"/>
    <w:rsid w:val="334530F3"/>
    <w:rsid w:val="336815C3"/>
    <w:rsid w:val="336E02D4"/>
    <w:rsid w:val="33861D25"/>
    <w:rsid w:val="338A7437"/>
    <w:rsid w:val="33BE2810"/>
    <w:rsid w:val="33C32064"/>
    <w:rsid w:val="33C96CCF"/>
    <w:rsid w:val="33D10F85"/>
    <w:rsid w:val="33D1513C"/>
    <w:rsid w:val="33DA46B1"/>
    <w:rsid w:val="33E97899"/>
    <w:rsid w:val="33EF1DDB"/>
    <w:rsid w:val="33F30E32"/>
    <w:rsid w:val="33F85143"/>
    <w:rsid w:val="340505DC"/>
    <w:rsid w:val="342041F4"/>
    <w:rsid w:val="34254E5C"/>
    <w:rsid w:val="34270AC1"/>
    <w:rsid w:val="342927FC"/>
    <w:rsid w:val="34323CD6"/>
    <w:rsid w:val="343F154C"/>
    <w:rsid w:val="344469FD"/>
    <w:rsid w:val="34515C51"/>
    <w:rsid w:val="345356CC"/>
    <w:rsid w:val="34562F70"/>
    <w:rsid w:val="346106CD"/>
    <w:rsid w:val="34793D6B"/>
    <w:rsid w:val="347E3539"/>
    <w:rsid w:val="34830369"/>
    <w:rsid w:val="3490719C"/>
    <w:rsid w:val="349646AD"/>
    <w:rsid w:val="34AD3652"/>
    <w:rsid w:val="34C603ED"/>
    <w:rsid w:val="34D93DEB"/>
    <w:rsid w:val="35023FE2"/>
    <w:rsid w:val="350D407B"/>
    <w:rsid w:val="351C0A51"/>
    <w:rsid w:val="352128A9"/>
    <w:rsid w:val="352548D7"/>
    <w:rsid w:val="3528106A"/>
    <w:rsid w:val="353A7102"/>
    <w:rsid w:val="354503F4"/>
    <w:rsid w:val="35453CE8"/>
    <w:rsid w:val="35465780"/>
    <w:rsid w:val="35841377"/>
    <w:rsid w:val="358F1EC3"/>
    <w:rsid w:val="359A09ED"/>
    <w:rsid w:val="35AA1BCA"/>
    <w:rsid w:val="35B33563"/>
    <w:rsid w:val="35BC4AB2"/>
    <w:rsid w:val="35E87B72"/>
    <w:rsid w:val="35E915DE"/>
    <w:rsid w:val="35E936E6"/>
    <w:rsid w:val="35EB0A3D"/>
    <w:rsid w:val="35F71D4F"/>
    <w:rsid w:val="35FA1982"/>
    <w:rsid w:val="35FE2F69"/>
    <w:rsid w:val="35FF12E2"/>
    <w:rsid w:val="36056B5B"/>
    <w:rsid w:val="360C3486"/>
    <w:rsid w:val="36201A4D"/>
    <w:rsid w:val="36441F53"/>
    <w:rsid w:val="364C0351"/>
    <w:rsid w:val="36694098"/>
    <w:rsid w:val="367E53BD"/>
    <w:rsid w:val="36816371"/>
    <w:rsid w:val="368559A2"/>
    <w:rsid w:val="36995CF0"/>
    <w:rsid w:val="36B15DF4"/>
    <w:rsid w:val="36C070E9"/>
    <w:rsid w:val="36D121F1"/>
    <w:rsid w:val="36E836E6"/>
    <w:rsid w:val="371C0FF6"/>
    <w:rsid w:val="37203126"/>
    <w:rsid w:val="37237201"/>
    <w:rsid w:val="37383C9E"/>
    <w:rsid w:val="37393FF5"/>
    <w:rsid w:val="37444B76"/>
    <w:rsid w:val="375A58F9"/>
    <w:rsid w:val="376C22FC"/>
    <w:rsid w:val="376D0505"/>
    <w:rsid w:val="376D4567"/>
    <w:rsid w:val="37717A3A"/>
    <w:rsid w:val="378E4453"/>
    <w:rsid w:val="37965470"/>
    <w:rsid w:val="37A058ED"/>
    <w:rsid w:val="37B07E7F"/>
    <w:rsid w:val="37B1241A"/>
    <w:rsid w:val="37D56240"/>
    <w:rsid w:val="37E17558"/>
    <w:rsid w:val="37F609F5"/>
    <w:rsid w:val="37FB779C"/>
    <w:rsid w:val="38132788"/>
    <w:rsid w:val="38142EE2"/>
    <w:rsid w:val="382D35E2"/>
    <w:rsid w:val="383E613C"/>
    <w:rsid w:val="387F6F98"/>
    <w:rsid w:val="38890DD2"/>
    <w:rsid w:val="38A914AA"/>
    <w:rsid w:val="38AC2771"/>
    <w:rsid w:val="38CF1737"/>
    <w:rsid w:val="38EB788B"/>
    <w:rsid w:val="38EE54CC"/>
    <w:rsid w:val="391477F6"/>
    <w:rsid w:val="391E7612"/>
    <w:rsid w:val="39202BE9"/>
    <w:rsid w:val="392F6C22"/>
    <w:rsid w:val="3937628D"/>
    <w:rsid w:val="3945589A"/>
    <w:rsid w:val="397054D7"/>
    <w:rsid w:val="397131B7"/>
    <w:rsid w:val="397B172D"/>
    <w:rsid w:val="397F6BAE"/>
    <w:rsid w:val="39C616EE"/>
    <w:rsid w:val="39D178FD"/>
    <w:rsid w:val="39D20836"/>
    <w:rsid w:val="39E55C79"/>
    <w:rsid w:val="39F529BD"/>
    <w:rsid w:val="39FC3CDD"/>
    <w:rsid w:val="3A005897"/>
    <w:rsid w:val="3A0E4A66"/>
    <w:rsid w:val="3A0F5041"/>
    <w:rsid w:val="3A4458BD"/>
    <w:rsid w:val="3A49697E"/>
    <w:rsid w:val="3A57248F"/>
    <w:rsid w:val="3A5930B4"/>
    <w:rsid w:val="3A6F731F"/>
    <w:rsid w:val="3A8551B2"/>
    <w:rsid w:val="3AAA1FCB"/>
    <w:rsid w:val="3AAE4831"/>
    <w:rsid w:val="3AC10DCA"/>
    <w:rsid w:val="3AC22C8F"/>
    <w:rsid w:val="3AE82205"/>
    <w:rsid w:val="3B18677E"/>
    <w:rsid w:val="3B3F4A55"/>
    <w:rsid w:val="3B401F9F"/>
    <w:rsid w:val="3B596F6F"/>
    <w:rsid w:val="3B5A3279"/>
    <w:rsid w:val="3B703203"/>
    <w:rsid w:val="3B754CFB"/>
    <w:rsid w:val="3B8770EE"/>
    <w:rsid w:val="3B91770A"/>
    <w:rsid w:val="3B951E85"/>
    <w:rsid w:val="3B967E52"/>
    <w:rsid w:val="3B9823CE"/>
    <w:rsid w:val="3BB56FEB"/>
    <w:rsid w:val="3BD76595"/>
    <w:rsid w:val="3C1017BA"/>
    <w:rsid w:val="3C1C1508"/>
    <w:rsid w:val="3C266A0E"/>
    <w:rsid w:val="3C2F3068"/>
    <w:rsid w:val="3C312E5F"/>
    <w:rsid w:val="3C3519B4"/>
    <w:rsid w:val="3C404ADE"/>
    <w:rsid w:val="3C4D6189"/>
    <w:rsid w:val="3C7A1ABD"/>
    <w:rsid w:val="3C812464"/>
    <w:rsid w:val="3C85139E"/>
    <w:rsid w:val="3C8E5EA7"/>
    <w:rsid w:val="3C8E7AB6"/>
    <w:rsid w:val="3CB30A45"/>
    <w:rsid w:val="3CBF2D6A"/>
    <w:rsid w:val="3CC51781"/>
    <w:rsid w:val="3CC84549"/>
    <w:rsid w:val="3D080961"/>
    <w:rsid w:val="3D0C0513"/>
    <w:rsid w:val="3D2321D5"/>
    <w:rsid w:val="3D2A2527"/>
    <w:rsid w:val="3D325793"/>
    <w:rsid w:val="3D3E055F"/>
    <w:rsid w:val="3D4628FC"/>
    <w:rsid w:val="3D631D18"/>
    <w:rsid w:val="3D865F4C"/>
    <w:rsid w:val="3D9B0FF3"/>
    <w:rsid w:val="3D9E12A1"/>
    <w:rsid w:val="3DB836BF"/>
    <w:rsid w:val="3DBA1054"/>
    <w:rsid w:val="3DBF01AF"/>
    <w:rsid w:val="3DBF54D1"/>
    <w:rsid w:val="3DC701EB"/>
    <w:rsid w:val="3DD0070F"/>
    <w:rsid w:val="3DD0314B"/>
    <w:rsid w:val="3DD24540"/>
    <w:rsid w:val="3DD31094"/>
    <w:rsid w:val="3DE11624"/>
    <w:rsid w:val="3DFA21F0"/>
    <w:rsid w:val="3DFC1336"/>
    <w:rsid w:val="3DFF6D97"/>
    <w:rsid w:val="3E0A6273"/>
    <w:rsid w:val="3E4A01B8"/>
    <w:rsid w:val="3E4C2268"/>
    <w:rsid w:val="3E536402"/>
    <w:rsid w:val="3E5D2E08"/>
    <w:rsid w:val="3E65120B"/>
    <w:rsid w:val="3E6825AB"/>
    <w:rsid w:val="3E990BCE"/>
    <w:rsid w:val="3EA74100"/>
    <w:rsid w:val="3EA84B3D"/>
    <w:rsid w:val="3EC4153C"/>
    <w:rsid w:val="3ED71CC0"/>
    <w:rsid w:val="3ED723E2"/>
    <w:rsid w:val="3EE36D79"/>
    <w:rsid w:val="3EE43339"/>
    <w:rsid w:val="3EF53C17"/>
    <w:rsid w:val="3F0C16B6"/>
    <w:rsid w:val="3F2244FB"/>
    <w:rsid w:val="3F2376C5"/>
    <w:rsid w:val="3F373E09"/>
    <w:rsid w:val="3F396430"/>
    <w:rsid w:val="3F3D51AB"/>
    <w:rsid w:val="3F46049A"/>
    <w:rsid w:val="3F483449"/>
    <w:rsid w:val="3F4C559B"/>
    <w:rsid w:val="3F79605C"/>
    <w:rsid w:val="3F80503B"/>
    <w:rsid w:val="3F8276E6"/>
    <w:rsid w:val="3F8C483D"/>
    <w:rsid w:val="3F956F3B"/>
    <w:rsid w:val="3F9738B9"/>
    <w:rsid w:val="3FA91189"/>
    <w:rsid w:val="3FB54320"/>
    <w:rsid w:val="3FD40286"/>
    <w:rsid w:val="3FD85B95"/>
    <w:rsid w:val="3FDF57D7"/>
    <w:rsid w:val="3FE1730C"/>
    <w:rsid w:val="40006203"/>
    <w:rsid w:val="401A0A3D"/>
    <w:rsid w:val="4025470B"/>
    <w:rsid w:val="402E0D38"/>
    <w:rsid w:val="40355480"/>
    <w:rsid w:val="404439DB"/>
    <w:rsid w:val="40454E93"/>
    <w:rsid w:val="40457334"/>
    <w:rsid w:val="404A1C06"/>
    <w:rsid w:val="40533686"/>
    <w:rsid w:val="405E6311"/>
    <w:rsid w:val="406B6BFC"/>
    <w:rsid w:val="40805696"/>
    <w:rsid w:val="40945BD7"/>
    <w:rsid w:val="40C07E55"/>
    <w:rsid w:val="410406EE"/>
    <w:rsid w:val="411A2CA9"/>
    <w:rsid w:val="411C1CDD"/>
    <w:rsid w:val="412E769D"/>
    <w:rsid w:val="4159217C"/>
    <w:rsid w:val="415A2939"/>
    <w:rsid w:val="416B0A4A"/>
    <w:rsid w:val="418A1B92"/>
    <w:rsid w:val="418A2F70"/>
    <w:rsid w:val="41963683"/>
    <w:rsid w:val="419B6E25"/>
    <w:rsid w:val="41A22064"/>
    <w:rsid w:val="41AA597E"/>
    <w:rsid w:val="41BB7D66"/>
    <w:rsid w:val="41BD7303"/>
    <w:rsid w:val="42050C0E"/>
    <w:rsid w:val="420E585D"/>
    <w:rsid w:val="4214206C"/>
    <w:rsid w:val="421D3B80"/>
    <w:rsid w:val="421E197A"/>
    <w:rsid w:val="421F4397"/>
    <w:rsid w:val="42553004"/>
    <w:rsid w:val="425560C8"/>
    <w:rsid w:val="42640A6C"/>
    <w:rsid w:val="428B1BDB"/>
    <w:rsid w:val="428E0BC9"/>
    <w:rsid w:val="429121FE"/>
    <w:rsid w:val="429644F7"/>
    <w:rsid w:val="42BD6518"/>
    <w:rsid w:val="42DA0918"/>
    <w:rsid w:val="42E6012C"/>
    <w:rsid w:val="42E63401"/>
    <w:rsid w:val="42F33C51"/>
    <w:rsid w:val="430C340A"/>
    <w:rsid w:val="4324415B"/>
    <w:rsid w:val="432B2BDD"/>
    <w:rsid w:val="433B24A0"/>
    <w:rsid w:val="43442D25"/>
    <w:rsid w:val="434737C5"/>
    <w:rsid w:val="434C6777"/>
    <w:rsid w:val="43803E5D"/>
    <w:rsid w:val="438172BC"/>
    <w:rsid w:val="438D7205"/>
    <w:rsid w:val="43A31501"/>
    <w:rsid w:val="43A51A0F"/>
    <w:rsid w:val="43A63ED9"/>
    <w:rsid w:val="43CA4ED5"/>
    <w:rsid w:val="43D3039E"/>
    <w:rsid w:val="43DE3695"/>
    <w:rsid w:val="43F50C88"/>
    <w:rsid w:val="440F5CB7"/>
    <w:rsid w:val="4410164C"/>
    <w:rsid w:val="4421190E"/>
    <w:rsid w:val="44387A96"/>
    <w:rsid w:val="443F6059"/>
    <w:rsid w:val="4440389E"/>
    <w:rsid w:val="44404FD8"/>
    <w:rsid w:val="44467B33"/>
    <w:rsid w:val="44471594"/>
    <w:rsid w:val="44507687"/>
    <w:rsid w:val="446108C6"/>
    <w:rsid w:val="44983E14"/>
    <w:rsid w:val="449E6B70"/>
    <w:rsid w:val="44D101C0"/>
    <w:rsid w:val="44D37D84"/>
    <w:rsid w:val="44E7070D"/>
    <w:rsid w:val="44E96140"/>
    <w:rsid w:val="44EF407A"/>
    <w:rsid w:val="44FA35FD"/>
    <w:rsid w:val="45151EC2"/>
    <w:rsid w:val="452D6EC8"/>
    <w:rsid w:val="452E7CA8"/>
    <w:rsid w:val="455D6C0E"/>
    <w:rsid w:val="456237E3"/>
    <w:rsid w:val="45646473"/>
    <w:rsid w:val="45674650"/>
    <w:rsid w:val="45995EE5"/>
    <w:rsid w:val="45996092"/>
    <w:rsid w:val="45A20D7F"/>
    <w:rsid w:val="45A96BB7"/>
    <w:rsid w:val="45B70AB6"/>
    <w:rsid w:val="45BE1896"/>
    <w:rsid w:val="45C21258"/>
    <w:rsid w:val="45C374F7"/>
    <w:rsid w:val="45CF5588"/>
    <w:rsid w:val="45E535E5"/>
    <w:rsid w:val="45E642B4"/>
    <w:rsid w:val="45E76415"/>
    <w:rsid w:val="45FD2A9F"/>
    <w:rsid w:val="46185997"/>
    <w:rsid w:val="462C2D3B"/>
    <w:rsid w:val="46480C46"/>
    <w:rsid w:val="464E5B22"/>
    <w:rsid w:val="465719BA"/>
    <w:rsid w:val="466A2D2D"/>
    <w:rsid w:val="46C23E06"/>
    <w:rsid w:val="46C53057"/>
    <w:rsid w:val="46D2232B"/>
    <w:rsid w:val="46D766B5"/>
    <w:rsid w:val="46DB548E"/>
    <w:rsid w:val="46DD6135"/>
    <w:rsid w:val="46EF0895"/>
    <w:rsid w:val="470D6DF4"/>
    <w:rsid w:val="471609FC"/>
    <w:rsid w:val="473F2635"/>
    <w:rsid w:val="47470193"/>
    <w:rsid w:val="474E6020"/>
    <w:rsid w:val="4753398A"/>
    <w:rsid w:val="47537F64"/>
    <w:rsid w:val="476676F8"/>
    <w:rsid w:val="477E64CE"/>
    <w:rsid w:val="478A2625"/>
    <w:rsid w:val="478D0FC4"/>
    <w:rsid w:val="47995509"/>
    <w:rsid w:val="47A96D76"/>
    <w:rsid w:val="47BA075C"/>
    <w:rsid w:val="47BE498F"/>
    <w:rsid w:val="47DA3EE6"/>
    <w:rsid w:val="47E80D20"/>
    <w:rsid w:val="47F66132"/>
    <w:rsid w:val="47FE205C"/>
    <w:rsid w:val="48064ED6"/>
    <w:rsid w:val="48170CBE"/>
    <w:rsid w:val="48286180"/>
    <w:rsid w:val="48340FA3"/>
    <w:rsid w:val="4843730A"/>
    <w:rsid w:val="484E10BE"/>
    <w:rsid w:val="485F529B"/>
    <w:rsid w:val="48662799"/>
    <w:rsid w:val="48691363"/>
    <w:rsid w:val="48897354"/>
    <w:rsid w:val="48917477"/>
    <w:rsid w:val="48945E7F"/>
    <w:rsid w:val="489770C9"/>
    <w:rsid w:val="48B23078"/>
    <w:rsid w:val="48B90382"/>
    <w:rsid w:val="48CB623B"/>
    <w:rsid w:val="48D27C15"/>
    <w:rsid w:val="48FA645F"/>
    <w:rsid w:val="490D0375"/>
    <w:rsid w:val="490F4371"/>
    <w:rsid w:val="4922557C"/>
    <w:rsid w:val="493967AB"/>
    <w:rsid w:val="4953099D"/>
    <w:rsid w:val="495D5A00"/>
    <w:rsid w:val="496447B1"/>
    <w:rsid w:val="49656C49"/>
    <w:rsid w:val="49813E8A"/>
    <w:rsid w:val="4989236D"/>
    <w:rsid w:val="49BD5B82"/>
    <w:rsid w:val="49D6259B"/>
    <w:rsid w:val="49D62DD0"/>
    <w:rsid w:val="49DF7B2A"/>
    <w:rsid w:val="49ED3805"/>
    <w:rsid w:val="49F444EB"/>
    <w:rsid w:val="49F44C5D"/>
    <w:rsid w:val="49F64E79"/>
    <w:rsid w:val="4A0509F1"/>
    <w:rsid w:val="4A285F26"/>
    <w:rsid w:val="4A2B5779"/>
    <w:rsid w:val="4A300C6A"/>
    <w:rsid w:val="4A3029FF"/>
    <w:rsid w:val="4A317426"/>
    <w:rsid w:val="4A495F64"/>
    <w:rsid w:val="4A5F5DCB"/>
    <w:rsid w:val="4A6361B0"/>
    <w:rsid w:val="4A6D5817"/>
    <w:rsid w:val="4A6D5A21"/>
    <w:rsid w:val="4A764CF9"/>
    <w:rsid w:val="4A780E6E"/>
    <w:rsid w:val="4A7A4F85"/>
    <w:rsid w:val="4A7D61F3"/>
    <w:rsid w:val="4A9B63A3"/>
    <w:rsid w:val="4A9C4AA6"/>
    <w:rsid w:val="4AC13BA7"/>
    <w:rsid w:val="4AD0298E"/>
    <w:rsid w:val="4AD43CC2"/>
    <w:rsid w:val="4AF70013"/>
    <w:rsid w:val="4B03568E"/>
    <w:rsid w:val="4B073250"/>
    <w:rsid w:val="4B157281"/>
    <w:rsid w:val="4B1B4D9A"/>
    <w:rsid w:val="4B244692"/>
    <w:rsid w:val="4B3D2633"/>
    <w:rsid w:val="4B43338C"/>
    <w:rsid w:val="4B596AA2"/>
    <w:rsid w:val="4B6865B5"/>
    <w:rsid w:val="4B8455EB"/>
    <w:rsid w:val="4B845D24"/>
    <w:rsid w:val="4BA05124"/>
    <w:rsid w:val="4BA07593"/>
    <w:rsid w:val="4BAF5721"/>
    <w:rsid w:val="4BB932E2"/>
    <w:rsid w:val="4BBA1147"/>
    <w:rsid w:val="4C037012"/>
    <w:rsid w:val="4C2C12C3"/>
    <w:rsid w:val="4C3008D0"/>
    <w:rsid w:val="4C3679C6"/>
    <w:rsid w:val="4C390B55"/>
    <w:rsid w:val="4C5C5F9D"/>
    <w:rsid w:val="4C720AD0"/>
    <w:rsid w:val="4C75532B"/>
    <w:rsid w:val="4C7A5603"/>
    <w:rsid w:val="4C8111CA"/>
    <w:rsid w:val="4C8220ED"/>
    <w:rsid w:val="4C961F41"/>
    <w:rsid w:val="4CA334F9"/>
    <w:rsid w:val="4CA506A8"/>
    <w:rsid w:val="4CA86B2F"/>
    <w:rsid w:val="4CAB4709"/>
    <w:rsid w:val="4CB5597E"/>
    <w:rsid w:val="4CC153CA"/>
    <w:rsid w:val="4CCA2622"/>
    <w:rsid w:val="4CCF5635"/>
    <w:rsid w:val="4CD27DDB"/>
    <w:rsid w:val="4CD951A0"/>
    <w:rsid w:val="4CE05184"/>
    <w:rsid w:val="4CE524B9"/>
    <w:rsid w:val="4CE61651"/>
    <w:rsid w:val="4CF2752F"/>
    <w:rsid w:val="4D271487"/>
    <w:rsid w:val="4D2A7EDF"/>
    <w:rsid w:val="4D2B58BF"/>
    <w:rsid w:val="4D2E3A04"/>
    <w:rsid w:val="4D31441A"/>
    <w:rsid w:val="4D4030BE"/>
    <w:rsid w:val="4D40791C"/>
    <w:rsid w:val="4D4F1DEF"/>
    <w:rsid w:val="4D8515C9"/>
    <w:rsid w:val="4D890E9D"/>
    <w:rsid w:val="4D8F7DD5"/>
    <w:rsid w:val="4D901638"/>
    <w:rsid w:val="4D916E14"/>
    <w:rsid w:val="4D9F6363"/>
    <w:rsid w:val="4DB90941"/>
    <w:rsid w:val="4DC22632"/>
    <w:rsid w:val="4DD80CDF"/>
    <w:rsid w:val="4DDF6B8F"/>
    <w:rsid w:val="4DF236E4"/>
    <w:rsid w:val="4DF75681"/>
    <w:rsid w:val="4DFA0703"/>
    <w:rsid w:val="4E67354A"/>
    <w:rsid w:val="4E73266B"/>
    <w:rsid w:val="4E7929BA"/>
    <w:rsid w:val="4E7B6778"/>
    <w:rsid w:val="4E991BE4"/>
    <w:rsid w:val="4EA847B3"/>
    <w:rsid w:val="4EC5306C"/>
    <w:rsid w:val="4ECE3F06"/>
    <w:rsid w:val="4ED15497"/>
    <w:rsid w:val="4ED4741A"/>
    <w:rsid w:val="4EEE643C"/>
    <w:rsid w:val="4EEF4A17"/>
    <w:rsid w:val="4EFC126A"/>
    <w:rsid w:val="4EFD28C2"/>
    <w:rsid w:val="4F0D40E2"/>
    <w:rsid w:val="4F3A6603"/>
    <w:rsid w:val="4F3B2DCB"/>
    <w:rsid w:val="4F3C0C95"/>
    <w:rsid w:val="4F3C4273"/>
    <w:rsid w:val="4F6009B3"/>
    <w:rsid w:val="4F7D3F49"/>
    <w:rsid w:val="4F8B50E7"/>
    <w:rsid w:val="4FAF280B"/>
    <w:rsid w:val="4FB45182"/>
    <w:rsid w:val="4FB71A5D"/>
    <w:rsid w:val="4FB72C7A"/>
    <w:rsid w:val="4FC4795B"/>
    <w:rsid w:val="4FD25C82"/>
    <w:rsid w:val="4FD6135A"/>
    <w:rsid w:val="4FE00F0B"/>
    <w:rsid w:val="4FF379A4"/>
    <w:rsid w:val="4FFF16B7"/>
    <w:rsid w:val="500217A5"/>
    <w:rsid w:val="500F14D6"/>
    <w:rsid w:val="50125BCC"/>
    <w:rsid w:val="50220E8F"/>
    <w:rsid w:val="50500572"/>
    <w:rsid w:val="505C064C"/>
    <w:rsid w:val="50693ADF"/>
    <w:rsid w:val="506D5405"/>
    <w:rsid w:val="50950C9A"/>
    <w:rsid w:val="50AC4899"/>
    <w:rsid w:val="50B24934"/>
    <w:rsid w:val="50E920BD"/>
    <w:rsid w:val="50EE3B03"/>
    <w:rsid w:val="50F82A75"/>
    <w:rsid w:val="50FA3EB1"/>
    <w:rsid w:val="51053257"/>
    <w:rsid w:val="511D6E11"/>
    <w:rsid w:val="51431E42"/>
    <w:rsid w:val="5146092A"/>
    <w:rsid w:val="51634A9A"/>
    <w:rsid w:val="517073FB"/>
    <w:rsid w:val="517600F9"/>
    <w:rsid w:val="517A0EF1"/>
    <w:rsid w:val="51826FF2"/>
    <w:rsid w:val="518516ED"/>
    <w:rsid w:val="51852DBA"/>
    <w:rsid w:val="518571F6"/>
    <w:rsid w:val="518E3D0C"/>
    <w:rsid w:val="51906CB3"/>
    <w:rsid w:val="51A947E6"/>
    <w:rsid w:val="51D9122E"/>
    <w:rsid w:val="51F81EA3"/>
    <w:rsid w:val="51FB5766"/>
    <w:rsid w:val="52003972"/>
    <w:rsid w:val="52011459"/>
    <w:rsid w:val="5201513B"/>
    <w:rsid w:val="520274EA"/>
    <w:rsid w:val="52047653"/>
    <w:rsid w:val="52384E06"/>
    <w:rsid w:val="52387C4A"/>
    <w:rsid w:val="52535BCC"/>
    <w:rsid w:val="52623D08"/>
    <w:rsid w:val="52644CB0"/>
    <w:rsid w:val="52757A71"/>
    <w:rsid w:val="527C7722"/>
    <w:rsid w:val="52863AC7"/>
    <w:rsid w:val="52BF212E"/>
    <w:rsid w:val="52C21144"/>
    <w:rsid w:val="52EC5B41"/>
    <w:rsid w:val="52EF1A6C"/>
    <w:rsid w:val="52F6155C"/>
    <w:rsid w:val="52F9655C"/>
    <w:rsid w:val="531460EC"/>
    <w:rsid w:val="5315385C"/>
    <w:rsid w:val="531600F1"/>
    <w:rsid w:val="533162A1"/>
    <w:rsid w:val="5342491C"/>
    <w:rsid w:val="53806217"/>
    <w:rsid w:val="53A06ACE"/>
    <w:rsid w:val="53A85BF6"/>
    <w:rsid w:val="53B86A58"/>
    <w:rsid w:val="53C02053"/>
    <w:rsid w:val="53C072FC"/>
    <w:rsid w:val="53C56D73"/>
    <w:rsid w:val="53CC7CB4"/>
    <w:rsid w:val="53D233D8"/>
    <w:rsid w:val="53DD44AD"/>
    <w:rsid w:val="53E002AC"/>
    <w:rsid w:val="53E120F2"/>
    <w:rsid w:val="53FA3D7B"/>
    <w:rsid w:val="53FF5EFB"/>
    <w:rsid w:val="54196B64"/>
    <w:rsid w:val="54217E20"/>
    <w:rsid w:val="542875FB"/>
    <w:rsid w:val="54297BF9"/>
    <w:rsid w:val="543547EF"/>
    <w:rsid w:val="544822BD"/>
    <w:rsid w:val="54632D29"/>
    <w:rsid w:val="549E261B"/>
    <w:rsid w:val="54AF5270"/>
    <w:rsid w:val="54B1543D"/>
    <w:rsid w:val="54C27769"/>
    <w:rsid w:val="54C4350C"/>
    <w:rsid w:val="55036E2A"/>
    <w:rsid w:val="55157F87"/>
    <w:rsid w:val="5519173E"/>
    <w:rsid w:val="551D6E0E"/>
    <w:rsid w:val="55246B06"/>
    <w:rsid w:val="5534121F"/>
    <w:rsid w:val="55390B69"/>
    <w:rsid w:val="553B71F6"/>
    <w:rsid w:val="553F1E51"/>
    <w:rsid w:val="55743BFE"/>
    <w:rsid w:val="5579725C"/>
    <w:rsid w:val="557C65CC"/>
    <w:rsid w:val="55890B98"/>
    <w:rsid w:val="559F30F0"/>
    <w:rsid w:val="55A84BFE"/>
    <w:rsid w:val="55B45F63"/>
    <w:rsid w:val="55B90C0A"/>
    <w:rsid w:val="55D63591"/>
    <w:rsid w:val="55ED6C72"/>
    <w:rsid w:val="55FD7369"/>
    <w:rsid w:val="560A087F"/>
    <w:rsid w:val="56122C31"/>
    <w:rsid w:val="561974BB"/>
    <w:rsid w:val="56281E78"/>
    <w:rsid w:val="562A4387"/>
    <w:rsid w:val="56334986"/>
    <w:rsid w:val="56394FFE"/>
    <w:rsid w:val="564E2FEA"/>
    <w:rsid w:val="56520376"/>
    <w:rsid w:val="56533581"/>
    <w:rsid w:val="56556A86"/>
    <w:rsid w:val="565A2E32"/>
    <w:rsid w:val="568858B4"/>
    <w:rsid w:val="56AE6CD3"/>
    <w:rsid w:val="56CE0807"/>
    <w:rsid w:val="56CF1ADE"/>
    <w:rsid w:val="56FA2C95"/>
    <w:rsid w:val="57075BF9"/>
    <w:rsid w:val="57082B77"/>
    <w:rsid w:val="570E2351"/>
    <w:rsid w:val="57172D90"/>
    <w:rsid w:val="57260DE0"/>
    <w:rsid w:val="57313A9F"/>
    <w:rsid w:val="57386662"/>
    <w:rsid w:val="574511BD"/>
    <w:rsid w:val="574F03D9"/>
    <w:rsid w:val="57500B92"/>
    <w:rsid w:val="575F3E73"/>
    <w:rsid w:val="576F699C"/>
    <w:rsid w:val="57850AAF"/>
    <w:rsid w:val="57900DA2"/>
    <w:rsid w:val="57923690"/>
    <w:rsid w:val="57A21B1B"/>
    <w:rsid w:val="57A60B39"/>
    <w:rsid w:val="57AD6121"/>
    <w:rsid w:val="57BC62D0"/>
    <w:rsid w:val="57C6377C"/>
    <w:rsid w:val="57DB7459"/>
    <w:rsid w:val="58185E8D"/>
    <w:rsid w:val="581A3584"/>
    <w:rsid w:val="582020A9"/>
    <w:rsid w:val="58271974"/>
    <w:rsid w:val="58290DC5"/>
    <w:rsid w:val="583170EE"/>
    <w:rsid w:val="58366D88"/>
    <w:rsid w:val="584279F0"/>
    <w:rsid w:val="58527FC8"/>
    <w:rsid w:val="58647470"/>
    <w:rsid w:val="58723020"/>
    <w:rsid w:val="587303D7"/>
    <w:rsid w:val="58806C98"/>
    <w:rsid w:val="58961943"/>
    <w:rsid w:val="58B45DE2"/>
    <w:rsid w:val="58C67691"/>
    <w:rsid w:val="58CB0566"/>
    <w:rsid w:val="58D411FE"/>
    <w:rsid w:val="58E20B05"/>
    <w:rsid w:val="58E40C92"/>
    <w:rsid w:val="590162FC"/>
    <w:rsid w:val="590B0BE2"/>
    <w:rsid w:val="590E217B"/>
    <w:rsid w:val="59121580"/>
    <w:rsid w:val="593E4EAE"/>
    <w:rsid w:val="59695CB6"/>
    <w:rsid w:val="598C3104"/>
    <w:rsid w:val="59965D30"/>
    <w:rsid w:val="599D1F5B"/>
    <w:rsid w:val="59A41CA5"/>
    <w:rsid w:val="59A801F0"/>
    <w:rsid w:val="59B2180F"/>
    <w:rsid w:val="59B24FB1"/>
    <w:rsid w:val="59CC6F66"/>
    <w:rsid w:val="59E22D24"/>
    <w:rsid w:val="59F246AA"/>
    <w:rsid w:val="59F82FAA"/>
    <w:rsid w:val="59FA6DBB"/>
    <w:rsid w:val="5A18706C"/>
    <w:rsid w:val="5A2956B2"/>
    <w:rsid w:val="5A2F034B"/>
    <w:rsid w:val="5A334CA4"/>
    <w:rsid w:val="5A344A0C"/>
    <w:rsid w:val="5A376642"/>
    <w:rsid w:val="5A3E0892"/>
    <w:rsid w:val="5A4C460E"/>
    <w:rsid w:val="5A4D497B"/>
    <w:rsid w:val="5A874A8D"/>
    <w:rsid w:val="5A8B33BB"/>
    <w:rsid w:val="5A97386D"/>
    <w:rsid w:val="5A9A2F72"/>
    <w:rsid w:val="5A9C5DB6"/>
    <w:rsid w:val="5AB250D9"/>
    <w:rsid w:val="5AB44254"/>
    <w:rsid w:val="5AB47148"/>
    <w:rsid w:val="5AB95DB4"/>
    <w:rsid w:val="5ABA476B"/>
    <w:rsid w:val="5ABB4FF8"/>
    <w:rsid w:val="5ABC62D9"/>
    <w:rsid w:val="5AF12B77"/>
    <w:rsid w:val="5B2A3919"/>
    <w:rsid w:val="5B351435"/>
    <w:rsid w:val="5B691FD4"/>
    <w:rsid w:val="5B926846"/>
    <w:rsid w:val="5BA57414"/>
    <w:rsid w:val="5BB8544A"/>
    <w:rsid w:val="5C1C73FB"/>
    <w:rsid w:val="5C2A2C70"/>
    <w:rsid w:val="5C4952DC"/>
    <w:rsid w:val="5C51394C"/>
    <w:rsid w:val="5C72662A"/>
    <w:rsid w:val="5C960E86"/>
    <w:rsid w:val="5C9A5AE0"/>
    <w:rsid w:val="5CC15D47"/>
    <w:rsid w:val="5CCE3449"/>
    <w:rsid w:val="5CDE7166"/>
    <w:rsid w:val="5CE23177"/>
    <w:rsid w:val="5CE86B44"/>
    <w:rsid w:val="5CEE15FE"/>
    <w:rsid w:val="5CFD25D5"/>
    <w:rsid w:val="5D033BE7"/>
    <w:rsid w:val="5D2B4537"/>
    <w:rsid w:val="5D3C2E5D"/>
    <w:rsid w:val="5D5C0BDE"/>
    <w:rsid w:val="5D604509"/>
    <w:rsid w:val="5D703211"/>
    <w:rsid w:val="5D9E1D99"/>
    <w:rsid w:val="5DAD470E"/>
    <w:rsid w:val="5DC85EB7"/>
    <w:rsid w:val="5DD33B7E"/>
    <w:rsid w:val="5DE03167"/>
    <w:rsid w:val="5DFC0FC1"/>
    <w:rsid w:val="5E100AA4"/>
    <w:rsid w:val="5E135FCC"/>
    <w:rsid w:val="5E45181D"/>
    <w:rsid w:val="5E47579C"/>
    <w:rsid w:val="5E50105F"/>
    <w:rsid w:val="5E870EC2"/>
    <w:rsid w:val="5E8D672F"/>
    <w:rsid w:val="5E9138DC"/>
    <w:rsid w:val="5EB56C59"/>
    <w:rsid w:val="5EC461DB"/>
    <w:rsid w:val="5EC64E6D"/>
    <w:rsid w:val="5EE44A5F"/>
    <w:rsid w:val="5EEB1665"/>
    <w:rsid w:val="5F0A4389"/>
    <w:rsid w:val="5F2A0360"/>
    <w:rsid w:val="5F3D3A6B"/>
    <w:rsid w:val="5F5E1D1B"/>
    <w:rsid w:val="5F635AAB"/>
    <w:rsid w:val="5F672E83"/>
    <w:rsid w:val="5F702B80"/>
    <w:rsid w:val="5F973A30"/>
    <w:rsid w:val="5FB223E4"/>
    <w:rsid w:val="5FB34363"/>
    <w:rsid w:val="5FC446C9"/>
    <w:rsid w:val="5FC61843"/>
    <w:rsid w:val="5FCB0E07"/>
    <w:rsid w:val="5FD62FEA"/>
    <w:rsid w:val="5FDD424F"/>
    <w:rsid w:val="5FDF6B44"/>
    <w:rsid w:val="5FF13B6D"/>
    <w:rsid w:val="5FF31011"/>
    <w:rsid w:val="5FF9505A"/>
    <w:rsid w:val="5FFE0263"/>
    <w:rsid w:val="600F52EB"/>
    <w:rsid w:val="60152B0C"/>
    <w:rsid w:val="60297921"/>
    <w:rsid w:val="603424E2"/>
    <w:rsid w:val="605777D0"/>
    <w:rsid w:val="605E656B"/>
    <w:rsid w:val="608655C1"/>
    <w:rsid w:val="609465DD"/>
    <w:rsid w:val="60A10BD7"/>
    <w:rsid w:val="60B915E0"/>
    <w:rsid w:val="61071A00"/>
    <w:rsid w:val="611F1BFA"/>
    <w:rsid w:val="6127216E"/>
    <w:rsid w:val="612826A2"/>
    <w:rsid w:val="61302D6A"/>
    <w:rsid w:val="614B240F"/>
    <w:rsid w:val="61767A26"/>
    <w:rsid w:val="617732D0"/>
    <w:rsid w:val="61A07A90"/>
    <w:rsid w:val="61A41EF3"/>
    <w:rsid w:val="61CF1393"/>
    <w:rsid w:val="61E80983"/>
    <w:rsid w:val="61EB70F5"/>
    <w:rsid w:val="61EF14EF"/>
    <w:rsid w:val="62132500"/>
    <w:rsid w:val="621A1EA2"/>
    <w:rsid w:val="62567799"/>
    <w:rsid w:val="625A2D1C"/>
    <w:rsid w:val="627574D8"/>
    <w:rsid w:val="62812FAA"/>
    <w:rsid w:val="62894684"/>
    <w:rsid w:val="62903706"/>
    <w:rsid w:val="629358D4"/>
    <w:rsid w:val="62AC1B8A"/>
    <w:rsid w:val="62BC587D"/>
    <w:rsid w:val="62C03E1E"/>
    <w:rsid w:val="62C13140"/>
    <w:rsid w:val="62C570C0"/>
    <w:rsid w:val="62D13A6C"/>
    <w:rsid w:val="62D17FA8"/>
    <w:rsid w:val="62DD2EA7"/>
    <w:rsid w:val="62EB02B5"/>
    <w:rsid w:val="62EB04C8"/>
    <w:rsid w:val="62F77154"/>
    <w:rsid w:val="630F0EC2"/>
    <w:rsid w:val="6318550E"/>
    <w:rsid w:val="63353BCF"/>
    <w:rsid w:val="634F383A"/>
    <w:rsid w:val="63500CFE"/>
    <w:rsid w:val="637D1ECB"/>
    <w:rsid w:val="63BA052F"/>
    <w:rsid w:val="63BE0AD3"/>
    <w:rsid w:val="63F221BC"/>
    <w:rsid w:val="63F6567C"/>
    <w:rsid w:val="64032C6B"/>
    <w:rsid w:val="64061D04"/>
    <w:rsid w:val="64087A7B"/>
    <w:rsid w:val="640B57D3"/>
    <w:rsid w:val="641A5836"/>
    <w:rsid w:val="6432180C"/>
    <w:rsid w:val="64421735"/>
    <w:rsid w:val="64452D39"/>
    <w:rsid w:val="64585427"/>
    <w:rsid w:val="645B2788"/>
    <w:rsid w:val="646B6547"/>
    <w:rsid w:val="646F5CE5"/>
    <w:rsid w:val="6477726A"/>
    <w:rsid w:val="648D6455"/>
    <w:rsid w:val="64B72E0C"/>
    <w:rsid w:val="64B86B2D"/>
    <w:rsid w:val="64CB244A"/>
    <w:rsid w:val="64E31C9A"/>
    <w:rsid w:val="64EA4C89"/>
    <w:rsid w:val="64F32289"/>
    <w:rsid w:val="64F4303F"/>
    <w:rsid w:val="64FE0A7A"/>
    <w:rsid w:val="65036497"/>
    <w:rsid w:val="650B74EE"/>
    <w:rsid w:val="65150451"/>
    <w:rsid w:val="651C6FE9"/>
    <w:rsid w:val="651D3FC4"/>
    <w:rsid w:val="652D26C7"/>
    <w:rsid w:val="655059E1"/>
    <w:rsid w:val="65571136"/>
    <w:rsid w:val="65585F78"/>
    <w:rsid w:val="65604F99"/>
    <w:rsid w:val="65682F42"/>
    <w:rsid w:val="6584208A"/>
    <w:rsid w:val="65895139"/>
    <w:rsid w:val="65947981"/>
    <w:rsid w:val="659A1FB5"/>
    <w:rsid w:val="659A4539"/>
    <w:rsid w:val="65A652CF"/>
    <w:rsid w:val="65C32871"/>
    <w:rsid w:val="65C328EA"/>
    <w:rsid w:val="65D51FB2"/>
    <w:rsid w:val="65DA4CF7"/>
    <w:rsid w:val="65DF0CA7"/>
    <w:rsid w:val="65E24BB0"/>
    <w:rsid w:val="66014227"/>
    <w:rsid w:val="660C7630"/>
    <w:rsid w:val="660E3E13"/>
    <w:rsid w:val="661C5600"/>
    <w:rsid w:val="661C75BD"/>
    <w:rsid w:val="66206B4D"/>
    <w:rsid w:val="66405DB3"/>
    <w:rsid w:val="66530A5C"/>
    <w:rsid w:val="665836A7"/>
    <w:rsid w:val="667007E8"/>
    <w:rsid w:val="667E108E"/>
    <w:rsid w:val="667F356D"/>
    <w:rsid w:val="66B34699"/>
    <w:rsid w:val="66C34609"/>
    <w:rsid w:val="66FE4406"/>
    <w:rsid w:val="670B6EA6"/>
    <w:rsid w:val="67187ECE"/>
    <w:rsid w:val="6727739D"/>
    <w:rsid w:val="67320624"/>
    <w:rsid w:val="673A09AE"/>
    <w:rsid w:val="673E76D0"/>
    <w:rsid w:val="67504513"/>
    <w:rsid w:val="677243C5"/>
    <w:rsid w:val="67724BEA"/>
    <w:rsid w:val="677C68AC"/>
    <w:rsid w:val="67A16DDF"/>
    <w:rsid w:val="67AD71F1"/>
    <w:rsid w:val="67B558B7"/>
    <w:rsid w:val="67B96881"/>
    <w:rsid w:val="67D16185"/>
    <w:rsid w:val="67ED5C91"/>
    <w:rsid w:val="680A12F6"/>
    <w:rsid w:val="682928D9"/>
    <w:rsid w:val="683318FD"/>
    <w:rsid w:val="6845768F"/>
    <w:rsid w:val="684A2745"/>
    <w:rsid w:val="68694A1F"/>
    <w:rsid w:val="68727727"/>
    <w:rsid w:val="68786E71"/>
    <w:rsid w:val="688B4389"/>
    <w:rsid w:val="68A0671B"/>
    <w:rsid w:val="68B93CC3"/>
    <w:rsid w:val="68B960C7"/>
    <w:rsid w:val="68E11F64"/>
    <w:rsid w:val="68EF0D46"/>
    <w:rsid w:val="68F55C5D"/>
    <w:rsid w:val="68FE23F7"/>
    <w:rsid w:val="692C1C8F"/>
    <w:rsid w:val="69320D51"/>
    <w:rsid w:val="693370F8"/>
    <w:rsid w:val="69384D87"/>
    <w:rsid w:val="69452AD1"/>
    <w:rsid w:val="694B590C"/>
    <w:rsid w:val="694F16CF"/>
    <w:rsid w:val="69591A02"/>
    <w:rsid w:val="696848C8"/>
    <w:rsid w:val="696B2CBA"/>
    <w:rsid w:val="696F7F2A"/>
    <w:rsid w:val="69817BF8"/>
    <w:rsid w:val="698B577F"/>
    <w:rsid w:val="69972F92"/>
    <w:rsid w:val="699762C9"/>
    <w:rsid w:val="69981827"/>
    <w:rsid w:val="69A60607"/>
    <w:rsid w:val="69B87748"/>
    <w:rsid w:val="6A426C8D"/>
    <w:rsid w:val="6A44524F"/>
    <w:rsid w:val="6A582524"/>
    <w:rsid w:val="6A68006A"/>
    <w:rsid w:val="6A6A371E"/>
    <w:rsid w:val="6A6E1944"/>
    <w:rsid w:val="6A8403C2"/>
    <w:rsid w:val="6A8F1412"/>
    <w:rsid w:val="6A903551"/>
    <w:rsid w:val="6A944812"/>
    <w:rsid w:val="6A9F203B"/>
    <w:rsid w:val="6ABC5CB6"/>
    <w:rsid w:val="6AD02208"/>
    <w:rsid w:val="6ADE3F6B"/>
    <w:rsid w:val="6AED5A81"/>
    <w:rsid w:val="6AF32E2F"/>
    <w:rsid w:val="6AFF3CC9"/>
    <w:rsid w:val="6B0B793A"/>
    <w:rsid w:val="6B132234"/>
    <w:rsid w:val="6B4610E1"/>
    <w:rsid w:val="6B7B079E"/>
    <w:rsid w:val="6B7E1823"/>
    <w:rsid w:val="6B9A2307"/>
    <w:rsid w:val="6BA12017"/>
    <w:rsid w:val="6BA24C08"/>
    <w:rsid w:val="6BA55399"/>
    <w:rsid w:val="6BBC293F"/>
    <w:rsid w:val="6BC97482"/>
    <w:rsid w:val="6BD9606B"/>
    <w:rsid w:val="6BDA2FAE"/>
    <w:rsid w:val="6BDE7AE6"/>
    <w:rsid w:val="6BEF1E2F"/>
    <w:rsid w:val="6BFC50BC"/>
    <w:rsid w:val="6BFF59B7"/>
    <w:rsid w:val="6C11344C"/>
    <w:rsid w:val="6C134FBF"/>
    <w:rsid w:val="6C380E3A"/>
    <w:rsid w:val="6C4B4758"/>
    <w:rsid w:val="6C4F06C1"/>
    <w:rsid w:val="6C576F2D"/>
    <w:rsid w:val="6C680298"/>
    <w:rsid w:val="6C6C0B71"/>
    <w:rsid w:val="6C6D5838"/>
    <w:rsid w:val="6C7B0CBE"/>
    <w:rsid w:val="6C8A5926"/>
    <w:rsid w:val="6C952553"/>
    <w:rsid w:val="6C9F051B"/>
    <w:rsid w:val="6CA51388"/>
    <w:rsid w:val="6CC22FFA"/>
    <w:rsid w:val="6CC74771"/>
    <w:rsid w:val="6CF879DA"/>
    <w:rsid w:val="6CFD0614"/>
    <w:rsid w:val="6CFE2E1D"/>
    <w:rsid w:val="6D036C13"/>
    <w:rsid w:val="6D207157"/>
    <w:rsid w:val="6D3E5422"/>
    <w:rsid w:val="6D55344D"/>
    <w:rsid w:val="6D5F6682"/>
    <w:rsid w:val="6D7B66EA"/>
    <w:rsid w:val="6D7C5122"/>
    <w:rsid w:val="6D982BCA"/>
    <w:rsid w:val="6DB51690"/>
    <w:rsid w:val="6DB876AF"/>
    <w:rsid w:val="6DCA1943"/>
    <w:rsid w:val="6DCB4E90"/>
    <w:rsid w:val="6DD416E4"/>
    <w:rsid w:val="6DDE5E7F"/>
    <w:rsid w:val="6DE555D6"/>
    <w:rsid w:val="6DED0138"/>
    <w:rsid w:val="6DF74044"/>
    <w:rsid w:val="6E005A16"/>
    <w:rsid w:val="6E090523"/>
    <w:rsid w:val="6E16168F"/>
    <w:rsid w:val="6E205FD6"/>
    <w:rsid w:val="6E2F26AE"/>
    <w:rsid w:val="6E370799"/>
    <w:rsid w:val="6E471F93"/>
    <w:rsid w:val="6E5E7234"/>
    <w:rsid w:val="6E667928"/>
    <w:rsid w:val="6E6F2871"/>
    <w:rsid w:val="6E7921E8"/>
    <w:rsid w:val="6E863EA4"/>
    <w:rsid w:val="6E871171"/>
    <w:rsid w:val="6E8941F3"/>
    <w:rsid w:val="6E8E1B2B"/>
    <w:rsid w:val="6E9F5E9B"/>
    <w:rsid w:val="6EAA17BE"/>
    <w:rsid w:val="6EB8323D"/>
    <w:rsid w:val="6EE63F17"/>
    <w:rsid w:val="6EEB3AF6"/>
    <w:rsid w:val="6EEE4ED9"/>
    <w:rsid w:val="6F222A98"/>
    <w:rsid w:val="6F523436"/>
    <w:rsid w:val="6F7166F6"/>
    <w:rsid w:val="6F933322"/>
    <w:rsid w:val="6F940239"/>
    <w:rsid w:val="6FA27D4C"/>
    <w:rsid w:val="6FB241F8"/>
    <w:rsid w:val="6FB53332"/>
    <w:rsid w:val="6FCC5990"/>
    <w:rsid w:val="6FD14EA5"/>
    <w:rsid w:val="6FD31471"/>
    <w:rsid w:val="6FDC4FC3"/>
    <w:rsid w:val="6FF80A8F"/>
    <w:rsid w:val="6FFB7662"/>
    <w:rsid w:val="70094ED2"/>
    <w:rsid w:val="70570FF5"/>
    <w:rsid w:val="705A7660"/>
    <w:rsid w:val="7060463A"/>
    <w:rsid w:val="708417D4"/>
    <w:rsid w:val="70894A34"/>
    <w:rsid w:val="709C1327"/>
    <w:rsid w:val="70AF0B0E"/>
    <w:rsid w:val="70CA782D"/>
    <w:rsid w:val="70D3579E"/>
    <w:rsid w:val="70EE23B6"/>
    <w:rsid w:val="71007D30"/>
    <w:rsid w:val="710A3193"/>
    <w:rsid w:val="711102D2"/>
    <w:rsid w:val="713245A2"/>
    <w:rsid w:val="713C6FC6"/>
    <w:rsid w:val="71444497"/>
    <w:rsid w:val="71535404"/>
    <w:rsid w:val="715541A6"/>
    <w:rsid w:val="71687B5B"/>
    <w:rsid w:val="717B05A6"/>
    <w:rsid w:val="717B7FD8"/>
    <w:rsid w:val="71840E5C"/>
    <w:rsid w:val="7184489C"/>
    <w:rsid w:val="71902AE4"/>
    <w:rsid w:val="71A73234"/>
    <w:rsid w:val="71B06E02"/>
    <w:rsid w:val="71B715E0"/>
    <w:rsid w:val="71BF0765"/>
    <w:rsid w:val="71D71F74"/>
    <w:rsid w:val="71D912D4"/>
    <w:rsid w:val="71DB4038"/>
    <w:rsid w:val="71F20DEA"/>
    <w:rsid w:val="72080E01"/>
    <w:rsid w:val="7229032E"/>
    <w:rsid w:val="723430FA"/>
    <w:rsid w:val="72357A4A"/>
    <w:rsid w:val="725513DB"/>
    <w:rsid w:val="725D34E6"/>
    <w:rsid w:val="72953F04"/>
    <w:rsid w:val="72B27CB2"/>
    <w:rsid w:val="72BD5C84"/>
    <w:rsid w:val="72CA1C8E"/>
    <w:rsid w:val="72F62DED"/>
    <w:rsid w:val="730078FC"/>
    <w:rsid w:val="730A3E35"/>
    <w:rsid w:val="731B32C3"/>
    <w:rsid w:val="733A5DD6"/>
    <w:rsid w:val="733B309E"/>
    <w:rsid w:val="734934E2"/>
    <w:rsid w:val="73505231"/>
    <w:rsid w:val="73576CED"/>
    <w:rsid w:val="736A69E8"/>
    <w:rsid w:val="73892A07"/>
    <w:rsid w:val="738C335A"/>
    <w:rsid w:val="73CA5314"/>
    <w:rsid w:val="73D24CA1"/>
    <w:rsid w:val="73DF7FDA"/>
    <w:rsid w:val="73F96853"/>
    <w:rsid w:val="740B7090"/>
    <w:rsid w:val="742C2582"/>
    <w:rsid w:val="74820981"/>
    <w:rsid w:val="74835319"/>
    <w:rsid w:val="74A01E17"/>
    <w:rsid w:val="74A72014"/>
    <w:rsid w:val="74BA44BB"/>
    <w:rsid w:val="74C70189"/>
    <w:rsid w:val="74C84547"/>
    <w:rsid w:val="74CE2B0B"/>
    <w:rsid w:val="74F35FA9"/>
    <w:rsid w:val="751A3921"/>
    <w:rsid w:val="751F6AD9"/>
    <w:rsid w:val="752F48B2"/>
    <w:rsid w:val="75341056"/>
    <w:rsid w:val="75506001"/>
    <w:rsid w:val="755A2348"/>
    <w:rsid w:val="755D5A0A"/>
    <w:rsid w:val="75694E17"/>
    <w:rsid w:val="756D3B06"/>
    <w:rsid w:val="75724C91"/>
    <w:rsid w:val="75752FAA"/>
    <w:rsid w:val="7587423B"/>
    <w:rsid w:val="758A609D"/>
    <w:rsid w:val="759C3C2D"/>
    <w:rsid w:val="759E1D8F"/>
    <w:rsid w:val="75A35A28"/>
    <w:rsid w:val="75B81F99"/>
    <w:rsid w:val="75C55FD3"/>
    <w:rsid w:val="75DE1737"/>
    <w:rsid w:val="75FA20BE"/>
    <w:rsid w:val="75FF7F78"/>
    <w:rsid w:val="76003BE2"/>
    <w:rsid w:val="7618178E"/>
    <w:rsid w:val="761B584F"/>
    <w:rsid w:val="76343CA5"/>
    <w:rsid w:val="763D4F16"/>
    <w:rsid w:val="764A3CD3"/>
    <w:rsid w:val="76635A18"/>
    <w:rsid w:val="766E31EC"/>
    <w:rsid w:val="76752F45"/>
    <w:rsid w:val="768704C9"/>
    <w:rsid w:val="768946F7"/>
    <w:rsid w:val="769C0E3E"/>
    <w:rsid w:val="769C6C00"/>
    <w:rsid w:val="76AF60AC"/>
    <w:rsid w:val="76B145E2"/>
    <w:rsid w:val="76BC4508"/>
    <w:rsid w:val="76CB50E2"/>
    <w:rsid w:val="76F26DE2"/>
    <w:rsid w:val="770B4DD1"/>
    <w:rsid w:val="773076F2"/>
    <w:rsid w:val="7733706B"/>
    <w:rsid w:val="773A0EE5"/>
    <w:rsid w:val="77653B81"/>
    <w:rsid w:val="7769030A"/>
    <w:rsid w:val="77877C60"/>
    <w:rsid w:val="77BA0EA6"/>
    <w:rsid w:val="77C2448A"/>
    <w:rsid w:val="77C556C0"/>
    <w:rsid w:val="77C822DD"/>
    <w:rsid w:val="7807075C"/>
    <w:rsid w:val="781836F9"/>
    <w:rsid w:val="782563B0"/>
    <w:rsid w:val="78374B57"/>
    <w:rsid w:val="784126A6"/>
    <w:rsid w:val="784A3CD3"/>
    <w:rsid w:val="78615480"/>
    <w:rsid w:val="78812164"/>
    <w:rsid w:val="788C2661"/>
    <w:rsid w:val="78A703AF"/>
    <w:rsid w:val="78AC1E9F"/>
    <w:rsid w:val="78B76EA7"/>
    <w:rsid w:val="78FB0104"/>
    <w:rsid w:val="78FC3F71"/>
    <w:rsid w:val="79063F3E"/>
    <w:rsid w:val="790A172B"/>
    <w:rsid w:val="792E189B"/>
    <w:rsid w:val="79493484"/>
    <w:rsid w:val="795D308D"/>
    <w:rsid w:val="79673400"/>
    <w:rsid w:val="79676DE2"/>
    <w:rsid w:val="796850A8"/>
    <w:rsid w:val="7977219F"/>
    <w:rsid w:val="7978273D"/>
    <w:rsid w:val="799275B5"/>
    <w:rsid w:val="79AC79FB"/>
    <w:rsid w:val="79AD1192"/>
    <w:rsid w:val="79DA518F"/>
    <w:rsid w:val="79DB1DF5"/>
    <w:rsid w:val="79FE700A"/>
    <w:rsid w:val="7A02599B"/>
    <w:rsid w:val="7A1547FF"/>
    <w:rsid w:val="7A481EBA"/>
    <w:rsid w:val="7A5507C4"/>
    <w:rsid w:val="7A643CD7"/>
    <w:rsid w:val="7A652B57"/>
    <w:rsid w:val="7A8B1C79"/>
    <w:rsid w:val="7A9F1116"/>
    <w:rsid w:val="7AB42307"/>
    <w:rsid w:val="7ACD1F36"/>
    <w:rsid w:val="7AD62AFA"/>
    <w:rsid w:val="7AFA5C24"/>
    <w:rsid w:val="7B097BDE"/>
    <w:rsid w:val="7B123EC9"/>
    <w:rsid w:val="7B2037E2"/>
    <w:rsid w:val="7B376C34"/>
    <w:rsid w:val="7B3A0A78"/>
    <w:rsid w:val="7B484A08"/>
    <w:rsid w:val="7B614722"/>
    <w:rsid w:val="7B675BAF"/>
    <w:rsid w:val="7B6C2665"/>
    <w:rsid w:val="7B935302"/>
    <w:rsid w:val="7BA65D51"/>
    <w:rsid w:val="7BBF53C8"/>
    <w:rsid w:val="7BC37918"/>
    <w:rsid w:val="7BC44B32"/>
    <w:rsid w:val="7BC90C1C"/>
    <w:rsid w:val="7BD16478"/>
    <w:rsid w:val="7BDD0E17"/>
    <w:rsid w:val="7BDE611C"/>
    <w:rsid w:val="7BE85E4B"/>
    <w:rsid w:val="7C021D23"/>
    <w:rsid w:val="7C0750B2"/>
    <w:rsid w:val="7C0C4CCC"/>
    <w:rsid w:val="7C15390B"/>
    <w:rsid w:val="7C1B3232"/>
    <w:rsid w:val="7C4F2764"/>
    <w:rsid w:val="7C602641"/>
    <w:rsid w:val="7C80182D"/>
    <w:rsid w:val="7C816210"/>
    <w:rsid w:val="7CB138FF"/>
    <w:rsid w:val="7CB336CB"/>
    <w:rsid w:val="7CC24DA0"/>
    <w:rsid w:val="7CD347C3"/>
    <w:rsid w:val="7CDC699E"/>
    <w:rsid w:val="7D1563E6"/>
    <w:rsid w:val="7D3E0B18"/>
    <w:rsid w:val="7D3E70D3"/>
    <w:rsid w:val="7D4F6073"/>
    <w:rsid w:val="7D5C3EB4"/>
    <w:rsid w:val="7D5F0804"/>
    <w:rsid w:val="7D663E6F"/>
    <w:rsid w:val="7D71615B"/>
    <w:rsid w:val="7D912F29"/>
    <w:rsid w:val="7DA54F3A"/>
    <w:rsid w:val="7DA97FB2"/>
    <w:rsid w:val="7DB14677"/>
    <w:rsid w:val="7DBD0F25"/>
    <w:rsid w:val="7DC5730E"/>
    <w:rsid w:val="7DCA57F6"/>
    <w:rsid w:val="7DD64891"/>
    <w:rsid w:val="7DD73BA6"/>
    <w:rsid w:val="7DD74E45"/>
    <w:rsid w:val="7DFC1D56"/>
    <w:rsid w:val="7E1C6248"/>
    <w:rsid w:val="7E2B5B66"/>
    <w:rsid w:val="7E3D6F9A"/>
    <w:rsid w:val="7E4D14B0"/>
    <w:rsid w:val="7E5514BB"/>
    <w:rsid w:val="7E5E1B1E"/>
    <w:rsid w:val="7E6D0A27"/>
    <w:rsid w:val="7E704832"/>
    <w:rsid w:val="7E761F9C"/>
    <w:rsid w:val="7E800C15"/>
    <w:rsid w:val="7E853073"/>
    <w:rsid w:val="7E892F73"/>
    <w:rsid w:val="7E8F2119"/>
    <w:rsid w:val="7E953617"/>
    <w:rsid w:val="7ED634A8"/>
    <w:rsid w:val="7EE439ED"/>
    <w:rsid w:val="7EF1686D"/>
    <w:rsid w:val="7EFC1C0D"/>
    <w:rsid w:val="7F0A4EC1"/>
    <w:rsid w:val="7F171A2C"/>
    <w:rsid w:val="7F234629"/>
    <w:rsid w:val="7F2A7F3B"/>
    <w:rsid w:val="7F3E07EB"/>
    <w:rsid w:val="7F593177"/>
    <w:rsid w:val="7F96147F"/>
    <w:rsid w:val="7F9711EC"/>
    <w:rsid w:val="7F9814CA"/>
    <w:rsid w:val="7F9F4DEF"/>
    <w:rsid w:val="7FB004FC"/>
    <w:rsid w:val="7FB53AF5"/>
    <w:rsid w:val="7FE173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99"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2"/>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43"/>
    <w:autoRedefine/>
    <w:qFormat/>
    <w:uiPriority w:val="0"/>
    <w:pPr>
      <w:keepNext/>
      <w:keepLines/>
      <w:spacing w:before="260" w:after="260" w:line="412" w:lineRule="auto"/>
      <w:outlineLvl w:val="1"/>
    </w:pPr>
    <w:rPr>
      <w:rFonts w:ascii="Arial" w:hAnsi="Arial" w:eastAsia="??"/>
      <w:b/>
      <w:sz w:val="32"/>
      <w:szCs w:val="28"/>
    </w:rPr>
  </w:style>
  <w:style w:type="paragraph" w:styleId="4">
    <w:name w:val="heading 3"/>
    <w:basedOn w:val="1"/>
    <w:next w:val="1"/>
    <w:autoRedefine/>
    <w:qFormat/>
    <w:uiPriority w:val="0"/>
    <w:pPr>
      <w:keepNext/>
      <w:keepLines/>
      <w:autoSpaceDE w:val="0"/>
      <w:autoSpaceDN w:val="0"/>
      <w:adjustRightInd w:val="0"/>
      <w:spacing w:before="360" w:after="120"/>
      <w:jc w:val="left"/>
      <w:outlineLvl w:val="2"/>
    </w:pPr>
    <w:rPr>
      <w:rFonts w:ascii="宋体" w:hAnsi="Tahoma"/>
      <w:b/>
      <w:kern w:val="0"/>
      <w:sz w:val="24"/>
      <w:u w:val="single"/>
    </w:rPr>
  </w:style>
  <w:style w:type="paragraph" w:styleId="5">
    <w:name w:val="heading 4"/>
    <w:basedOn w:val="1"/>
    <w:next w:val="1"/>
    <w:autoRedefine/>
    <w:unhideWhenUsed/>
    <w:qFormat/>
    <w:uiPriority w:val="9"/>
    <w:pPr>
      <w:keepNext/>
      <w:keepLines/>
      <w:numPr>
        <w:ilvl w:val="3"/>
        <w:numId w:val="1"/>
      </w:numPr>
      <w:spacing w:before="280" w:after="290" w:line="480" w:lineRule="auto"/>
      <w:outlineLvl w:val="3"/>
    </w:pPr>
    <w:rPr>
      <w:b/>
      <w:sz w:val="30"/>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styleId="6">
    <w:name w:val="List Number"/>
    <w:basedOn w:val="1"/>
    <w:autoRedefine/>
    <w:qFormat/>
    <w:uiPriority w:val="0"/>
    <w:pPr>
      <w:widowControl/>
      <w:tabs>
        <w:tab w:val="left" w:pos="360"/>
        <w:tab w:val="left" w:pos="454"/>
        <w:tab w:val="left" w:pos="720"/>
      </w:tabs>
      <w:spacing w:after="156" w:afterLines="50"/>
      <w:ind w:left="454" w:hanging="284"/>
      <w:jc w:val="left"/>
    </w:pPr>
    <w:rPr>
      <w:kern w:val="0"/>
      <w:sz w:val="24"/>
    </w:rPr>
  </w:style>
  <w:style w:type="paragraph" w:styleId="7">
    <w:name w:val="Normal Indent"/>
    <w:basedOn w:val="1"/>
    <w:next w:val="8"/>
    <w:autoRedefine/>
    <w:qFormat/>
    <w:uiPriority w:val="0"/>
    <w:pPr>
      <w:spacing w:line="300" w:lineRule="auto"/>
      <w:ind w:firstLine="420"/>
    </w:pPr>
  </w:style>
  <w:style w:type="paragraph" w:styleId="8">
    <w:name w:val="Body Text Indent"/>
    <w:basedOn w:val="1"/>
    <w:link w:val="40"/>
    <w:autoRedefine/>
    <w:qFormat/>
    <w:uiPriority w:val="0"/>
    <w:pPr>
      <w:spacing w:after="120"/>
      <w:ind w:left="420" w:leftChars="200"/>
    </w:pPr>
  </w:style>
  <w:style w:type="paragraph" w:styleId="9">
    <w:name w:val="annotation text"/>
    <w:basedOn w:val="1"/>
    <w:link w:val="44"/>
    <w:autoRedefine/>
    <w:qFormat/>
    <w:uiPriority w:val="0"/>
    <w:pPr>
      <w:jc w:val="left"/>
    </w:pPr>
    <w:rPr>
      <w:szCs w:val="24"/>
    </w:rPr>
  </w:style>
  <w:style w:type="paragraph" w:styleId="10">
    <w:name w:val="Body Text"/>
    <w:basedOn w:val="1"/>
    <w:next w:val="11"/>
    <w:link w:val="37"/>
    <w:autoRedefine/>
    <w:qFormat/>
    <w:uiPriority w:val="0"/>
    <w:pPr>
      <w:spacing w:after="120"/>
    </w:pPr>
    <w:rPr>
      <w:rFonts w:eastAsia="??"/>
      <w:sz w:val="28"/>
      <w:szCs w:val="28"/>
    </w:rPr>
  </w:style>
  <w:style w:type="paragraph" w:styleId="11">
    <w:name w:val="Body Text First Indent"/>
    <w:basedOn w:val="10"/>
    <w:next w:val="1"/>
    <w:autoRedefine/>
    <w:qFormat/>
    <w:uiPriority w:val="0"/>
    <w:pPr>
      <w:ind w:firstLine="420" w:firstLineChars="100"/>
    </w:pPr>
    <w:rPr>
      <w:szCs w:val="24"/>
    </w:rPr>
  </w:style>
  <w:style w:type="paragraph" w:styleId="12">
    <w:name w:val="Block Text"/>
    <w:basedOn w:val="1"/>
    <w:autoRedefine/>
    <w:qFormat/>
    <w:uiPriority w:val="0"/>
    <w:pPr>
      <w:adjustRightInd w:val="0"/>
      <w:spacing w:line="300" w:lineRule="auto"/>
      <w:ind w:left="958" w:right="-120" w:rightChars="-120"/>
      <w:jc w:val="left"/>
    </w:pPr>
    <w:rPr>
      <w:rFonts w:ascii="宋体" w:hAnsi="宋体"/>
      <w:sz w:val="28"/>
    </w:rPr>
  </w:style>
  <w:style w:type="paragraph" w:styleId="13">
    <w:name w:val="Plain Text"/>
    <w:basedOn w:val="1"/>
    <w:link w:val="45"/>
    <w:autoRedefine/>
    <w:qFormat/>
    <w:uiPriority w:val="0"/>
    <w:rPr>
      <w:rFonts w:ascii="宋体" w:hAnsi="Courier New" w:eastAsia="仿宋_GB2312"/>
      <w:sz w:val="30"/>
    </w:rPr>
  </w:style>
  <w:style w:type="paragraph" w:styleId="14">
    <w:name w:val="Body Text Indent 2"/>
    <w:basedOn w:val="1"/>
    <w:link w:val="46"/>
    <w:autoRedefine/>
    <w:qFormat/>
    <w:uiPriority w:val="0"/>
    <w:pPr>
      <w:spacing w:line="500" w:lineRule="exact"/>
      <w:ind w:left="105" w:firstLine="465" w:firstLineChars="166"/>
    </w:pPr>
    <w:rPr>
      <w:sz w:val="28"/>
    </w:rPr>
  </w:style>
  <w:style w:type="paragraph" w:styleId="15">
    <w:name w:val="Balloon Text"/>
    <w:basedOn w:val="1"/>
    <w:link w:val="47"/>
    <w:autoRedefine/>
    <w:qFormat/>
    <w:uiPriority w:val="0"/>
    <w:rPr>
      <w:sz w:val="18"/>
      <w:szCs w:val="18"/>
    </w:rPr>
  </w:style>
  <w:style w:type="paragraph" w:styleId="16">
    <w:name w:val="footer"/>
    <w:basedOn w:val="1"/>
    <w:next w:val="17"/>
    <w:link w:val="48"/>
    <w:autoRedefine/>
    <w:qFormat/>
    <w:uiPriority w:val="0"/>
    <w:pPr>
      <w:tabs>
        <w:tab w:val="center" w:pos="4153"/>
        <w:tab w:val="right" w:pos="8306"/>
      </w:tabs>
      <w:snapToGrid w:val="0"/>
      <w:jc w:val="left"/>
    </w:pPr>
    <w:rPr>
      <w:sz w:val="18"/>
      <w:szCs w:val="18"/>
    </w:rPr>
  </w:style>
  <w:style w:type="paragraph" w:styleId="17">
    <w:name w:val="toc 2"/>
    <w:basedOn w:val="1"/>
    <w:next w:val="1"/>
    <w:autoRedefine/>
    <w:qFormat/>
    <w:uiPriority w:val="0"/>
    <w:pPr>
      <w:tabs>
        <w:tab w:val="right" w:leader="middleDot" w:pos="8948"/>
      </w:tabs>
      <w:spacing w:before="60" w:after="60"/>
      <w:ind w:left="210"/>
    </w:pPr>
    <w:rPr>
      <w:smallCaps/>
    </w:rPr>
  </w:style>
  <w:style w:type="paragraph" w:styleId="18">
    <w:name w:val="header"/>
    <w:basedOn w:val="1"/>
    <w:link w:val="49"/>
    <w:autoRedefine/>
    <w:qFormat/>
    <w:uiPriority w:val="0"/>
    <w:pPr>
      <w:pBdr>
        <w:bottom w:val="single" w:color="auto" w:sz="6" w:space="1"/>
      </w:pBdr>
      <w:tabs>
        <w:tab w:val="center" w:pos="4153"/>
        <w:tab w:val="right" w:pos="8306"/>
      </w:tabs>
      <w:snapToGrid w:val="0"/>
      <w:jc w:val="center"/>
    </w:pPr>
    <w:rPr>
      <w:sz w:val="18"/>
      <w:szCs w:val="18"/>
    </w:rPr>
  </w:style>
  <w:style w:type="paragraph" w:styleId="19">
    <w:name w:val="List"/>
    <w:basedOn w:val="1"/>
    <w:autoRedefine/>
    <w:qFormat/>
    <w:uiPriority w:val="0"/>
    <w:pPr>
      <w:ind w:left="200" w:hanging="200" w:hangingChars="200"/>
    </w:pPr>
  </w:style>
  <w:style w:type="paragraph" w:styleId="20">
    <w:name w:val="toc 6"/>
    <w:basedOn w:val="1"/>
    <w:next w:val="1"/>
    <w:autoRedefine/>
    <w:qFormat/>
    <w:uiPriority w:val="0"/>
    <w:pPr>
      <w:ind w:left="1000" w:leftChars="1000"/>
    </w:pPr>
  </w:style>
  <w:style w:type="paragraph" w:styleId="21">
    <w:name w:val="Body Text Indent 3"/>
    <w:basedOn w:val="1"/>
    <w:link w:val="50"/>
    <w:autoRedefine/>
    <w:qFormat/>
    <w:uiPriority w:val="0"/>
    <w:pPr>
      <w:spacing w:after="120"/>
      <w:ind w:left="420" w:leftChars="200"/>
    </w:pPr>
    <w:rPr>
      <w:sz w:val="16"/>
      <w:szCs w:val="16"/>
    </w:rPr>
  </w:style>
  <w:style w:type="paragraph" w:styleId="22">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23">
    <w:name w:val="Title"/>
    <w:basedOn w:val="1"/>
    <w:link w:val="51"/>
    <w:autoRedefine/>
    <w:qFormat/>
    <w:uiPriority w:val="0"/>
    <w:pPr>
      <w:jc w:val="center"/>
    </w:pPr>
    <w:rPr>
      <w:rFonts w:ascii="Calibri" w:hAnsi="Calibri"/>
      <w:sz w:val="30"/>
      <w:szCs w:val="30"/>
    </w:rPr>
  </w:style>
  <w:style w:type="paragraph" w:styleId="24">
    <w:name w:val="annotation subject"/>
    <w:basedOn w:val="9"/>
    <w:next w:val="9"/>
    <w:link w:val="52"/>
    <w:autoRedefine/>
    <w:qFormat/>
    <w:uiPriority w:val="0"/>
    <w:rPr>
      <w:b/>
      <w:bCs/>
    </w:rPr>
  </w:style>
  <w:style w:type="paragraph" w:styleId="25">
    <w:name w:val="Body Text First Indent 2"/>
    <w:basedOn w:val="8"/>
    <w:next w:val="10"/>
    <w:link w:val="41"/>
    <w:autoRedefine/>
    <w:qFormat/>
    <w:uiPriority w:val="0"/>
    <w:pPr>
      <w:ind w:firstLine="420" w:firstLineChars="200"/>
    </w:pPr>
  </w:style>
  <w:style w:type="table" w:styleId="27">
    <w:name w:val="Table Grid"/>
    <w:basedOn w:val="2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autoRedefine/>
    <w:qFormat/>
    <w:uiPriority w:val="22"/>
    <w:rPr>
      <w:rFonts w:ascii="Times New Roman" w:hAnsi="Times New Roman" w:eastAsia="宋体" w:cs="Times New Roman"/>
      <w:b/>
      <w:bCs/>
    </w:rPr>
  </w:style>
  <w:style w:type="character" w:styleId="30">
    <w:name w:val="page number"/>
    <w:autoRedefine/>
    <w:qFormat/>
    <w:uiPriority w:val="0"/>
    <w:rPr>
      <w:rFonts w:ascii="Times New Roman" w:hAnsi="Times New Roman" w:eastAsia="宋体" w:cs="Times New Roman"/>
    </w:rPr>
  </w:style>
  <w:style w:type="character" w:styleId="31">
    <w:name w:val="Hyperlink"/>
    <w:autoRedefine/>
    <w:qFormat/>
    <w:uiPriority w:val="0"/>
    <w:rPr>
      <w:rFonts w:ascii="Times New Roman" w:hAnsi="Times New Roman" w:eastAsia="宋体" w:cs="Times New Roman"/>
      <w:color w:val="0000FF"/>
      <w:u w:val="single"/>
    </w:rPr>
  </w:style>
  <w:style w:type="character" w:styleId="32">
    <w:name w:val="annotation reference"/>
    <w:autoRedefine/>
    <w:qFormat/>
    <w:uiPriority w:val="0"/>
    <w:rPr>
      <w:rFonts w:ascii="Times New Roman" w:hAnsi="Times New Roman" w:eastAsia="宋体" w:cs="Times New Roman"/>
      <w:sz w:val="21"/>
      <w:szCs w:val="21"/>
    </w:rPr>
  </w:style>
  <w:style w:type="character" w:styleId="33">
    <w:name w:val="HTML Sample"/>
    <w:autoRedefine/>
    <w:qFormat/>
    <w:uiPriority w:val="99"/>
    <w:rPr>
      <w:rFonts w:ascii="Courier New" w:hAnsi="Courier New" w:eastAsia="宋体" w:cs="Times New Roman"/>
    </w:rPr>
  </w:style>
  <w:style w:type="paragraph" w:customStyle="1" w:styleId="34">
    <w:name w:val="表格文字"/>
    <w:basedOn w:val="13"/>
    <w:next w:val="10"/>
    <w:autoRedefine/>
    <w:qFormat/>
    <w:uiPriority w:val="0"/>
    <w:pPr>
      <w:adjustRightInd w:val="0"/>
      <w:spacing w:line="420" w:lineRule="atLeast"/>
      <w:textAlignment w:val="baseline"/>
    </w:pPr>
    <w:rPr>
      <w:rFonts w:ascii="Calibri" w:hAnsi="Calibri" w:eastAsia="宋体"/>
      <w:sz w:val="28"/>
    </w:rPr>
  </w:style>
  <w:style w:type="paragraph" w:customStyle="1" w:styleId="35">
    <w:name w:val="样式 正文文本缩进 + 首行缩进:  2 字符 行距: 1.5 倍行距"/>
    <w:basedOn w:val="8"/>
    <w:autoRedefine/>
    <w:qFormat/>
    <w:uiPriority w:val="0"/>
    <w:pPr>
      <w:spacing w:before="156" w:line="360" w:lineRule="auto"/>
      <w:ind w:left="0" w:leftChars="0" w:firstLine="482"/>
    </w:pPr>
    <w:rPr>
      <w:rFonts w:eastAsia="仿宋" w:cs="宋体"/>
      <w:b/>
      <w:sz w:val="20"/>
    </w:rPr>
  </w:style>
  <w:style w:type="paragraph" w:customStyle="1" w:styleId="36">
    <w:name w:val="_Style 3"/>
    <w:basedOn w:val="1"/>
    <w:autoRedefine/>
    <w:qFormat/>
    <w:uiPriority w:val="0"/>
    <w:pPr>
      <w:widowControl/>
      <w:spacing w:after="200" w:line="276" w:lineRule="auto"/>
      <w:ind w:left="720"/>
      <w:contextualSpacing/>
      <w:jc w:val="left"/>
    </w:pPr>
    <w:rPr>
      <w:rFonts w:ascii="Calibri" w:hAnsi="Calibri"/>
      <w:kern w:val="0"/>
      <w:sz w:val="22"/>
      <w:szCs w:val="22"/>
    </w:rPr>
  </w:style>
  <w:style w:type="character" w:customStyle="1" w:styleId="37">
    <w:name w:val="正文文本 字符"/>
    <w:link w:val="10"/>
    <w:autoRedefine/>
    <w:qFormat/>
    <w:uiPriority w:val="0"/>
    <w:rPr>
      <w:rFonts w:ascii="Times New Roman" w:hAnsi="Times New Roman" w:eastAsia="??" w:cs="Times New Roman"/>
      <w:kern w:val="2"/>
      <w:sz w:val="28"/>
      <w:szCs w:val="28"/>
      <w:lang w:val="en-US" w:eastAsia="zh-CN" w:bidi="ar-SA"/>
    </w:rPr>
  </w:style>
  <w:style w:type="paragraph" w:customStyle="1" w:styleId="38">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9">
    <w:name w:val="正文1"/>
    <w:basedOn w:val="1"/>
    <w:next w:val="1"/>
    <w:autoRedefine/>
    <w:qFormat/>
    <w:uiPriority w:val="0"/>
    <w:pPr>
      <w:adjustRightInd w:val="0"/>
      <w:spacing w:line="318" w:lineRule="atLeast"/>
      <w:ind w:left="369" w:firstLine="369"/>
      <w:textAlignment w:val="baseline"/>
    </w:pPr>
    <w:rPr>
      <w:rFonts w:ascii="宋体"/>
    </w:rPr>
  </w:style>
  <w:style w:type="character" w:customStyle="1" w:styleId="40">
    <w:name w:val="正文文本缩进 字符"/>
    <w:link w:val="8"/>
    <w:autoRedefine/>
    <w:qFormat/>
    <w:uiPriority w:val="0"/>
    <w:rPr>
      <w:rFonts w:ascii="Times New Roman" w:hAnsi="Times New Roman" w:eastAsia="宋体" w:cs="Times New Roman"/>
      <w:kern w:val="2"/>
      <w:sz w:val="21"/>
    </w:rPr>
  </w:style>
  <w:style w:type="character" w:customStyle="1" w:styleId="41">
    <w:name w:val="正文文本首行缩进 2 字符"/>
    <w:link w:val="25"/>
    <w:autoRedefine/>
    <w:qFormat/>
    <w:uiPriority w:val="0"/>
    <w:rPr>
      <w:rFonts w:ascii="Times New Roman" w:hAnsi="Times New Roman" w:eastAsia="宋体" w:cs="Times New Roman"/>
    </w:rPr>
  </w:style>
  <w:style w:type="character" w:customStyle="1" w:styleId="42">
    <w:name w:val="标题 1 字符"/>
    <w:link w:val="2"/>
    <w:autoRedefine/>
    <w:qFormat/>
    <w:uiPriority w:val="0"/>
    <w:rPr>
      <w:rFonts w:ascii="Times New Roman" w:hAnsi="Times New Roman" w:eastAsia="宋体" w:cs="Times New Roman"/>
      <w:b/>
      <w:bCs/>
      <w:kern w:val="44"/>
      <w:sz w:val="44"/>
      <w:szCs w:val="44"/>
    </w:rPr>
  </w:style>
  <w:style w:type="character" w:customStyle="1" w:styleId="43">
    <w:name w:val="标题 2 字符"/>
    <w:link w:val="3"/>
    <w:autoRedefine/>
    <w:qFormat/>
    <w:uiPriority w:val="0"/>
    <w:rPr>
      <w:rFonts w:ascii="Arial" w:hAnsi="Arial" w:eastAsia="??" w:cs="Times New Roman"/>
      <w:b/>
      <w:kern w:val="2"/>
      <w:sz w:val="32"/>
      <w:szCs w:val="28"/>
      <w:lang w:val="en-US" w:eastAsia="zh-CN" w:bidi="ar-SA"/>
    </w:rPr>
  </w:style>
  <w:style w:type="character" w:customStyle="1" w:styleId="44">
    <w:name w:val="批注文字 字符"/>
    <w:link w:val="9"/>
    <w:autoRedefine/>
    <w:qFormat/>
    <w:uiPriority w:val="0"/>
    <w:rPr>
      <w:rFonts w:ascii="Times New Roman" w:hAnsi="Times New Roman" w:eastAsia="宋体" w:cs="Times New Roman"/>
      <w:kern w:val="2"/>
      <w:sz w:val="21"/>
      <w:szCs w:val="24"/>
    </w:rPr>
  </w:style>
  <w:style w:type="character" w:customStyle="1" w:styleId="45">
    <w:name w:val="纯文本 字符"/>
    <w:link w:val="13"/>
    <w:autoRedefine/>
    <w:qFormat/>
    <w:uiPriority w:val="0"/>
    <w:rPr>
      <w:rFonts w:ascii="宋体" w:hAnsi="Courier New" w:eastAsia="仿宋_GB2312" w:cs="Times New Roman"/>
      <w:kern w:val="2"/>
      <w:sz w:val="30"/>
      <w:lang w:val="en-US" w:eastAsia="zh-CN" w:bidi="ar-SA"/>
    </w:rPr>
  </w:style>
  <w:style w:type="character" w:customStyle="1" w:styleId="46">
    <w:name w:val="正文文本缩进 2 字符"/>
    <w:link w:val="14"/>
    <w:autoRedefine/>
    <w:qFormat/>
    <w:uiPriority w:val="0"/>
    <w:rPr>
      <w:rFonts w:ascii="Times New Roman" w:hAnsi="Times New Roman" w:eastAsia="宋体" w:cs="Times New Roman"/>
      <w:kern w:val="2"/>
      <w:sz w:val="28"/>
    </w:rPr>
  </w:style>
  <w:style w:type="character" w:customStyle="1" w:styleId="47">
    <w:name w:val="批注框文本 字符"/>
    <w:link w:val="15"/>
    <w:autoRedefine/>
    <w:qFormat/>
    <w:uiPriority w:val="0"/>
    <w:rPr>
      <w:rFonts w:ascii="Times New Roman" w:hAnsi="Times New Roman" w:eastAsia="宋体" w:cs="Times New Roman"/>
      <w:kern w:val="2"/>
      <w:sz w:val="18"/>
      <w:szCs w:val="18"/>
    </w:rPr>
  </w:style>
  <w:style w:type="character" w:customStyle="1" w:styleId="48">
    <w:name w:val="页脚 字符"/>
    <w:link w:val="16"/>
    <w:autoRedefine/>
    <w:qFormat/>
    <w:uiPriority w:val="0"/>
    <w:rPr>
      <w:rFonts w:ascii="Times New Roman" w:hAnsi="Times New Roman" w:eastAsia="宋体" w:cs="Times New Roman"/>
      <w:kern w:val="2"/>
      <w:sz w:val="18"/>
      <w:szCs w:val="18"/>
    </w:rPr>
  </w:style>
  <w:style w:type="character" w:customStyle="1" w:styleId="49">
    <w:name w:val="页眉 字符"/>
    <w:link w:val="18"/>
    <w:autoRedefine/>
    <w:qFormat/>
    <w:uiPriority w:val="0"/>
    <w:rPr>
      <w:rFonts w:ascii="Times New Roman" w:hAnsi="Times New Roman" w:eastAsia="宋体" w:cs="Times New Roman"/>
      <w:kern w:val="2"/>
      <w:sz w:val="18"/>
      <w:szCs w:val="18"/>
    </w:rPr>
  </w:style>
  <w:style w:type="character" w:customStyle="1" w:styleId="50">
    <w:name w:val="正文文本缩进 3 字符"/>
    <w:link w:val="21"/>
    <w:autoRedefine/>
    <w:qFormat/>
    <w:uiPriority w:val="0"/>
    <w:rPr>
      <w:rFonts w:ascii="Times New Roman" w:hAnsi="Times New Roman" w:eastAsia="宋体" w:cs="Times New Roman"/>
      <w:kern w:val="2"/>
      <w:sz w:val="16"/>
      <w:szCs w:val="16"/>
    </w:rPr>
  </w:style>
  <w:style w:type="character" w:customStyle="1" w:styleId="51">
    <w:name w:val="标题 字符"/>
    <w:link w:val="23"/>
    <w:autoRedefine/>
    <w:qFormat/>
    <w:uiPriority w:val="0"/>
    <w:rPr>
      <w:rFonts w:ascii="Calibri" w:hAnsi="Calibri" w:eastAsia="宋体" w:cs="Times New Roman"/>
      <w:kern w:val="2"/>
      <w:sz w:val="30"/>
      <w:szCs w:val="30"/>
    </w:rPr>
  </w:style>
  <w:style w:type="character" w:customStyle="1" w:styleId="52">
    <w:name w:val="批注主题 字符"/>
    <w:link w:val="24"/>
    <w:autoRedefine/>
    <w:qFormat/>
    <w:uiPriority w:val="0"/>
    <w:rPr>
      <w:rFonts w:ascii="Times New Roman" w:hAnsi="Times New Roman" w:eastAsia="宋体" w:cs="Times New Roman"/>
      <w:b/>
      <w:bCs/>
      <w:kern w:val="2"/>
      <w:sz w:val="21"/>
      <w:szCs w:val="24"/>
    </w:rPr>
  </w:style>
  <w:style w:type="paragraph" w:customStyle="1" w:styleId="53">
    <w:name w:val="正文首行缩进 21"/>
    <w:basedOn w:val="54"/>
    <w:autoRedefine/>
    <w:qFormat/>
    <w:uiPriority w:val="0"/>
    <w:pPr>
      <w:ind w:firstLine="420"/>
    </w:pPr>
    <w:rPr>
      <w:rFonts w:ascii="Times New Roman" w:eastAsia="宋体"/>
    </w:rPr>
  </w:style>
  <w:style w:type="paragraph" w:customStyle="1" w:styleId="54">
    <w:name w:val="正文文本缩进1"/>
    <w:basedOn w:val="1"/>
    <w:autoRedefine/>
    <w:qFormat/>
    <w:uiPriority w:val="0"/>
    <w:pPr>
      <w:ind w:firstLine="200"/>
    </w:pPr>
    <w:rPr>
      <w:rFonts w:ascii="仿宋_GB2312" w:eastAsia="仿宋_GB2312"/>
      <w:sz w:val="32"/>
    </w:rPr>
  </w:style>
  <w:style w:type="paragraph" w:customStyle="1" w:styleId="55">
    <w:name w:val="Default Text"/>
    <w:basedOn w:val="1"/>
    <w:autoRedefine/>
    <w:qFormat/>
    <w:uiPriority w:val="0"/>
    <w:pPr>
      <w:widowControl/>
      <w:overflowPunct w:val="0"/>
      <w:autoSpaceDE w:val="0"/>
      <w:autoSpaceDN w:val="0"/>
      <w:adjustRightInd w:val="0"/>
      <w:jc w:val="left"/>
      <w:textAlignment w:val="baseline"/>
    </w:pPr>
    <w:rPr>
      <w:kern w:val="0"/>
      <w:sz w:val="24"/>
    </w:rPr>
  </w:style>
  <w:style w:type="paragraph" w:customStyle="1" w:styleId="56">
    <w:name w:val="无间隔1"/>
    <w:autoRedefine/>
    <w:qFormat/>
    <w:uiPriority w:val="0"/>
    <w:pPr>
      <w:widowControl w:val="0"/>
      <w:jc w:val="both"/>
    </w:pPr>
    <w:rPr>
      <w:rFonts w:ascii="Times New Roman" w:hAnsi="Times New Roman" w:eastAsia="Times New Roman" w:cs="Calibri"/>
      <w:kern w:val="2"/>
      <w:sz w:val="21"/>
      <w:szCs w:val="22"/>
      <w:lang w:val="en-US" w:eastAsia="zh-CN" w:bidi="ar-SA"/>
    </w:rPr>
  </w:style>
  <w:style w:type="character" w:customStyle="1" w:styleId="57">
    <w:name w:val="apple-style-span"/>
    <w:autoRedefine/>
    <w:qFormat/>
    <w:uiPriority w:val="0"/>
    <w:rPr>
      <w:rFonts w:ascii="Tahoma" w:hAnsi="Tahoma" w:eastAsia="宋体" w:cs="Times New Roman"/>
      <w:sz w:val="24"/>
      <w:szCs w:val="20"/>
    </w:rPr>
  </w:style>
  <w:style w:type="character" w:customStyle="1" w:styleId="58">
    <w:name w:val="font51"/>
    <w:basedOn w:val="28"/>
    <w:autoRedefine/>
    <w:qFormat/>
    <w:uiPriority w:val="0"/>
    <w:rPr>
      <w:rFonts w:hint="eastAsia" w:ascii="宋体" w:hAnsi="宋体" w:eastAsia="宋体" w:cs="宋体"/>
      <w:color w:val="000000"/>
      <w:sz w:val="22"/>
      <w:szCs w:val="22"/>
      <w:u w:val="none"/>
    </w:rPr>
  </w:style>
  <w:style w:type="character" w:customStyle="1" w:styleId="59">
    <w:name w:val="NormalCharacter"/>
    <w:autoRedefine/>
    <w:qFormat/>
    <w:uiPriority w:val="0"/>
    <w:rPr>
      <w:rFonts w:ascii="Calibri" w:hAnsi="Calibri" w:eastAsia="宋体" w:cs="Times New Roman"/>
    </w:rPr>
  </w:style>
  <w:style w:type="character" w:customStyle="1" w:styleId="60">
    <w:name w:val="font01"/>
    <w:basedOn w:val="28"/>
    <w:autoRedefine/>
    <w:qFormat/>
    <w:uiPriority w:val="0"/>
    <w:rPr>
      <w:rFonts w:hint="eastAsia" w:ascii="宋体" w:hAnsi="宋体" w:eastAsia="宋体" w:cs="宋体"/>
      <w:b/>
      <w:color w:val="000000"/>
      <w:sz w:val="40"/>
      <w:szCs w:val="40"/>
      <w:u w:val="none"/>
    </w:rPr>
  </w:style>
  <w:style w:type="character" w:customStyle="1" w:styleId="61">
    <w:name w:val="font91"/>
    <w:basedOn w:val="28"/>
    <w:autoRedefine/>
    <w:qFormat/>
    <w:uiPriority w:val="0"/>
    <w:rPr>
      <w:rFonts w:hint="eastAsia" w:ascii="宋体" w:hAnsi="宋体" w:eastAsia="宋体" w:cs="宋体"/>
      <w:color w:val="000000"/>
      <w:sz w:val="20"/>
      <w:szCs w:val="20"/>
      <w:u w:val="none"/>
    </w:rPr>
  </w:style>
  <w:style w:type="character" w:customStyle="1" w:styleId="62">
    <w:name w:val="font11"/>
    <w:basedOn w:val="28"/>
    <w:autoRedefine/>
    <w:qFormat/>
    <w:uiPriority w:val="0"/>
    <w:rPr>
      <w:rFonts w:hint="eastAsia" w:ascii="宋体" w:hAnsi="宋体" w:eastAsia="宋体" w:cs="宋体"/>
      <w:b/>
      <w:color w:val="000000"/>
      <w:sz w:val="22"/>
      <w:szCs w:val="22"/>
      <w:u w:val="none"/>
    </w:rPr>
  </w:style>
  <w:style w:type="character" w:customStyle="1" w:styleId="63">
    <w:name w:val="font112"/>
    <w:autoRedefine/>
    <w:qFormat/>
    <w:uiPriority w:val="0"/>
    <w:rPr>
      <w:rFonts w:hint="eastAsia" w:ascii="宋体" w:hAnsi="宋体" w:eastAsia="宋体" w:cs="宋体"/>
      <w:color w:val="000000"/>
      <w:sz w:val="22"/>
      <w:szCs w:val="22"/>
      <w:u w:val="none"/>
    </w:rPr>
  </w:style>
  <w:style w:type="character" w:customStyle="1" w:styleId="64">
    <w:name w:val="font61"/>
    <w:autoRedefine/>
    <w:qFormat/>
    <w:uiPriority w:val="0"/>
    <w:rPr>
      <w:rFonts w:hint="default" w:ascii="Times New Roman" w:hAnsi="Times New Roman" w:eastAsia="宋体" w:cs="Times New Roman"/>
      <w:color w:val="000000"/>
      <w:sz w:val="20"/>
      <w:szCs w:val="20"/>
      <w:u w:val="none"/>
    </w:rPr>
  </w:style>
  <w:style w:type="character" w:customStyle="1" w:styleId="65">
    <w:name w:val="font81"/>
    <w:basedOn w:val="28"/>
    <w:autoRedefine/>
    <w:qFormat/>
    <w:uiPriority w:val="0"/>
    <w:rPr>
      <w:rFonts w:hint="eastAsia" w:ascii="宋体" w:hAnsi="宋体" w:eastAsia="宋体" w:cs="宋体"/>
      <w:color w:val="000000"/>
      <w:sz w:val="20"/>
      <w:szCs w:val="20"/>
      <w:u w:val="none"/>
    </w:rPr>
  </w:style>
  <w:style w:type="character" w:customStyle="1" w:styleId="66">
    <w:name w:val="Char Char7"/>
    <w:autoRedefine/>
    <w:qFormat/>
    <w:uiPriority w:val="0"/>
    <w:rPr>
      <w:rFonts w:ascii="??" w:hAnsi="??" w:eastAsia="??" w:cs="宋体"/>
      <w:kern w:val="2"/>
      <w:sz w:val="24"/>
      <w:szCs w:val="28"/>
    </w:rPr>
  </w:style>
  <w:style w:type="character" w:customStyle="1" w:styleId="67">
    <w:name w:val="font71"/>
    <w:basedOn w:val="28"/>
    <w:autoRedefine/>
    <w:qFormat/>
    <w:uiPriority w:val="0"/>
    <w:rPr>
      <w:rFonts w:ascii="Arial" w:hAnsi="Arial" w:eastAsia="宋体" w:cs="Arial"/>
      <w:color w:val="000000"/>
      <w:sz w:val="20"/>
      <w:szCs w:val="20"/>
      <w:u w:val="none"/>
    </w:rPr>
  </w:style>
  <w:style w:type="paragraph" w:customStyle="1" w:styleId="68">
    <w:name w:val="中等深浅列表 2 - 强调文字颜色 41"/>
    <w:basedOn w:val="1"/>
    <w:autoRedefine/>
    <w:qFormat/>
    <w:uiPriority w:val="0"/>
    <w:pPr>
      <w:ind w:firstLine="420" w:firstLineChars="200"/>
    </w:pPr>
    <w:rPr>
      <w:rFonts w:ascii="Calibri" w:hAnsi="Calibri"/>
      <w:szCs w:val="22"/>
    </w:rPr>
  </w:style>
  <w:style w:type="paragraph" w:customStyle="1" w:styleId="69">
    <w:name w:val="正文样式"/>
    <w:basedOn w:val="1"/>
    <w:autoRedefine/>
    <w:qFormat/>
    <w:uiPriority w:val="0"/>
    <w:pPr>
      <w:spacing w:before="156" w:beforeLines="50" w:line="312" w:lineRule="auto"/>
      <w:ind w:firstLine="200" w:firstLineChars="200"/>
    </w:pPr>
    <w:rPr>
      <w:rFonts w:ascii="Calibri" w:hAnsi="Calibri"/>
      <w:sz w:val="24"/>
      <w:szCs w:val="24"/>
    </w:rPr>
  </w:style>
  <w:style w:type="paragraph" w:customStyle="1" w:styleId="70">
    <w:name w:val="p16"/>
    <w:basedOn w:val="1"/>
    <w:autoRedefine/>
    <w:qFormat/>
    <w:uiPriority w:val="0"/>
    <w:pPr>
      <w:widowControl/>
    </w:pPr>
    <w:rPr>
      <w:rFonts w:ascii="宋体" w:hAnsi="宋体" w:cs="宋体"/>
      <w:kern w:val="0"/>
      <w:sz w:val="30"/>
      <w:szCs w:val="30"/>
    </w:rPr>
  </w:style>
  <w:style w:type="paragraph" w:styleId="71">
    <w:name w:val="List Paragraph"/>
    <w:basedOn w:val="1"/>
    <w:autoRedefine/>
    <w:qFormat/>
    <w:uiPriority w:val="0"/>
    <w:pPr>
      <w:autoSpaceDE w:val="0"/>
      <w:autoSpaceDN w:val="0"/>
      <w:adjustRightInd w:val="0"/>
      <w:ind w:firstLine="200" w:firstLineChars="200"/>
      <w:jc w:val="left"/>
    </w:pPr>
    <w:rPr>
      <w:rFonts w:eastAsia="??"/>
      <w:kern w:val="0"/>
      <w:sz w:val="24"/>
      <w:szCs w:val="24"/>
    </w:rPr>
  </w:style>
  <w:style w:type="paragraph" w:customStyle="1" w:styleId="72">
    <w:name w:val="_Style 8"/>
    <w:basedOn w:val="1"/>
    <w:next w:val="71"/>
    <w:autoRedefine/>
    <w:qFormat/>
    <w:uiPriority w:val="0"/>
    <w:pPr>
      <w:ind w:firstLine="420" w:firstLineChars="200"/>
    </w:pPr>
    <w:rPr>
      <w:rFonts w:ascii="Calibri" w:hAnsi="Calibri"/>
      <w:szCs w:val="22"/>
    </w:rPr>
  </w:style>
  <w:style w:type="paragraph" w:customStyle="1" w:styleId="73">
    <w:name w:val="书籍标题1"/>
    <w:basedOn w:val="1"/>
    <w:next w:val="1"/>
    <w:autoRedefine/>
    <w:qFormat/>
    <w:uiPriority w:val="0"/>
    <w:pPr>
      <w:pageBreakBefore/>
      <w:widowControl/>
      <w:tabs>
        <w:tab w:val="left" w:pos="360"/>
      </w:tabs>
      <w:spacing w:before="624" w:beforeLines="200" w:after="624" w:afterLines="200"/>
      <w:ind w:hanging="360"/>
      <w:jc w:val="center"/>
      <w:outlineLvl w:val="0"/>
    </w:pPr>
    <w:rPr>
      <w:rFonts w:eastAsia="黑体"/>
      <w:b/>
      <w:bCs/>
      <w:spacing w:val="20"/>
      <w:kern w:val="44"/>
      <w:sz w:val="44"/>
    </w:rPr>
  </w:style>
  <w:style w:type="paragraph" w:customStyle="1" w:styleId="74">
    <w:name w:val="newnewnewnew"/>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75">
    <w:name w:val="正文2"/>
    <w:autoRedefine/>
    <w:qFormat/>
    <w:uiPriority w:val="0"/>
    <w:pPr>
      <w:jc w:val="both"/>
    </w:pPr>
    <w:rPr>
      <w:rFonts w:ascii="Calibri" w:hAnsi="Calibri" w:eastAsia="宋体" w:cs="宋体"/>
      <w:kern w:val="2"/>
      <w:sz w:val="21"/>
      <w:szCs w:val="21"/>
      <w:lang w:val="en-US" w:eastAsia="zh-CN" w:bidi="ar-SA"/>
    </w:rPr>
  </w:style>
  <w:style w:type="paragraph" w:customStyle="1" w:styleId="76">
    <w:name w:val="newnew"/>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77">
    <w:name w:val="列出段落1"/>
    <w:basedOn w:val="1"/>
    <w:autoRedefine/>
    <w:qFormat/>
    <w:uiPriority w:val="0"/>
    <w:pPr>
      <w:ind w:firstLine="420" w:firstLineChars="200"/>
    </w:pPr>
    <w:rPr>
      <w:rFonts w:ascii="Calibri" w:hAnsi="Calibri"/>
      <w:szCs w:val="22"/>
    </w:rPr>
  </w:style>
  <w:style w:type="paragraph" w:customStyle="1" w:styleId="78">
    <w:name w:val="4"/>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79">
    <w:name w:val="Body text|1"/>
    <w:basedOn w:val="1"/>
    <w:autoRedefine/>
    <w:qFormat/>
    <w:uiPriority w:val="0"/>
    <w:pPr>
      <w:spacing w:line="413" w:lineRule="auto"/>
    </w:pPr>
    <w:rPr>
      <w:rFonts w:ascii="宋体" w:hAnsi="宋体" w:cs="宋体"/>
      <w:sz w:val="20"/>
      <w:lang w:val="zh-CN" w:bidi="zh-CN"/>
    </w:rPr>
  </w:style>
  <w:style w:type="paragraph" w:customStyle="1" w:styleId="80">
    <w:name w:val="xl35"/>
    <w:basedOn w:val="1"/>
    <w:autoRedefine/>
    <w:qFormat/>
    <w:uiPriority w:val="0"/>
    <w:pPr>
      <w:widowControl/>
      <w:spacing w:before="100" w:beforeAutospacing="1" w:after="100" w:afterAutospacing="1"/>
      <w:jc w:val="right"/>
      <w:textAlignment w:val="center"/>
    </w:pPr>
    <w:rPr>
      <w:rFonts w:ascii="宋体" w:hAnsi="宋体"/>
      <w:kern w:val="0"/>
      <w:sz w:val="18"/>
    </w:rPr>
  </w:style>
  <w:style w:type="paragraph" w:customStyle="1" w:styleId="81">
    <w:name w:val="List Paragraph1"/>
    <w:basedOn w:val="1"/>
    <w:autoRedefine/>
    <w:qFormat/>
    <w:uiPriority w:val="0"/>
    <w:pPr>
      <w:ind w:firstLine="420" w:firstLineChars="200"/>
    </w:pPr>
  </w:style>
  <w:style w:type="paragraph" w:customStyle="1" w:styleId="82">
    <w:name w:val="reader-word-layer reader-word-s1-0"/>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83">
    <w:name w:val="font5"/>
    <w:basedOn w:val="1"/>
    <w:autoRedefine/>
    <w:qFormat/>
    <w:uiPriority w:val="0"/>
    <w:pPr>
      <w:widowControl/>
      <w:spacing w:before="100" w:beforeAutospacing="1" w:after="100" w:afterAutospacing="1"/>
      <w:jc w:val="left"/>
    </w:pPr>
    <w:rPr>
      <w:rFonts w:hint="eastAsia" w:ascii="宋体" w:hAnsi="宋体"/>
      <w:kern w:val="0"/>
      <w:sz w:val="18"/>
    </w:rPr>
  </w:style>
  <w:style w:type="paragraph" w:customStyle="1" w:styleId="84">
    <w:name w:val="Char"/>
    <w:basedOn w:val="1"/>
    <w:autoRedefine/>
    <w:qFormat/>
    <w:uiPriority w:val="0"/>
    <w:rPr>
      <w:szCs w:val="24"/>
    </w:rPr>
  </w:style>
  <w:style w:type="paragraph" w:customStyle="1" w:styleId="85">
    <w:name w:val="xl30"/>
    <w:basedOn w:val="1"/>
    <w:autoRedefine/>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86">
    <w:name w:val="[Normal]"/>
    <w:autoRedefine/>
    <w:qFormat/>
    <w:uiPriority w:val="0"/>
    <w:rPr>
      <w:rFonts w:ascii="宋体" w:hAnsi="宋体" w:eastAsia="宋体" w:cs="Times New Roman"/>
      <w:sz w:val="24"/>
      <w:szCs w:val="22"/>
      <w:lang w:val="zh-CN" w:eastAsia="zh-CN" w:bidi="ar-SA"/>
    </w:rPr>
  </w:style>
  <w:style w:type="paragraph" w:customStyle="1" w:styleId="87">
    <w:name w:val="p0"/>
    <w:basedOn w:val="1"/>
    <w:autoRedefine/>
    <w:qFormat/>
    <w:uiPriority w:val="0"/>
    <w:pPr>
      <w:widowControl/>
    </w:pPr>
    <w:rPr>
      <w:kern w:val="0"/>
      <w:szCs w:val="21"/>
    </w:rPr>
  </w:style>
  <w:style w:type="table" w:customStyle="1" w:styleId="88">
    <w:name w:val="网格型1"/>
    <w:basedOn w:val="26"/>
    <w:autoRedefine/>
    <w:qFormat/>
    <w:uiPriority w:val="0"/>
    <w:rPr>
      <w:rFonts w:ascii="Calibri" w:hAnsi="Calibri" w:cs="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9">
    <w:name w:val="Table Paragraph"/>
    <w:basedOn w:val="1"/>
    <w:autoRedefine/>
    <w:qFormat/>
    <w:uiPriority w:val="0"/>
    <w:rPr>
      <w:rFonts w:ascii="宋体" w:hAnsi="宋体" w:cs="宋体"/>
      <w:lang w:val="zh-CN" w:bidi="zh-CN"/>
    </w:rPr>
  </w:style>
  <w:style w:type="paragraph" w:customStyle="1" w:styleId="90">
    <w:name w:val="正文（首行缩进2字符）"/>
    <w:basedOn w:val="1"/>
    <w:autoRedefine/>
    <w:qFormat/>
    <w:uiPriority w:val="0"/>
    <w:pPr>
      <w:spacing w:line="360" w:lineRule="auto"/>
      <w:ind w:firstLine="420" w:firstLineChars="200"/>
    </w:pPr>
    <w:rPr>
      <w:szCs w:val="21"/>
    </w:rPr>
  </w:style>
  <w:style w:type="paragraph" w:customStyle="1" w:styleId="91">
    <w:name w:val="文档正文"/>
    <w:basedOn w:val="1"/>
    <w:autoRedefine/>
    <w:qFormat/>
    <w:uiPriority w:val="0"/>
    <w:rPr>
      <w:rFonts w:ascii="宋体" w:hAnsi="宋体" w:cs="Arial"/>
      <w:bCs/>
      <w:szCs w:val="21"/>
    </w:rPr>
  </w:style>
  <w:style w:type="paragraph" w:customStyle="1" w:styleId="92">
    <w:name w:val="form"/>
    <w:basedOn w:val="1"/>
    <w:autoRedefine/>
    <w:qFormat/>
    <w:uiPriority w:val="0"/>
    <w:pPr>
      <w:wordWrap w:val="0"/>
      <w:jc w:val="center"/>
    </w:pPr>
    <w:rPr>
      <w:rFonts w:ascii="宋体" w:hAnsi="Calibri" w:cs="宋体"/>
    </w:rPr>
  </w:style>
  <w:style w:type="paragraph" w:customStyle="1" w:styleId="93">
    <w:name w:val="仿宋小四"/>
    <w:basedOn w:val="7"/>
    <w:autoRedefine/>
    <w:qFormat/>
    <w:uiPriority w:val="0"/>
    <w:pPr>
      <w:spacing w:line="360" w:lineRule="auto"/>
      <w:ind w:firstLine="480"/>
    </w:pPr>
    <w:rPr>
      <w:rFonts w:ascii="仿宋_GB2312" w:hAnsi="仿宋_GB2312" w:eastAsia="仿宋_GB2312"/>
      <w:sz w:val="24"/>
    </w:rPr>
  </w:style>
  <w:style w:type="character" w:customStyle="1" w:styleId="94">
    <w:name w:val="font21"/>
    <w:basedOn w:val="28"/>
    <w:autoRedefine/>
    <w:qFormat/>
    <w:uiPriority w:val="0"/>
    <w:rPr>
      <w:rFonts w:hint="eastAsia" w:ascii="宋体" w:hAnsi="宋体" w:eastAsia="宋体" w:cs="宋体"/>
      <w:color w:val="000000"/>
      <w:sz w:val="24"/>
      <w:szCs w:val="24"/>
      <w:u w:val="none"/>
    </w:rPr>
  </w:style>
  <w:style w:type="table" w:customStyle="1" w:styleId="95">
    <w:name w:val="Table Normal"/>
    <w:autoRedefine/>
    <w:semiHidden/>
    <w:unhideWhenUsed/>
    <w:qFormat/>
    <w:uiPriority w:val="0"/>
    <w:tblPr>
      <w:tblCellMar>
        <w:top w:w="0" w:type="dxa"/>
        <w:left w:w="0" w:type="dxa"/>
        <w:bottom w:w="0" w:type="dxa"/>
        <w:right w:w="0" w:type="dxa"/>
      </w:tblCellMar>
    </w:tblPr>
  </w:style>
  <w:style w:type="character" w:customStyle="1" w:styleId="96">
    <w:name w:val="font41"/>
    <w:basedOn w:val="28"/>
    <w:autoRedefine/>
    <w:qFormat/>
    <w:uiPriority w:val="0"/>
    <w:rPr>
      <w:rFonts w:hint="eastAsia" w:ascii="宋体" w:hAnsi="宋体" w:eastAsia="宋体" w:cs="宋体"/>
      <w:b/>
      <w:bCs/>
      <w:color w:val="000000"/>
      <w:sz w:val="21"/>
      <w:szCs w:val="21"/>
      <w:u w:val="none"/>
    </w:rPr>
  </w:style>
  <w:style w:type="character" w:customStyle="1" w:styleId="97">
    <w:name w:val="font31"/>
    <w:basedOn w:val="28"/>
    <w:autoRedefine/>
    <w:qFormat/>
    <w:uiPriority w:val="0"/>
    <w:rPr>
      <w:rFonts w:hint="eastAsia" w:ascii="宋体" w:hAnsi="宋体" w:eastAsia="宋体" w:cs="宋体"/>
      <w:color w:val="000000"/>
      <w:sz w:val="21"/>
      <w:szCs w:val="21"/>
      <w:u w:val="none"/>
    </w:rPr>
  </w:style>
  <w:style w:type="paragraph" w:customStyle="1" w:styleId="98">
    <w:name w:val="*正文"/>
    <w:basedOn w:val="1"/>
    <w:autoRedefine/>
    <w:qFormat/>
    <w:uiPriority w:val="0"/>
  </w:style>
  <w:style w:type="character" w:customStyle="1" w:styleId="99">
    <w:name w:val="bookmark-item"/>
    <w:basedOn w:val="28"/>
    <w:autoRedefine/>
    <w:qFormat/>
    <w:uiPriority w:val="0"/>
  </w:style>
  <w:style w:type="paragraph" w:customStyle="1" w:styleId="100">
    <w:name w:val="列出段落2"/>
    <w:basedOn w:val="1"/>
    <w:autoRedefine/>
    <w:qFormat/>
    <w:uiPriority w:val="34"/>
    <w:pPr>
      <w:spacing w:line="360" w:lineRule="auto"/>
      <w:ind w:firstLine="420" w:firstLineChars="200"/>
    </w:pPr>
    <w:rPr>
      <w:szCs w:val="21"/>
    </w:rPr>
  </w:style>
  <w:style w:type="paragraph" w:customStyle="1" w:styleId="101">
    <w:name w:val="纯文本1"/>
    <w:basedOn w:val="1"/>
    <w:autoRedefine/>
    <w:qFormat/>
    <w:uiPriority w:val="0"/>
    <w:pPr>
      <w:spacing w:beforeLines="50" w:afterLines="50" w:line="400" w:lineRule="exact"/>
    </w:pPr>
    <w:rPr>
      <w:rFonts w:ascii="宋体" w:hAnsi="Courier New" w:eastAsia="仿宋_GB2312"/>
      <w:sz w:val="30"/>
    </w:rPr>
  </w:style>
  <w:style w:type="paragraph" w:customStyle="1" w:styleId="102">
    <w:name w:val="表格内容"/>
    <w:autoRedefine/>
    <w:qFormat/>
    <w:uiPriority w:val="0"/>
    <w:pPr>
      <w:widowControl w:val="0"/>
      <w:jc w:val="both"/>
    </w:pPr>
    <w:rPr>
      <w:rFonts w:ascii="Times New Roman" w:hAnsi="Times New Roman" w:eastAsia="宋体" w:cs="Times New Roman"/>
      <w:kern w:val="2"/>
      <w:sz w:val="24"/>
      <w:szCs w:val="22"/>
      <w:lang w:val="en-US" w:eastAsia="zh-CN" w:bidi="ar-SA"/>
    </w:rPr>
  </w:style>
  <w:style w:type="paragraph" w:customStyle="1" w:styleId="103">
    <w:name w:val="Body Text First Indent 21"/>
    <w:basedOn w:val="104"/>
    <w:autoRedefine/>
    <w:qFormat/>
    <w:uiPriority w:val="0"/>
    <w:pPr>
      <w:ind w:firstLine="420"/>
    </w:pPr>
  </w:style>
  <w:style w:type="paragraph" w:customStyle="1" w:styleId="104">
    <w:name w:val="Body Text Indent1"/>
    <w:basedOn w:val="1"/>
    <w:autoRedefine/>
    <w:qFormat/>
    <w:uiPriority w:val="0"/>
    <w:pPr>
      <w:ind w:left="420" w:leftChars="200"/>
    </w:pPr>
  </w:style>
  <w:style w:type="paragraph" w:customStyle="1" w:styleId="105">
    <w:name w:val="msolistparagraph"/>
    <w:basedOn w:val="1"/>
    <w:autoRedefine/>
    <w:qFormat/>
    <w:uiPriority w:val="0"/>
    <w:pPr>
      <w:ind w:firstLine="420" w:firstLineChars="200"/>
    </w:pPr>
    <w:rPr>
      <w:rFonts w:ascii="Calibri" w:hAnsi="Calibri" w:cs="Calibri"/>
      <w:szCs w:val="22"/>
    </w:rPr>
  </w:style>
  <w:style w:type="paragraph" w:customStyle="1" w:styleId="106">
    <w:name w:val="列出段落11"/>
    <w:basedOn w:val="1"/>
    <w:autoRedefine/>
    <w:qFormat/>
    <w:uiPriority w:val="34"/>
    <w:pPr>
      <w:ind w:firstLine="420" w:firstLineChars="200"/>
    </w:pPr>
    <w:rPr>
      <w:rFonts w:asciiTheme="minorHAnsi" w:hAnsiTheme="minorHAnsi" w:eastAsiaTheme="minorEastAsia" w:cstheme="minorBidi"/>
      <w:szCs w:val="22"/>
    </w:rPr>
  </w:style>
  <w:style w:type="character" w:customStyle="1" w:styleId="107">
    <w:name w:val="font131"/>
    <w:basedOn w:val="28"/>
    <w:autoRedefine/>
    <w:qFormat/>
    <w:uiPriority w:val="0"/>
    <w:rPr>
      <w:rFonts w:hint="default" w:ascii="Times New Roman" w:hAnsi="Times New Roman" w:cs="Times New Roman"/>
      <w:color w:val="C00000"/>
      <w:sz w:val="21"/>
      <w:szCs w:val="21"/>
      <w:u w:val="none"/>
    </w:rPr>
  </w:style>
  <w:style w:type="character" w:customStyle="1" w:styleId="108">
    <w:name w:val="font161"/>
    <w:basedOn w:val="28"/>
    <w:autoRedefine/>
    <w:qFormat/>
    <w:uiPriority w:val="0"/>
    <w:rPr>
      <w:rFonts w:hint="default" w:ascii="Times New Roman" w:hAnsi="Times New Roman" w:cs="Times New Roman"/>
      <w:color w:val="000000"/>
      <w:sz w:val="28"/>
      <w:szCs w:val="28"/>
      <w:u w:val="none"/>
    </w:rPr>
  </w:style>
  <w:style w:type="character" w:customStyle="1" w:styleId="109">
    <w:name w:val="font101"/>
    <w:basedOn w:val="28"/>
    <w:autoRedefine/>
    <w:qFormat/>
    <w:uiPriority w:val="0"/>
    <w:rPr>
      <w:rFonts w:hint="default" w:ascii="??" w:hAnsi="??" w:eastAsia="??" w:cs="??"/>
      <w:color w:val="000000"/>
      <w:sz w:val="28"/>
      <w:szCs w:val="28"/>
      <w:u w:val="none"/>
    </w:rPr>
  </w:style>
  <w:style w:type="character" w:customStyle="1" w:styleId="110">
    <w:name w:val="font141"/>
    <w:basedOn w:val="28"/>
    <w:autoRedefine/>
    <w:qFormat/>
    <w:uiPriority w:val="0"/>
    <w:rPr>
      <w:rFonts w:hint="eastAsia" w:ascii="宋体" w:hAnsi="宋体" w:eastAsia="宋体" w:cs="宋体"/>
      <w:color w:val="000000"/>
      <w:sz w:val="21"/>
      <w:szCs w:val="21"/>
      <w:u w:val="none"/>
    </w:rPr>
  </w:style>
  <w:style w:type="character" w:customStyle="1" w:styleId="111">
    <w:name w:val="font151"/>
    <w:basedOn w:val="28"/>
    <w:autoRedefine/>
    <w:qFormat/>
    <w:uiPriority w:val="0"/>
    <w:rPr>
      <w:rFonts w:hint="default" w:ascii="Times New Roman" w:hAnsi="Times New Roman" w:cs="Times New Roman"/>
      <w:color w:val="000000"/>
      <w:sz w:val="21"/>
      <w:szCs w:val="21"/>
      <w:u w:val="none"/>
    </w:rPr>
  </w:style>
  <w:style w:type="character" w:customStyle="1" w:styleId="112">
    <w:name w:val="font121"/>
    <w:basedOn w:val="28"/>
    <w:autoRedefine/>
    <w:qFormat/>
    <w:uiPriority w:val="0"/>
    <w:rPr>
      <w:rFonts w:hint="default" w:ascii="??" w:hAnsi="??" w:eastAsia="??" w:cs="??"/>
      <w:b/>
      <w:bCs/>
      <w:color w:val="000000"/>
      <w:sz w:val="20"/>
      <w:szCs w:val="20"/>
      <w:u w:val="none"/>
    </w:rPr>
  </w:style>
  <w:style w:type="paragraph" w:customStyle="1" w:styleId="113">
    <w:name w:val="默认段落字体 Para Char Char Char Char Char Char Char Char Char1 Char Char Char Char"/>
    <w:basedOn w:val="1"/>
    <w:autoRedefine/>
    <w:qFormat/>
    <w:uiPriority w:val="99"/>
    <w:rPr>
      <w:rFonts w:ascii="Tahoma" w:hAnsi="Tahoma" w:cs="Tahoma"/>
      <w:sz w:val="24"/>
      <w:szCs w:val="24"/>
    </w:rPr>
  </w:style>
  <w:style w:type="character" w:customStyle="1" w:styleId="114">
    <w:name w:val="font171"/>
    <w:basedOn w:val="28"/>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53</Pages>
  <Words>3161</Words>
  <Characters>3768</Characters>
  <Lines>1</Lines>
  <Paragraphs>1</Paragraphs>
  <TotalTime>1</TotalTime>
  <ScaleCrop>false</ScaleCrop>
  <LinksUpToDate>false</LinksUpToDate>
  <CharactersWithSpaces>3825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2020-04-22T06:04:00Z</dcterms:created>
  <dc:creator>Administrator</dc:creator>
  <cp:lastModifiedBy>키스DeVos</cp:lastModifiedBy>
  <cp:lastPrinted>2024-05-09T05:48:00Z</cp:lastPrinted>
  <dcterms:modified xsi:type="dcterms:W3CDTF">2025-04-16T07:15:49Z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D757F26CDC4543F7A4398194F5BCC89E_13</vt:lpwstr>
  </property>
  <property fmtid="{D5CDD505-2E9C-101B-9397-08002B2CF9AE}" pid="4" name="commondata">
    <vt:lpwstr>eyJoZGlkIjoiMTY3NmVmZDMzNjIyYzhhNDE2N2E5MmI0Mzg3OGM1YTYifQ==</vt:lpwstr>
  </property>
  <property fmtid="{D5CDD505-2E9C-101B-9397-08002B2CF9AE}" pid="5" name="KSOTemplateDocerSaveRecord">
    <vt:lpwstr>eyJoZGlkIjoiOGQ4NmM3OWRhZmU1NTA3NDNmNjRkZjc1N2U5ZWM5NjMiLCJ1c2VySWQiOiI1ODQxODY1MjQifQ==</vt:lpwstr>
  </property>
</Properties>
</file>