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杭州市公安业务网安全服务项目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HCZX-ZC-[2025]0399</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杭州市公安局</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华诚工程咨询集团有限公司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二十四</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杭州市公安业务网安全服务项目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 xml:space="preserve">年 </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16</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09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HCZX-ZC-[2025]0399</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杭州市公安业务网安全服务项目</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人民币</w:t>
      </w:r>
      <w:r>
        <w:rPr>
          <w:rFonts w:hint="eastAsia" w:ascii="宋体" w:hAnsi="宋体" w:cs="宋体"/>
          <w:color w:val="auto"/>
          <w:sz w:val="24"/>
          <w:highlight w:val="none"/>
        </w:rPr>
        <w:t>384.82万元（其中2025年预算安排230万元）</w:t>
      </w:r>
    </w:p>
    <w:p w14:paraId="524783DF">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w:t>
      </w:r>
    </w:p>
    <w:p w14:paraId="6EC5DB8E">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杭州市公安业务网安全服务项目</w:t>
      </w:r>
      <w:r>
        <w:rPr>
          <w:rFonts w:hint="eastAsia" w:hAnsi="宋体" w:cs="宋体"/>
          <w:bCs/>
          <w:snapToGrid/>
          <w:color w:val="auto"/>
          <w:kern w:val="2"/>
          <w:sz w:val="24"/>
          <w:szCs w:val="24"/>
          <w:highlight w:val="none"/>
        </w:rPr>
        <w:t>主要内容：为保证杭州市公安局公安业务网和数据的安全稳定运行，通过采购等保测评服务、数据库审计服务、政务网云日志审计服务、政务网态势感知服务、SaaS化安全服务、公安网安全风险感知服务、公安网桌面云服务、公安网一机两用服务、视频网终端杀毒服务、系统安全检测、网络安全检查、重保、应急响应、边界通道租赁服务，提升杭州市公安局公安业务网网络与数据安全的能力。</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val="0"/>
          <w:bCs/>
          <w:color w:val="auto"/>
          <w:highlight w:val="none"/>
        </w:rPr>
        <w:t>2025年6月1日至2026年5月31日</w:t>
      </w:r>
      <w:r>
        <w:rPr>
          <w:rFonts w:ascii="宋体" w:hAnsi="宋体" w:cs="宋体"/>
          <w:b w:val="0"/>
          <w:bCs/>
          <w:color w:val="auto"/>
          <w:highlight w:val="none"/>
        </w:rPr>
        <w:t xml:space="preserve"> </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本项目专门面向中小微企业，供应商应以合同分包形式参加，并按要求提供分包意向协议和中小企业声明函。分包意向协议中，中小微企业合同金额应当达到100% ，其中，小微企业合同金额应当达到</w:t>
      </w:r>
      <w:r>
        <w:rPr>
          <w:rFonts w:hint="eastAsia" w:ascii="宋体" w:hAnsi="宋体" w:cs="宋体"/>
          <w:color w:val="auto"/>
          <w:sz w:val="24"/>
          <w:highlight w:val="none"/>
          <w:lang w:val="en-US" w:eastAsia="zh-CN"/>
        </w:rPr>
        <w:t>28</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如果供应商提供的所有标的均由小微企业承接，并相应达到了前述比例要求，无需再向中小企业分包，按要求提供中小企业声明函；</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 5月16日09点30分00秒</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 5月16日09点30分00秒</w:t>
      </w:r>
      <w:r>
        <w:rPr>
          <w:rFonts w:hint="eastAsia" w:ascii="宋体" w:hAnsi="宋体" w:cs="宋体"/>
          <w:color w:val="auto"/>
          <w:sz w:val="24"/>
          <w:highlight w:val="none"/>
        </w:rPr>
        <w:t>（北京时间）</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color w:val="auto"/>
          <w:sz w:val="24"/>
          <w:highlight w:val="none"/>
        </w:rPr>
        <w:t>杭州市上城区华光路35号</w:t>
      </w:r>
      <w:r>
        <w:rPr>
          <w:rFonts w:hint="eastAsia" w:ascii="宋体" w:hAnsi="宋体" w:cs="宋体"/>
          <w:color w:val="auto"/>
          <w:sz w:val="24"/>
          <w:highlight w:val="none"/>
        </w:rPr>
        <w:t xml:space="preserve">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6959847C">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w:t>
      </w:r>
      <w:r>
        <w:rPr>
          <w:rFonts w:hint="eastAsia" w:ascii="宋体" w:hAnsi="宋体" w:eastAsia="宋体" w:cs="宋体"/>
          <w:color w:val="auto"/>
          <w:sz w:val="24"/>
          <w:highlight w:val="none"/>
          <w:lang w:val="en-US" w:eastAsia="zh-CN"/>
        </w:rPr>
        <w:t>李</w:t>
      </w:r>
      <w:r>
        <w:rPr>
          <w:rFonts w:hint="eastAsia" w:ascii="宋体" w:hAnsi="宋体" w:eastAsia="宋体" w:cs="宋体"/>
          <w:color w:val="auto"/>
          <w:sz w:val="24"/>
          <w:highlight w:val="none"/>
          <w:lang w:eastAsia="zh-CN"/>
        </w:rPr>
        <w:t>先生</w:t>
      </w:r>
    </w:p>
    <w:p w14:paraId="0A5A8FD8">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eastAsia="宋体" w:cs="宋体"/>
          <w:color w:val="auto"/>
          <w:sz w:val="24"/>
          <w:highlight w:val="none"/>
          <w:lang w:val="en-US" w:eastAsia="zh-CN"/>
        </w:rPr>
        <w:t>0571-89590197</w:t>
      </w:r>
    </w:p>
    <w:p w14:paraId="3F6A8A38">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eastAsia="zh-CN"/>
        </w:rPr>
        <w:t>陈先生</w:t>
      </w:r>
    </w:p>
    <w:p w14:paraId="6722B274">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质疑联系方式：</w:t>
      </w:r>
      <w:r>
        <w:rPr>
          <w:rFonts w:hint="eastAsia" w:ascii="宋体" w:hAnsi="宋体" w:eastAsia="宋体" w:cs="宋体"/>
          <w:color w:val="auto"/>
          <w:sz w:val="24"/>
          <w:highlight w:val="none"/>
          <w:lang w:val="en-US" w:eastAsia="zh-CN"/>
        </w:rPr>
        <w:t>0571-89590205</w:t>
      </w:r>
      <w:r>
        <w:rPr>
          <w:rFonts w:hint="eastAsia" w:ascii="宋体" w:hAnsi="宋体" w:cs="宋体"/>
          <w:color w:val="auto"/>
          <w:sz w:val="24"/>
          <w:highlight w:val="none"/>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华诚工程咨询集团有限公司</w:t>
      </w:r>
    </w:p>
    <w:p w14:paraId="16C39B4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eastAsia="宋体" w:cs="宋体"/>
          <w:color w:val="auto"/>
          <w:sz w:val="24"/>
          <w:highlight w:val="none"/>
        </w:rPr>
        <w:t>杭州市拱墅区彩云路105号锦盛大楼</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楼</w:t>
      </w:r>
    </w:p>
    <w:p w14:paraId="4E949C1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0674527A">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w:t>
      </w:r>
      <w:r>
        <w:rPr>
          <w:rFonts w:hint="eastAsia" w:ascii="宋体" w:hAnsi="宋体" w:eastAsia="宋体" w:cs="宋体"/>
          <w:color w:val="auto"/>
          <w:sz w:val="24"/>
          <w:highlight w:val="none"/>
          <w:lang w:val="en-US" w:eastAsia="zh-CN"/>
        </w:rPr>
        <w:t>李文龙</w:t>
      </w:r>
    </w:p>
    <w:p w14:paraId="4C27CACA">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w:t>
      </w:r>
      <w:r>
        <w:rPr>
          <w:rFonts w:hint="eastAsia" w:ascii="宋体" w:hAnsi="宋体" w:eastAsia="宋体" w:cs="宋体"/>
          <w:color w:val="auto"/>
          <w:sz w:val="24"/>
          <w:highlight w:val="none"/>
          <w:lang w:val="en-US" w:eastAsia="zh-CN"/>
        </w:rPr>
        <w:t>18788835575</w:t>
      </w:r>
    </w:p>
    <w:p w14:paraId="4279B2EB">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val="en-US" w:eastAsia="zh-CN"/>
        </w:rPr>
        <w:t>孙杏花</w:t>
      </w:r>
    </w:p>
    <w:p w14:paraId="71817BB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质疑联系方式：0571-87032325</w:t>
      </w:r>
    </w:p>
    <w:p w14:paraId="679723E9">
      <w:pPr>
        <w:spacing w:line="360" w:lineRule="auto"/>
        <w:rPr>
          <w:rFonts w:ascii="宋体" w:hAnsi="宋体" w:cs="宋体"/>
          <w:color w:val="auto"/>
          <w:sz w:val="24"/>
          <w:highlight w:val="none"/>
        </w:rPr>
      </w:pP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政策咨询电话：沈</w:t>
      </w:r>
      <w:r>
        <w:rPr>
          <w:rFonts w:hint="eastAsia" w:ascii="宋体" w:hAnsi="宋体" w:cs="宋体"/>
          <w:color w:val="auto"/>
          <w:sz w:val="24"/>
          <w:highlight w:val="none"/>
        </w:rPr>
        <w:t>先生</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陈先生</w:t>
      </w:r>
      <w:r>
        <w:rPr>
          <w:rFonts w:hint="eastAsia" w:ascii="宋体" w:hAnsi="宋体" w:cs="宋体"/>
          <w:color w:val="auto"/>
          <w:sz w:val="24"/>
          <w:highlight w:val="none"/>
        </w:rPr>
        <w:t>，0571-8958045</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89580460</w:t>
      </w:r>
      <w:r>
        <w:rPr>
          <w:rFonts w:hint="eastAsia" w:ascii="宋体" w:hAnsi="宋体" w:cs="宋体"/>
          <w:color w:val="auto"/>
          <w:sz w:val="24"/>
          <w:highlight w:val="none"/>
          <w:lang w:val="en-US" w:eastAsia="zh-CN"/>
        </w:rPr>
        <w:t>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u w:val="single"/>
                <w:lang w:eastAsia="zh-CN"/>
              </w:rPr>
              <w:t>杭州市公安业务网安全服务项目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u w:val="single"/>
                <w:lang w:val="en-US"/>
              </w:rPr>
              <w:t>(</w:t>
            </w:r>
            <w:r>
              <w:rPr>
                <w:rFonts w:hint="eastAsia" w:ascii="宋体" w:hAnsi="宋体" w:cs="宋体"/>
                <w:color w:val="auto"/>
                <w:kern w:val="0"/>
                <w:sz w:val="24"/>
                <w:u w:val="single"/>
              </w:rPr>
              <w:t>十二）软件和信息技术服务业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color w:val="auto"/>
                <w:kern w:val="0"/>
                <w:sz w:val="24"/>
                <w:u w:val="none"/>
                <w:lang w:val="en-US"/>
              </w:rPr>
              <w:t>(</w:t>
            </w:r>
            <w:r>
              <w:rPr>
                <w:rFonts w:hint="eastAsia" w:ascii="宋体" w:hAnsi="宋体" w:cs="宋体"/>
                <w:color w:val="auto"/>
                <w:kern w:val="0"/>
                <w:sz w:val="24"/>
                <w:u w:val="none"/>
              </w:rPr>
              <w:t>十二）软件和信息技术服务业</w:t>
            </w:r>
            <w:r>
              <w:rPr>
                <w:rFonts w:hint="eastAsia" w:ascii="宋体" w:hAnsi="宋体" w:eastAsia="宋体" w:cs="宋体"/>
                <w:b w:val="0"/>
                <w:bCs w:val="0"/>
                <w:color w:val="auto"/>
                <w:kern w:val="0"/>
                <w:sz w:val="24"/>
                <w:szCs w:val="24"/>
                <w:highlight w:val="none"/>
                <w:u w:val="none"/>
                <w:lang w:val="en-US" w:eastAsia="zh-CN" w:bidi="ar-SA"/>
              </w:rPr>
              <w:t>。</w:t>
            </w:r>
            <w:r>
              <w:rPr>
                <w:rFonts w:hint="eastAsia" w:ascii="宋体" w:hAnsi="宋体" w:eastAsia="宋体" w:cs="宋体"/>
                <w:b w:val="0"/>
                <w:bCs w:val="0"/>
                <w:color w:val="auto"/>
                <w:kern w:val="0"/>
                <w:sz w:val="24"/>
                <w:szCs w:val="24"/>
                <w:u w:val="none"/>
                <w:lang w:val="en-US"/>
              </w:rPr>
              <w:t>从业人员300人以下或营业收入10000万元以 下的为中小微型企业。其中，从业人员100人及以上，且营业收入1000万元及以上的为中型企业；从业人员10人及以上，且营业收入50万元及以上的为小型企业；从业 人员10人以下或营业收入50万元以下的为微型企业</w:t>
            </w:r>
            <w:r>
              <w:rPr>
                <w:rFonts w:hint="eastAsia" w:ascii="宋体" w:hAnsi="宋体" w:eastAsia="宋体" w:cs="宋体"/>
                <w:b w:val="0"/>
                <w:bCs w:val="0"/>
                <w:color w:val="auto"/>
                <w:kern w:val="0"/>
                <w:sz w:val="24"/>
                <w:szCs w:val="24"/>
                <w:highlight w:val="none"/>
                <w:lang w:val="en-US" w:eastAsia="zh-CN" w:bidi="ar-SA"/>
              </w:rPr>
              <w:t>。</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6CF5BA8">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等保测评服务、边界通道租赁服务、公安网一机两用服务、公安网桌面云服务 </w:t>
            </w:r>
            <w:r>
              <w:rPr>
                <w:rFonts w:hint="eastAsia" w:ascii="宋体" w:hAnsi="宋体" w:cs="宋体"/>
                <w:color w:val="auto"/>
                <w:sz w:val="24"/>
                <w:highlight w:val="none"/>
              </w:rPr>
              <w:t>工作分包。</w:t>
            </w:r>
          </w:p>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投标报价包含为完成本项目各项服务可能发生的全部费用、投标人的利润和应交纳的税金、人员费用（包括人员工资、加班工资、食宿费、交通费、办公费及法律法规规定的各种社会保险费等）、以及不可预见的风险等一切费用。</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47"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杭州市拱墅区彩云路105号锦盛大楼3楼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李文龙18788835575</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0BFD924A">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以中标通知书中确定的中标总金额作为收费的计算基数，根据《关于杭州市招标代理服务收费管理有关问题的通知》（杭价费[2003]148号）文件规定的相应项目收费标准下浮40%取费。在接到中标通知书后两个工作日内由中标人一次性向采购代理机构付清。</w:t>
            </w:r>
          </w:p>
          <w:p w14:paraId="14BCF2D1">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缴纳方式：以人民币方式支付。</w:t>
            </w:r>
          </w:p>
          <w:p w14:paraId="45DA21AD">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服务费汇入以下账号：</w:t>
            </w:r>
          </w:p>
          <w:p w14:paraId="6501EEBA">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户 名：华诚工程咨询集团有限公司</w:t>
            </w:r>
          </w:p>
          <w:p w14:paraId="0EA1DA22">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开 户：上海浦东发展银行股份有限公司杭州和睦支行</w:t>
            </w:r>
          </w:p>
          <w:p w14:paraId="640C5805">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账 号：95220078801100000315</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中小企业声明函</w:t>
      </w:r>
      <w:r>
        <w:rPr>
          <w:rFonts w:hint="eastAsia" w:ascii="宋体" w:hAnsi="宋体" w:cs="宋体"/>
          <w:snapToGrid w:val="0"/>
          <w:color w:val="auto"/>
          <w:kern w:val="28"/>
          <w:sz w:val="24"/>
          <w:szCs w:val="20"/>
          <w:highlight w:val="none"/>
        </w:rPr>
        <w:t>)</w:t>
      </w:r>
      <w:r>
        <w:rPr>
          <w:rFonts w:hint="eastAsia" w:ascii="宋体" w:hAnsi="宋体" w:cs="宋体"/>
          <w:color w:val="auto"/>
          <w:sz w:val="24"/>
          <w:highlight w:val="none"/>
        </w:rPr>
        <w:t>；</w:t>
      </w:r>
    </w:p>
    <w:p w14:paraId="09013B61">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lang w:val="en-US" w:eastAsia="zh-CN"/>
        </w:rPr>
        <w:t>报价情况说明</w:t>
      </w:r>
      <w:r>
        <w:rPr>
          <w:rFonts w:hint="eastAsia" w:ascii="宋体" w:hAnsi="宋体" w:eastAsia="宋体" w:cs="宋体"/>
          <w:b w:val="0"/>
          <w:bCs w:val="0"/>
          <w:color w:val="auto"/>
          <w:sz w:val="24"/>
        </w:rPr>
        <w:t>（如供应商报价低于项目预算50%的，应当提交本文档，详细阐述不影响产品质量或者诚信履约的具体原因）</w:t>
      </w:r>
      <w:r>
        <w:rPr>
          <w:rFonts w:hint="eastAsia" w:ascii="宋体" w:hAnsi="宋体" w:eastAsia="宋体" w:cs="宋体"/>
          <w:b w:val="0"/>
          <w:bCs w:val="0"/>
          <w:color w:val="auto"/>
          <w:sz w:val="24"/>
          <w:highlight w:val="none"/>
        </w:rPr>
        <w:t>。</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w:t>
      </w:r>
      <w:r>
        <w:rPr>
          <w:rFonts w:hint="eastAsia" w:ascii="宋体" w:hAnsi="宋体" w:cs="宋体"/>
          <w:color w:val="auto"/>
          <w:sz w:val="24"/>
        </w:rPr>
        <w:t>【</w:t>
      </w:r>
      <w:bookmarkStart w:id="14" w:name="_Hlk161318120"/>
      <w:r>
        <w:rPr>
          <w:rFonts w:hint="eastAsia" w:ascii="宋体" w:hAnsi="宋体" w:cs="宋体"/>
          <w:color w:val="auto"/>
          <w:sz w:val="24"/>
        </w:rPr>
        <w:t>评标委员会由采购人代表和评审专家组成，成员人数为5人（采购人代表1人，评标专家4人由采购代理机构在政采云专家库相关专业中随机抽取）</w:t>
      </w:r>
      <w:bookmarkEnd w:id="14"/>
      <w:r>
        <w:rPr>
          <w:rFonts w:hint="eastAsia" w:ascii="宋体" w:hAnsi="宋体" w:cs="宋体"/>
          <w:color w:val="auto"/>
          <w:sz w:val="24"/>
        </w:rPr>
        <w:t>】</w:t>
      </w:r>
      <w:r>
        <w:rPr>
          <w:rFonts w:hint="eastAsia" w:ascii="宋体" w:hAnsi="宋体" w:cs="宋体"/>
          <w:color w:val="auto"/>
          <w:sz w:val="24"/>
          <w:highlight w:val="none"/>
        </w:rPr>
        <w:t>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5" w:name="_Hlk101184471"/>
      <w:r>
        <w:rPr>
          <w:rFonts w:hint="eastAsia" w:ascii="宋体" w:hAnsi="宋体" w:cs="宋体"/>
          <w:color w:val="auto"/>
          <w:sz w:val="24"/>
          <w:highlight w:val="none"/>
        </w:rPr>
        <w:t>资格审查情况、评审专家抽取规则、符合性审查情况、</w:t>
      </w:r>
      <w:bookmarkEnd w:id="15"/>
      <w:r>
        <w:rPr>
          <w:rFonts w:hint="eastAsia" w:ascii="宋体" w:hAnsi="宋体" w:cs="宋体"/>
          <w:color w:val="auto"/>
          <w:sz w:val="24"/>
          <w:highlight w:val="none"/>
        </w:rPr>
        <w:t>未中标情况说明、中标公告期限以及评审专家名单、评分汇总及明细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中小企业声明函</w:t>
      </w:r>
      <w:r>
        <w:rPr>
          <w:rFonts w:hint="eastAsia" w:ascii="宋体" w:hAnsi="宋体" w:cs="宋体"/>
          <w:color w:val="auto"/>
          <w:sz w:val="24"/>
          <w:highlight w:val="none"/>
        </w:rPr>
        <w:t>。</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2"/>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w:t>
      </w:r>
      <w:r>
        <w:rPr>
          <w:rFonts w:hint="eastAsia" w:ascii="宋体" w:hAnsi="宋体" w:cs="宋体"/>
          <w:color w:val="auto"/>
          <w:kern w:val="0"/>
          <w:sz w:val="24"/>
        </w:rPr>
        <w:t>（验收小组由5人组成，其中采购人代表1人、其余验收小组成员由第三方机构随机从乐采云专家库相关专业中抽取产生）</w:t>
      </w:r>
      <w:r>
        <w:rPr>
          <w:rFonts w:hint="eastAsia" w:ascii="宋体" w:hAnsi="宋体" w:cs="宋体"/>
          <w:color w:val="auto"/>
          <w:kern w:val="0"/>
          <w:sz w:val="24"/>
          <w:highlight w:val="none"/>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5236101"/>
      <w:bookmarkEnd w:id="16"/>
      <w:bookmarkStart w:id="17" w:name="_Hlt74707468"/>
      <w:bookmarkEnd w:id="17"/>
      <w:bookmarkStart w:id="18" w:name="_Hlt68072998"/>
      <w:bookmarkEnd w:id="18"/>
      <w:bookmarkStart w:id="19" w:name="_Hlt74730295"/>
      <w:bookmarkEnd w:id="19"/>
      <w:bookmarkStart w:id="20" w:name="_Hlt75236290"/>
      <w:bookmarkEnd w:id="20"/>
      <w:bookmarkStart w:id="21" w:name="_Hlt68403820"/>
      <w:bookmarkEnd w:id="21"/>
      <w:bookmarkStart w:id="22" w:name="_Hlt68073093"/>
      <w:bookmarkEnd w:id="22"/>
      <w:bookmarkStart w:id="23" w:name="_Hlt68057669"/>
      <w:bookmarkEnd w:id="23"/>
      <w:bookmarkStart w:id="24" w:name="_Hlt68072990"/>
      <w:bookmarkEnd w:id="24"/>
      <w:bookmarkStart w:id="25" w:name="_Hlt74729768"/>
      <w:bookmarkEnd w:id="25"/>
      <w:bookmarkStart w:id="26" w:name="_Hlt74714665"/>
      <w:bookmarkEnd w:id="26"/>
      <w:bookmarkStart w:id="27" w:name="_Hlt75236011"/>
      <w:bookmarkEnd w:id="27"/>
    </w:p>
    <w:bookmarkEnd w:id="11"/>
    <w:bookmarkEnd w:id="12"/>
    <w:p w14:paraId="7E2CB077">
      <w:pPr>
        <w:spacing w:line="360" w:lineRule="auto"/>
        <w:jc w:val="center"/>
        <w:outlineLvl w:val="0"/>
        <w:rPr>
          <w:rFonts w:ascii="宋体" w:hAnsi="宋体" w:cs="宋体"/>
          <w:b/>
          <w:color w:val="auto"/>
          <w:sz w:val="36"/>
          <w:szCs w:val="36"/>
          <w:highlight w:val="none"/>
        </w:rPr>
      </w:pPr>
      <w:bookmarkStart w:id="28" w:name="第四部分"/>
      <w:r>
        <w:rPr>
          <w:rFonts w:hint="eastAsia" w:ascii="宋体" w:hAnsi="宋体" w:cs="宋体"/>
          <w:b/>
          <w:color w:val="auto"/>
          <w:sz w:val="36"/>
          <w:szCs w:val="36"/>
          <w:highlight w:val="none"/>
        </w:rPr>
        <w:t>第三部分   采购需求</w:t>
      </w:r>
    </w:p>
    <w:p w14:paraId="251AFD33">
      <w:pPr>
        <w:pStyle w:val="3"/>
        <w:bidi w:val="0"/>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（一）项目概况</w:t>
      </w:r>
    </w:p>
    <w:p w14:paraId="3B5565D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杭州市公安业务网安全服务项目，主要工作内容为保证杭州市公安局公安业务网和数据的安全稳定运行，通过</w:t>
      </w:r>
      <w:r>
        <w:rPr>
          <w:rFonts w:hint="eastAsia" w:ascii="宋体" w:hAnsi="宋体" w:eastAsia="宋体" w:cs="宋体"/>
          <w:color w:val="auto"/>
          <w:sz w:val="24"/>
        </w:rPr>
        <w:t>采购等保测评服务、数据库审计服务、政务网云日志审计服务、政务网态势感知服务、SaaS化安全服务、公安网安全风险感知服务、公安网桌面云服务、公安网一机两用服务、视频网终端杀毒服务、系统安全检测、网络安全检查、</w:t>
      </w:r>
      <w:r>
        <w:rPr>
          <w:rFonts w:hint="eastAsia" w:ascii="宋体" w:hAnsi="宋体" w:eastAsia="宋体" w:cs="宋体"/>
          <w:color w:val="auto"/>
          <w:sz w:val="24"/>
          <w:lang w:eastAsia="zh-Hans"/>
        </w:rPr>
        <w:t>重</w:t>
      </w:r>
      <w:r>
        <w:rPr>
          <w:rFonts w:hint="eastAsia" w:ascii="宋体" w:hAnsi="宋体" w:eastAsia="宋体" w:cs="宋体"/>
          <w:color w:val="auto"/>
          <w:sz w:val="24"/>
        </w:rPr>
        <w:t>保</w:t>
      </w:r>
      <w:r>
        <w:rPr>
          <w:rFonts w:hint="eastAsia" w:ascii="宋体" w:hAnsi="宋体" w:eastAsia="宋体" w:cs="宋体"/>
          <w:color w:val="auto"/>
          <w:sz w:val="24"/>
        </w:rPr>
        <w:t>、应急响应、边界通道租赁服务</w:t>
      </w:r>
      <w:r>
        <w:rPr>
          <w:rFonts w:hint="eastAsia" w:ascii="宋体" w:hAnsi="宋体" w:eastAsia="宋体" w:cs="宋体"/>
          <w:color w:val="auto"/>
          <w:sz w:val="24"/>
        </w:rPr>
        <w:t>，提升杭州市公安局公安业务网网络与数据安全的能力。</w:t>
      </w:r>
    </w:p>
    <w:p w14:paraId="7A43E7EC">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政策依据：</w:t>
      </w:r>
    </w:p>
    <w:p w14:paraId="4BCC741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《中华人民共和国网络安全法》</w:t>
      </w:r>
    </w:p>
    <w:p w14:paraId="2200A3C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《中华人民共和国数据安全法》</w:t>
      </w:r>
    </w:p>
    <w:p w14:paraId="0FC4AAA8">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《关键信息基础设施安全保护条例》</w:t>
      </w:r>
    </w:p>
    <w:p w14:paraId="66D9849E">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《GB/T22239-2019 信息安全技术网络安全等级保护基本要求》</w:t>
      </w:r>
    </w:p>
    <w:p w14:paraId="5866A84F">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《GB/T 22240-2020 信息安全技术网络安全等级保护定级指南》</w:t>
      </w:r>
    </w:p>
    <w:p w14:paraId="4B147E48">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《浙江公安信息网安全管理规定实施细则（试行）》</w:t>
      </w:r>
    </w:p>
    <w:p w14:paraId="4F00435E">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《关于切实加强公安网终端“一机两用”安全防范工作的通知》</w:t>
      </w:r>
    </w:p>
    <w:p w14:paraId="10C41050">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《公安信息通信网边界接入平台安全规范-公网信息采集部分》（公科信[2013] 130号）</w:t>
      </w:r>
    </w:p>
    <w:p w14:paraId="1AC1011D">
      <w:pPr>
        <w:numPr>
          <w:ilvl w:val="0"/>
          <w:numId w:val="1"/>
        </w:numPr>
        <w:spacing w:line="360" w:lineRule="auto"/>
        <w:jc w:val="left"/>
        <w:rPr>
          <w:rFonts w:hint="eastAsia" w:ascii="宋体" w:hAnsi="宋体" w:eastAsia="宋体" w:cs="宋体"/>
          <w:color w:val="auto"/>
          <w:sz w:val="24"/>
        </w:rPr>
      </w:pPr>
      <w:r>
        <w:rPr>
          <w:rFonts w:hint="eastAsia" w:ascii="宋体" w:hAnsi="宋体" w:eastAsia="宋体" w:cs="宋体"/>
          <w:b/>
          <w:color w:val="auto"/>
          <w:sz w:val="24"/>
        </w:rPr>
        <w:t>预算金额：</w:t>
      </w:r>
      <w:r>
        <w:rPr>
          <w:rFonts w:hint="eastAsia" w:ascii="宋体" w:hAnsi="宋体" w:eastAsia="宋体" w:cs="宋体"/>
          <w:b/>
          <w:color w:val="auto"/>
          <w:sz w:val="24"/>
          <w:u w:val="single"/>
          <w:lang w:val="en-US" w:eastAsia="zh-CN"/>
        </w:rPr>
        <w:t>人民币</w:t>
      </w:r>
      <w:r>
        <w:rPr>
          <w:rFonts w:hint="eastAsia" w:ascii="宋体" w:hAnsi="宋体" w:eastAsia="宋体" w:cs="宋体"/>
          <w:b/>
          <w:color w:val="auto"/>
          <w:sz w:val="24"/>
          <w:u w:val="single"/>
        </w:rPr>
        <w:t>384.82万元（其中2025年预算安排230万元）</w:t>
      </w:r>
    </w:p>
    <w:p w14:paraId="1E107276">
      <w:pPr>
        <w:pStyle w:val="965"/>
        <w:tabs>
          <w:tab w:val="left" w:pos="0"/>
        </w:tabs>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（三）</w:t>
      </w:r>
      <w:r>
        <w:rPr>
          <w:rFonts w:hint="eastAsia" w:ascii="宋体" w:hAnsi="宋体" w:eastAsia="宋体" w:cs="宋体"/>
          <w:color w:val="auto"/>
          <w:sz w:val="24"/>
          <w:szCs w:val="24"/>
        </w:rPr>
        <w:t xml:space="preserve">采购标的是否进口产品： </w:t>
      </w:r>
      <w:r>
        <w:rPr>
          <w:rFonts w:hint="eastAsia" w:ascii="宋体" w:hAnsi="宋体" w:eastAsia="宋体" w:cs="宋体"/>
          <w:color w:val="auto"/>
          <w:sz w:val="24"/>
          <w:szCs w:val="24"/>
        </w:rPr>
        <w:sym w:font="Wingdings 2" w:char="00A3"/>
      </w:r>
      <w:r>
        <w:rPr>
          <w:rFonts w:hint="eastAsia" w:ascii="宋体" w:hAnsi="宋体" w:eastAsia="宋体" w:cs="宋体"/>
          <w:color w:val="auto"/>
          <w:sz w:val="24"/>
          <w:szCs w:val="24"/>
        </w:rPr>
        <w:t xml:space="preserve">进口 </w:t>
      </w:r>
      <w:r>
        <w:rPr>
          <w:rFonts w:hint="eastAsia" w:ascii="宋体" w:hAnsi="宋体" w:eastAsia="宋体" w:cs="宋体"/>
          <w:color w:val="auto"/>
          <w:sz w:val="24"/>
          <w:szCs w:val="24"/>
        </w:rPr>
        <w:sym w:font="Wingdings 2" w:char="00A3"/>
      </w:r>
      <w:r>
        <w:rPr>
          <w:rFonts w:hint="eastAsia" w:ascii="宋体" w:hAnsi="宋体" w:eastAsia="宋体" w:cs="宋体"/>
          <w:color w:val="auto"/>
          <w:sz w:val="24"/>
          <w:szCs w:val="24"/>
        </w:rPr>
        <w:t>国产（本项目为服务类项目）</w:t>
      </w:r>
    </w:p>
    <w:p w14:paraId="0FA19619">
      <w:pPr>
        <w:spacing w:line="360" w:lineRule="auto"/>
        <w:jc w:val="left"/>
        <w:rPr>
          <w:rFonts w:hint="eastAsia" w:ascii="宋体" w:hAnsi="宋体" w:eastAsia="宋体" w:cs="宋体"/>
          <w:color w:val="auto"/>
          <w:kern w:val="0"/>
          <w:sz w:val="24"/>
        </w:rPr>
      </w:pPr>
      <w:r>
        <w:rPr>
          <w:rFonts w:hint="eastAsia" w:ascii="宋体" w:hAnsi="宋体" w:eastAsia="宋体" w:cs="宋体"/>
          <w:b/>
          <w:color w:val="auto"/>
          <w:sz w:val="24"/>
        </w:rPr>
        <w:t>（四）</w:t>
      </w:r>
      <w:r>
        <w:rPr>
          <w:rFonts w:hint="eastAsia" w:ascii="宋体" w:hAnsi="宋体" w:eastAsia="宋体" w:cs="宋体"/>
          <w:color w:val="auto"/>
          <w:kern w:val="0"/>
          <w:sz w:val="24"/>
        </w:rPr>
        <w:t>需满足的政府采购政策目标和具体支持对象</w:t>
      </w:r>
    </w:p>
    <w:p w14:paraId="2614CA3C">
      <w:pPr>
        <w:spacing w:line="360" w:lineRule="auto"/>
        <w:ind w:firstLine="420"/>
        <w:jc w:val="left"/>
        <w:rPr>
          <w:rFonts w:hint="eastAsia" w:ascii="宋体" w:hAnsi="宋体" w:eastAsia="宋体" w:cs="宋体"/>
          <w:color w:val="auto"/>
          <w:sz w:val="24"/>
          <w:lang w:eastAsia="zh-CN"/>
        </w:rPr>
      </w:pPr>
      <w:r>
        <w:rPr>
          <w:rFonts w:hint="eastAsia" w:ascii="宋体" w:hAnsi="宋体" w:eastAsia="宋体" w:cs="宋体"/>
          <w:color w:val="auto"/>
          <w:sz w:val="24"/>
        </w:rPr>
        <w:sym w:font="Wingdings 2" w:char="0052"/>
      </w:r>
      <w:r>
        <w:rPr>
          <w:rFonts w:hint="eastAsia" w:ascii="宋体" w:hAnsi="宋体" w:eastAsia="宋体" w:cs="宋体"/>
          <w:color w:val="auto"/>
          <w:sz w:val="24"/>
        </w:rPr>
        <w:t xml:space="preserve">扶持中小企业  </w:t>
      </w:r>
      <w:r>
        <w:rPr>
          <w:rFonts w:hint="eastAsia" w:ascii="宋体" w:hAnsi="宋体" w:eastAsia="宋体" w:cs="宋体"/>
          <w:color w:val="auto"/>
          <w:sz w:val="24"/>
        </w:rPr>
        <w:sym w:font="Wingdings 2" w:char="00A3"/>
      </w:r>
      <w:r>
        <w:rPr>
          <w:rFonts w:hint="eastAsia" w:ascii="宋体" w:hAnsi="宋体" w:eastAsia="宋体" w:cs="宋体"/>
          <w:color w:val="auto"/>
          <w:sz w:val="24"/>
        </w:rPr>
        <w:t xml:space="preserve">节能环保  </w:t>
      </w:r>
      <w:r>
        <w:rPr>
          <w:rFonts w:hint="eastAsia" w:ascii="宋体" w:hAnsi="宋体" w:eastAsia="宋体" w:cs="宋体"/>
          <w:color w:val="auto"/>
          <w:sz w:val="24"/>
        </w:rPr>
        <w:sym w:font="Wingdings 2" w:char="00A3"/>
      </w:r>
      <w:r>
        <w:rPr>
          <w:rFonts w:hint="eastAsia" w:ascii="宋体" w:hAnsi="宋体" w:eastAsia="宋体" w:cs="宋体"/>
          <w:color w:val="auto"/>
          <w:sz w:val="24"/>
        </w:rPr>
        <w:t>其他</w:t>
      </w:r>
      <w:r>
        <w:rPr>
          <w:rFonts w:hint="eastAsia" w:ascii="宋体" w:hAnsi="宋体" w:eastAsia="宋体" w:cs="宋体"/>
          <w:color w:val="auto"/>
          <w:sz w:val="24"/>
          <w:lang w:eastAsia="zh-CN"/>
        </w:rPr>
        <w:t>（</w:t>
      </w:r>
      <w:r>
        <w:rPr>
          <w:rFonts w:hint="eastAsia" w:ascii="宋体" w:hAnsi="宋体" w:eastAsia="宋体" w:cs="宋体"/>
          <w:color w:val="auto"/>
          <w:sz w:val="24"/>
        </w:rPr>
        <w:t>中小企业合同金额达</w:t>
      </w:r>
      <w:r>
        <w:rPr>
          <w:rFonts w:hint="eastAsia" w:ascii="宋体" w:hAnsi="宋体" w:cs="宋体"/>
          <w:color w:val="auto"/>
          <w:sz w:val="24"/>
          <w:lang w:val="en-US" w:eastAsia="zh-CN"/>
        </w:rPr>
        <w:t>到</w:t>
      </w:r>
      <w:r>
        <w:rPr>
          <w:rFonts w:hint="eastAsia" w:ascii="宋体" w:hAnsi="宋体" w:eastAsia="宋体" w:cs="宋体"/>
          <w:color w:val="auto"/>
          <w:sz w:val="24"/>
        </w:rPr>
        <w:t>100%，其中小微企业合同金额达到28%</w:t>
      </w:r>
      <w:r>
        <w:rPr>
          <w:rFonts w:hint="eastAsia" w:ascii="宋体" w:hAnsi="宋体" w:eastAsia="宋体" w:cs="宋体"/>
          <w:color w:val="auto"/>
          <w:sz w:val="24"/>
          <w:lang w:eastAsia="zh-CN"/>
        </w:rPr>
        <w:t>）</w:t>
      </w:r>
    </w:p>
    <w:p w14:paraId="46E45FFB">
      <w:pPr>
        <w:numPr>
          <w:ilvl w:val="0"/>
          <w:numId w:val="2"/>
        </w:numPr>
        <w:spacing w:line="360" w:lineRule="auto"/>
        <w:rPr>
          <w:rFonts w:hint="eastAsia" w:ascii="宋体" w:hAnsi="宋体" w:eastAsia="宋体" w:cs="宋体"/>
          <w:b/>
          <w:color w:val="auto"/>
          <w:sz w:val="24"/>
        </w:rPr>
      </w:pPr>
      <w:r>
        <w:rPr>
          <w:rFonts w:hint="eastAsia" w:ascii="宋体" w:hAnsi="宋体" w:eastAsia="宋体" w:cs="宋体"/>
          <w:b/>
          <w:color w:val="auto"/>
          <w:sz w:val="24"/>
        </w:rPr>
        <w:t>拟采购标的的技术要求</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0"/>
        <w:gridCol w:w="7115"/>
      </w:tblGrid>
      <w:tr w14:paraId="124F8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5000" w:type="pct"/>
            <w:gridSpan w:val="2"/>
          </w:tcPr>
          <w:p w14:paraId="4E8E0E7C">
            <w:pPr>
              <w:pStyle w:val="57"/>
              <w:tabs>
                <w:tab w:val="left" w:pos="432"/>
              </w:tabs>
              <w:adjustRightInd w:val="0"/>
              <w:spacing w:before="0" w:beforeAutospacing="0" w:after="0" w:afterAutospacing="0" w:line="420" w:lineRule="exact"/>
              <w:ind w:left="433" w:leftChars="202" w:hanging="9" w:hangingChars="4"/>
              <w:rPr>
                <w:rFonts w:hint="eastAsia" w:ascii="宋体" w:hAnsi="宋体" w:eastAsia="宋体" w:cs="宋体"/>
                <w:color w:val="auto"/>
              </w:rPr>
            </w:pPr>
            <w:r>
              <w:rPr>
                <w:rFonts w:hint="eastAsia" w:ascii="宋体" w:hAnsi="宋体" w:eastAsia="宋体" w:cs="宋体"/>
                <w:color w:val="auto"/>
              </w:rPr>
              <w:t>1、等保测评服务：针对采购人的重要信息系统提供等保测评服务。</w:t>
            </w:r>
          </w:p>
        </w:tc>
      </w:tr>
      <w:tr w14:paraId="03454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2" w:type="pct"/>
          </w:tcPr>
          <w:p w14:paraId="3A3CEFED">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服务内容</w:t>
            </w:r>
          </w:p>
        </w:tc>
        <w:tc>
          <w:tcPr>
            <w:tcW w:w="4187" w:type="pct"/>
          </w:tcPr>
          <w:p w14:paraId="74FD8D11">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1、对于测评结论符合等保要求的，出具测评报告及整改建议书。</w:t>
            </w:r>
          </w:p>
          <w:p w14:paraId="0F80983D">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2、对于测评结论不符合等保要求的，出具差距分析报告及整改建议书。</w:t>
            </w:r>
          </w:p>
          <w:p w14:paraId="0F47C2E6">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3、本项目服务期内测评系统数量不少于23个。</w:t>
            </w:r>
          </w:p>
        </w:tc>
      </w:tr>
      <w:tr w14:paraId="4703F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2" w:type="pct"/>
          </w:tcPr>
          <w:p w14:paraId="68916194">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服务要求</w:t>
            </w:r>
          </w:p>
        </w:tc>
        <w:tc>
          <w:tcPr>
            <w:tcW w:w="4187" w:type="pct"/>
          </w:tcPr>
          <w:p w14:paraId="540CD318">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1、测评依据：须根据国家标准GB/T 22239-2019：《信息安全技术网络安全等级保护基本要求》要求选取安全基础指标开展检测工作，并出具符合国家相关规范要求的测评报告。</w:t>
            </w:r>
          </w:p>
          <w:p w14:paraId="6013D818">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实施方案：投标人对具体测评系统详细了解的基础上，编制针对性的等级保护测评整体实施方案，包括项目概述、等保测评范围和内容、项目实施流程、测试过程中需使用测试设备清单、时间安排、阶段性文档提交等。</w:t>
            </w:r>
          </w:p>
          <w:p w14:paraId="4E085526">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3、运行环境：安全测评需要的运行环境（如场地、网络环境等）由采购人提供，投标人应详细描述需要的运行环境的具体要求。</w:t>
            </w:r>
          </w:p>
          <w:p w14:paraId="58231129">
            <w:pPr>
              <w:adjustRightInd w:val="0"/>
              <w:spacing w:line="42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项目实施流程：投标人应具有等保工具箱、商用密码检测工具、软件测试工具、代码审计工具。本次等级保护测评实施过程中所使用到的工具软件由投标人推荐，需经采购人确认后由投标人提供并在测评中使用。供应商应在投标文件中详细描述所使用的安全测评工具（软硬件型号、功能和性能描述）、使用的方式和时间、对环境和平台的要求以及使用可能对系统造成的风险等。</w:t>
            </w:r>
          </w:p>
        </w:tc>
      </w:tr>
      <w:tr w14:paraId="5B706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2" w:type="pct"/>
          </w:tcPr>
          <w:p w14:paraId="722A5B32">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交付物</w:t>
            </w:r>
          </w:p>
        </w:tc>
        <w:tc>
          <w:tcPr>
            <w:tcW w:w="4187" w:type="pct"/>
          </w:tcPr>
          <w:p w14:paraId="509B261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《信息系统安全等级保护备案表》（初次测评系统）</w:t>
            </w:r>
          </w:p>
          <w:p w14:paraId="58DE33F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《信息系统安全等级保护定级报告》（初次测评系统）</w:t>
            </w:r>
          </w:p>
          <w:p w14:paraId="1F24B5D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《整体测评实施方案》</w:t>
            </w:r>
          </w:p>
          <w:p w14:paraId="1D53D1A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《等级保护测评报告》</w:t>
            </w:r>
          </w:p>
          <w:p w14:paraId="43ECFA0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《等级保护整改建议书》</w:t>
            </w:r>
          </w:p>
        </w:tc>
      </w:tr>
      <w:tr w14:paraId="439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5000" w:type="pct"/>
            <w:gridSpan w:val="2"/>
          </w:tcPr>
          <w:p w14:paraId="18687974">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2、数据库审计服务：</w:t>
            </w:r>
            <w:r>
              <w:rPr>
                <w:rFonts w:hint="eastAsia" w:ascii="宋体" w:hAnsi="宋体" w:eastAsia="宋体" w:cs="宋体"/>
                <w:color w:val="auto"/>
                <w:sz w:val="24"/>
              </w:rPr>
              <w:t>针对杭州市公安局的政务外网、视频专网和公安网提供数据库审计服务，满足等级保护的合规性需求，同时配合相关人工服务对数据库审计内容进行处理，发现存在的问题及时研判、预警、处理，建立完备安全保障机制。对杭州公安各类安全违规事件进行实时监测、实时预警，协助采购人及时、有效开展整改，切实降低各类安全风险，有效减少部、省、市上级网络安全管理职能部门的各类安全事件通报。配合相关人工服务进行日常运维。</w:t>
            </w:r>
          </w:p>
        </w:tc>
      </w:tr>
      <w:tr w14:paraId="7E465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2" w:type="pct"/>
          </w:tcPr>
          <w:p w14:paraId="098B7C95">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服务内容</w:t>
            </w:r>
          </w:p>
        </w:tc>
        <w:tc>
          <w:tcPr>
            <w:tcW w:w="4187" w:type="pct"/>
          </w:tcPr>
          <w:p w14:paraId="2E4755D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因服务要求，数据库审计服务需提供数据库审计设备。政务网不少于1套（不限制支持的数据库实例个数）、视频专网不少于4台、公安网不少于6台。</w:t>
            </w:r>
          </w:p>
        </w:tc>
      </w:tr>
      <w:tr w14:paraId="04461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2" w:type="pct"/>
          </w:tcPr>
          <w:p w14:paraId="2E40CDF3">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服务要求</w:t>
            </w:r>
          </w:p>
        </w:tc>
        <w:tc>
          <w:tcPr>
            <w:tcW w:w="4187" w:type="pct"/>
          </w:tcPr>
          <w:p w14:paraId="1D4B6F9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一、该服务需要提供以下的服务要求支持：</w:t>
            </w:r>
          </w:p>
          <w:p w14:paraId="1FC1A51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1、模块支持：数据库审计、风险漏洞扫描、状态监控、敏感数据扫描等功能。</w:t>
            </w:r>
          </w:p>
          <w:p w14:paraId="2260BD7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2、数据库类型支持：国际主流数据库： Oracle、MySQL、SQLserver、DB2、Sybase、Informix、Teradata、PostgreSQL、Access、cache等；国产数据库：达梦、南大通用、人大金仓、神通、瀚高等；非关系型数据库：Hive、Hbase、MongoDB等。</w:t>
            </w:r>
          </w:p>
          <w:p w14:paraId="21BE93C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3、攻击识别防御：支持对数据库SQL注入、缓冲区溢出等高危行为的识别防御。能够实时地监控所有到数据库的连接信息、操作数、违规数等。管理员可以断开指定的连接。</w:t>
            </w:r>
          </w:p>
          <w:p w14:paraId="0F66850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4、操作告警记录：对数据库高危操作、误操作等风险操作进行及时告警。对访问数据库的行为进行记录。</w:t>
            </w:r>
          </w:p>
          <w:p w14:paraId="0685726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5、数据库审计策略：设备必须自带默认策略(如全审计、攻击特征)，支持自定义策略和规则，方便灵活配置审计规则。能支持不同数据库审计服务进行统一的策略制定、修改。</w:t>
            </w:r>
          </w:p>
          <w:p w14:paraId="2C233BC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6、事件识别：支持以操作类型、时间、IP地址、用户名、主机名、终端名、数据库操作类型、数据库表、影响的行、字符串、认证结果、响应时间等作为事件识别规则。</w:t>
            </w:r>
          </w:p>
          <w:p w14:paraId="1FA06D3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7、人工监测：通过网络安全服务专家人工监测分析的手段，对指定数据库执行5x8安全审计，对危险等级较高的威胁情报需在系统预警1小时内完成人工分析验证以甄别误报。</w:t>
            </w:r>
          </w:p>
          <w:p w14:paraId="5AA31986">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资源优化调整：按照采购人管理需要，对杭州公安网络安全管理相关策略及配置进行修改或协调资源组织进行修改调整，确保与上级单位安全事件监测策略的一致性及安全事件监测的全面性。对设备及平台的底层日志与数据库日志进行分析，配合开发工程师对平台资源占用及运行稳定进行调整优化，确保各类网络安全设备及平台的正常运行。</w:t>
            </w:r>
          </w:p>
          <w:p w14:paraId="1136D8E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二、投标人对系统提供服务：</w:t>
            </w:r>
          </w:p>
          <w:p w14:paraId="455B7FD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1、定期巡检：协助采购人每季度至少一次对各类网络安全设备开展或督促组织巡检，对故障设备及软件平台开展运维响应，找到问题源头、联系厂商协调资源，实时排除各类故障、隐患。</w:t>
            </w:r>
          </w:p>
          <w:p w14:paraId="6A92723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2、资产梳理：配合采购人开展网络安全资产管理，实时掌握各类网络安全相关信息，确保各类网络安全管理制度落到实处。</w:t>
            </w:r>
          </w:p>
          <w:p w14:paraId="5B4EDA0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技术支持：对采购人及各区县公安信息网安全管理平台中质量不合规的问题数据提供清理服务，每日查看并清理系统中的问题数据，对全市各区县、部门警种的安全管理技术问题提供远程技术支持，配合采购人为全市公安网络安全体系建设完善提供各类技术支持。</w:t>
            </w:r>
          </w:p>
          <w:p w14:paraId="541D1A6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4、数据库审计服务能力须符合GB 42250-2022《信息安全技术 网络安全专用产品安全技术要求》。</w:t>
            </w:r>
          </w:p>
        </w:tc>
      </w:tr>
      <w:tr w14:paraId="5669E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216E8D08">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交付物</w:t>
            </w:r>
          </w:p>
        </w:tc>
        <w:tc>
          <w:tcPr>
            <w:tcW w:w="4187" w:type="pct"/>
          </w:tcPr>
          <w:p w14:paraId="257CE7C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《数据库审计运维总结报告》</w:t>
            </w:r>
          </w:p>
          <w:p w14:paraId="633D2B1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《网络安全巡检服务报告》（按季度提供）</w:t>
            </w:r>
          </w:p>
        </w:tc>
      </w:tr>
      <w:tr w14:paraId="378FB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27007FEA">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3、政务网云日志审计服务：</w:t>
            </w:r>
            <w:r>
              <w:rPr>
                <w:rFonts w:hint="eastAsia" w:ascii="宋体" w:hAnsi="宋体" w:eastAsia="宋体" w:cs="宋体"/>
                <w:color w:val="auto"/>
                <w:sz w:val="24"/>
              </w:rPr>
              <w:t>针对杭州市公安局的政务网提供日志审计服务。对网络设备、安全设备、主机和应用系统日志进行全面的标准化处理，及时发现各种安全威胁、异常行为事件，为管理人员提供全局的视角，提供全维度、跨设备、细粒度的关联分析，提供真正可信赖的事件追责依据和业务运行的深度安全，确保业务的不间断运营安全。</w:t>
            </w:r>
          </w:p>
        </w:tc>
      </w:tr>
      <w:tr w14:paraId="70E7E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1E588825">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vAlign w:val="center"/>
          </w:tcPr>
          <w:p w14:paraId="5175D68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因服务要求，政务网云日志审计服务需提供政务网云日志审计设备。提供不少于1套政务网日志审计（支持500个日志源授权）。</w:t>
            </w:r>
          </w:p>
        </w:tc>
      </w:tr>
      <w:tr w14:paraId="6498D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59E847CC">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5F18EF27">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1、管理设备授权可扩展：可提供授权扩展支持。</w:t>
            </w:r>
          </w:p>
          <w:p w14:paraId="1CE56D99">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2、大数据联调功能：支持kafka日志接收转发、大数据安全域同步、APT沙箱报告转发等功能。Kafka收发支持SSL加密。</w:t>
            </w:r>
          </w:p>
          <w:p w14:paraId="6317CE1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3、日志代理：以Agent的方式提取日志并收集，能对Agent进行统一管控，包括卸载、升级、启动及停止操作，支持将日志收集策略统一分发。</w:t>
            </w:r>
          </w:p>
          <w:p w14:paraId="5E3D0F1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4、日志采集能力：可通过接收协议限制日志接收速率，包括Http接收、syslog接收、SNMPtrap接收、TCP接收、WMI接收、aliyun接收。</w:t>
            </w:r>
          </w:p>
          <w:p w14:paraId="272144C4">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日志解析能力：支持对收集的5000+设备类型日志进行解析（标准化、归一化），解析维度多达200+，解析规则可以根据客户要求定制免费扩展。支持解析规则性能以界面列表形式显示，可了解解析耗时、解析成功或失败次数等信息。</w:t>
            </w:r>
          </w:p>
          <w:p w14:paraId="2C2DACC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安全评估模型能力：评估模型基于设备故障、认证登录、攻击威胁、可用性、系统脆弱性等纬度加权平均计算总体安全指数。安全评估模型可以显示总体评分、历史评分趋势。安全评估模型各项指标可钻取具体的评分扣分事件。</w:t>
            </w:r>
          </w:p>
          <w:p w14:paraId="7874C82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7、应用性能监控：通过在目标主机上安装Agent程序，支持监测目标主机的CPU利用率、内存使用率、磁盘使用率、磁盘使用情况、流量等信息。</w:t>
            </w:r>
          </w:p>
          <w:p w14:paraId="49353B0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8、自定义资产拓扑：支持按照实际的用户环境进行编辑发布并可以和资产进行绑定，拓扑可以显示资产采集的事件数量被采集资产的状态等信息。</w:t>
            </w:r>
          </w:p>
          <w:p w14:paraId="25DECFD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9、资产调研：配合采购人进行各个日志审计接入资产调研，统计资产数量，实时掌握接入资产的状态。</w:t>
            </w:r>
          </w:p>
          <w:p w14:paraId="519F06F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10、政务网云日志审计服务能力须符合《信息安全技术日志分析产品安全技术要求 GA/T 911-201</w:t>
            </w:r>
            <w:r>
              <w:rPr>
                <w:rFonts w:hint="eastAsia" w:ascii="宋体" w:hAnsi="宋体" w:eastAsia="宋体" w:cs="宋体"/>
                <w:color w:val="auto"/>
                <w:sz w:val="24"/>
                <w:lang w:val="en-US" w:eastAsia="zh-CN"/>
              </w:rPr>
              <w:t>9</w:t>
            </w:r>
            <w:r>
              <w:rPr>
                <w:rFonts w:hint="eastAsia" w:ascii="宋体" w:hAnsi="宋体" w:eastAsia="宋体" w:cs="宋体"/>
                <w:color w:val="auto"/>
                <w:sz w:val="24"/>
              </w:rPr>
              <w:t>》(</w:t>
            </w:r>
            <w:r>
              <w:rPr>
                <w:rFonts w:hint="eastAsia" w:ascii="宋体" w:hAnsi="宋体" w:eastAsia="宋体" w:cs="宋体"/>
                <w:color w:val="auto"/>
                <w:sz w:val="24"/>
                <w:lang w:eastAsia="zh-CN"/>
              </w:rPr>
              <w:t>增强级</w:t>
            </w:r>
            <w:r>
              <w:rPr>
                <w:rFonts w:hint="eastAsia" w:ascii="宋体" w:hAnsi="宋体" w:eastAsia="宋体" w:cs="宋体"/>
                <w:color w:val="auto"/>
                <w:sz w:val="24"/>
              </w:rPr>
              <w:t>)要求。</w:t>
            </w:r>
          </w:p>
        </w:tc>
      </w:tr>
      <w:tr w14:paraId="0F60D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0A0D95D9">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46EB447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《日志审计运维总结报告》</w:t>
            </w:r>
          </w:p>
        </w:tc>
      </w:tr>
      <w:tr w14:paraId="51E03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5000" w:type="pct"/>
            <w:gridSpan w:val="2"/>
          </w:tcPr>
          <w:p w14:paraId="617F6803">
            <w:pPr>
              <w:adjustRightInd w:val="0"/>
              <w:spacing w:line="420" w:lineRule="exact"/>
              <w:ind w:firstLine="241" w:firstLineChars="100"/>
              <w:rPr>
                <w:rFonts w:hint="eastAsia" w:ascii="宋体" w:hAnsi="宋体" w:eastAsia="宋体" w:cs="宋体"/>
                <w:color w:val="auto"/>
                <w:sz w:val="24"/>
              </w:rPr>
            </w:pPr>
            <w:r>
              <w:rPr>
                <w:rFonts w:hint="eastAsia" w:ascii="宋体" w:hAnsi="宋体" w:eastAsia="宋体" w:cs="宋体"/>
                <w:b/>
                <w:bCs/>
                <w:color w:val="auto"/>
                <w:sz w:val="24"/>
              </w:rPr>
              <w:t>4、政务网态势感知服务：</w:t>
            </w:r>
            <w:r>
              <w:rPr>
                <w:rFonts w:hint="eastAsia" w:ascii="宋体" w:hAnsi="宋体" w:eastAsia="宋体" w:cs="宋体"/>
                <w:color w:val="auto"/>
                <w:sz w:val="24"/>
              </w:rPr>
              <w:t>针对杭州市公安局的政务网业务系统，集成超大规模存查、大数据实时智能分析、行为分析、多维态势安全视图、安全联动闭环等安全模块。具备异构数据集成、核心数据安全分析、办公应用安全威胁挖掘等前沿大数据智能安全威胁挖掘分析与预警管控能力，提供全局态势感知和业务不间断稳定运行安全保障。</w:t>
            </w:r>
          </w:p>
        </w:tc>
      </w:tr>
      <w:tr w14:paraId="57EF1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4175C467">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34DC75B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因服务要求，政务网态势感知服务需提供态势感知系统。提供1套政务网态势感知。</w:t>
            </w:r>
          </w:p>
        </w:tc>
      </w:tr>
      <w:tr w14:paraId="7C844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71BF3FCB">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7EFA82D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支持安全态势的可视化呈现，以大屏的方式从攻击事件、资产安全、追踪溯源、运行监测、重保方案等多个维度进行可视化展示，并可根据“组织架构”筛选大屏展示数据范围，支持自定义大屏轮播时间和大屏轮播顺序。</w:t>
            </w:r>
          </w:p>
          <w:p w14:paraId="01F2A387">
            <w:pPr>
              <w:widowControl/>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告警监控支持查看告警的基本信息、受害者、攻击者、处置响应、举证全文信息，其中受害者和攻击者支持查看响应ATT&amp;CK矩阵视图，ATT&amp;CK矩阵视图展示支持中文或英文的语言切换，布局支持侧面或下拉两种方式、并支持选择全部技术或子技术的展示等；处置响应支持处置响应闭环出来，可看到处置动作、告警调优、处置结果，及处置记录的全过程记录。</w:t>
            </w:r>
          </w:p>
          <w:p w14:paraId="220959F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3、平台内置包括规则模型、关联模型、统计模型、情报模型、AI模型等安全分析模型，用户根据实际需求对上述模型进行添加、编辑、删除、复制等。</w:t>
            </w:r>
          </w:p>
          <w:p w14:paraId="4F62C55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安全分析模型支持自定义新增，新添加的模型可选择适用的作用域，如全局通用、单选机构，如选择单选机构即选择应用的组织架构，可通过字段映射、静态值、模板、表达式等多种方式自定义分析模型的告警名称、威胁等级、告警类型、攻击链、可选字段、告警描述、处置建议等内容。</w:t>
            </w:r>
          </w:p>
          <w:p w14:paraId="4F9B780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5、支持在告警详情中展示数据血缘关系，包括数据来源、原始日志、规则模型及原始告警，支持原始日志和规则模型的一键跳转，分别查看原始日志数据和相应的模型规则。</w:t>
            </w:r>
          </w:p>
          <w:p w14:paraId="5DE7E74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支持主机感染勒索病毒、网站被植入webshell、主机感染挖矿木马、主机感染恶意程序、主机被高危漏洞攻陷、主机被外部远控、内网横向攻击、内网横向探测、主机对外扫描、主机对外攻击、主机被爆破成功、发现APT攻击事件等10种以上的内置安全分析场景，针对分析场景支持至少3个任意字段聚合变量检索。</w:t>
            </w:r>
          </w:p>
          <w:p w14:paraId="69D32A2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7、支持通过任务看板查看自动响应任务的数量、任务状态占比、任务趋势；以时间轴方式展示任务进行状态，并可查看每个阶段任务运行的详细信息。</w:t>
            </w:r>
          </w:p>
          <w:p w14:paraId="77B50CD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平台具有统一的安全运营门户，作为重点关注功能的统一入口，如集成态势感知、Sherlock网络星空、通报预警、联动策略、运行监测等多个功能模块，实现平台功能的快速跳转；支持用户配置个人专属的统一门户，可配置项包括门户名称、菜单名称、应用图标等，且菜单内容支持自定义编辑，可链接平台以外的域名地址。</w:t>
            </w:r>
          </w:p>
        </w:tc>
      </w:tr>
      <w:tr w14:paraId="1584E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0883D18C">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2A76AFB4">
            <w:pPr>
              <w:adjustRightInd w:val="0"/>
              <w:spacing w:line="420" w:lineRule="exact"/>
              <w:ind w:firstLine="240" w:firstLineChars="10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rPr>
              <w:t>政务网</w:t>
            </w:r>
            <w:r>
              <w:rPr>
                <w:rFonts w:hint="eastAsia" w:ascii="宋体" w:hAnsi="宋体" w:eastAsia="宋体" w:cs="宋体"/>
                <w:color w:val="auto"/>
                <w:sz w:val="24"/>
              </w:rPr>
              <w:t>安全分析报告》</w:t>
            </w:r>
            <w:r>
              <w:rPr>
                <w:rFonts w:hint="eastAsia" w:ascii="宋体" w:hAnsi="宋体" w:eastAsia="宋体" w:cs="宋体"/>
                <w:color w:val="auto"/>
                <w:sz w:val="24"/>
              </w:rPr>
              <w:t>（按季度提供）</w:t>
            </w:r>
          </w:p>
        </w:tc>
      </w:tr>
      <w:tr w14:paraId="78E0C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076E29C6">
            <w:pPr>
              <w:adjustRightInd w:val="0"/>
              <w:spacing w:line="420" w:lineRule="exact"/>
              <w:ind w:firstLine="482" w:firstLineChars="200"/>
              <w:rPr>
                <w:rFonts w:hint="eastAsia" w:ascii="宋体" w:hAnsi="宋体" w:eastAsia="宋体" w:cs="宋体"/>
                <w:b/>
                <w:color w:val="auto"/>
                <w:sz w:val="24"/>
              </w:rPr>
            </w:pPr>
            <w:r>
              <w:rPr>
                <w:rFonts w:hint="eastAsia" w:ascii="宋体" w:hAnsi="宋体" w:eastAsia="宋体" w:cs="宋体"/>
                <w:b/>
                <w:bCs/>
                <w:color w:val="auto"/>
                <w:sz w:val="24"/>
              </w:rPr>
              <w:t>5、SaaS化安全服务：</w:t>
            </w:r>
            <w:r>
              <w:rPr>
                <w:rFonts w:hint="eastAsia" w:ascii="宋体" w:hAnsi="宋体" w:eastAsia="宋体" w:cs="宋体"/>
                <w:color w:val="auto"/>
                <w:sz w:val="24"/>
              </w:rPr>
              <w:t>针对杭州市公安局的政务网业务系统，提供SaaS化安全服务，快速发现业务系统的安全漏洞和安全隐患。SaaS化安全服务采用零部署云防护方案，具备DDoS清洗和云WAF功能；事后采用大数据分析形成可视化报告和统计分析报表；云监测服务实时准确的监测网站服务质量、安全事件、安全漏洞等多个维度的数据。</w:t>
            </w:r>
          </w:p>
        </w:tc>
      </w:tr>
      <w:tr w14:paraId="534C8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70D78418">
            <w:pPr>
              <w:adjustRightInd w:val="0"/>
              <w:spacing w:line="420" w:lineRule="exact"/>
              <w:rPr>
                <w:rFonts w:hint="eastAsia" w:ascii="宋体" w:hAnsi="宋体" w:eastAsia="宋体" w:cs="宋体"/>
                <w:b/>
                <w:color w:val="auto"/>
                <w:sz w:val="24"/>
              </w:rPr>
            </w:pPr>
            <w:r>
              <w:rPr>
                <w:rFonts w:hint="eastAsia" w:ascii="宋体" w:hAnsi="宋体" w:eastAsia="宋体" w:cs="宋体"/>
                <w:color w:val="auto"/>
                <w:sz w:val="24"/>
                <w:lang w:eastAsia="zh-Hans"/>
              </w:rPr>
              <w:t>服务内容</w:t>
            </w:r>
          </w:p>
        </w:tc>
        <w:tc>
          <w:tcPr>
            <w:tcW w:w="4187" w:type="pct"/>
          </w:tcPr>
          <w:p w14:paraId="6E9FB5E4">
            <w:pPr>
              <w:adjustRightInd w:val="0"/>
              <w:spacing w:line="420" w:lineRule="exact"/>
              <w:ind w:firstLine="480" w:firstLineChars="200"/>
              <w:rPr>
                <w:rFonts w:hint="eastAsia" w:ascii="宋体" w:hAnsi="宋体" w:eastAsia="宋体" w:cs="宋体"/>
                <w:b/>
                <w:color w:val="auto"/>
                <w:sz w:val="24"/>
              </w:rPr>
            </w:pPr>
            <w:r>
              <w:rPr>
                <w:rFonts w:hint="eastAsia" w:ascii="宋体" w:hAnsi="宋体" w:eastAsia="宋体" w:cs="宋体"/>
                <w:color w:val="auto"/>
                <w:sz w:val="24"/>
              </w:rPr>
              <w:t>提供不超过10个主域名的云防护服务（每个主域名+10个子域名）；提供不超过10个主域名的云监测服务。</w:t>
            </w:r>
          </w:p>
        </w:tc>
      </w:tr>
      <w:tr w14:paraId="777C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0DE7B554">
            <w:pPr>
              <w:adjustRightInd w:val="0"/>
              <w:spacing w:line="420" w:lineRule="exact"/>
              <w:rPr>
                <w:rFonts w:hint="eastAsia" w:ascii="宋体" w:hAnsi="宋体" w:eastAsia="宋体" w:cs="宋体"/>
                <w:b/>
                <w:color w:val="auto"/>
                <w:sz w:val="24"/>
              </w:rPr>
            </w:pPr>
            <w:r>
              <w:rPr>
                <w:rFonts w:hint="eastAsia" w:ascii="宋体" w:hAnsi="宋体" w:eastAsia="宋体" w:cs="宋体"/>
                <w:color w:val="auto"/>
                <w:sz w:val="24"/>
                <w:lang w:eastAsia="zh-Hans"/>
              </w:rPr>
              <w:t>服务要求</w:t>
            </w:r>
          </w:p>
        </w:tc>
        <w:tc>
          <w:tcPr>
            <w:tcW w:w="4187" w:type="pct"/>
          </w:tcPr>
          <w:p w14:paraId="634F022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一、云防护服务要求：</w:t>
            </w:r>
          </w:p>
          <w:p w14:paraId="0B531CB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1、系统基于云化SaaS架构，无需消耗虚拟机资源或本地物理资源，通过云端服务平台完成站点管理，为用户提供云防护服务。</w:t>
            </w:r>
          </w:p>
          <w:p w14:paraId="02B65D5E">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2、支持检查提交的报文是否符合HTTP协议框架，如异常的请求方法、特殊字符、重点字段的缺失、超长报文造成的溢出攻击以及对高危文件的访问等。</w:t>
            </w:r>
          </w:p>
          <w:p w14:paraId="5977EA5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3、支持流量监测的功能，基于用户的访问记录，实时检查被访问页面的安全状况，能够发现更深层次的暗链、Webshell等安全事件。</w:t>
            </w:r>
          </w:p>
          <w:p w14:paraId="177C1AB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4、日志采集能力：可通过接收协议限制日志接收速率，包括Http接收、syslog接收、SNMPtrap接收、TCP接收、WMI接收、aliyun接收。</w:t>
            </w:r>
          </w:p>
          <w:p w14:paraId="04360BE6">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5、支持提供攻击防护安全策略，支持对命令注入（包括SQL注入、SQL盲注、代码注入等）、跨站脚本、SSI指令、路径穿越、远程文件包含、WebShell防护。</w:t>
            </w:r>
          </w:p>
          <w:p w14:paraId="41538AE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6、支持通过微信公众号查看网站整体防护态势，包含受攻击域名排行、攻击类型排行、攻击IP排行、攻击区域分布等状态信息。</w:t>
            </w:r>
          </w:p>
          <w:p w14:paraId="27E60AB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7、具有云端7*24远程安全专家服务能力，提供7*24小时安全值守和应急响应服务。提供策略优化、配置调整、规则更新、问题处理、技术咨询安全事件通告等常规技术支持服务，实时监测感知持续性攻击、0day攻击等事件，并及时响应和对抗，同时在重大节会期间提供更高级别的安全响应服务。</w:t>
            </w:r>
          </w:p>
          <w:p w14:paraId="0EE3F80F">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二、云监测服务要求</w:t>
            </w:r>
          </w:p>
          <w:p w14:paraId="71D3583C">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1、全国范围内具备至少20个云监测服务节点。</w:t>
            </w:r>
          </w:p>
          <w:p w14:paraId="2CE98EF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2、支持大规模漏洞扫描服务能力，云端扫描引擎支持横向扩容，单个扫描任务扫描网站数量可达一万个以上。</w:t>
            </w:r>
          </w:p>
          <w:p w14:paraId="1E90B87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3、支持按需提供周期性的网站安全云监测服务报告，报告应能对网站安全运行状况、漏洞情况、安全事件情况进行分析，并提供相应的修复建议以指导用户完成问题处置。</w:t>
            </w:r>
          </w:p>
          <w:p w14:paraId="284DB3F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4、支持通过微信公众号实时了解用户名下站点的安全状态，展示漏洞威胁、安全事件和网站可用性相关监测数据。</w:t>
            </w:r>
          </w:p>
          <w:p w14:paraId="200FF23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5、支持通过短信、邮件方式向用户推送相关告警，告警类型包括网站服务质量不佳、安全事件告警、漏洞威胁告警。</w:t>
            </w:r>
          </w:p>
        </w:tc>
      </w:tr>
      <w:tr w14:paraId="550E1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16EB1F32">
            <w:pPr>
              <w:adjustRightInd w:val="0"/>
              <w:spacing w:line="420" w:lineRule="exact"/>
              <w:rPr>
                <w:rFonts w:hint="eastAsia" w:ascii="宋体" w:hAnsi="宋体" w:eastAsia="宋体" w:cs="宋体"/>
                <w:b/>
                <w:color w:val="auto"/>
                <w:sz w:val="24"/>
              </w:rPr>
            </w:pPr>
            <w:r>
              <w:rPr>
                <w:rFonts w:hint="eastAsia" w:ascii="宋体" w:hAnsi="宋体" w:eastAsia="宋体" w:cs="宋体"/>
                <w:color w:val="auto"/>
                <w:sz w:val="24"/>
                <w:lang w:eastAsia="zh-Hans"/>
              </w:rPr>
              <w:t>交付物</w:t>
            </w:r>
          </w:p>
        </w:tc>
        <w:tc>
          <w:tcPr>
            <w:tcW w:w="4187" w:type="pct"/>
          </w:tcPr>
          <w:p w14:paraId="54A5E58A">
            <w:pPr>
              <w:adjustRightInd w:val="0"/>
              <w:spacing w:line="420" w:lineRule="exact"/>
              <w:rPr>
                <w:rFonts w:hint="eastAsia" w:ascii="宋体" w:hAnsi="宋体" w:eastAsia="宋体" w:cs="宋体"/>
                <w:color w:val="auto"/>
              </w:rPr>
            </w:pPr>
            <w:r>
              <w:rPr>
                <w:rFonts w:hint="eastAsia" w:ascii="宋体" w:hAnsi="宋体" w:eastAsia="宋体" w:cs="宋体"/>
                <w:color w:val="auto"/>
                <w:sz w:val="24"/>
              </w:rPr>
              <w:t xml:space="preserve">  </w:t>
            </w:r>
            <w:bookmarkStart w:id="29" w:name="OLE_LINK1"/>
            <w:r>
              <w:rPr>
                <w:rFonts w:hint="eastAsia" w:ascii="宋体" w:hAnsi="宋体" w:eastAsia="宋体" w:cs="宋体"/>
                <w:color w:val="auto"/>
                <w:sz w:val="24"/>
              </w:rPr>
              <w:t>《政务网业务系统安全分析报</w:t>
            </w:r>
            <w:r>
              <w:rPr>
                <w:rFonts w:hint="eastAsia" w:ascii="宋体" w:hAnsi="宋体" w:eastAsia="宋体" w:cs="宋体"/>
                <w:color w:val="auto"/>
                <w:sz w:val="24"/>
              </w:rPr>
              <w:t>告》（按月度提供）</w:t>
            </w:r>
            <w:bookmarkEnd w:id="29"/>
          </w:p>
        </w:tc>
      </w:tr>
      <w:tr w14:paraId="79C5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6362B8AE">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6、公安网安全风险感知服务：</w:t>
            </w:r>
            <w:r>
              <w:rPr>
                <w:rFonts w:hint="eastAsia" w:ascii="宋体" w:hAnsi="宋体" w:eastAsia="宋体" w:cs="宋体"/>
                <w:color w:val="auto"/>
                <w:sz w:val="24"/>
              </w:rPr>
              <w:t>用于强化杭州市公安局公安网安全风险感知能力。提供针对公安网的资产感知、安全基线、漏洞发现、弱口令检测、全流量威胁识别、大知攻击识别、主机安全监测与加固、白名单策略、主机层攻击链可视服务。通过网络流量镜像的方式进行采集并还原，提供流量资源进行分析。</w:t>
            </w:r>
          </w:p>
        </w:tc>
      </w:tr>
      <w:tr w14:paraId="4FF86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08507C92">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750B645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提供不少于8次的安全风险感知服务支持</w:t>
            </w:r>
          </w:p>
        </w:tc>
      </w:tr>
      <w:tr w14:paraId="37458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693D1FA1">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79EFD18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该服务需要提供以下的服务要求支持：</w:t>
            </w:r>
          </w:p>
          <w:p w14:paraId="5665154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1、网络协议还原：对常见协议识别并还原网络流量，用于取证分析、威胁发现，支持：http、dns、smtp、pop3、imap、webmail、DB2、Oracle、MySQL、sql server、Sybase、SMB、FTP、SNMP、telnet、nfs等。</w:t>
            </w:r>
          </w:p>
          <w:p w14:paraId="1C25F63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文件协议还原:对流量中出现文件传输行为进行发现和还原，并记录文件MD5发送至分析设备，如可执行文件（EXE、DLL、OCX、SYS、COM、apk等）、压缩格式文件（RAR、ZIP、GZ、7Z等）、文档类型文件（word、excel、pdf、rtf、ppt等）。</w:t>
            </w:r>
          </w:p>
          <w:p w14:paraId="306C167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3、数据库协议还原：对常见数据库协议的识别或还原：DB2、Oracle、SQL Server、MySQL、PostgreSQL等协议。</w:t>
            </w:r>
          </w:p>
          <w:p w14:paraId="6B5427E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4、会话流量还原：对TCP/UDP会话记录、异常流量会话记录、web访问记录、域名解析、SQL访问记录、邮件行为、登录情况、文件传输、FTP控制通道、SSL加密协商、telnet行为、IM通信等行为描述。</w:t>
            </w:r>
          </w:p>
          <w:p w14:paraId="1C8A63A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5、自定义协议还原：支持自定义协议和端口，满足特殊场景下的流量抓取。</w:t>
            </w:r>
          </w:p>
          <w:p w14:paraId="205B648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6、攻击检测支持：支持暴力破解检测、Web攻击检测、网络攻击检测</w:t>
            </w:r>
          </w:p>
          <w:p w14:paraId="7DB4506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7、攻击态势：提供全网攻击发现服务，并以态势大屏展现，包括整体网络风险指数、告警总数、攻击次数、攻击IP数、攻击源国家/地区TOP5、攻击态势，并支持自动翻转的攻击全景地图展示。</w:t>
            </w:r>
          </w:p>
          <w:p w14:paraId="00B2B3E1">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8、告警分析：对告警进行深度行为分析，行为包括DNS解析行为、TCP/UDP交互行为、WEB访问行为、传输文件行为。</w:t>
            </w:r>
          </w:p>
          <w:p w14:paraId="5C426B3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9、威胁分析：对告警从威胁情报、应用安全、系统安全和设备安全的业务场景维度进行二次分析。应用安全的细分维度包括：WEB安全、数据库安全、邮件安全、中间件安全。系统安全的细分维度包括：主机爆破、弱口令、未授权行为、挖矿行为。</w:t>
            </w:r>
          </w:p>
          <w:p w14:paraId="037CB311">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10、脆弱性分析：对全网脆弱性问题进行发现，为保证服务效果，服务厂商需拥有全国性的漏洞响应平台</w:t>
            </w:r>
            <w:r>
              <w:rPr>
                <w:rFonts w:hint="eastAsia" w:ascii="宋体" w:hAnsi="宋体" w:eastAsia="宋体" w:cs="宋体"/>
                <w:color w:val="auto"/>
                <w:sz w:val="24"/>
                <w:lang w:eastAsia="zh-CN"/>
              </w:rPr>
              <w:t>并已</w:t>
            </w:r>
            <w:r>
              <w:rPr>
                <w:rFonts w:hint="eastAsia" w:ascii="宋体" w:hAnsi="宋体" w:eastAsia="宋体" w:cs="宋体"/>
                <w:color w:val="auto"/>
                <w:sz w:val="24"/>
              </w:rPr>
              <w:t>累计发现10万个以上漏洞。</w:t>
            </w:r>
          </w:p>
          <w:p w14:paraId="3F6CA254">
            <w:pPr>
              <w:pStyle w:val="24"/>
              <w:adjustRightInd w:val="0"/>
              <w:spacing w:line="420" w:lineRule="exact"/>
              <w:rPr>
                <w:rFonts w:hint="eastAsia" w:ascii="宋体" w:hAnsi="宋体" w:eastAsia="宋体" w:cs="宋体"/>
                <w:color w:val="auto"/>
                <w:sz w:val="24"/>
                <w:szCs w:val="24"/>
              </w:rPr>
            </w:pPr>
            <w:r>
              <w:rPr>
                <w:rFonts w:hint="eastAsia" w:ascii="宋体" w:hAnsi="宋体" w:eastAsia="宋体" w:cs="宋体"/>
                <w:color w:val="auto"/>
                <w:sz w:val="24"/>
                <w:szCs w:val="24"/>
              </w:rPr>
              <w:t>11、产品应以可视化方式提供指定时间段内：被监测网络中的特定主机与其他主机之间的相关联的已知、未知威胁事件与异常网络行为；被监测网络中指定威胁事件影响的主机以及相关联的其他威胁事件与异常网络行为；被监测网络中异常网络行为相关的主机和威胁事件；产品应可以采用智能化和自动化方式将多个相关联和类似的攻击时间进行归并。</w:t>
            </w:r>
          </w:p>
        </w:tc>
      </w:tr>
      <w:tr w14:paraId="06EE5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410C62E8">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51859595">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rPr>
              <w:t xml:space="preserve">  《公安网安全风险感知服务分析报告》（按实际需求提供）</w:t>
            </w:r>
          </w:p>
          <w:p w14:paraId="633B244C">
            <w:pPr>
              <w:adjustRightInd w:val="0"/>
              <w:spacing w:line="420" w:lineRule="exact"/>
              <w:ind w:firstLine="480" w:firstLineChars="200"/>
              <w:rPr>
                <w:rFonts w:hint="eastAsia" w:ascii="宋体" w:hAnsi="宋体" w:eastAsia="宋体" w:cs="宋体"/>
                <w:color w:val="auto"/>
                <w:sz w:val="24"/>
              </w:rPr>
            </w:pPr>
          </w:p>
        </w:tc>
      </w:tr>
      <w:tr w14:paraId="2064D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5DED21FE">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7、公安网桌面云服务：</w:t>
            </w:r>
            <w:r>
              <w:rPr>
                <w:rFonts w:hint="eastAsia" w:ascii="宋体" w:hAnsi="宋体" w:eastAsia="宋体" w:cs="宋体"/>
                <w:color w:val="auto"/>
                <w:sz w:val="24"/>
              </w:rPr>
              <w:t>为保障杭州市公安局公安网访问过程安全可靠，有效防范数据泄露事件发生。通过桌面云技术提供公安日常办公，合作企业人员运维，需要实现分散部署、统一管理、提高运维效率，并通过数据不落地和多维度安全机制，保障访问过程安全可靠。通过超融合技术实现服务器的计算资源、存储资源、网络、安全的虚拟化，并通过容器技术承载本地公安业务系统和数据库，并提供业务网络主页微服务，实现业务系统的安全稳定。</w:t>
            </w:r>
          </w:p>
        </w:tc>
      </w:tr>
      <w:tr w14:paraId="4C7B2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5DB23ABB">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07F3367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因服务要求，公安网桌面云服务需提供瘦终端设备和桌面云授权。</w:t>
            </w:r>
          </w:p>
          <w:p w14:paraId="36D3386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1、提供不低于300点云桌面授权，提供</w:t>
            </w:r>
            <w:r>
              <w:rPr>
                <w:rFonts w:hint="eastAsia" w:ascii="宋体" w:hAnsi="宋体" w:eastAsia="宋体" w:cs="宋体"/>
                <w:color w:val="auto"/>
                <w:sz w:val="24"/>
                <w:lang w:eastAsia="zh-CN"/>
              </w:rPr>
              <w:t>不低于</w:t>
            </w:r>
            <w:r>
              <w:rPr>
                <w:rFonts w:hint="eastAsia" w:ascii="宋体" w:hAnsi="宋体" w:eastAsia="宋体" w:cs="宋体"/>
                <w:color w:val="auto"/>
                <w:sz w:val="24"/>
                <w:lang w:val="en-US" w:eastAsia="zh-CN"/>
              </w:rPr>
              <w:t>35台</w:t>
            </w:r>
            <w:r>
              <w:rPr>
                <w:rFonts w:hint="eastAsia" w:ascii="宋体" w:hAnsi="宋体" w:eastAsia="宋体" w:cs="宋体"/>
                <w:color w:val="auto"/>
                <w:sz w:val="24"/>
              </w:rPr>
              <w:t>瘦终端支持。</w:t>
            </w:r>
          </w:p>
          <w:p w14:paraId="275AE90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2、平均每个人员使用的资源不低于2核8G内存和300G磁盘空间。</w:t>
            </w:r>
          </w:p>
        </w:tc>
      </w:tr>
      <w:tr w14:paraId="53F27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7B5D9EBD">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0A84296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该服务需要提供以下的服务要求支持：</w:t>
            </w:r>
          </w:p>
          <w:p w14:paraId="74A81F3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1、VDI授权类型：每用户授权支持发布个性化桌面、共享式桌面、虚拟应用3种资源类型。</w:t>
            </w:r>
          </w:p>
          <w:p w14:paraId="3FD05B0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公安办公软件兼容：可适配杭州市公安局公安日常办公软件，支持公安数据证书，流畅打开公安业务系统，并且可进行视频监控流畅的调阅。要求支持两种以上的Linux虚拟桌面操作系统，其中要包含国产Linux操作系统；为满足日后需求，要求适配银河麒麟操作系统。</w:t>
            </w:r>
          </w:p>
          <w:p w14:paraId="14ED6611">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3、自助快照恢复：当用户自己误操作导致云桌面卡慢、蓝屏、死机或者中病毒的时候，用户通过导航条按钮，可以自助进行系统盘快照还原操作。</w:t>
            </w:r>
          </w:p>
          <w:p w14:paraId="28CF4296">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4、云桌面连接可靠性：客户端连接虚拟桌面无需依赖虚拟机IP，在虚拟机网卡被禁用或被更改IP的情况下，云桌面业务不会中断，可防止因误操作而导致连接中断。</w:t>
            </w:r>
          </w:p>
          <w:p w14:paraId="68C264E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5、身份认证:多认证方式随需组合，包括账号密码、usb-key认证、短信认证、硬件特征绑定、动态口令等。</w:t>
            </w:r>
          </w:p>
          <w:p w14:paraId="6EB36F5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文件导出内容审计：开启文件安全导出后，虚拟机通过剪切板、PC设备和USB设备外发文件的操作将被禁止，用户可以使用虚拟机内部的文件导出工具实现文件外发，所有外发的文件内容都可以加密备份到数据中心，以备后续审计使用，可疑的导出行为会产生告警。</w:t>
            </w:r>
          </w:p>
          <w:p w14:paraId="79B5724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7、内置应用管控技术：管理组件实现全方位云桌面管控，可通过黑名单或白名单实现对禁止指定应用、进程的运行或只允许白名单内的应用、进程运行。</w:t>
            </w:r>
          </w:p>
          <w:p w14:paraId="6963CCE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8、资产调研分配：配合采购人进行桌面云资产调研和分配，每周针对桌面云至少开展一次巡检服务，实时掌握桌面云使用情况。</w:t>
            </w:r>
          </w:p>
        </w:tc>
      </w:tr>
      <w:tr w14:paraId="0EA22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5F02C16F">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7E42CFB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《桌面云月度服务报告》（按月度提供）</w:t>
            </w:r>
          </w:p>
        </w:tc>
      </w:tr>
      <w:tr w14:paraId="170F5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1E1801E6">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8、公安网一机两用服务：</w:t>
            </w:r>
            <w:r>
              <w:rPr>
                <w:rFonts w:hint="eastAsia" w:ascii="宋体" w:hAnsi="宋体" w:eastAsia="宋体" w:cs="宋体"/>
                <w:color w:val="auto"/>
                <w:sz w:val="24"/>
              </w:rPr>
              <w:t>针对杭州市公安局</w:t>
            </w:r>
            <w:r>
              <w:rPr>
                <w:rFonts w:hint="eastAsia" w:ascii="宋体" w:hAnsi="宋体" w:eastAsia="宋体" w:cs="宋体"/>
                <w:color w:val="auto"/>
                <w:sz w:val="24"/>
                <w:lang w:eastAsia="zh-Hans"/>
              </w:rPr>
              <w:t>“一机两用”监控系统</w:t>
            </w:r>
            <w:r>
              <w:rPr>
                <w:rFonts w:hint="eastAsia" w:ascii="宋体" w:hAnsi="宋体" w:eastAsia="宋体" w:cs="宋体"/>
                <w:color w:val="auto"/>
                <w:sz w:val="24"/>
              </w:rPr>
              <w:t>的稳定运行提供对应保障服务。提供对服务器漏洞扫描的准确性确认、对</w:t>
            </w:r>
            <w:r>
              <w:rPr>
                <w:rFonts w:hint="eastAsia" w:ascii="宋体" w:hAnsi="宋体" w:eastAsia="宋体" w:cs="宋体"/>
                <w:color w:val="auto"/>
                <w:sz w:val="24"/>
                <w:lang w:eastAsia="zh-Hans"/>
              </w:rPr>
              <w:t>监控系统补丁下载率、防病毒软件覆盖率</w:t>
            </w:r>
            <w:r>
              <w:rPr>
                <w:rFonts w:hint="eastAsia" w:ascii="宋体" w:hAnsi="宋体" w:eastAsia="宋体" w:cs="宋体"/>
                <w:color w:val="auto"/>
                <w:sz w:val="24"/>
              </w:rPr>
              <w:t>等数据的统计。</w:t>
            </w:r>
          </w:p>
        </w:tc>
      </w:tr>
      <w:tr w14:paraId="50D67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15BD9A65">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43DCDFF8">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1、定期巡检服务，为杭州市公安局“一机两用”监控系统提供每月一次的巡检服务。</w:t>
            </w:r>
          </w:p>
          <w:p w14:paraId="08D709AD">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2、技术支持服务，每月10日至20日使用专用工具对服务器列表进行清理，确保每月服务器漏洞扫描工作的准确性；每月20日至下月10日，使用专用工具对杭州市公安局“一机两用”监控系统注册率、“一机两用”监控系统补丁下载率、防病毒软件覆盖率等数据进行清理。</w:t>
            </w:r>
          </w:p>
        </w:tc>
      </w:tr>
      <w:tr w14:paraId="5C4EB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39A7117D">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73AAF17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产品升级服务:及时为采购人“一机两用”监控系统进行版本维护、升级，并为现场升级提供建议方案，协助做好产品的升级工作。</w:t>
            </w:r>
          </w:p>
        </w:tc>
      </w:tr>
      <w:tr w14:paraId="3A758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2" w:type="pct"/>
          </w:tcPr>
          <w:p w14:paraId="3219BE84">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rPr>
              <w:t>交付物</w:t>
            </w:r>
          </w:p>
        </w:tc>
        <w:tc>
          <w:tcPr>
            <w:tcW w:w="4187" w:type="pct"/>
          </w:tcPr>
          <w:p w14:paraId="73EBEB83">
            <w:pPr>
              <w:pStyle w:val="23"/>
              <w:adjustRightInd w:val="0"/>
              <w:spacing w:line="420" w:lineRule="exact"/>
              <w:ind w:left="0" w:firstLine="480" w:firstLineChars="200"/>
              <w:rPr>
                <w:rFonts w:hint="eastAsia" w:ascii="宋体" w:hAnsi="宋体" w:eastAsia="宋体" w:cs="宋体"/>
                <w:color w:val="auto"/>
                <w:sz w:val="24"/>
              </w:rPr>
            </w:pPr>
            <w:r>
              <w:rPr>
                <w:rFonts w:hint="eastAsia" w:ascii="宋体" w:hAnsi="宋体" w:eastAsia="宋体" w:cs="宋体"/>
                <w:color w:val="auto"/>
                <w:sz w:val="24"/>
              </w:rPr>
              <w:t>《一机两用巡检服务报告》（按月度提供）</w:t>
            </w:r>
          </w:p>
          <w:p w14:paraId="7646C8CD">
            <w:pPr>
              <w:pStyle w:val="23"/>
              <w:ind w:left="0"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rPr>
              <w:t>《一机两用</w:t>
            </w:r>
            <w:r>
              <w:rPr>
                <w:rFonts w:hint="eastAsia" w:ascii="宋体" w:hAnsi="宋体" w:eastAsia="宋体" w:cs="宋体"/>
                <w:color w:val="auto"/>
                <w:sz w:val="24"/>
                <w:lang w:val="en-US" w:eastAsia="zh-CN"/>
              </w:rPr>
              <w:t>年度维保总结</w:t>
            </w:r>
            <w:r>
              <w:rPr>
                <w:rFonts w:hint="eastAsia" w:ascii="宋体" w:hAnsi="宋体" w:eastAsia="宋体" w:cs="宋体"/>
                <w:color w:val="auto"/>
                <w:sz w:val="24"/>
              </w:rPr>
              <w:t>报告》</w:t>
            </w:r>
          </w:p>
        </w:tc>
      </w:tr>
      <w:tr w14:paraId="09F2E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06E1247C">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9、视频网终端杀毒服务：</w:t>
            </w:r>
            <w:r>
              <w:rPr>
                <w:rFonts w:hint="eastAsia" w:ascii="宋体" w:hAnsi="宋体" w:eastAsia="宋体" w:cs="宋体"/>
                <w:color w:val="auto"/>
                <w:sz w:val="24"/>
              </w:rPr>
              <w:t>针对杭州市公安局视频专网终端进行病毒、木马、恶意软件等进行查杀，提供主动防御、补丁管理功能。</w:t>
            </w:r>
          </w:p>
        </w:tc>
      </w:tr>
      <w:tr w14:paraId="7F99F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56BF7054">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51FE943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因服务要求，视频网终端杀毒服务需提供PC终端和服务器授权。</w:t>
            </w:r>
          </w:p>
          <w:p w14:paraId="57E0F5EA">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提供不少于1500点PC终端和250点服务器授权。</w:t>
            </w:r>
          </w:p>
        </w:tc>
      </w:tr>
      <w:tr w14:paraId="423F9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591CE521">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4CCC78D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该服务需要提供以下的服务要求支持：</w:t>
            </w:r>
          </w:p>
          <w:p w14:paraId="7646A91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1、国产化杀毒：针对中标麒麟/银河麒麟/普华/深度操作系统进行病毒查杀。</w:t>
            </w:r>
          </w:p>
          <w:p w14:paraId="4B55DA0F">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终端资产梳理统计：对终端PC信息进行收集，包括终端的硬件、软件、操作系统、网络、进程等信息。对接入视频网的PC终端进行统计，统计子网地址段地址使用率，显示地址段范围、大小、网关、已用数、可用数、已安装终端等信息。实时掌握终端杀毒软件的部署状态和运行情况。</w:t>
            </w:r>
          </w:p>
          <w:p w14:paraId="2A7192A9">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3、病毒库更新：采用杀毒工具支持与浙江省公安厅杀毒软件级联，实时同步病毒库以及杀毒策略。</w:t>
            </w:r>
          </w:p>
          <w:p w14:paraId="6F2A7F04">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4、病毒查杀：要求通过多种杀毒引擎进行查杀，对恶意代码进行有效检测和识别，对已知、未知病毒、病毒变种提供全面检测、拦截和清除能力。</w:t>
            </w:r>
          </w:p>
          <w:p w14:paraId="3BD1ECE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5、终端立体防护：对PC终端提供立体防护服务，包含浏览器防护，系统防护，入口防护和隔离防护。</w:t>
            </w:r>
          </w:p>
          <w:p w14:paraId="0946F1F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文件系统防护和访问控制：对所有文件或者程序及文档进行实时监控，提供对终端操作系统之间东西流量访问控制服务，包括基于数据包流向（任意/流入/流出）、协议（TCP/UDP/ICMP/TCP+UDP）、端口和IP的访问控制。</w:t>
            </w:r>
          </w:p>
          <w:p w14:paraId="0DB6CCC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7、攻击拦截：能够实时检测和拦截攻击行为，包括改写系统关键文件、修改注册表关键键值、感染移动存储介质。支持U盘等移动磁盘设备和电脑硬盘间文件传输检测；支持局域网共享文件传输检测。</w:t>
            </w:r>
          </w:p>
          <w:p w14:paraId="2BE7045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8、黑白名单扫描：支持文件、目录和数字签名自定义黑白名单的方式来管理全网终端的文件。</w:t>
            </w:r>
          </w:p>
          <w:p w14:paraId="0E83600A">
            <w:pPr>
              <w:pStyle w:val="24"/>
              <w:adjustRightIn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9、控制中心支持级联管理，可支持与浙江省公安厅视频专网终端防病毒控制中心级联。</w:t>
            </w:r>
          </w:p>
          <w:p w14:paraId="77CF7205">
            <w:pPr>
              <w:pStyle w:val="24"/>
              <w:adjustRightIn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10、对敲诈者病毒提供专有的防护功能。</w:t>
            </w:r>
          </w:p>
          <w:p w14:paraId="5C3DCBF3">
            <w:pPr>
              <w:pStyle w:val="24"/>
              <w:adjustRightIn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11、支持按CVE编号查询漏洞，支持按KB号查询漏洞，管理员可快速关注高危漏洞，查看漏洞修复情况，如果还有未修复的终端则可立即下发修复任务</w:t>
            </w:r>
          </w:p>
          <w:p w14:paraId="1DE5542D">
            <w:pPr>
              <w:pStyle w:val="24"/>
              <w:adjustRightIn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12、简化补丁运维工作，支持补丁灰度发布，支持设置对特定分组优先进行补丁分发，自定义测试一段时间后再全网升级，实现补丁自动化运维。</w:t>
            </w:r>
          </w:p>
        </w:tc>
      </w:tr>
      <w:tr w14:paraId="58945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24E25DE1">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4672F67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《终端杀毒服务月度报告》（按月度提供）</w:t>
            </w:r>
          </w:p>
        </w:tc>
      </w:tr>
      <w:tr w14:paraId="57791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0097DF7C">
            <w:pPr>
              <w:adjustRightInd w:val="0"/>
              <w:spacing w:line="420" w:lineRule="exact"/>
              <w:ind w:firstLine="482" w:firstLineChars="200"/>
              <w:rPr>
                <w:rFonts w:hint="eastAsia" w:ascii="宋体" w:hAnsi="宋体" w:eastAsia="宋体" w:cs="宋体"/>
                <w:color w:val="auto"/>
                <w:sz w:val="24"/>
                <w:lang w:eastAsia="zh-Hans"/>
              </w:rPr>
            </w:pPr>
            <w:r>
              <w:rPr>
                <w:rFonts w:hint="eastAsia" w:ascii="宋体" w:hAnsi="宋体" w:eastAsia="宋体" w:cs="宋体"/>
                <w:b/>
                <w:color w:val="auto"/>
                <w:sz w:val="24"/>
              </w:rPr>
              <w:t>10、系统安全检测：</w:t>
            </w:r>
            <w:r>
              <w:rPr>
                <w:rFonts w:hint="eastAsia" w:ascii="宋体" w:hAnsi="宋体" w:eastAsia="宋体" w:cs="宋体"/>
                <w:color w:val="auto"/>
                <w:sz w:val="24"/>
              </w:rPr>
              <w:t>针对公安信息系统开展安全性测试和整体安全评估。模拟黑客使用的工具、分析方法对信息系统、网站等进行非破坏性质的攻击性测试，由工程师进行深入的手工测试和分析，识别工具弱点扫描无法发现的问题，发现存在的安全漏洞，输出测试报告，针对性提出加固建议，作为漏洞修复和加固整改的参考依据。</w:t>
            </w:r>
          </w:p>
        </w:tc>
      </w:tr>
      <w:tr w14:paraId="4E136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12" w:type="pct"/>
          </w:tcPr>
          <w:p w14:paraId="61305990">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2899D10E">
            <w:pPr>
              <w:adjustRightInd w:val="0"/>
              <w:spacing w:line="420" w:lineRule="exact"/>
              <w:ind w:firstLine="601"/>
              <w:rPr>
                <w:rFonts w:hint="eastAsia" w:ascii="宋体" w:hAnsi="宋体" w:eastAsia="宋体" w:cs="宋体"/>
                <w:color w:val="auto"/>
                <w:sz w:val="24"/>
                <w:lang w:eastAsia="zh-Hans"/>
              </w:rPr>
            </w:pPr>
            <w:r>
              <w:rPr>
                <w:rFonts w:hint="eastAsia" w:ascii="宋体" w:hAnsi="宋体" w:eastAsia="宋体" w:cs="宋体"/>
                <w:color w:val="auto"/>
                <w:sz w:val="24"/>
              </w:rPr>
              <w:t>不少于4次系统安全检测。</w:t>
            </w:r>
          </w:p>
        </w:tc>
      </w:tr>
      <w:tr w14:paraId="7ED96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38DBB106">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4EE5332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安全架构评估：首先对公安信息系统进行系统分析，分析其网络架构，软件体系以及程序部署等，然后再对新上线系统做系统安全分析，在这之后对系统进行安全建模，明确系统可能来自的各个潜在威胁，之后剖析系统，确认有哪些攻击界面，依次进行安全测试。</w:t>
            </w:r>
          </w:p>
          <w:p w14:paraId="3B6C523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2、系统漏洞扫描：采用漏洞扫描工具对服务范围内各种软硬件设备进行网络层、系统层、数据库、应用层面的扫描与分析，并对具体漏洞提出解决方案。</w:t>
            </w:r>
          </w:p>
          <w:p w14:paraId="4C444BF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3、安全配置检查：根据既定的检查规范及方法，采用人工检查用表（checklist）、脚本程序或基线扫描工具对信息系统中的主机系统、数据库与网络设备的脆弱性进行分析。</w:t>
            </w:r>
          </w:p>
          <w:p w14:paraId="35E0C621">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4、应用安全扫描：采用web应用漏洞扫描工具，通过定制的扫描规则，形成安全扫描策略文档，对指定网站进行自动化安全扫描，人工验证扫描结果输出安全扫描报告及修复建议。</w:t>
            </w:r>
          </w:p>
          <w:p w14:paraId="139AFA11">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5、渗透测试：模拟黑客的攻击方法对系统和网络进行非破坏性质的攻击性测试，通过侵入系统，获取系统控制权并将入侵的过程和细节生成报告进行提交，由此检验系统所存在的安全威胁和风险，并能及时提醒安全管理员完善安全策略。</w:t>
            </w:r>
          </w:p>
        </w:tc>
      </w:tr>
      <w:tr w14:paraId="7E505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12" w:type="pct"/>
          </w:tcPr>
          <w:p w14:paraId="3D80F3BB">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24E7BB26">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《系统安全检测总结报告》（按实际需求提供）</w:t>
            </w:r>
          </w:p>
        </w:tc>
      </w:tr>
      <w:tr w14:paraId="6AE5C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0E748A32">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bCs/>
                <w:color w:val="auto"/>
                <w:sz w:val="24"/>
              </w:rPr>
              <w:t>11、网络安全检查：</w:t>
            </w:r>
            <w:r>
              <w:rPr>
                <w:rFonts w:hint="eastAsia" w:ascii="宋体" w:hAnsi="宋体" w:eastAsia="宋体" w:cs="宋体"/>
                <w:color w:val="auto"/>
                <w:sz w:val="24"/>
              </w:rPr>
              <w:t>在上级网络安全监管部门对杭州市局范围内开展网络安全检查、护网行动等工作前，配合采购人从安全技术、管理和运营等多个维度着手针对全市各警种、区县分局的公安业务系统开展安全检查、协助整改，完善网络安全保障措施。</w:t>
            </w:r>
          </w:p>
        </w:tc>
      </w:tr>
      <w:tr w14:paraId="1A545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812" w:type="pct"/>
          </w:tcPr>
          <w:p w14:paraId="1EB14249">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104BAA00">
            <w:pPr>
              <w:adjustRightInd w:val="0"/>
              <w:spacing w:line="420" w:lineRule="exact"/>
              <w:ind w:firstLine="601"/>
              <w:rPr>
                <w:rFonts w:hint="eastAsia" w:ascii="宋体" w:hAnsi="宋体" w:eastAsia="宋体" w:cs="宋体"/>
                <w:color w:val="auto"/>
                <w:sz w:val="24"/>
                <w:lang w:eastAsia="zh-Hans"/>
              </w:rPr>
            </w:pPr>
            <w:r>
              <w:rPr>
                <w:rFonts w:hint="eastAsia" w:ascii="宋体" w:hAnsi="宋体" w:eastAsia="宋体" w:cs="宋体"/>
                <w:color w:val="auto"/>
                <w:kern w:val="0"/>
                <w:sz w:val="24"/>
              </w:rPr>
              <w:t>不少于3次网络安全检查。</w:t>
            </w:r>
          </w:p>
        </w:tc>
      </w:tr>
      <w:tr w14:paraId="0C6B5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508084A3">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lang w:eastAsia="zh-Hans"/>
              </w:rPr>
              <w:t>服务要求</w:t>
            </w:r>
          </w:p>
        </w:tc>
        <w:tc>
          <w:tcPr>
            <w:tcW w:w="4187" w:type="pct"/>
          </w:tcPr>
          <w:p w14:paraId="1042EAE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1、在上级部门开展网络安全检查前，能够配合采购人先行开展安全检查，协助整改完成；</w:t>
            </w:r>
          </w:p>
          <w:p w14:paraId="0F13751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2、在上级部门开展检查期间提供技术支撑配合、值守保障等；</w:t>
            </w:r>
          </w:p>
        </w:tc>
      </w:tr>
      <w:tr w14:paraId="66863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2" w:type="pct"/>
          </w:tcPr>
          <w:p w14:paraId="168FCD9B">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33A7AAD5">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《网络安全检查总结报告》（按实际需求提供）</w:t>
            </w:r>
          </w:p>
        </w:tc>
      </w:tr>
      <w:tr w14:paraId="5D93E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263273EF">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bCs/>
                <w:color w:val="auto"/>
                <w:sz w:val="24"/>
              </w:rPr>
              <w:t>12、重保</w:t>
            </w:r>
            <w:r>
              <w:rPr>
                <w:rFonts w:hint="eastAsia" w:ascii="宋体" w:hAnsi="宋体" w:eastAsia="宋体" w:cs="宋体"/>
                <w:color w:val="auto"/>
                <w:sz w:val="24"/>
              </w:rPr>
              <w:t>：在重大活动时期，除驻点人员外，需另派遣不少于1名专业工程师驻场值守，对杭州市公安局重要系统进行安全保障。</w:t>
            </w:r>
          </w:p>
        </w:tc>
      </w:tr>
      <w:tr w14:paraId="360CF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30FEB790">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44D1E6C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不少于2次重大活动安全保障。</w:t>
            </w:r>
          </w:p>
        </w:tc>
      </w:tr>
      <w:tr w14:paraId="2200D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0E0E1B60">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14619B4F">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针对杭州市公安局重要IT系统资产、包括主机、网络、应用等系统运行维护场景，在项目实施过程中，针对采购人信息安全建设需求，提供相关安全值守，值守工作内容包含但不限于以下内容：信息安全通告、信息安全咨询、对外服务检查、web站点渗透测试、安全漏洞扫描、主机安全检查、业务系统安全监测、安全值守、安全日志分析、应急响应等。针对重大活动安全保障，要求5分钟内电话响应。</w:t>
            </w:r>
          </w:p>
        </w:tc>
      </w:tr>
      <w:tr w14:paraId="0B720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2A9363F7">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23DB8B23">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《重大活动安全保障总结报告》（按实际需求提供）</w:t>
            </w:r>
          </w:p>
        </w:tc>
      </w:tr>
      <w:tr w14:paraId="7EDB2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5000" w:type="pct"/>
            <w:gridSpan w:val="2"/>
          </w:tcPr>
          <w:p w14:paraId="33C422D7">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bCs/>
                <w:color w:val="auto"/>
                <w:sz w:val="24"/>
              </w:rPr>
              <w:t>13、应急响应</w:t>
            </w:r>
            <w:r>
              <w:rPr>
                <w:rFonts w:hint="eastAsia" w:ascii="宋体" w:hAnsi="宋体" w:eastAsia="宋体" w:cs="宋体"/>
                <w:b/>
                <w:color w:val="auto"/>
                <w:sz w:val="24"/>
              </w:rPr>
              <w:t>：</w:t>
            </w:r>
            <w:r>
              <w:rPr>
                <w:rFonts w:hint="eastAsia" w:ascii="宋体" w:hAnsi="宋体" w:eastAsia="宋体" w:cs="宋体"/>
                <w:color w:val="auto"/>
                <w:sz w:val="24"/>
              </w:rPr>
              <w:t>发生或可能发生安全事件时，投标人应快速响应并到达现场，协助进行安全事件处理，直到安全事件排除。</w:t>
            </w:r>
          </w:p>
        </w:tc>
      </w:tr>
      <w:tr w14:paraId="4F8B3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812" w:type="pct"/>
          </w:tcPr>
          <w:p w14:paraId="1C27AEEF">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730DA8A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在服务期内，发生或可能发生安全事件时，投标人应快速响应并到达现场，协助进行安全事件处理，直到安全事件排除。对于影响业务的安全设备故障，在进行故障处理时，应先考虑业务恢复，然后再彻底解决故障。如投标人工程师不能在时限内解决问题，则应调动安全专家协助解决。</w:t>
            </w:r>
          </w:p>
          <w:p w14:paraId="12F15FF5">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2、按需提供应急响应服务，不少于5次。</w:t>
            </w:r>
          </w:p>
        </w:tc>
      </w:tr>
      <w:tr w14:paraId="66DCE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1C9EDFB6">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73A4B6A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Hans"/>
              </w:rPr>
              <w:t>1、紧急安全事件应急响应（</w:t>
            </w:r>
            <w:r>
              <w:rPr>
                <w:rFonts w:hint="eastAsia" w:ascii="宋体" w:hAnsi="宋体" w:eastAsia="宋体" w:cs="宋体"/>
                <w:color w:val="auto"/>
                <w:sz w:val="24"/>
              </w:rPr>
              <w:t>网站被篡改或被攻击，网站被仿冒；某个业务全部瘫痪，重要数据丢失或被篡改，核心网络流量严重异常或瘫痪等）。</w:t>
            </w:r>
            <w:r>
              <w:rPr>
                <w:rFonts w:hint="eastAsia" w:ascii="宋体" w:hAnsi="宋体" w:eastAsia="宋体" w:cs="宋体"/>
                <w:color w:val="auto"/>
                <w:sz w:val="24"/>
                <w:lang w:eastAsia="zh-Hans"/>
              </w:rPr>
              <w:t>接到电话通知后，必须</w:t>
            </w:r>
            <w:r>
              <w:rPr>
                <w:rFonts w:hint="eastAsia" w:ascii="宋体" w:hAnsi="宋体" w:eastAsia="宋体" w:cs="宋体"/>
                <w:color w:val="auto"/>
                <w:sz w:val="24"/>
              </w:rPr>
              <w:t>15</w:t>
            </w:r>
            <w:r>
              <w:rPr>
                <w:rFonts w:hint="eastAsia" w:ascii="宋体" w:hAnsi="宋体" w:eastAsia="宋体" w:cs="宋体"/>
                <w:color w:val="auto"/>
                <w:sz w:val="24"/>
                <w:lang w:eastAsia="zh-Hans"/>
              </w:rPr>
              <w:t>分钟内做出响应，1小时内到达现场。如1小时内无法解决问题，30分钟内</w:t>
            </w:r>
            <w:r>
              <w:rPr>
                <w:rFonts w:hint="eastAsia" w:ascii="宋体" w:hAnsi="宋体" w:eastAsia="宋体" w:cs="宋体"/>
                <w:color w:val="auto"/>
                <w:sz w:val="24"/>
              </w:rPr>
              <w:t>调动安全专家</w:t>
            </w:r>
            <w:r>
              <w:rPr>
                <w:rFonts w:hint="eastAsia" w:ascii="宋体" w:hAnsi="宋体" w:eastAsia="宋体" w:cs="宋体"/>
                <w:color w:val="auto"/>
                <w:sz w:val="24"/>
                <w:lang w:eastAsia="zh-Hans"/>
              </w:rPr>
              <w:t>协助解决</w:t>
            </w:r>
            <w:r>
              <w:rPr>
                <w:rFonts w:hint="eastAsia" w:ascii="宋体" w:hAnsi="宋体" w:eastAsia="宋体" w:cs="宋体"/>
                <w:color w:val="auto"/>
                <w:sz w:val="24"/>
              </w:rPr>
              <w:t>。</w:t>
            </w:r>
          </w:p>
          <w:p w14:paraId="19FDF63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Hans"/>
              </w:rPr>
              <w:t>2、严重安全事件应急响应（</w:t>
            </w:r>
            <w:r>
              <w:rPr>
                <w:rFonts w:hint="eastAsia" w:ascii="宋体" w:hAnsi="宋体" w:eastAsia="宋体" w:cs="宋体"/>
                <w:color w:val="auto"/>
                <w:sz w:val="24"/>
              </w:rPr>
              <w:t>某个业务部分不可用，某个区域出现流量严重异常或瘫痪，安全设备硬件故障造成网络中断，网站访问速度严重变慢等）。</w:t>
            </w:r>
            <w:r>
              <w:rPr>
                <w:rFonts w:hint="eastAsia" w:ascii="宋体" w:hAnsi="宋体" w:eastAsia="宋体" w:cs="宋体"/>
                <w:color w:val="auto"/>
                <w:sz w:val="24"/>
                <w:lang w:eastAsia="zh-Hans"/>
              </w:rPr>
              <w:t>接到电话通知后，必须</w:t>
            </w:r>
            <w:r>
              <w:rPr>
                <w:rFonts w:hint="eastAsia" w:ascii="宋体" w:hAnsi="宋体" w:eastAsia="宋体" w:cs="宋体"/>
                <w:color w:val="auto"/>
                <w:sz w:val="24"/>
              </w:rPr>
              <w:t>15</w:t>
            </w:r>
            <w:r>
              <w:rPr>
                <w:rFonts w:hint="eastAsia" w:ascii="宋体" w:hAnsi="宋体" w:eastAsia="宋体" w:cs="宋体"/>
                <w:color w:val="auto"/>
                <w:sz w:val="24"/>
                <w:lang w:eastAsia="zh-Hans"/>
              </w:rPr>
              <w:t>分钟内做出响应，2小时内到达现场。如2小时内无法解决问题，1小时内</w:t>
            </w:r>
            <w:r>
              <w:rPr>
                <w:rFonts w:hint="eastAsia" w:ascii="宋体" w:hAnsi="宋体" w:eastAsia="宋体" w:cs="宋体"/>
                <w:color w:val="auto"/>
                <w:sz w:val="24"/>
              </w:rPr>
              <w:t>调动安全专家</w:t>
            </w:r>
            <w:r>
              <w:rPr>
                <w:rFonts w:hint="eastAsia" w:ascii="宋体" w:hAnsi="宋体" w:eastAsia="宋体" w:cs="宋体"/>
                <w:color w:val="auto"/>
                <w:sz w:val="24"/>
                <w:lang w:eastAsia="zh-Hans"/>
              </w:rPr>
              <w:t>协助解决</w:t>
            </w:r>
            <w:r>
              <w:rPr>
                <w:rFonts w:hint="eastAsia" w:ascii="宋体" w:hAnsi="宋体" w:eastAsia="宋体" w:cs="宋体"/>
                <w:color w:val="auto"/>
                <w:sz w:val="24"/>
              </w:rPr>
              <w:t>。</w:t>
            </w:r>
          </w:p>
          <w:p w14:paraId="2BDC7BE4">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3、一般安全事件应急响应（</w:t>
            </w:r>
            <w:r>
              <w:rPr>
                <w:rFonts w:hint="eastAsia" w:ascii="宋体" w:hAnsi="宋体" w:eastAsia="宋体" w:cs="宋体"/>
                <w:color w:val="auto"/>
                <w:sz w:val="24"/>
              </w:rPr>
              <w:t>业务使用存在异常，某个区域出现流量异常，发现安全漏洞隐患未进行修补的，病毒事件以及其他一般事件）。</w:t>
            </w:r>
            <w:r>
              <w:rPr>
                <w:rFonts w:hint="eastAsia" w:ascii="宋体" w:hAnsi="宋体" w:eastAsia="宋体" w:cs="宋体"/>
                <w:color w:val="auto"/>
                <w:sz w:val="24"/>
                <w:lang w:eastAsia="zh-Hans"/>
              </w:rPr>
              <w:t>接到电话通知后，必须</w:t>
            </w:r>
            <w:r>
              <w:rPr>
                <w:rFonts w:hint="eastAsia" w:ascii="宋体" w:hAnsi="宋体" w:eastAsia="宋体" w:cs="宋体"/>
                <w:color w:val="auto"/>
                <w:sz w:val="24"/>
              </w:rPr>
              <w:t>30</w:t>
            </w:r>
            <w:r>
              <w:rPr>
                <w:rFonts w:hint="eastAsia" w:ascii="宋体" w:hAnsi="宋体" w:eastAsia="宋体" w:cs="宋体"/>
                <w:color w:val="auto"/>
                <w:sz w:val="24"/>
                <w:lang w:eastAsia="zh-Hans"/>
              </w:rPr>
              <w:t>分钟内做出响应，4小时内到达现场。如4小时内无法解决问题，2小时内</w:t>
            </w:r>
            <w:r>
              <w:rPr>
                <w:rFonts w:hint="eastAsia" w:ascii="宋体" w:hAnsi="宋体" w:eastAsia="宋体" w:cs="宋体"/>
                <w:color w:val="auto"/>
                <w:sz w:val="24"/>
              </w:rPr>
              <w:t>调动安全专家</w:t>
            </w:r>
            <w:r>
              <w:rPr>
                <w:rFonts w:hint="eastAsia" w:ascii="宋体" w:hAnsi="宋体" w:eastAsia="宋体" w:cs="宋体"/>
                <w:color w:val="auto"/>
                <w:sz w:val="24"/>
                <w:lang w:eastAsia="zh-Hans"/>
              </w:rPr>
              <w:t>协助解决</w:t>
            </w:r>
            <w:r>
              <w:rPr>
                <w:rFonts w:hint="eastAsia" w:ascii="宋体" w:hAnsi="宋体" w:eastAsia="宋体" w:cs="宋体"/>
                <w:color w:val="auto"/>
                <w:sz w:val="24"/>
              </w:rPr>
              <w:t>。</w:t>
            </w:r>
          </w:p>
        </w:tc>
      </w:tr>
      <w:tr w14:paraId="479B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12" w:type="pct"/>
          </w:tcPr>
          <w:p w14:paraId="0D6F8D0A">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47D132B4">
            <w:pPr>
              <w:adjustRightInd w:val="0"/>
              <w:spacing w:line="420" w:lineRule="exact"/>
              <w:rPr>
                <w:rFonts w:hint="eastAsia" w:ascii="宋体" w:hAnsi="宋体" w:eastAsia="宋体" w:cs="宋体"/>
                <w:color w:val="auto"/>
                <w:sz w:val="24"/>
              </w:rPr>
            </w:pPr>
            <w:r>
              <w:rPr>
                <w:rFonts w:hint="eastAsia" w:ascii="宋体" w:hAnsi="宋体" w:eastAsia="宋体" w:cs="宋体"/>
                <w:color w:val="auto"/>
                <w:sz w:val="24"/>
              </w:rPr>
              <w:t>《应急响应报告》（按实际需求提供）</w:t>
            </w:r>
          </w:p>
          <w:p w14:paraId="4AE1EE99">
            <w:pPr>
              <w:adjustRightInd w:val="0"/>
              <w:spacing w:line="420" w:lineRule="exact"/>
              <w:rPr>
                <w:rFonts w:hint="eastAsia" w:ascii="宋体" w:hAnsi="宋体" w:eastAsia="宋体" w:cs="宋体"/>
                <w:color w:val="auto"/>
                <w:sz w:val="24"/>
                <w:lang w:eastAsia="zh-Hans"/>
              </w:rPr>
            </w:pPr>
          </w:p>
        </w:tc>
      </w:tr>
      <w:tr w14:paraId="5AD2E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25C08474">
            <w:pPr>
              <w:adjustRightInd w:val="0"/>
              <w:spacing w:line="420" w:lineRule="exact"/>
              <w:ind w:firstLine="482" w:firstLineChars="200"/>
              <w:rPr>
                <w:rFonts w:hint="eastAsia" w:ascii="宋体" w:hAnsi="宋体" w:eastAsia="宋体" w:cs="宋体"/>
                <w:color w:val="auto"/>
                <w:sz w:val="24"/>
              </w:rPr>
            </w:pPr>
            <w:r>
              <w:rPr>
                <w:rFonts w:hint="eastAsia" w:ascii="宋体" w:hAnsi="宋体" w:eastAsia="宋体" w:cs="宋体"/>
                <w:b/>
                <w:color w:val="auto"/>
                <w:sz w:val="24"/>
              </w:rPr>
              <w:t>14、边界通道租赁服务：</w:t>
            </w:r>
            <w:r>
              <w:rPr>
                <w:rFonts w:hint="eastAsia" w:ascii="宋体" w:hAnsi="宋体" w:eastAsia="宋体" w:cs="宋体"/>
                <w:color w:val="auto"/>
                <w:sz w:val="24"/>
              </w:rPr>
              <w:t>数据交换前置服务器集群、双单向光闸池和数据交换后置服务器集群，组成3条边界通道，每条边界通道包括数据交换前置服务器、数据交换后置服务器。</w:t>
            </w:r>
          </w:p>
        </w:tc>
      </w:tr>
      <w:tr w14:paraId="04123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17AB71CE">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服务内容</w:t>
            </w:r>
          </w:p>
        </w:tc>
        <w:tc>
          <w:tcPr>
            <w:tcW w:w="4187" w:type="pct"/>
          </w:tcPr>
          <w:p w14:paraId="7CD4F90C">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因服务要求，边界通道租赁服务需提供通道。</w:t>
            </w:r>
          </w:p>
          <w:p w14:paraId="167B671A">
            <w:pPr>
              <w:adjustRightInd w:val="0"/>
              <w:spacing w:line="420" w:lineRule="exact"/>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rPr>
              <w:t>共3条通道，每条都为（2+4+2）池化架构或其他架构来确保两侧交换系统及进出各单向2光闸的冗余能力，包含外侧防火墙。</w:t>
            </w:r>
          </w:p>
        </w:tc>
      </w:tr>
      <w:tr w14:paraId="22FCC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30343A4F">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服务要求</w:t>
            </w:r>
          </w:p>
        </w:tc>
        <w:tc>
          <w:tcPr>
            <w:tcW w:w="4187" w:type="pct"/>
          </w:tcPr>
          <w:p w14:paraId="44464B20">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该服务需要提供以下的服务要求支持：</w:t>
            </w:r>
          </w:p>
          <w:p w14:paraId="486946C9">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1、服务性能：吞吐量≥8Gbps；数据库同步速率（1KB）≥12000条/秒；FTP文件同步速率（40KB）≥2600个/秒；消息同步速率（1KB）≥7000个/秒；传输时延≤50ms。 </w:t>
            </w:r>
          </w:p>
          <w:p w14:paraId="0C27E5A2">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2、技术架构：支持集群化扩展，无需独立集群管理节点，具备集群节点并行交换、负载均衡和容灾切换功能。 </w:t>
            </w:r>
          </w:p>
          <w:p w14:paraId="0019AAD8">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3、部署模式：交换前置和交换后置支持非对称部署。 </w:t>
            </w:r>
          </w:p>
          <w:p w14:paraId="61E32F2E">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4、数据库同步：支持异构数据库异构同步、多对一同步、一对多同步、全量同步、增量同步、定时任务同步、自定义主键同步方式等功能。 </w:t>
            </w:r>
          </w:p>
          <w:p w14:paraId="28A8DC2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5、文件共享交换：支持FTP、SFTP、SMB、NFS，支持文件断点续传，支持大文件（GB级）同步。 </w:t>
            </w:r>
          </w:p>
          <w:p w14:paraId="737D2134">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6、文件同步：支持文件目录双向同步、镜像同步、源端删除同步、更新同步、累加同步、文件同步重名等同步策略。 </w:t>
            </w:r>
          </w:p>
          <w:p w14:paraId="566B68EB">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7、API交换：支持通过鉴权方式对服务调用方进行身份认证，认证凭证包括数字证书、口令密码、动态令牌、Token等</w:t>
            </w:r>
            <w:r>
              <w:rPr>
                <w:rFonts w:hint="eastAsia" w:ascii="宋体" w:hAnsi="宋体" w:eastAsia="宋体" w:cs="宋体"/>
                <w:b/>
                <w:bCs/>
                <w:color w:val="auto"/>
                <w:sz w:val="24"/>
              </w:rPr>
              <w:t>（提供具有CMA资质的第三方机构出具的检测报告）</w:t>
            </w:r>
            <w:r>
              <w:rPr>
                <w:rFonts w:hint="eastAsia" w:ascii="宋体" w:hAnsi="宋体" w:eastAsia="宋体" w:cs="宋体"/>
                <w:color w:val="auto"/>
                <w:sz w:val="24"/>
              </w:rPr>
              <w:t xml:space="preserve">。 </w:t>
            </w:r>
          </w:p>
          <w:p w14:paraId="41218DF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8、API接口认证：Http Basic认证、Soap头认证、JWT认证、HMAC 签名认证等功能。 </w:t>
            </w:r>
          </w:p>
          <w:p w14:paraId="30363835">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9、敏感数据脱敏：支持对数据库表中身份证号码、手机号码、地址等敏感或隐私信息的字段进行数据脱敏。 </w:t>
            </w:r>
          </w:p>
          <w:p w14:paraId="71DB1F04">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10、服务认证：支持对服务提供注册、编目、查询、变更、注销等功能。 </w:t>
            </w:r>
          </w:p>
          <w:p w14:paraId="14443C9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11、签名验签：支持签名验证，确保交换数据的真实性、完整性和不可抵赖性；支持对无签名或签名验证不通过的数据进行拦截丢弃，并进行日志报警</w:t>
            </w:r>
            <w:r>
              <w:rPr>
                <w:rFonts w:hint="eastAsia" w:ascii="宋体" w:hAnsi="宋体" w:eastAsia="宋体" w:cs="宋体"/>
                <w:b/>
                <w:bCs/>
                <w:color w:val="auto"/>
                <w:sz w:val="24"/>
              </w:rPr>
              <w:t>（提供具有CMA资质的第三方机构出具的检测报告）</w:t>
            </w:r>
            <w:r>
              <w:rPr>
                <w:rFonts w:hint="eastAsia" w:ascii="宋体" w:hAnsi="宋体" w:eastAsia="宋体" w:cs="宋体"/>
                <w:color w:val="auto"/>
                <w:sz w:val="24"/>
              </w:rPr>
              <w:t xml:space="preserve">。 </w:t>
            </w:r>
          </w:p>
          <w:p w14:paraId="1DEB6C56">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12、文本文件内容过滤：支持对文本文件基于安全策略进行内容过滤，对含有敏感信息的文件进行拦截丢弃，并进行日志报警。 </w:t>
            </w:r>
          </w:p>
          <w:p w14:paraId="4A7B3DBA">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13、数据流量管控：支持对数据流量进行监测，以规则或统计基线判定异常并实施控制。 </w:t>
            </w:r>
          </w:p>
        </w:tc>
      </w:tr>
      <w:tr w14:paraId="2E3FB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2" w:type="pct"/>
          </w:tcPr>
          <w:p w14:paraId="2D544E28">
            <w:pPr>
              <w:adjustRightInd w:val="0"/>
              <w:spacing w:line="420" w:lineRule="exact"/>
              <w:rPr>
                <w:rFonts w:hint="eastAsia" w:ascii="宋体" w:hAnsi="宋体" w:eastAsia="宋体" w:cs="宋体"/>
                <w:color w:val="auto"/>
                <w:sz w:val="24"/>
                <w:lang w:eastAsia="zh-Hans"/>
              </w:rPr>
            </w:pPr>
            <w:r>
              <w:rPr>
                <w:rFonts w:hint="eastAsia" w:ascii="宋体" w:hAnsi="宋体" w:eastAsia="宋体" w:cs="宋体"/>
                <w:color w:val="auto"/>
                <w:sz w:val="24"/>
                <w:lang w:eastAsia="zh-Hans"/>
              </w:rPr>
              <w:t>交付物</w:t>
            </w:r>
          </w:p>
        </w:tc>
        <w:tc>
          <w:tcPr>
            <w:tcW w:w="4187" w:type="pct"/>
          </w:tcPr>
          <w:p w14:paraId="29D6CECD">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《边界通道服务总结报告》</w:t>
            </w:r>
          </w:p>
        </w:tc>
      </w:tr>
    </w:tbl>
    <w:p w14:paraId="21BC1828">
      <w:pPr>
        <w:adjustRightInd w:val="0"/>
        <w:spacing w:line="460" w:lineRule="exact"/>
        <w:rPr>
          <w:rFonts w:hint="eastAsia" w:ascii="宋体" w:hAnsi="宋体" w:eastAsia="宋体" w:cs="宋体"/>
          <w:b/>
          <w:color w:val="auto"/>
          <w:sz w:val="24"/>
        </w:rPr>
      </w:pPr>
      <w:r>
        <w:rPr>
          <w:rFonts w:hint="eastAsia" w:ascii="宋体" w:hAnsi="宋体" w:eastAsia="宋体" w:cs="宋体"/>
          <w:b/>
          <w:color w:val="auto"/>
          <w:sz w:val="24"/>
        </w:rPr>
        <w:t>1、总体要求</w:t>
      </w:r>
    </w:p>
    <w:p w14:paraId="02F921FA">
      <w:pPr>
        <w:adjustRightInd w:val="0"/>
        <w:spacing w:line="48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（1）本项目中服务涉及多张公安业务网络，不同服务内容对应不同技术要求，均应当满足各服务内容中对应的服务要求。</w:t>
      </w:r>
    </w:p>
    <w:p w14:paraId="1793803B">
      <w:pPr>
        <w:adjustRightInd w:val="0"/>
        <w:spacing w:line="48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（2）系统安全检测服务中使用的工具软件必须为正版产品。</w:t>
      </w:r>
    </w:p>
    <w:p w14:paraId="0E7A223E">
      <w:pPr>
        <w:adjustRightInd w:val="0"/>
        <w:spacing w:line="480" w:lineRule="exact"/>
        <w:ind w:firstLine="480" w:firstLineChars="200"/>
        <w:rPr>
          <w:rFonts w:hint="eastAsia" w:ascii="宋体" w:hAnsi="宋体" w:eastAsia="宋体" w:cs="宋体"/>
          <w:color w:val="auto"/>
          <w:sz w:val="24"/>
          <w:highlight w:val="green"/>
        </w:rPr>
      </w:pPr>
      <w:r>
        <w:rPr>
          <w:rFonts w:hint="eastAsia" w:ascii="宋体" w:hAnsi="宋体" w:eastAsia="宋体" w:cs="宋体"/>
          <w:color w:val="auto"/>
          <w:sz w:val="24"/>
        </w:rPr>
        <w:t>（3）网络安全检查过程中进行的渗透测试，在渗透测试之前必须要先提供相应的技术方案与采购人技术人员充分沟通,不能影响各项业务的正常进行，对一些可能引发事故的测试项要在采购人可控制的情况下以单独授权的方式进行。</w:t>
      </w:r>
    </w:p>
    <w:p w14:paraId="33BF29B8">
      <w:pPr>
        <w:adjustRightInd w:val="0"/>
        <w:spacing w:line="480" w:lineRule="exact"/>
        <w:ind w:firstLine="480" w:firstLineChars="200"/>
        <w:rPr>
          <w:rFonts w:hint="eastAsia" w:ascii="宋体" w:hAnsi="宋体" w:eastAsia="宋体" w:cs="宋体"/>
          <w:color w:val="auto"/>
        </w:rPr>
      </w:pPr>
      <w:r>
        <w:rPr>
          <w:rFonts w:hint="eastAsia" w:ascii="宋体" w:hAnsi="宋体" w:eastAsia="宋体" w:cs="宋体"/>
          <w:color w:val="auto"/>
          <w:sz w:val="24"/>
        </w:rPr>
        <w:t>（4）实施过程中应尽可能小的影响系统和网络的正常运行,做好备份和应急措施,不能对采购人应用系统的正常运行产生影响,包括系统性能明显下降、网络拥塞、服务中断等,如无法避免出现这些情况应先停止项目实施,并向采购人书面详细描述。</w:t>
      </w:r>
    </w:p>
    <w:p w14:paraId="4D6F4619">
      <w:pPr>
        <w:adjustRightInd w:val="0"/>
        <w:spacing w:line="48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（5）服务期内提供7*24小时的技术支持（包括电话咨询与现场服务）。</w:t>
      </w:r>
      <w:r>
        <w:rPr>
          <w:rFonts w:hint="eastAsia" w:ascii="宋体" w:hAnsi="宋体" w:eastAsia="宋体" w:cs="宋体"/>
          <w:color w:val="auto"/>
          <w:sz w:val="24"/>
          <w:lang w:eastAsia="zh-Hans"/>
        </w:rPr>
        <w:t>在服务期内，发生或可能发生应急事件时，</w:t>
      </w:r>
      <w:r>
        <w:rPr>
          <w:rFonts w:hint="eastAsia" w:ascii="宋体" w:hAnsi="宋体" w:eastAsia="宋体" w:cs="宋体"/>
          <w:color w:val="auto"/>
          <w:sz w:val="24"/>
        </w:rPr>
        <w:t>中标人</w:t>
      </w:r>
      <w:r>
        <w:rPr>
          <w:rFonts w:hint="eastAsia" w:ascii="宋体" w:hAnsi="宋体" w:eastAsia="宋体" w:cs="宋体"/>
          <w:color w:val="auto"/>
          <w:sz w:val="24"/>
          <w:lang w:eastAsia="zh-Hans"/>
        </w:rPr>
        <w:t>应快速响应并到达现场，协助进行应急事件处理，直到应急事件排除。对于影响服务的故障，在进行故障处理时，应先考虑服务恢复，再彻底解决故障。如</w:t>
      </w:r>
      <w:r>
        <w:rPr>
          <w:rFonts w:hint="eastAsia" w:ascii="宋体" w:hAnsi="宋体" w:eastAsia="宋体" w:cs="宋体"/>
          <w:color w:val="auto"/>
          <w:sz w:val="24"/>
        </w:rPr>
        <w:t>中标人</w:t>
      </w:r>
      <w:r>
        <w:rPr>
          <w:rFonts w:hint="eastAsia" w:ascii="宋体" w:hAnsi="宋体" w:eastAsia="宋体" w:cs="宋体"/>
          <w:color w:val="auto"/>
          <w:sz w:val="24"/>
          <w:lang w:eastAsia="zh-Hans"/>
        </w:rPr>
        <w:t>工程师不能在时限内解决问题，则应调动专家协助解决。</w:t>
      </w:r>
      <w:r>
        <w:rPr>
          <w:rFonts w:hint="eastAsia" w:ascii="宋体" w:hAnsi="宋体" w:eastAsia="宋体" w:cs="宋体"/>
          <w:color w:val="auto"/>
          <w:sz w:val="24"/>
        </w:rPr>
        <w:t>中标人在接到应急电话后，须在应急响应服务规定的时限内响应。</w:t>
      </w:r>
    </w:p>
    <w:p w14:paraId="22605917">
      <w:pPr>
        <w:adjustRightInd w:val="0"/>
        <w:spacing w:line="48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（6）中标人需协助采购人完成安全检查工作。</w:t>
      </w:r>
    </w:p>
    <w:p w14:paraId="7A3CDB29">
      <w:pPr>
        <w:adjustRightInd w:val="0"/>
        <w:spacing w:line="48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（7）中标人应在完成服务后五个工作日内提交相关报告，所有报告均以纸质版提交（需经采购人经办人、审核人、供应商签字并加盖公章）。</w:t>
      </w:r>
    </w:p>
    <w:p w14:paraId="7EA62657">
      <w:pPr>
        <w:adjustRightInd w:val="0"/>
        <w:spacing w:line="480" w:lineRule="exact"/>
        <w:ind w:firstLine="420" w:firstLineChars="175"/>
        <w:jc w:val="left"/>
        <w:rPr>
          <w:rFonts w:hint="eastAsia" w:ascii="宋体" w:hAnsi="宋体" w:eastAsia="宋体" w:cs="宋体"/>
          <w:color w:val="auto"/>
          <w:sz w:val="24"/>
          <w:lang w:eastAsia="zh-Hans"/>
        </w:rPr>
      </w:pPr>
      <w:r>
        <w:rPr>
          <w:rFonts w:hint="eastAsia" w:ascii="宋体" w:hAnsi="宋体" w:eastAsia="宋体" w:cs="宋体"/>
          <w:color w:val="auto"/>
          <w:sz w:val="24"/>
        </w:rPr>
        <w:t>（8）中</w:t>
      </w:r>
      <w:r>
        <w:rPr>
          <w:rFonts w:hint="eastAsia" w:ascii="宋体" w:hAnsi="宋体" w:eastAsia="宋体" w:cs="宋体"/>
          <w:color w:val="auto"/>
          <w:sz w:val="24"/>
          <w:lang w:eastAsia="zh-Hans"/>
        </w:rPr>
        <w:t>标人应针对本项目建立</w:t>
      </w:r>
      <w:r>
        <w:rPr>
          <w:rFonts w:hint="eastAsia" w:ascii="宋体" w:hAnsi="宋体" w:eastAsia="宋体" w:cs="宋体"/>
          <w:color w:val="auto"/>
          <w:sz w:val="24"/>
        </w:rPr>
        <w:t>健</w:t>
      </w:r>
      <w:r>
        <w:rPr>
          <w:rFonts w:hint="eastAsia" w:ascii="宋体" w:hAnsi="宋体" w:eastAsia="宋体" w:cs="宋体"/>
          <w:color w:val="auto"/>
          <w:sz w:val="24"/>
          <w:lang w:eastAsia="zh-Hans"/>
        </w:rPr>
        <w:t>全相应的管理制度，包括日常管理规章制度、内部岗位责任制度（包括各岗位职责等）、管理运作制度、考核制度（包括考核机制、激励机制、监督机制等）等。</w:t>
      </w:r>
    </w:p>
    <w:p w14:paraId="0B4BDF9E">
      <w:pPr>
        <w:pStyle w:val="24"/>
        <w:adjustRightInd w:val="0"/>
        <w:spacing w:line="360" w:lineRule="auto"/>
        <w:rPr>
          <w:rFonts w:hint="eastAsia" w:ascii="宋体" w:hAnsi="宋体" w:eastAsia="宋体" w:cs="宋体"/>
          <w:color w:val="auto"/>
          <w:sz w:val="24"/>
        </w:rPr>
      </w:pPr>
      <w:r>
        <w:rPr>
          <w:rFonts w:hint="eastAsia" w:ascii="宋体" w:hAnsi="宋体" w:eastAsia="宋体" w:cs="宋体"/>
          <w:color w:val="auto"/>
          <w:sz w:val="24"/>
        </w:rPr>
        <w:t>（9）中</w:t>
      </w:r>
      <w:r>
        <w:rPr>
          <w:rFonts w:hint="eastAsia" w:ascii="宋体" w:hAnsi="宋体" w:eastAsia="宋体" w:cs="宋体"/>
          <w:color w:val="auto"/>
          <w:sz w:val="24"/>
          <w:lang w:eastAsia="zh-Hans"/>
        </w:rPr>
        <w:t>标人应针对本项目建立紧急事件处理应急方案，包括建立运行服务保障应急预案、对可能遇到的问题具有相应的应对措施，在服务期间巡检、故障处理的组织和联系机制等。</w:t>
      </w:r>
    </w:p>
    <w:p w14:paraId="7002C16F">
      <w:pPr>
        <w:adjustRightInd w:val="0"/>
        <w:spacing w:before="124" w:after="124" w:line="360" w:lineRule="auto"/>
        <w:rPr>
          <w:rFonts w:hint="eastAsia" w:ascii="宋体" w:hAnsi="宋体" w:eastAsia="宋体" w:cs="宋体"/>
          <w:b/>
          <w:bCs/>
          <w:color w:val="auto"/>
          <w:sz w:val="24"/>
        </w:rPr>
      </w:pPr>
      <w:r>
        <w:rPr>
          <w:rFonts w:hint="eastAsia" w:ascii="宋体" w:hAnsi="宋体" w:eastAsia="宋体" w:cs="宋体"/>
          <w:color w:val="auto"/>
          <w:sz w:val="24"/>
          <w:shd w:val="clear" w:color="auto" w:fill="FFFFFF" w:themeFill="background1"/>
        </w:rPr>
        <w:t>2、</w:t>
      </w:r>
      <w:r>
        <w:rPr>
          <w:rFonts w:hint="eastAsia" w:ascii="宋体" w:hAnsi="宋体" w:eastAsia="宋体" w:cs="宋体"/>
          <w:b/>
          <w:bCs/>
          <w:color w:val="auto"/>
          <w:sz w:val="24"/>
        </w:rPr>
        <w:t>人员要求</w:t>
      </w:r>
    </w:p>
    <w:p w14:paraId="60E8227D">
      <w:pPr>
        <w:adjustRightIn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投标人须为本项目组织项目小组，保障各项服务内容的顺利开展。</w:t>
      </w:r>
    </w:p>
    <w:p w14:paraId="666AB010">
      <w:pPr>
        <w:adjustRightIn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投标人提供不少于2名驻点人员提供</w:t>
      </w:r>
      <w:r>
        <w:rPr>
          <w:rFonts w:hint="eastAsia" w:ascii="宋体" w:hAnsi="宋体" w:eastAsia="宋体" w:cs="宋体"/>
          <w:color w:val="auto"/>
          <w:sz w:val="24"/>
          <w:lang w:eastAsia="zh-Hans"/>
        </w:rPr>
        <w:t>安全</w:t>
      </w:r>
      <w:r>
        <w:rPr>
          <w:rFonts w:hint="eastAsia" w:ascii="宋体" w:hAnsi="宋体" w:eastAsia="宋体" w:cs="宋体"/>
          <w:color w:val="auto"/>
          <w:sz w:val="24"/>
        </w:rPr>
        <w:t>服务。</w:t>
      </w:r>
    </w:p>
    <w:p w14:paraId="7E15F56E">
      <w:pPr>
        <w:adjustRightInd w:val="0"/>
        <w:spacing w:before="124" w:after="124" w:line="360" w:lineRule="auto"/>
        <w:rPr>
          <w:rFonts w:hint="eastAsia" w:ascii="宋体" w:hAnsi="宋体" w:eastAsia="宋体" w:cs="宋体"/>
          <w:b/>
          <w:bCs/>
          <w:color w:val="auto"/>
          <w:sz w:val="24"/>
        </w:rPr>
      </w:pPr>
      <w:r>
        <w:rPr>
          <w:rFonts w:hint="eastAsia" w:ascii="宋体" w:hAnsi="宋体" w:eastAsia="宋体" w:cs="宋体"/>
          <w:b/>
          <w:bCs/>
          <w:color w:val="auto"/>
          <w:sz w:val="24"/>
        </w:rPr>
        <w:t>2.1项目组人员要求</w:t>
      </w:r>
    </w:p>
    <w:p w14:paraId="5A0B70B0">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（1）按照实际工作需求</w:t>
      </w:r>
      <w:r>
        <w:rPr>
          <w:rFonts w:hint="eastAsia" w:ascii="宋体" w:hAnsi="宋体" w:eastAsia="宋体" w:cs="宋体"/>
          <w:color w:val="auto"/>
          <w:sz w:val="24"/>
        </w:rPr>
        <w:t>为本项目配备项目小组，并明确人员分工职责（须包含一名项目负责人）。</w:t>
      </w:r>
    </w:p>
    <w:p w14:paraId="094640DE">
      <w:pPr>
        <w:pStyle w:val="24"/>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eastAsia="zh-Hans"/>
        </w:rPr>
        <w:t>（2）人员服务时间：项目负责人、服务团队人员提供7*24小时</w:t>
      </w:r>
      <w:r>
        <w:rPr>
          <w:rFonts w:hint="eastAsia" w:ascii="宋体" w:hAnsi="宋体" w:eastAsia="宋体" w:cs="宋体"/>
          <w:color w:val="auto"/>
          <w:sz w:val="24"/>
          <w:szCs w:val="24"/>
        </w:rPr>
        <w:t>响应</w:t>
      </w:r>
      <w:r>
        <w:rPr>
          <w:rFonts w:hint="eastAsia" w:ascii="宋体" w:hAnsi="宋体" w:eastAsia="宋体" w:cs="宋体"/>
          <w:color w:val="auto"/>
          <w:sz w:val="24"/>
          <w:szCs w:val="24"/>
          <w:lang w:eastAsia="zh-Hans"/>
        </w:rPr>
        <w:t>服务</w:t>
      </w:r>
      <w:r>
        <w:rPr>
          <w:rFonts w:hint="eastAsia" w:ascii="宋体" w:hAnsi="宋体" w:eastAsia="宋体" w:cs="宋体"/>
          <w:color w:val="auto"/>
          <w:sz w:val="24"/>
          <w:szCs w:val="24"/>
        </w:rPr>
        <w:t>，接到采购人通知后，应在半小时内响应，如需提供现场服务，需在2小时内到达采购人指定地点。</w:t>
      </w:r>
    </w:p>
    <w:p w14:paraId="0AD69B7A">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（3）人员配备标准：</w:t>
      </w:r>
      <w:r>
        <w:rPr>
          <w:rFonts w:hint="eastAsia" w:ascii="宋体" w:hAnsi="宋体" w:eastAsia="宋体" w:cs="宋体"/>
          <w:color w:val="auto"/>
          <w:sz w:val="24"/>
        </w:rPr>
        <w:t>除2名驻点人员外，项目组人员中须配备</w:t>
      </w:r>
      <w:r>
        <w:rPr>
          <w:rFonts w:hint="eastAsia" w:ascii="宋体" w:hAnsi="宋体" w:eastAsia="宋体" w:cs="宋体"/>
          <w:color w:val="auto"/>
          <w:sz w:val="24"/>
          <w:lang w:eastAsia="zh-Hans"/>
        </w:rPr>
        <w:t>至少2名人员具有</w:t>
      </w:r>
      <w:r>
        <w:rPr>
          <w:rFonts w:hint="eastAsia" w:ascii="宋体" w:hAnsi="宋体" w:eastAsia="宋体" w:cs="宋体"/>
          <w:color w:val="auto"/>
          <w:sz w:val="24"/>
        </w:rPr>
        <w:t>信息安全工程师</w:t>
      </w:r>
      <w:r>
        <w:rPr>
          <w:rFonts w:hint="eastAsia" w:ascii="宋体" w:hAnsi="宋体" w:eastAsia="宋体" w:cs="宋体"/>
          <w:color w:val="auto"/>
          <w:sz w:val="24"/>
          <w:lang w:eastAsia="zh-Hans"/>
        </w:rPr>
        <w:t>（国家人力资源和社会保障部、工业和信息化部共同颁发）</w:t>
      </w:r>
      <w:r>
        <w:rPr>
          <w:rFonts w:hint="eastAsia" w:ascii="宋体" w:hAnsi="宋体" w:eastAsia="宋体" w:cs="宋体"/>
          <w:color w:val="auto"/>
          <w:sz w:val="24"/>
        </w:rPr>
        <w:t>或</w:t>
      </w:r>
      <w:r>
        <w:rPr>
          <w:rFonts w:hint="eastAsia" w:ascii="宋体" w:hAnsi="宋体" w:eastAsia="宋体" w:cs="宋体"/>
          <w:color w:val="auto"/>
          <w:sz w:val="24"/>
          <w:lang w:eastAsia="zh-Hans"/>
        </w:rPr>
        <w:t>系统集成项目管理工程师（国家人力资源和社会保障部、工业和信息化部共同颁发）。</w:t>
      </w:r>
    </w:p>
    <w:p w14:paraId="68649A08">
      <w:pPr>
        <w:adjustRightInd w:val="0"/>
        <w:spacing w:before="124" w:after="124"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Hans"/>
        </w:rPr>
        <w:t>（4）工作职责：项目负责人主要负责本次项目的实施以及采购人的对接工作。项目团队人员应有明确的岗位分配，各岗位有专人负责，需提供人员配置表，保障工作顺利有序进行。</w:t>
      </w:r>
    </w:p>
    <w:p w14:paraId="05F0FB25">
      <w:pPr>
        <w:pStyle w:val="24"/>
        <w:rPr>
          <w:rFonts w:hint="eastAsia" w:ascii="宋体" w:hAnsi="宋体" w:eastAsia="宋体" w:cs="宋体"/>
          <w:b/>
          <w:bCs/>
          <w:color w:val="auto"/>
          <w:sz w:val="24"/>
          <w:szCs w:val="24"/>
          <w:lang w:eastAsia="zh-Hans"/>
        </w:rPr>
      </w:pPr>
      <w:r>
        <w:rPr>
          <w:rFonts w:hint="eastAsia" w:ascii="宋体" w:hAnsi="宋体" w:eastAsia="宋体" w:cs="宋体"/>
          <w:b/>
          <w:bCs/>
          <w:color w:val="auto"/>
          <w:sz w:val="24"/>
          <w:szCs w:val="24"/>
          <w:lang w:eastAsia="zh-Hans"/>
        </w:rPr>
        <w:t>2.</w:t>
      </w:r>
      <w:r>
        <w:rPr>
          <w:rFonts w:hint="eastAsia" w:ascii="宋体" w:hAnsi="宋体" w:eastAsia="宋体" w:cs="宋体"/>
          <w:b/>
          <w:bCs/>
          <w:color w:val="auto"/>
          <w:sz w:val="24"/>
          <w:szCs w:val="24"/>
        </w:rPr>
        <w:t>2</w:t>
      </w:r>
      <w:r>
        <w:rPr>
          <w:rFonts w:hint="eastAsia" w:ascii="宋体" w:hAnsi="宋体" w:eastAsia="宋体" w:cs="宋体"/>
          <w:b/>
          <w:bCs/>
          <w:color w:val="auto"/>
          <w:sz w:val="24"/>
          <w:szCs w:val="24"/>
          <w:lang w:eastAsia="zh-Hans"/>
        </w:rPr>
        <w:t>驻点人员要求</w:t>
      </w:r>
    </w:p>
    <w:p w14:paraId="2DAEE31D">
      <w:pPr>
        <w:adjustRightInd w:val="0"/>
        <w:spacing w:line="460" w:lineRule="exact"/>
        <w:ind w:firstLine="240" w:firstLineChars="100"/>
        <w:rPr>
          <w:rFonts w:hint="eastAsia" w:ascii="宋体" w:hAnsi="宋体" w:eastAsia="宋体" w:cs="宋体"/>
          <w:color w:val="auto"/>
          <w:sz w:val="24"/>
          <w:lang w:eastAsia="zh-Hans"/>
        </w:rPr>
      </w:pPr>
      <w:r>
        <w:rPr>
          <w:rFonts w:hint="eastAsia" w:ascii="宋体" w:hAnsi="宋体" w:eastAsia="宋体" w:cs="宋体"/>
          <w:color w:val="auto"/>
          <w:sz w:val="24"/>
        </w:rPr>
        <w:t>（1）提供2名全日制专科以上计算机专业学历，具有</w:t>
      </w:r>
      <w:r>
        <w:rPr>
          <w:rFonts w:hint="eastAsia" w:ascii="宋体" w:hAnsi="宋体" w:eastAsia="宋体" w:cs="宋体"/>
          <w:color w:val="auto"/>
          <w:sz w:val="24"/>
          <w:lang w:eastAsia="zh-CN"/>
        </w:rPr>
        <w:t>类似</w:t>
      </w:r>
      <w:r>
        <w:rPr>
          <w:rFonts w:hint="eastAsia" w:ascii="宋体" w:hAnsi="宋体" w:eastAsia="宋体" w:cs="宋体"/>
          <w:color w:val="auto"/>
          <w:sz w:val="24"/>
        </w:rPr>
        <w:t>网络安全工作经验，</w:t>
      </w:r>
      <w:r>
        <w:rPr>
          <w:rFonts w:hint="eastAsia" w:ascii="宋体" w:hAnsi="宋体" w:eastAsia="宋体" w:cs="宋体"/>
          <w:color w:val="auto"/>
          <w:sz w:val="24"/>
          <w:lang w:eastAsia="zh-Hans"/>
        </w:rPr>
        <w:t>年龄55周岁（含）以下，</w:t>
      </w:r>
      <w:r>
        <w:rPr>
          <w:rFonts w:hint="eastAsia" w:ascii="宋体" w:hAnsi="宋体" w:eastAsia="宋体" w:cs="宋体"/>
          <w:color w:val="auto"/>
          <w:sz w:val="24"/>
        </w:rPr>
        <w:t>提供5*8小时现场驻点服务（采购人提供办公工位）。</w:t>
      </w:r>
      <w:r>
        <w:rPr>
          <w:rFonts w:hint="eastAsia" w:ascii="宋体" w:hAnsi="宋体" w:eastAsia="宋体" w:cs="宋体"/>
          <w:color w:val="auto"/>
          <w:sz w:val="24"/>
          <w:lang w:eastAsia="zh-Hans"/>
        </w:rPr>
        <w:t>至少</w:t>
      </w:r>
      <w:r>
        <w:rPr>
          <w:rFonts w:hint="eastAsia" w:ascii="宋体" w:hAnsi="宋体" w:eastAsia="宋体" w:cs="宋体"/>
          <w:color w:val="auto"/>
          <w:sz w:val="24"/>
        </w:rPr>
        <w:t>1名</w:t>
      </w:r>
      <w:r>
        <w:rPr>
          <w:rFonts w:hint="eastAsia" w:ascii="宋体" w:hAnsi="宋体" w:eastAsia="宋体" w:cs="宋体"/>
          <w:color w:val="auto"/>
          <w:sz w:val="24"/>
          <w:lang w:eastAsia="zh-Hans"/>
        </w:rPr>
        <w:t>需具备以下能力：</w:t>
      </w:r>
    </w:p>
    <w:p w14:paraId="5EA2F8B6">
      <w:pPr>
        <w:adjustRightInd w:val="0"/>
        <w:spacing w:line="460" w:lineRule="exact"/>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①熟练掌握各类安全技术，具有开展安全咨询和安全服务的经验；</w:t>
      </w:r>
    </w:p>
    <w:p w14:paraId="7602AC9E">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②了解网络信息安全相关技能，如传统网络安全、网络攻防。</w:t>
      </w:r>
    </w:p>
    <w:p w14:paraId="60917EF3">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③具有编写网络规划方案能力熟悉网络安全解决方案能力。</w:t>
      </w:r>
    </w:p>
    <w:p w14:paraId="0FF34573">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④具备文档、汇报材料编写能力。</w:t>
      </w:r>
    </w:p>
    <w:p w14:paraId="355AFCFA">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⑤熟练掌握主流安全设备的运行维护操作。</w:t>
      </w:r>
    </w:p>
    <w:p w14:paraId="479E0897">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⑥信息安全工程师</w:t>
      </w:r>
      <w:r>
        <w:rPr>
          <w:rFonts w:hint="eastAsia" w:ascii="宋体" w:hAnsi="宋体" w:eastAsia="宋体" w:cs="宋体"/>
          <w:color w:val="auto"/>
          <w:sz w:val="24"/>
          <w:lang w:eastAsia="zh-Hans"/>
        </w:rPr>
        <w:t>（国家人力资源和社会保障部、工业和信息化部共同颁发）</w:t>
      </w:r>
      <w:r>
        <w:rPr>
          <w:rFonts w:hint="eastAsia" w:ascii="宋体" w:hAnsi="宋体" w:eastAsia="宋体" w:cs="宋体"/>
          <w:color w:val="auto"/>
          <w:sz w:val="24"/>
        </w:rPr>
        <w:t>或</w:t>
      </w:r>
      <w:r>
        <w:rPr>
          <w:rFonts w:hint="eastAsia" w:ascii="宋体" w:hAnsi="宋体" w:eastAsia="宋体" w:cs="宋体"/>
          <w:color w:val="auto"/>
          <w:sz w:val="24"/>
          <w:lang w:eastAsia="zh-Hans"/>
        </w:rPr>
        <w:t>系统集成项目管理工程师（国家人力资源和社会保障部、工业和信息化部共同颁发）</w:t>
      </w:r>
      <w:r>
        <w:rPr>
          <w:rFonts w:hint="eastAsia" w:ascii="宋体" w:hAnsi="宋体" w:eastAsia="宋体" w:cs="宋体"/>
          <w:color w:val="auto"/>
          <w:sz w:val="24"/>
        </w:rPr>
        <w:t>。</w:t>
      </w:r>
    </w:p>
    <w:p w14:paraId="5014100A">
      <w:pPr>
        <w:adjustRightInd w:val="0"/>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（2）驻点人员服务内容</w:t>
      </w:r>
    </w:p>
    <w:p w14:paraId="6060C0A1">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1.负责安全监控、监测系统的日常运行状态巡查。</w:t>
      </w:r>
    </w:p>
    <w:p w14:paraId="19BBF5D6">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2.负责采购</w:t>
      </w:r>
      <w:r>
        <w:rPr>
          <w:rFonts w:hint="eastAsia" w:ascii="宋体" w:hAnsi="宋体" w:eastAsia="宋体" w:cs="宋体"/>
          <w:color w:val="auto"/>
          <w:sz w:val="24"/>
          <w:lang w:eastAsia="zh-CN"/>
        </w:rPr>
        <w:t>人</w:t>
      </w:r>
      <w:r>
        <w:rPr>
          <w:rFonts w:hint="eastAsia" w:ascii="宋体" w:hAnsi="宋体" w:eastAsia="宋体" w:cs="宋体"/>
          <w:color w:val="auto"/>
          <w:sz w:val="24"/>
          <w:lang w:eastAsia="zh-Hans"/>
        </w:rPr>
        <w:t>的资产梳理。</w:t>
      </w:r>
    </w:p>
    <w:p w14:paraId="4C082E4E">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3.负责日常安全事件、安全威胁的响应处理。</w:t>
      </w:r>
    </w:p>
    <w:p w14:paraId="71FAA1F7">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4.负责定期对安全设备（系统）日志进行分析、处理，并提交报告。</w:t>
      </w:r>
    </w:p>
    <w:p w14:paraId="4492E805">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5.提供新增服务器杀毒软件安装、策略优化、安全加固</w:t>
      </w:r>
      <w:r>
        <w:rPr>
          <w:rFonts w:hint="eastAsia" w:ascii="宋体" w:hAnsi="宋体" w:eastAsia="宋体" w:cs="宋体"/>
          <w:color w:val="auto"/>
          <w:sz w:val="24"/>
          <w:lang w:eastAsia="zh-CN"/>
        </w:rPr>
        <w:t>等</w:t>
      </w:r>
      <w:r>
        <w:rPr>
          <w:rFonts w:hint="eastAsia" w:ascii="宋体" w:hAnsi="宋体" w:eastAsia="宋体" w:cs="宋体"/>
          <w:color w:val="auto"/>
          <w:sz w:val="24"/>
          <w:lang w:eastAsia="zh-Hans"/>
        </w:rPr>
        <w:t>服务。</w:t>
      </w:r>
    </w:p>
    <w:p w14:paraId="0AFC08A1">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6.</w:t>
      </w:r>
      <w:r>
        <w:rPr>
          <w:rFonts w:hint="eastAsia" w:ascii="宋体" w:hAnsi="宋体" w:eastAsia="宋体" w:cs="宋体"/>
          <w:color w:val="auto"/>
          <w:sz w:val="24"/>
        </w:rPr>
        <w:t>月</w:t>
      </w:r>
      <w:r>
        <w:rPr>
          <w:rFonts w:hint="eastAsia" w:ascii="宋体" w:hAnsi="宋体" w:eastAsia="宋体" w:cs="宋体"/>
          <w:color w:val="auto"/>
          <w:sz w:val="24"/>
          <w:lang w:eastAsia="zh-Hans"/>
        </w:rPr>
        <w:t>度编制并提交安全工作专题报告。</w:t>
      </w:r>
    </w:p>
    <w:p w14:paraId="5FEB1BBE">
      <w:pPr>
        <w:adjustRightInd w:val="0"/>
        <w:spacing w:before="124" w:after="124" w:line="360" w:lineRule="auto"/>
        <w:ind w:firstLine="480" w:firstLineChars="200"/>
        <w:rPr>
          <w:rFonts w:hint="eastAsia" w:ascii="宋体" w:hAnsi="宋体" w:eastAsia="宋体" w:cs="宋体"/>
          <w:color w:val="auto"/>
          <w:sz w:val="24"/>
          <w:lang w:eastAsia="zh-Hans"/>
        </w:rPr>
      </w:pPr>
      <w:r>
        <w:rPr>
          <w:rFonts w:hint="eastAsia" w:ascii="宋体" w:hAnsi="宋体" w:eastAsia="宋体" w:cs="宋体"/>
          <w:color w:val="auto"/>
          <w:sz w:val="24"/>
          <w:lang w:eastAsia="zh-Hans"/>
        </w:rPr>
        <w:t>7.用户安排的其他网络与信息安全相关工作。</w:t>
      </w:r>
    </w:p>
    <w:p w14:paraId="4910733B">
      <w:pPr>
        <w:adjustRightInd w:val="0"/>
        <w:spacing w:before="124" w:after="124" w:line="360" w:lineRule="auto"/>
        <w:ind w:firstLine="480" w:firstLineChars="200"/>
        <w:rPr>
          <w:rFonts w:hint="eastAsia" w:ascii="宋体" w:hAnsi="宋体" w:eastAsia="宋体" w:cs="宋体"/>
          <w:color w:val="auto"/>
          <w:lang w:eastAsia="zh-Hans"/>
        </w:rPr>
      </w:pPr>
      <w:r>
        <w:rPr>
          <w:rFonts w:hint="eastAsia" w:ascii="宋体" w:hAnsi="宋体" w:eastAsia="宋体" w:cs="宋体"/>
          <w:color w:val="auto"/>
          <w:sz w:val="24"/>
          <w:lang w:val="en-US" w:eastAsia="zh-CN"/>
        </w:rPr>
        <w:t>8</w:t>
      </w:r>
      <w:r>
        <w:rPr>
          <w:rFonts w:hint="eastAsia" w:ascii="宋体" w:hAnsi="宋体" w:eastAsia="宋体" w:cs="宋体"/>
          <w:color w:val="auto"/>
          <w:sz w:val="24"/>
          <w:lang w:eastAsia="zh-Hans"/>
        </w:rPr>
        <w:t>.</w:t>
      </w:r>
      <w:r>
        <w:rPr>
          <w:rFonts w:hint="eastAsia" w:ascii="宋体" w:hAnsi="宋体" w:eastAsia="宋体" w:cs="宋体"/>
          <w:color w:val="auto"/>
          <w:sz w:val="24"/>
          <w:lang w:eastAsia="zh-CN"/>
        </w:rPr>
        <w:t>遵守采购人各项规章制度并接受采购人监督</w:t>
      </w:r>
      <w:r>
        <w:rPr>
          <w:rFonts w:hint="eastAsia" w:ascii="宋体" w:hAnsi="宋体" w:eastAsia="宋体" w:cs="宋体"/>
          <w:color w:val="auto"/>
          <w:sz w:val="24"/>
          <w:lang w:eastAsia="zh-Hans"/>
        </w:rPr>
        <w:t>。</w:t>
      </w:r>
    </w:p>
    <w:p w14:paraId="43F264B4">
      <w:pPr>
        <w:adjustRightInd w:val="0"/>
        <w:spacing w:before="124" w:after="124" w:line="460" w:lineRule="exact"/>
        <w:rPr>
          <w:rFonts w:hint="eastAsia" w:ascii="宋体" w:hAnsi="宋体" w:eastAsia="宋体" w:cs="宋体"/>
          <w:color w:val="auto"/>
          <w:sz w:val="24"/>
        </w:rPr>
      </w:pPr>
      <w:r>
        <w:rPr>
          <w:rFonts w:hint="eastAsia" w:ascii="宋体" w:hAnsi="宋体" w:eastAsia="宋体" w:cs="宋体"/>
          <w:b/>
          <w:bCs/>
          <w:color w:val="auto"/>
          <w:sz w:val="24"/>
        </w:rPr>
        <w:t>2.3驻点人员变动</w:t>
      </w:r>
    </w:p>
    <w:p w14:paraId="5F6CF8F6">
      <w:pPr>
        <w:pStyle w:val="24"/>
        <w:adjustRightInd w:val="0"/>
        <w:spacing w:line="460" w:lineRule="exact"/>
        <w:rPr>
          <w:rFonts w:hint="eastAsia" w:ascii="宋体" w:hAnsi="宋体" w:eastAsia="宋体" w:cs="宋体"/>
          <w:color w:val="auto"/>
        </w:rPr>
      </w:pPr>
      <w:r>
        <w:rPr>
          <w:rFonts w:hint="eastAsia" w:ascii="宋体" w:hAnsi="宋体" w:eastAsia="宋体" w:cs="宋体"/>
          <w:color w:val="auto"/>
          <w:sz w:val="24"/>
        </w:rPr>
        <w:t>投标人派出驻点人员必须达到采购人</w:t>
      </w:r>
      <w:r>
        <w:rPr>
          <w:rFonts w:hint="eastAsia" w:ascii="宋体" w:hAnsi="宋体" w:eastAsia="宋体" w:cs="宋体"/>
          <w:color w:val="auto"/>
          <w:sz w:val="24"/>
          <w:lang w:eastAsia="zh-Hans"/>
        </w:rPr>
        <w:t>服务</w:t>
      </w:r>
      <w:r>
        <w:rPr>
          <w:rFonts w:hint="eastAsia" w:ascii="宋体" w:hAnsi="宋体" w:eastAsia="宋体" w:cs="宋体"/>
          <w:color w:val="auto"/>
          <w:sz w:val="24"/>
        </w:rPr>
        <w:t>要求，经过采购人认可方可上岗（需提供资质证明材料、投标人和拟派人员共同出具保证能在本项目服务期间为本项目服务的承诺函）。</w:t>
      </w:r>
    </w:p>
    <w:p w14:paraId="59C0631A">
      <w:pPr>
        <w:adjustRightInd w:val="0"/>
        <w:spacing w:before="124" w:after="124"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驻点人员应相对稳定，人员变动需提前1个月征求采购人意见并经采购人书面同意，投标人应在其人员变动后4小时响应，24小时内保证更换人员到位，且更换人员资历不低于投标时人员资历，并确保任何时候无人员缺位现象发生。</w:t>
      </w:r>
    </w:p>
    <w:p w14:paraId="4E6124F6">
      <w:pPr>
        <w:autoSpaceDE w:val="0"/>
        <w:autoSpaceDN w:val="0"/>
        <w:adjustRightInd w:val="0"/>
        <w:spacing w:line="460" w:lineRule="exact"/>
        <w:rPr>
          <w:rFonts w:hint="eastAsia" w:ascii="宋体" w:hAnsi="宋体" w:eastAsia="宋体" w:cs="宋体"/>
          <w:b/>
          <w:color w:val="auto"/>
          <w:sz w:val="24"/>
        </w:rPr>
      </w:pPr>
      <w:r>
        <w:rPr>
          <w:rFonts w:hint="eastAsia" w:ascii="宋体" w:hAnsi="宋体" w:eastAsia="宋体" w:cs="宋体"/>
          <w:b/>
          <w:color w:val="auto"/>
          <w:sz w:val="24"/>
        </w:rPr>
        <w:t>3、保密要求</w:t>
      </w:r>
    </w:p>
    <w:p w14:paraId="34B5AD42">
      <w:pPr>
        <w:adjustRightInd w:val="0"/>
        <w:spacing w:line="4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采购人对投标人及工作人员开展常态化安全保密教育，组织签订安全保密承诺书，明确具体安全管理内容、安全保密义务和责任；投标人及工作人员违反保密安全管理要求，构成违法犯罪的，采购人将及时报送本级政府采购和市场监督管理部门，提请列入政府采购严重违法失信行为记录名单、市场监督管理严重失信名单，并追究相关责任。</w:t>
      </w:r>
    </w:p>
    <w:p w14:paraId="08095A39">
      <w:pPr>
        <w:adjustRightInd w:val="0"/>
        <w:spacing w:line="4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严格按照采购人规定使用、存储、处理文档资料和数据。合同终止时，应当交还全部资料和数据。</w:t>
      </w:r>
    </w:p>
    <w:p w14:paraId="46C1C450">
      <w:pPr>
        <w:adjustRightInd w:val="0"/>
        <w:spacing w:line="4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投标人需与采购人签署保密协议，投标人对在项目实施期间所获得的采购人的情报和资料有保密义务（包括但不限于合同履行期内），泄漏秘密应承担责任。如有违反，按合同的违约条款向采购人支付违约金，造成采购人损失的应予赔偿，涉嫌犯罪的依法追究刑事责任。</w:t>
      </w:r>
    </w:p>
    <w:p w14:paraId="7AF8CD14">
      <w:pPr>
        <w:adjustRightInd w:val="0"/>
        <w:spacing w:line="460" w:lineRule="exact"/>
        <w:ind w:firstLine="480" w:firstLineChars="200"/>
        <w:jc w:val="left"/>
        <w:rPr>
          <w:rFonts w:hint="eastAsia" w:ascii="宋体" w:hAnsi="宋体" w:eastAsia="宋体" w:cs="宋体"/>
          <w:color w:val="auto"/>
          <w:sz w:val="24"/>
          <w:lang w:eastAsia="zh-CN"/>
        </w:rPr>
      </w:pPr>
      <w:r>
        <w:rPr>
          <w:rFonts w:hint="eastAsia" w:ascii="宋体" w:hAnsi="宋体" w:eastAsia="宋体" w:cs="宋体"/>
          <w:color w:val="auto"/>
          <w:sz w:val="24"/>
        </w:rPr>
        <w:t>若项目涉及分包的，投标人须按照以上保密要求，与分包供应商签订单位保密协议、个人保密承诺书、开展日常保密教育等措施，确保分包供应商严格落实各项保密规定。</w:t>
      </w:r>
    </w:p>
    <w:p w14:paraId="56E52010">
      <w:pPr>
        <w:adjustRightInd w:val="0"/>
        <w:spacing w:line="460" w:lineRule="exact"/>
        <w:jc w:val="left"/>
        <w:outlineLvl w:val="1"/>
        <w:rPr>
          <w:rFonts w:hint="eastAsia" w:ascii="宋体" w:hAnsi="宋体" w:eastAsia="宋体" w:cs="宋体"/>
          <w:b/>
          <w:color w:val="auto"/>
          <w:sz w:val="24"/>
          <w:lang w:val="en-US" w:eastAsia="zh-CN"/>
        </w:rPr>
      </w:pPr>
      <w:r>
        <w:rPr>
          <w:rFonts w:hint="eastAsia" w:ascii="宋体" w:hAnsi="宋体" w:eastAsia="宋体" w:cs="宋体"/>
          <w:b/>
          <w:color w:val="auto"/>
          <w:sz w:val="24"/>
        </w:rPr>
        <w:t>4、投标人网络安全责任和义务：</w:t>
      </w:r>
    </w:p>
    <w:p w14:paraId="5BE3EC7A">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1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①</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明确投标人法定代表人为合作事项网络安全第一责任人，具体承担合作事项的部门主要负责人为直接责任人。</w:t>
      </w:r>
    </w:p>
    <w:p w14:paraId="3091AD88">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t>②不得转包合同任务。</w:t>
      </w:r>
    </w:p>
    <w:p w14:paraId="3F03AAD3">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t>③投标人应制订与合作事项相关的网络安全保障方案和网络安全事件应急预案。</w:t>
      </w:r>
    </w:p>
    <w:p w14:paraId="7B579899">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4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④</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投标人发现网络安全漏洞、缺陷或者其他严重网络安全风险，应及时向采购人报告。</w:t>
      </w:r>
    </w:p>
    <w:p w14:paraId="6AE570C7">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5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⑤</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处理合作事项的信息平台应当优先采用安全可信的硬件和软件产品。</w:t>
      </w:r>
    </w:p>
    <w:p w14:paraId="1A9606C9">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6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⑥</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发生可能影响合作事项的网络安全重大事项，包括负责人及重要工作人员变更、业务转型、合并重组和投资并购等，投标人应提前向采购人报告。</w:t>
      </w:r>
    </w:p>
    <w:p w14:paraId="5452A6EC">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7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⑦</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采用社会公共网络平台实施合作事项时，严禁涉及国家秘密和警务工作秘密。</w:t>
      </w:r>
    </w:p>
    <w:p w14:paraId="5ACAEB81">
      <w:pPr>
        <w:widowControl/>
        <w:adjustRightInd w:val="0"/>
        <w:spacing w:line="46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8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⑧</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投标人应每年向采购人提交网络安全报告。</w:t>
      </w:r>
    </w:p>
    <w:p w14:paraId="7A1BB10D">
      <w:pPr>
        <w:adjustRightInd w:val="0"/>
        <w:spacing w:line="460" w:lineRule="exact"/>
        <w:ind w:firstLine="480" w:firstLineChars="200"/>
        <w:jc w:val="left"/>
        <w:outlineLvl w:val="1"/>
        <w:rPr>
          <w:rFonts w:hint="eastAsia" w:ascii="宋体" w:hAnsi="宋体" w:eastAsia="宋体" w:cs="宋体"/>
          <w:color w:val="auto"/>
          <w:sz w:val="24"/>
        </w:rPr>
      </w:pPr>
      <w:r>
        <w:rPr>
          <w:rFonts w:hint="eastAsia" w:ascii="宋体" w:hAnsi="宋体" w:eastAsia="宋体" w:cs="宋体"/>
          <w:color w:val="auto"/>
          <w:sz w:val="24"/>
          <w:lang w:bidi="ar"/>
        </w:rPr>
        <w:t>⑨其他应当落实的网络安全责任和义务</w:t>
      </w:r>
      <w:r>
        <w:rPr>
          <w:rFonts w:hint="eastAsia" w:ascii="宋体" w:hAnsi="宋体" w:eastAsia="宋体" w:cs="宋体"/>
          <w:color w:val="auto"/>
          <w:sz w:val="24"/>
        </w:rPr>
        <w:t>。</w:t>
      </w:r>
    </w:p>
    <w:p w14:paraId="39A8D571">
      <w:pPr>
        <w:widowControl/>
        <w:adjustRightInd w:val="0"/>
        <w:spacing w:line="460" w:lineRule="exact"/>
        <w:jc w:val="left"/>
        <w:outlineLvl w:val="1"/>
        <w:rPr>
          <w:rFonts w:hint="eastAsia" w:ascii="宋体" w:hAnsi="宋体" w:eastAsia="宋体" w:cs="宋体"/>
          <w:b/>
          <w:bCs/>
          <w:color w:val="auto"/>
          <w:sz w:val="24"/>
          <w:lang w:bidi="ar"/>
        </w:rPr>
      </w:pPr>
      <w:r>
        <w:rPr>
          <w:rFonts w:hint="eastAsia" w:ascii="宋体" w:hAnsi="宋体" w:eastAsia="宋体" w:cs="宋体"/>
          <w:b/>
          <w:bCs/>
          <w:color w:val="auto"/>
          <w:sz w:val="24"/>
          <w:lang w:bidi="ar"/>
        </w:rPr>
        <w:t>5、知识产权：</w:t>
      </w:r>
    </w:p>
    <w:p w14:paraId="1209F202">
      <w:pPr>
        <w:autoSpaceDE w:val="0"/>
        <w:autoSpaceDN w:val="0"/>
        <w:spacing w:line="360" w:lineRule="auto"/>
        <w:ind w:firstLine="480" w:firstLineChars="200"/>
        <w:rPr>
          <w:rFonts w:hint="eastAsia" w:ascii="宋体" w:hAnsi="宋体" w:eastAsia="宋体" w:cs="宋体"/>
          <w:color w:val="auto"/>
          <w:sz w:val="24"/>
          <w:lang w:bidi="ar"/>
        </w:rPr>
      </w:pPr>
      <w:r>
        <w:rPr>
          <w:rFonts w:hint="eastAsia" w:ascii="宋体" w:hAnsi="宋体" w:eastAsia="宋体" w:cs="宋体"/>
          <w:color w:val="auto"/>
          <w:sz w:val="24"/>
          <w:lang w:bidi="ar"/>
        </w:rPr>
        <w:t>投标人应保证用户在使用投标标的物或其任何一部分时不受任何第三方提出的侵犯其著作权、商标权、专利权等知识产权方面的起诉；如果任何第三方提出侵权指控，那么</w:t>
      </w:r>
      <w:r>
        <w:rPr>
          <w:rFonts w:hint="eastAsia" w:ascii="宋体" w:hAnsi="宋体" w:eastAsia="宋体" w:cs="宋体"/>
          <w:color w:val="auto"/>
          <w:sz w:val="24"/>
          <w:lang w:eastAsia="zh-Hans" w:bidi="ar"/>
        </w:rPr>
        <w:t>投标人</w:t>
      </w:r>
      <w:r>
        <w:rPr>
          <w:rFonts w:hint="eastAsia" w:ascii="宋体" w:hAnsi="宋体" w:eastAsia="宋体" w:cs="宋体"/>
          <w:color w:val="auto"/>
          <w:sz w:val="24"/>
          <w:lang w:bidi="ar"/>
        </w:rPr>
        <w:t>须与该第三方交涉并承担由此发生的一切责任、费用和赔偿；</w:t>
      </w:r>
      <w:r>
        <w:rPr>
          <w:rFonts w:hint="eastAsia" w:ascii="宋体" w:hAnsi="宋体" w:eastAsia="宋体" w:cs="宋体"/>
          <w:color w:val="auto"/>
          <w:sz w:val="24"/>
          <w:lang w:eastAsia="zh-Hans" w:bidi="ar"/>
        </w:rPr>
        <w:t>投标人</w:t>
      </w:r>
      <w:r>
        <w:rPr>
          <w:rFonts w:hint="eastAsia" w:ascii="宋体" w:hAnsi="宋体" w:eastAsia="宋体" w:cs="宋体"/>
          <w:color w:val="auto"/>
          <w:sz w:val="24"/>
          <w:lang w:bidi="ar"/>
        </w:rPr>
        <w:t>已获取的知识产权归</w:t>
      </w:r>
      <w:r>
        <w:rPr>
          <w:rFonts w:hint="eastAsia" w:ascii="宋体" w:hAnsi="宋体" w:eastAsia="宋体" w:cs="宋体"/>
          <w:color w:val="auto"/>
          <w:sz w:val="24"/>
          <w:lang w:eastAsia="zh-CN" w:bidi="ar"/>
        </w:rPr>
        <w:t>投标人</w:t>
      </w:r>
      <w:r>
        <w:rPr>
          <w:rFonts w:hint="eastAsia" w:ascii="宋体" w:hAnsi="宋体" w:eastAsia="宋体" w:cs="宋体"/>
          <w:color w:val="auto"/>
          <w:sz w:val="24"/>
          <w:lang w:bidi="ar"/>
        </w:rPr>
        <w:t>所有，若涉及定制化部分的知识产权均归属于</w:t>
      </w:r>
      <w:r>
        <w:rPr>
          <w:rFonts w:hint="eastAsia" w:ascii="宋体" w:hAnsi="宋体" w:eastAsia="宋体" w:cs="宋体"/>
          <w:color w:val="auto"/>
          <w:sz w:val="24"/>
          <w:lang w:eastAsia="zh-CN" w:bidi="ar"/>
        </w:rPr>
        <w:t>采购人</w:t>
      </w:r>
      <w:r>
        <w:rPr>
          <w:rFonts w:hint="eastAsia" w:ascii="宋体" w:hAnsi="宋体" w:eastAsia="宋体" w:cs="宋体"/>
          <w:color w:val="auto"/>
          <w:sz w:val="24"/>
          <w:lang w:bidi="ar"/>
        </w:rPr>
        <w:t>。</w:t>
      </w:r>
    </w:p>
    <w:p w14:paraId="05289C48">
      <w:pPr>
        <w:widowControl/>
        <w:adjustRightInd w:val="0"/>
        <w:spacing w:line="360" w:lineRule="auto"/>
        <w:ind w:firstLine="241" w:firstLineChars="100"/>
        <w:jc w:val="left"/>
        <w:outlineLvl w:val="1"/>
        <w:rPr>
          <w:rFonts w:hint="eastAsia" w:ascii="宋体" w:hAnsi="宋体" w:eastAsia="宋体" w:cs="宋体"/>
          <w:b/>
          <w:bCs/>
          <w:color w:val="auto"/>
          <w:sz w:val="24"/>
          <w:lang w:val="en-US" w:eastAsia="zh-CN" w:bidi="ar"/>
        </w:rPr>
      </w:pPr>
      <w:r>
        <w:rPr>
          <w:rFonts w:hint="eastAsia" w:ascii="宋体" w:hAnsi="宋体" w:eastAsia="宋体" w:cs="宋体"/>
          <w:b/>
          <w:bCs/>
          <w:color w:val="auto"/>
          <w:sz w:val="24"/>
          <w:lang w:val="en-US" w:eastAsia="zh-CN" w:bidi="ar"/>
        </w:rPr>
        <w:t>6、投标人及所派人员的伤亡事故和因投标人或投标人工作人员工作过错造成的安全管理事故，投标人自行负全部责任及相关费用。</w:t>
      </w:r>
    </w:p>
    <w:p w14:paraId="24750D7B">
      <w:pPr>
        <w:autoSpaceDE w:val="0"/>
        <w:autoSpaceDN w:val="0"/>
        <w:spacing w:line="360" w:lineRule="auto"/>
        <w:rPr>
          <w:rFonts w:hint="eastAsia" w:ascii="宋体" w:hAnsi="宋体" w:eastAsia="宋体" w:cs="宋体"/>
          <w:color w:val="auto"/>
          <w:sz w:val="24"/>
        </w:rPr>
      </w:pPr>
      <w:r>
        <w:rPr>
          <w:rFonts w:hint="eastAsia" w:ascii="宋体" w:hAnsi="宋体" w:eastAsia="宋体" w:cs="宋体"/>
          <w:b/>
          <w:color w:val="auto"/>
          <w:sz w:val="24"/>
        </w:rPr>
        <w:t>（六）、商务要求</w:t>
      </w:r>
    </w:p>
    <w:p w14:paraId="323F712F">
      <w:pPr>
        <w:spacing w:line="360" w:lineRule="auto"/>
        <w:ind w:firstLine="470" w:firstLineChars="196"/>
        <w:jc w:val="left"/>
        <w:rPr>
          <w:rFonts w:hint="eastAsia" w:ascii="宋体" w:hAnsi="宋体" w:eastAsia="宋体" w:cs="宋体"/>
          <w:color w:val="auto"/>
          <w:sz w:val="24"/>
          <w:lang w:val="zh-CN"/>
        </w:rPr>
      </w:pPr>
      <w:r>
        <w:rPr>
          <w:rFonts w:hint="eastAsia" w:ascii="宋体" w:hAnsi="宋体" w:eastAsia="宋体" w:cs="宋体"/>
          <w:color w:val="auto"/>
          <w:sz w:val="24"/>
        </w:rPr>
        <w:t>1.服务期限：</w:t>
      </w:r>
      <w:r>
        <w:rPr>
          <w:rFonts w:hint="eastAsia" w:ascii="宋体" w:hAnsi="宋体" w:eastAsia="宋体" w:cs="宋体"/>
          <w:color w:val="auto"/>
          <w:sz w:val="24"/>
          <w:u w:val="single"/>
        </w:rPr>
        <w:t xml:space="preserve"> 2025年6月1日至2026年5月31日。</w:t>
      </w:r>
    </w:p>
    <w:p w14:paraId="4E773B01">
      <w:pPr>
        <w:spacing w:line="360" w:lineRule="auto"/>
        <w:ind w:firstLine="470" w:firstLineChars="196"/>
        <w:jc w:val="left"/>
        <w:rPr>
          <w:rFonts w:hint="eastAsia" w:ascii="宋体" w:hAnsi="宋体" w:eastAsia="宋体" w:cs="宋体"/>
          <w:color w:val="auto"/>
          <w:sz w:val="24"/>
          <w:u w:val="single"/>
        </w:rPr>
      </w:pPr>
      <w:r>
        <w:rPr>
          <w:rFonts w:hint="eastAsia" w:ascii="宋体" w:hAnsi="宋体" w:eastAsia="宋体" w:cs="宋体"/>
          <w:color w:val="auto"/>
          <w:sz w:val="24"/>
        </w:rPr>
        <w:t>2.实施地点：</w:t>
      </w:r>
      <w:r>
        <w:rPr>
          <w:rFonts w:hint="eastAsia" w:ascii="宋体" w:hAnsi="宋体" w:eastAsia="宋体" w:cs="宋体"/>
          <w:color w:val="auto"/>
          <w:sz w:val="24"/>
          <w:u w:val="single"/>
        </w:rPr>
        <w:t>杭州市公安局。</w:t>
      </w:r>
    </w:p>
    <w:p w14:paraId="52775E0C">
      <w:pPr>
        <w:spacing w:line="360" w:lineRule="auto"/>
        <w:ind w:firstLine="470" w:firstLineChars="196"/>
        <w:jc w:val="left"/>
        <w:rPr>
          <w:rFonts w:hint="eastAsia" w:ascii="宋体" w:hAnsi="宋体" w:eastAsia="宋体" w:cs="宋体"/>
          <w:color w:val="auto"/>
          <w:sz w:val="24"/>
          <w:u w:val="single"/>
        </w:rPr>
      </w:pPr>
      <w:r>
        <w:rPr>
          <w:rFonts w:hint="eastAsia" w:ascii="宋体" w:hAnsi="宋体" w:eastAsia="宋体" w:cs="宋体"/>
          <w:color w:val="auto"/>
          <w:sz w:val="24"/>
        </w:rPr>
        <w:t>3</w:t>
      </w:r>
      <w:r>
        <w:rPr>
          <w:rFonts w:hint="eastAsia" w:ascii="宋体" w:hAnsi="宋体" w:eastAsia="宋体" w:cs="宋体"/>
          <w:color w:val="auto"/>
          <w:sz w:val="24"/>
        </w:rPr>
        <w:t>.付款方式：</w:t>
      </w:r>
      <w:r>
        <w:rPr>
          <w:rFonts w:hint="eastAsia" w:ascii="宋体" w:hAnsi="宋体" w:eastAsia="宋体" w:cs="宋体"/>
          <w:color w:val="auto"/>
          <w:sz w:val="24"/>
          <w:u w:val="single"/>
        </w:rPr>
        <w:t>项目采用分期付款方式，具体如下</w:t>
      </w:r>
    </w:p>
    <w:tbl>
      <w:tblPr>
        <w:tblStyle w:val="62"/>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1171"/>
        <w:gridCol w:w="5262"/>
        <w:gridCol w:w="1852"/>
      </w:tblGrid>
      <w:tr w14:paraId="2AB34658">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1171" w:type="dxa"/>
            <w:shd w:val="clear" w:color="auto" w:fill="auto"/>
            <w:vAlign w:val="center"/>
          </w:tcPr>
          <w:p w14:paraId="3C507A55">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5262" w:type="dxa"/>
            <w:shd w:val="clear" w:color="auto" w:fill="auto"/>
            <w:vAlign w:val="center"/>
          </w:tcPr>
          <w:p w14:paraId="582F9BBB">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付款比例（%）</w:t>
            </w:r>
          </w:p>
        </w:tc>
        <w:tc>
          <w:tcPr>
            <w:tcW w:w="1852" w:type="dxa"/>
            <w:shd w:val="clear" w:color="auto" w:fill="auto"/>
            <w:vAlign w:val="center"/>
          </w:tcPr>
          <w:p w14:paraId="3537C3E5">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付款方式</w:t>
            </w:r>
          </w:p>
        </w:tc>
      </w:tr>
      <w:tr w14:paraId="76D9F5A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1" w:type="dxa"/>
            <w:shd w:val="clear" w:color="auto" w:fill="auto"/>
          </w:tcPr>
          <w:p w14:paraId="73DDA39F">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1</w:t>
            </w:r>
          </w:p>
        </w:tc>
        <w:tc>
          <w:tcPr>
            <w:tcW w:w="5262" w:type="dxa"/>
            <w:shd w:val="clear" w:color="auto" w:fill="auto"/>
          </w:tcPr>
          <w:p w14:paraId="23F918ED">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en-GB"/>
              </w:rPr>
              <w:t>第一期付款</w:t>
            </w:r>
            <w:r>
              <w:rPr>
                <w:rFonts w:hint="eastAsia" w:ascii="宋体" w:hAnsi="宋体" w:eastAsia="宋体" w:cs="宋体"/>
                <w:color w:val="auto"/>
                <w:sz w:val="24"/>
              </w:rPr>
              <w:t>:签订合同后5个工作日内</w:t>
            </w:r>
            <w:r>
              <w:rPr>
                <w:rFonts w:hint="eastAsia" w:ascii="宋体" w:hAnsi="宋体" w:eastAsia="宋体" w:cs="宋体"/>
                <w:color w:val="auto"/>
                <w:sz w:val="24"/>
                <w:lang w:eastAsia="zh-Hans"/>
              </w:rPr>
              <w:t>，</w:t>
            </w:r>
            <w:bookmarkStart w:id="30" w:name="OLE_LINK2"/>
            <w:r>
              <w:rPr>
                <w:rFonts w:hint="eastAsia" w:ascii="宋体" w:hAnsi="宋体" w:eastAsia="宋体" w:cs="宋体"/>
                <w:color w:val="auto"/>
                <w:sz w:val="24"/>
                <w:lang w:eastAsia="zh-CN"/>
              </w:rPr>
              <w:t>项目具备实施条件后</w:t>
            </w:r>
            <w:bookmarkEnd w:id="30"/>
            <w:r>
              <w:rPr>
                <w:rFonts w:hint="eastAsia" w:ascii="宋体" w:hAnsi="宋体" w:eastAsia="宋体" w:cs="宋体"/>
                <w:color w:val="auto"/>
                <w:sz w:val="24"/>
                <w:lang w:eastAsia="zh-CN"/>
              </w:rPr>
              <w:t>，</w:t>
            </w:r>
            <w:r>
              <w:rPr>
                <w:rFonts w:hint="eastAsia" w:ascii="宋体" w:hAnsi="宋体" w:eastAsia="宋体" w:cs="宋体"/>
                <w:color w:val="auto"/>
                <w:sz w:val="24"/>
              </w:rPr>
              <w:t>采购人向投标人支付合同总价</w:t>
            </w:r>
            <w:r>
              <w:rPr>
                <w:rFonts w:hint="eastAsia" w:ascii="宋体" w:hAnsi="宋体" w:eastAsia="宋体" w:cs="宋体"/>
                <w:color w:val="auto"/>
                <w:sz w:val="24"/>
                <w:lang w:val="en-US" w:eastAsia="zh-CN"/>
              </w:rPr>
              <w:t>的</w:t>
            </w:r>
            <w:r>
              <w:rPr>
                <w:rFonts w:hint="eastAsia" w:ascii="宋体" w:hAnsi="宋体" w:eastAsia="宋体" w:cs="宋体"/>
                <w:color w:val="auto"/>
                <w:sz w:val="24"/>
              </w:rPr>
              <w:t>40%。</w:t>
            </w:r>
          </w:p>
        </w:tc>
        <w:tc>
          <w:tcPr>
            <w:tcW w:w="1852" w:type="dxa"/>
            <w:shd w:val="clear" w:color="auto" w:fill="auto"/>
          </w:tcPr>
          <w:p w14:paraId="2937181A">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国库转账支付</w:t>
            </w:r>
          </w:p>
        </w:tc>
      </w:tr>
      <w:tr w14:paraId="24E8986F">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1" w:type="dxa"/>
            <w:shd w:val="clear" w:color="auto" w:fill="auto"/>
          </w:tcPr>
          <w:p w14:paraId="25B81A8E">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2</w:t>
            </w:r>
          </w:p>
        </w:tc>
        <w:tc>
          <w:tcPr>
            <w:tcW w:w="5262" w:type="dxa"/>
            <w:shd w:val="clear" w:color="auto" w:fill="auto"/>
          </w:tcPr>
          <w:p w14:paraId="40979133">
            <w:pPr>
              <w:adjustRightInd w:val="0"/>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第二期付款：</w:t>
            </w:r>
            <w:r>
              <w:rPr>
                <w:rFonts w:hint="eastAsia" w:ascii="宋体" w:hAnsi="宋体" w:eastAsia="宋体" w:cs="宋体"/>
                <w:color w:val="auto"/>
                <w:sz w:val="24"/>
              </w:rPr>
              <w:t>服务至2025年11月30日，</w:t>
            </w:r>
            <w:r>
              <w:rPr>
                <w:rFonts w:hint="eastAsia" w:ascii="宋体" w:hAnsi="宋体" w:eastAsia="宋体" w:cs="宋体"/>
                <w:color w:val="auto"/>
                <w:sz w:val="24"/>
                <w:lang w:val="zh-CN"/>
              </w:rPr>
              <w:t>经验收合格后</w:t>
            </w:r>
            <w:r>
              <w:rPr>
                <w:rFonts w:hint="eastAsia" w:ascii="宋体" w:hAnsi="宋体" w:eastAsia="宋体" w:cs="宋体"/>
                <w:color w:val="auto"/>
                <w:sz w:val="24"/>
              </w:rPr>
              <w:t>,凭双方签字盖章的验收意见、验收小组签字的验收报告、月度考核表、验收资料等材料，</w:t>
            </w:r>
            <w:r>
              <w:rPr>
                <w:rFonts w:hint="eastAsia" w:ascii="宋体" w:hAnsi="宋体" w:eastAsia="宋体" w:cs="宋体"/>
                <w:color w:val="auto"/>
                <w:sz w:val="24"/>
                <w:lang w:val="zh-CN"/>
              </w:rPr>
              <w:t>最多支付至</w:t>
            </w:r>
            <w:r>
              <w:rPr>
                <w:rFonts w:hint="eastAsia" w:ascii="宋体" w:hAnsi="宋体" w:eastAsia="宋体" w:cs="宋体"/>
                <w:color w:val="auto"/>
                <w:sz w:val="24"/>
              </w:rPr>
              <w:t>230万元（含采购人已向</w:t>
            </w:r>
            <w:r>
              <w:rPr>
                <w:rFonts w:hint="eastAsia" w:ascii="宋体" w:hAnsi="宋体" w:eastAsia="宋体" w:cs="宋体"/>
                <w:color w:val="auto"/>
                <w:sz w:val="24"/>
              </w:rPr>
              <w:t>投标人</w:t>
            </w:r>
            <w:r>
              <w:rPr>
                <w:rFonts w:hint="eastAsia" w:ascii="宋体" w:hAnsi="宋体" w:eastAsia="宋体" w:cs="宋体"/>
                <w:color w:val="auto"/>
                <w:sz w:val="24"/>
              </w:rPr>
              <w:t>支付的第一期合同价款）</w:t>
            </w:r>
            <w:r>
              <w:rPr>
                <w:rFonts w:hint="eastAsia" w:ascii="宋体" w:hAnsi="宋体" w:eastAsia="宋体" w:cs="宋体"/>
                <w:color w:val="auto"/>
                <w:sz w:val="24"/>
              </w:rPr>
              <w:t>；</w:t>
            </w:r>
          </w:p>
        </w:tc>
        <w:tc>
          <w:tcPr>
            <w:tcW w:w="1852" w:type="dxa"/>
            <w:shd w:val="clear" w:color="auto" w:fill="auto"/>
          </w:tcPr>
          <w:p w14:paraId="0943AAEC">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国库转账支付</w:t>
            </w:r>
          </w:p>
        </w:tc>
      </w:tr>
      <w:tr w14:paraId="7E33DACC">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1" w:type="dxa"/>
            <w:shd w:val="clear" w:color="auto" w:fill="auto"/>
          </w:tcPr>
          <w:p w14:paraId="1C81D378">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3</w:t>
            </w:r>
          </w:p>
        </w:tc>
        <w:tc>
          <w:tcPr>
            <w:tcW w:w="5262" w:type="dxa"/>
            <w:shd w:val="clear" w:color="auto" w:fill="auto"/>
          </w:tcPr>
          <w:p w14:paraId="4D1E53F2">
            <w:pPr>
              <w:adjustRightInd w:val="0"/>
              <w:spacing w:line="4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第三期付款：至服务期结束，经验收合格后，凭双方签字盖章的验收意见、验收小组签字的验收报告、月度考核表、</w:t>
            </w:r>
            <w:r>
              <w:rPr>
                <w:rFonts w:hint="eastAsia" w:ascii="宋体" w:hAnsi="宋体" w:eastAsia="宋体" w:cs="宋体"/>
                <w:color w:val="auto"/>
                <w:sz w:val="24"/>
                <w:lang w:eastAsia="zh-CN"/>
              </w:rPr>
              <w:t>验收</w:t>
            </w:r>
            <w:r>
              <w:rPr>
                <w:rFonts w:hint="eastAsia" w:ascii="宋体" w:hAnsi="宋体" w:eastAsia="宋体" w:cs="宋体"/>
                <w:color w:val="auto"/>
                <w:sz w:val="24"/>
              </w:rPr>
              <w:t>公示截图、验收资料等材料，经采购人对服务报告质量及数量审核无误后，根据合同单价、实际维护内容及数量按实结算剩余应付的合同款项，同时扣除投标人应向采购人支付的违约金。</w:t>
            </w:r>
          </w:p>
        </w:tc>
        <w:tc>
          <w:tcPr>
            <w:tcW w:w="1852" w:type="dxa"/>
            <w:shd w:val="clear" w:color="auto" w:fill="auto"/>
          </w:tcPr>
          <w:p w14:paraId="61A11E6B">
            <w:pPr>
              <w:adjustRightInd w:val="0"/>
              <w:spacing w:line="460" w:lineRule="exact"/>
              <w:jc w:val="center"/>
              <w:rPr>
                <w:rFonts w:hint="eastAsia" w:ascii="宋体" w:hAnsi="宋体" w:eastAsia="宋体" w:cs="宋体"/>
                <w:color w:val="auto"/>
                <w:sz w:val="24"/>
              </w:rPr>
            </w:pPr>
            <w:r>
              <w:rPr>
                <w:rFonts w:hint="eastAsia" w:ascii="宋体" w:hAnsi="宋体" w:eastAsia="宋体" w:cs="宋体"/>
                <w:color w:val="auto"/>
                <w:sz w:val="24"/>
              </w:rPr>
              <w:t>国库转账支付</w:t>
            </w:r>
          </w:p>
        </w:tc>
      </w:tr>
      <w:tr w14:paraId="5592026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8285" w:type="dxa"/>
            <w:gridSpan w:val="3"/>
            <w:shd w:val="clear" w:color="auto" w:fill="auto"/>
          </w:tcPr>
          <w:p w14:paraId="5C6B0429">
            <w:pPr>
              <w:adjustRightInd w:val="0"/>
              <w:spacing w:line="4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双方确认，采购人按前款结算并向投标人支付的款项总额不超过合同总价。</w:t>
            </w:r>
          </w:p>
          <w:p w14:paraId="558779A0">
            <w:pPr>
              <w:adjustRightInd w:val="0"/>
              <w:spacing w:line="460" w:lineRule="exact"/>
              <w:rPr>
                <w:rFonts w:hint="eastAsia" w:ascii="宋体" w:hAnsi="宋体" w:eastAsia="宋体" w:cs="宋体"/>
                <w:color w:val="auto"/>
                <w:sz w:val="24"/>
              </w:rPr>
            </w:pPr>
            <w:r>
              <w:rPr>
                <w:rFonts w:hint="eastAsia" w:ascii="宋体" w:hAnsi="宋体" w:eastAsia="宋体" w:cs="宋体"/>
                <w:color w:val="auto"/>
                <w:sz w:val="24"/>
                <w:lang w:val="zh-CN"/>
              </w:rPr>
              <w:t>前述采购人按</w:t>
            </w:r>
            <w:r>
              <w:rPr>
                <w:rFonts w:hint="eastAsia" w:ascii="宋体" w:hAnsi="宋体" w:eastAsia="宋体" w:cs="宋体"/>
                <w:color w:val="auto"/>
                <w:sz w:val="24"/>
              </w:rPr>
              <w:t>合同单价、实际维护内容及数量</w:t>
            </w:r>
            <w:r>
              <w:rPr>
                <w:rFonts w:hint="eastAsia" w:ascii="宋体" w:hAnsi="宋体" w:eastAsia="宋体" w:cs="宋体"/>
                <w:color w:val="auto"/>
                <w:sz w:val="24"/>
                <w:lang w:val="zh-CN"/>
              </w:rPr>
              <w:t>与投标人进行结算付款的方式不影响投标人承担其因未全面履行本项目义务而产生的相应违约金。</w:t>
            </w:r>
          </w:p>
        </w:tc>
      </w:tr>
    </w:tbl>
    <w:p w14:paraId="051A2F9C">
      <w:pPr>
        <w:spacing w:line="360" w:lineRule="auto"/>
        <w:rPr>
          <w:rFonts w:hint="eastAsia" w:ascii="宋体" w:hAnsi="宋体" w:eastAsia="宋体" w:cs="宋体"/>
          <w:b/>
          <w:color w:val="auto"/>
          <w:sz w:val="24"/>
        </w:rPr>
      </w:pPr>
      <w:r>
        <w:rPr>
          <w:rFonts w:hint="eastAsia" w:ascii="宋体" w:hAnsi="宋体" w:eastAsia="宋体" w:cs="宋体"/>
          <w:b/>
          <w:color w:val="auto"/>
          <w:sz w:val="24"/>
        </w:rPr>
        <w:t>（七）采购项目的其他要求</w:t>
      </w:r>
    </w:p>
    <w:p w14:paraId="3E07E99A">
      <w:pPr>
        <w:spacing w:line="360" w:lineRule="auto"/>
        <w:rPr>
          <w:rFonts w:hint="eastAsia" w:ascii="宋体" w:hAnsi="宋体" w:eastAsia="宋体" w:cs="宋体"/>
          <w:b/>
          <w:color w:val="auto"/>
          <w:sz w:val="24"/>
          <w:lang w:val="en-US" w:eastAsia="zh-CN"/>
        </w:rPr>
      </w:pPr>
      <w:r>
        <w:rPr>
          <w:rFonts w:hint="eastAsia" w:ascii="宋体" w:hAnsi="宋体" w:eastAsia="宋体" w:cs="宋体"/>
          <w:b/>
          <w:color w:val="auto"/>
          <w:sz w:val="24"/>
        </w:rPr>
        <w:t>①、</w:t>
      </w:r>
      <w:r>
        <w:rPr>
          <w:rFonts w:hint="eastAsia" w:ascii="宋体" w:hAnsi="宋体" w:eastAsia="宋体" w:cs="宋体"/>
          <w:b/>
          <w:color w:val="auto"/>
          <w:sz w:val="24"/>
          <w:lang w:val="en-US" w:eastAsia="zh-CN"/>
        </w:rPr>
        <w:t>履约验收</w:t>
      </w:r>
    </w:p>
    <w:p w14:paraId="6346A761">
      <w:pPr>
        <w:adjustRightInd/>
        <w:spacing w:line="360" w:lineRule="auto"/>
        <w:jc w:val="left"/>
        <w:rPr>
          <w:rFonts w:hint="eastAsia" w:ascii="宋体" w:hAnsi="宋体" w:eastAsia="宋体" w:cs="宋体"/>
          <w:b/>
          <w:color w:val="auto"/>
          <w:sz w:val="24"/>
        </w:rPr>
      </w:pPr>
      <w:r>
        <w:rPr>
          <w:rFonts w:hint="eastAsia" w:ascii="宋体" w:hAnsi="宋体" w:eastAsia="宋体" w:cs="宋体"/>
          <w:b/>
          <w:color w:val="auto"/>
          <w:sz w:val="24"/>
        </w:rPr>
        <w:t>（一）履约验收主体</w:t>
      </w:r>
    </w:p>
    <w:p w14:paraId="77E3A0AD">
      <w:pPr>
        <w:adjustRightInd/>
        <w:spacing w:line="360" w:lineRule="auto"/>
        <w:ind w:left="420" w:leftChars="200"/>
        <w:jc w:val="left"/>
        <w:rPr>
          <w:rFonts w:hint="eastAsia" w:ascii="宋体" w:hAnsi="宋体" w:eastAsia="宋体" w:cs="宋体"/>
          <w:color w:val="auto"/>
          <w:sz w:val="24"/>
          <w:u w:val="single"/>
        </w:rPr>
      </w:pPr>
      <w:r>
        <w:rPr>
          <w:rFonts w:hint="eastAsia" w:ascii="宋体" w:hAnsi="宋体" w:eastAsia="宋体" w:cs="宋体"/>
          <w:b/>
          <w:color w:val="auto"/>
          <w:sz w:val="24"/>
        </w:rPr>
        <w:t>1.采购单位：</w:t>
      </w:r>
      <w:r>
        <w:rPr>
          <w:rFonts w:hint="eastAsia" w:ascii="宋体" w:hAnsi="宋体" w:eastAsia="宋体" w:cs="宋体"/>
          <w:color w:val="auto"/>
          <w:sz w:val="24"/>
          <w:u w:val="single"/>
        </w:rPr>
        <w:t>杭州市公安局</w:t>
      </w:r>
    </w:p>
    <w:p w14:paraId="21710911">
      <w:pPr>
        <w:adjustRightInd/>
        <w:spacing w:line="360" w:lineRule="auto"/>
        <w:ind w:left="420" w:leftChars="200"/>
        <w:jc w:val="left"/>
        <w:rPr>
          <w:rFonts w:hint="eastAsia" w:ascii="宋体" w:hAnsi="宋体" w:eastAsia="宋体" w:cs="宋体"/>
          <w:color w:val="auto"/>
          <w:sz w:val="24"/>
          <w:u w:val="single"/>
        </w:rPr>
      </w:pPr>
      <w:r>
        <w:rPr>
          <w:rFonts w:hint="eastAsia" w:ascii="宋体" w:hAnsi="宋体" w:eastAsia="宋体" w:cs="宋体"/>
          <w:b/>
          <w:color w:val="auto"/>
          <w:sz w:val="24"/>
        </w:rPr>
        <w:t>2.是否选择代理机构：</w:t>
      </w:r>
      <w:r>
        <w:rPr>
          <w:rFonts w:hint="eastAsia" w:ascii="宋体" w:hAnsi="宋体" w:eastAsia="宋体" w:cs="宋体"/>
          <w:color w:val="auto"/>
          <w:sz w:val="24"/>
        </w:rPr>
        <w:tab/>
      </w:r>
      <w:r>
        <w:rPr>
          <w:rFonts w:hint="eastAsia" w:ascii="宋体" w:hAnsi="宋体" w:eastAsia="宋体" w:cs="宋体"/>
          <w:color w:val="auto"/>
          <w:sz w:val="24"/>
        </w:rPr>
        <w:t xml:space="preserve">☑是 </w:t>
      </w:r>
      <w:r>
        <w:rPr>
          <w:rFonts w:hint="eastAsia" w:ascii="宋体" w:hAnsi="宋体" w:eastAsia="宋体" w:cs="宋体"/>
          <w:color w:val="auto"/>
          <w:sz w:val="24"/>
        </w:rPr>
        <w:tab/>
      </w:r>
      <w:r>
        <w:rPr>
          <w:rFonts w:hint="eastAsia" w:ascii="宋体" w:hAnsi="宋体" w:eastAsia="宋体" w:cs="宋体"/>
          <w:color w:val="auto"/>
          <w:sz w:val="24"/>
        </w:rPr>
        <w:t>□否</w:t>
      </w:r>
    </w:p>
    <w:p w14:paraId="12D66760">
      <w:pPr>
        <w:adjustRightInd/>
        <w:spacing w:line="360" w:lineRule="auto"/>
        <w:ind w:left="420" w:leftChars="200"/>
        <w:jc w:val="left"/>
        <w:rPr>
          <w:rFonts w:hint="eastAsia" w:ascii="宋体" w:hAnsi="宋体" w:eastAsia="宋体" w:cs="宋体"/>
          <w:color w:val="auto"/>
          <w:sz w:val="24"/>
          <w:u w:val="single"/>
        </w:rPr>
      </w:pPr>
      <w:r>
        <w:rPr>
          <w:rFonts w:hint="eastAsia" w:ascii="宋体" w:hAnsi="宋体" w:eastAsia="宋体" w:cs="宋体"/>
          <w:b/>
          <w:color w:val="auto"/>
          <w:sz w:val="24"/>
        </w:rPr>
        <w:t>3.是否邀请本项目的其他供应商：</w:t>
      </w:r>
      <w:r>
        <w:rPr>
          <w:rFonts w:hint="eastAsia" w:ascii="宋体" w:hAnsi="宋体" w:eastAsia="宋体" w:cs="宋体"/>
          <w:color w:val="auto"/>
          <w:sz w:val="24"/>
        </w:rPr>
        <w:tab/>
      </w:r>
      <w:r>
        <w:rPr>
          <w:rFonts w:hint="eastAsia" w:ascii="宋体" w:hAnsi="宋体" w:eastAsia="宋体" w:cs="宋体"/>
          <w:color w:val="auto"/>
          <w:sz w:val="24"/>
        </w:rPr>
        <w:t>□是</w:t>
      </w:r>
      <w:r>
        <w:rPr>
          <w:rFonts w:hint="eastAsia" w:ascii="宋体" w:hAnsi="宋体" w:eastAsia="宋体" w:cs="宋体"/>
          <w:color w:val="auto"/>
          <w:sz w:val="24"/>
        </w:rPr>
        <w:tab/>
      </w:r>
      <w:r>
        <w:rPr>
          <w:rFonts w:hint="eastAsia" w:ascii="宋体" w:hAnsi="宋体" w:eastAsia="宋体" w:cs="宋体"/>
          <w:color w:val="auto"/>
          <w:sz w:val="24"/>
        </w:rPr>
        <w:t>☑否</w:t>
      </w:r>
    </w:p>
    <w:p w14:paraId="53F98462">
      <w:pPr>
        <w:adjustRightInd/>
        <w:spacing w:line="360" w:lineRule="auto"/>
        <w:ind w:left="420" w:leftChars="200"/>
        <w:jc w:val="left"/>
        <w:rPr>
          <w:rFonts w:hint="eastAsia" w:ascii="宋体" w:hAnsi="宋体" w:eastAsia="宋体" w:cs="宋体"/>
          <w:color w:val="auto"/>
          <w:sz w:val="24"/>
        </w:rPr>
      </w:pPr>
      <w:r>
        <w:rPr>
          <w:rFonts w:hint="eastAsia" w:ascii="宋体" w:hAnsi="宋体" w:eastAsia="宋体" w:cs="宋体"/>
          <w:b/>
          <w:color w:val="auto"/>
          <w:sz w:val="24"/>
        </w:rPr>
        <w:t>4.是否邀请专家：</w:t>
      </w:r>
      <w:r>
        <w:rPr>
          <w:rFonts w:hint="eastAsia" w:ascii="宋体" w:hAnsi="宋体" w:eastAsia="宋体" w:cs="宋体"/>
          <w:color w:val="auto"/>
          <w:sz w:val="24"/>
        </w:rPr>
        <w:tab/>
      </w:r>
      <w:r>
        <w:rPr>
          <w:rFonts w:hint="eastAsia" w:ascii="宋体" w:hAnsi="宋体" w:eastAsia="宋体" w:cs="宋体"/>
          <w:color w:val="auto"/>
          <w:sz w:val="24"/>
        </w:rPr>
        <w:t xml:space="preserve">☑是 </w:t>
      </w:r>
      <w:r>
        <w:rPr>
          <w:rFonts w:hint="eastAsia" w:ascii="宋体" w:hAnsi="宋体" w:eastAsia="宋体" w:cs="宋体"/>
          <w:color w:val="auto"/>
          <w:sz w:val="24"/>
        </w:rPr>
        <w:tab/>
      </w:r>
      <w:r>
        <w:rPr>
          <w:rFonts w:hint="eastAsia" w:ascii="宋体" w:hAnsi="宋体" w:eastAsia="宋体" w:cs="宋体"/>
          <w:color w:val="auto"/>
          <w:sz w:val="24"/>
        </w:rPr>
        <w:t>□否</w:t>
      </w:r>
    </w:p>
    <w:p w14:paraId="43A7995C">
      <w:pPr>
        <w:adjustRightInd/>
        <w:spacing w:line="360" w:lineRule="auto"/>
        <w:ind w:left="420" w:leftChars="200"/>
        <w:jc w:val="left"/>
        <w:rPr>
          <w:rFonts w:hint="eastAsia" w:ascii="宋体" w:hAnsi="宋体" w:eastAsia="宋体" w:cs="宋体"/>
          <w:color w:val="auto"/>
          <w:sz w:val="24"/>
        </w:rPr>
      </w:pPr>
      <w:r>
        <w:rPr>
          <w:rFonts w:hint="eastAsia" w:ascii="宋体" w:hAnsi="宋体" w:eastAsia="宋体" w:cs="宋体"/>
          <w:b/>
          <w:color w:val="auto"/>
          <w:sz w:val="24"/>
        </w:rPr>
        <w:t>5.是否邀请服务对象：</w:t>
      </w:r>
      <w:r>
        <w:rPr>
          <w:rFonts w:hint="eastAsia" w:ascii="宋体" w:hAnsi="宋体" w:eastAsia="宋体" w:cs="宋体"/>
          <w:color w:val="auto"/>
          <w:sz w:val="24"/>
        </w:rPr>
        <w:tab/>
      </w:r>
      <w:r>
        <w:rPr>
          <w:rFonts w:hint="eastAsia" w:ascii="宋体" w:hAnsi="宋体" w:eastAsia="宋体" w:cs="宋体"/>
          <w:color w:val="auto"/>
          <w:sz w:val="24"/>
        </w:rPr>
        <w:sym w:font="Wingdings 2" w:char="00A3"/>
      </w:r>
      <w:r>
        <w:rPr>
          <w:rFonts w:hint="eastAsia" w:ascii="宋体" w:hAnsi="宋体" w:eastAsia="宋体" w:cs="宋体"/>
          <w:color w:val="auto"/>
          <w:sz w:val="24"/>
        </w:rPr>
        <w:t>是</w:t>
      </w:r>
      <w:r>
        <w:rPr>
          <w:rFonts w:hint="eastAsia" w:ascii="宋体" w:hAnsi="宋体" w:eastAsia="宋体" w:cs="宋体"/>
          <w:color w:val="auto"/>
          <w:sz w:val="24"/>
        </w:rPr>
        <w:tab/>
      </w:r>
      <w:r>
        <w:rPr>
          <w:rFonts w:hint="eastAsia" w:ascii="宋体" w:hAnsi="宋体" w:eastAsia="宋体" w:cs="宋体"/>
          <w:color w:val="auto"/>
          <w:sz w:val="24"/>
        </w:rPr>
        <w:t>☑否</w:t>
      </w:r>
    </w:p>
    <w:p w14:paraId="6A9B35A0">
      <w:pPr>
        <w:widowControl/>
        <w:spacing w:line="360" w:lineRule="auto"/>
        <w:ind w:firstLine="424" w:firstLineChars="176"/>
        <w:jc w:val="both"/>
        <w:rPr>
          <w:rFonts w:hint="eastAsia" w:ascii="宋体" w:hAnsi="宋体" w:eastAsia="宋体" w:cs="宋体"/>
          <w:color w:val="auto"/>
          <w:kern w:val="2"/>
          <w:sz w:val="24"/>
          <w:szCs w:val="24"/>
          <w:u w:val="single"/>
          <w:lang w:val="en-US" w:eastAsia="zh-CN" w:bidi="ar-SA"/>
        </w:rPr>
      </w:pPr>
      <w:r>
        <w:rPr>
          <w:rFonts w:hint="eastAsia" w:ascii="宋体" w:hAnsi="宋体" w:eastAsia="宋体" w:cs="宋体"/>
          <w:b/>
          <w:color w:val="auto"/>
          <w:kern w:val="2"/>
          <w:sz w:val="24"/>
          <w:szCs w:val="24"/>
          <w:lang w:val="en-US" w:eastAsia="zh-CN" w:bidi="ar-SA"/>
        </w:rPr>
        <w:t>6.其他：</w:t>
      </w:r>
      <w:r>
        <w:rPr>
          <w:rFonts w:hint="eastAsia" w:ascii="宋体" w:hAnsi="宋体" w:eastAsia="宋体" w:cs="宋体"/>
          <w:color w:val="auto"/>
          <w:kern w:val="2"/>
          <w:sz w:val="24"/>
          <w:szCs w:val="24"/>
          <w:u w:val="single"/>
          <w:lang w:val="en-US" w:eastAsia="zh-CN" w:bidi="ar-SA"/>
        </w:rPr>
        <w:t>无</w:t>
      </w:r>
    </w:p>
    <w:p w14:paraId="43BDCCD0">
      <w:pPr>
        <w:adjustRightInd/>
        <w:spacing w:line="360" w:lineRule="auto"/>
        <w:jc w:val="left"/>
        <w:rPr>
          <w:rFonts w:hint="eastAsia" w:ascii="宋体" w:hAnsi="宋体" w:eastAsia="宋体" w:cs="宋体"/>
          <w:b/>
          <w:color w:val="auto"/>
          <w:sz w:val="24"/>
        </w:rPr>
      </w:pPr>
      <w:r>
        <w:rPr>
          <w:rFonts w:hint="eastAsia" w:ascii="宋体" w:hAnsi="宋体" w:eastAsia="宋体" w:cs="宋体"/>
          <w:b/>
          <w:color w:val="auto"/>
          <w:sz w:val="24"/>
        </w:rPr>
        <w:t>（二）履约验收时间：</w:t>
      </w:r>
      <w:r>
        <w:rPr>
          <w:rFonts w:hint="eastAsia" w:ascii="宋体" w:hAnsi="宋体" w:eastAsia="宋体" w:cs="宋体"/>
          <w:color w:val="auto"/>
          <w:sz w:val="24"/>
          <w:u w:val="single"/>
        </w:rPr>
        <w:t>本项目分期验收，第一期初验验收：服务期至2025年11月30日</w:t>
      </w:r>
      <w:r>
        <w:rPr>
          <w:rFonts w:hint="eastAsia" w:ascii="宋体" w:hAnsi="宋体" w:eastAsia="宋体" w:cs="宋体"/>
          <w:color w:val="auto"/>
          <w:sz w:val="24"/>
          <w:u w:val="single"/>
          <w:lang w:eastAsia="zh-CN"/>
        </w:rPr>
        <w:t>后</w:t>
      </w:r>
      <w:r>
        <w:rPr>
          <w:rFonts w:hint="eastAsia" w:ascii="宋体" w:hAnsi="宋体" w:eastAsia="宋体" w:cs="宋体"/>
          <w:color w:val="auto"/>
          <w:sz w:val="24"/>
          <w:u w:val="single"/>
        </w:rPr>
        <w:t>，第二期终验验收：服务期结束后。</w:t>
      </w:r>
    </w:p>
    <w:p w14:paraId="1ED0CDCF">
      <w:pPr>
        <w:adjustRightInd/>
        <w:spacing w:line="360" w:lineRule="auto"/>
        <w:jc w:val="left"/>
        <w:rPr>
          <w:rFonts w:hint="eastAsia" w:ascii="宋体" w:hAnsi="宋体" w:eastAsia="宋体" w:cs="宋体"/>
          <w:color w:val="auto"/>
          <w:sz w:val="24"/>
        </w:rPr>
      </w:pPr>
      <w:r>
        <w:rPr>
          <w:rFonts w:hint="eastAsia" w:ascii="宋体" w:hAnsi="宋体" w:eastAsia="宋体" w:cs="宋体"/>
          <w:b/>
          <w:color w:val="auto"/>
          <w:sz w:val="24"/>
        </w:rPr>
        <w:t>（三）履约验收方式：</w:t>
      </w:r>
      <w:r>
        <w:rPr>
          <w:rFonts w:hint="eastAsia" w:ascii="宋体" w:hAnsi="宋体" w:eastAsia="宋体" w:cs="宋体"/>
          <w:color w:val="auto"/>
          <w:sz w:val="24"/>
        </w:rPr>
        <w:tab/>
      </w:r>
      <w:r>
        <w:rPr>
          <w:rFonts w:hint="eastAsia" w:ascii="宋体" w:hAnsi="宋体" w:eastAsia="宋体" w:cs="宋体"/>
          <w:color w:val="auto"/>
          <w:sz w:val="24"/>
        </w:rPr>
        <w:t>□简易程序</w:t>
      </w:r>
      <w:r>
        <w:rPr>
          <w:rFonts w:hint="eastAsia" w:ascii="宋体" w:hAnsi="宋体" w:eastAsia="宋体" w:cs="宋体"/>
          <w:color w:val="auto"/>
          <w:sz w:val="24"/>
        </w:rPr>
        <w:tab/>
      </w:r>
      <w:r>
        <w:rPr>
          <w:rFonts w:hint="eastAsia" w:ascii="宋体" w:hAnsi="宋体" w:eastAsia="宋体" w:cs="宋体"/>
          <w:color w:val="auto"/>
          <w:sz w:val="24"/>
        </w:rPr>
        <w:tab/>
      </w:r>
      <w:r>
        <w:rPr>
          <w:rFonts w:hint="eastAsia" w:ascii="宋体" w:hAnsi="宋体" w:eastAsia="宋体" w:cs="宋体"/>
          <w:color w:val="auto"/>
          <w:sz w:val="24"/>
        </w:rPr>
        <w:t>☑一般程序</w:t>
      </w:r>
    </w:p>
    <w:p w14:paraId="1DEA2C3F">
      <w:pPr>
        <w:adjustRightInd/>
        <w:spacing w:line="360" w:lineRule="auto"/>
        <w:jc w:val="left"/>
        <w:rPr>
          <w:rFonts w:hint="eastAsia" w:ascii="宋体" w:hAnsi="宋体" w:eastAsia="宋体" w:cs="宋体"/>
          <w:color w:val="auto"/>
          <w:sz w:val="24"/>
        </w:rPr>
      </w:pPr>
      <w:r>
        <w:rPr>
          <w:rFonts w:hint="eastAsia" w:ascii="宋体" w:hAnsi="宋体" w:eastAsia="宋体" w:cs="宋体"/>
          <w:b/>
          <w:color w:val="auto"/>
          <w:sz w:val="24"/>
        </w:rPr>
        <w:t>（四）履约验收程序：</w:t>
      </w:r>
      <w:r>
        <w:rPr>
          <w:rFonts w:hint="eastAsia" w:ascii="宋体" w:hAnsi="宋体" w:eastAsia="宋体" w:cs="宋体"/>
          <w:color w:val="auto"/>
          <w:sz w:val="24"/>
        </w:rPr>
        <w:t xml:space="preserve"> </w:t>
      </w:r>
      <w:r>
        <w:rPr>
          <w:rFonts w:hint="eastAsia" w:ascii="宋体" w:hAnsi="宋体" w:eastAsia="宋体" w:cs="宋体"/>
          <w:color w:val="auto"/>
          <w:sz w:val="24"/>
        </w:rPr>
        <w:sym w:font="Wingdings 2" w:char="00A3"/>
      </w:r>
      <w:r>
        <w:rPr>
          <w:rFonts w:hint="eastAsia" w:ascii="宋体" w:hAnsi="宋体" w:eastAsia="宋体" w:cs="宋体"/>
          <w:color w:val="auto"/>
          <w:sz w:val="24"/>
        </w:rPr>
        <w:t>一次性验收</w:t>
      </w:r>
      <w:r>
        <w:rPr>
          <w:rFonts w:hint="eastAsia" w:ascii="宋体" w:hAnsi="宋体" w:eastAsia="宋体" w:cs="宋体"/>
          <w:color w:val="auto"/>
          <w:sz w:val="24"/>
        </w:rPr>
        <w:tab/>
      </w:r>
      <w:r>
        <w:rPr>
          <w:rFonts w:hint="eastAsia" w:ascii="宋体" w:hAnsi="宋体" w:eastAsia="宋体" w:cs="宋体"/>
          <w:color w:val="auto"/>
          <w:sz w:val="24"/>
        </w:rPr>
        <w:t>□分段验收</w:t>
      </w:r>
      <w:r>
        <w:rPr>
          <w:rFonts w:hint="eastAsia" w:ascii="宋体" w:hAnsi="宋体" w:eastAsia="宋体" w:cs="宋体"/>
          <w:color w:val="auto"/>
          <w:sz w:val="24"/>
        </w:rPr>
        <w:tab/>
      </w:r>
      <w:r>
        <w:rPr>
          <w:rFonts w:hint="eastAsia" w:ascii="宋体" w:hAnsi="宋体" w:eastAsia="宋体" w:cs="宋体"/>
          <w:color w:val="auto"/>
          <w:sz w:val="24"/>
        </w:rPr>
        <w:tab/>
      </w:r>
      <w:r>
        <w:rPr>
          <w:rFonts w:hint="eastAsia" w:ascii="宋体" w:hAnsi="宋体" w:eastAsia="宋体" w:cs="宋体"/>
          <w:color w:val="auto"/>
          <w:sz w:val="24"/>
        </w:rPr>
        <w:sym w:font="Wingdings 2" w:char="0052"/>
      </w:r>
      <w:r>
        <w:rPr>
          <w:rFonts w:hint="eastAsia" w:ascii="宋体" w:hAnsi="宋体" w:eastAsia="宋体" w:cs="宋体"/>
          <w:color w:val="auto"/>
          <w:sz w:val="24"/>
        </w:rPr>
        <w:t>分期验收</w:t>
      </w:r>
    </w:p>
    <w:p w14:paraId="0BAEDE13">
      <w:pPr>
        <w:adjustRightInd/>
        <w:spacing w:line="360" w:lineRule="auto"/>
        <w:jc w:val="left"/>
        <w:rPr>
          <w:rFonts w:hint="eastAsia" w:ascii="宋体" w:hAnsi="宋体" w:eastAsia="宋体" w:cs="宋体"/>
          <w:b/>
          <w:color w:val="auto"/>
          <w:sz w:val="24"/>
        </w:rPr>
      </w:pPr>
      <w:r>
        <w:rPr>
          <w:rFonts w:hint="eastAsia" w:ascii="宋体" w:hAnsi="宋体" w:eastAsia="宋体" w:cs="宋体"/>
          <w:b/>
          <w:color w:val="auto"/>
          <w:sz w:val="24"/>
        </w:rPr>
        <w:t>（五）履约验收内容</w:t>
      </w:r>
    </w:p>
    <w:p w14:paraId="3E2985E9">
      <w:pPr>
        <w:adjustRightInd/>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采购人按照《杭州市政府采购履约验收暂行办法》（杭财采监[2019]10号）规定组织对投标人履约的验收。验收方成员应当在验收书上签字，并承担相应的法律责任。如果发现与合同中要求不符，投标人须承担由此发生的一切损失和费用，并接受相应的处理。</w:t>
      </w:r>
    </w:p>
    <w:p w14:paraId="1794782F">
      <w:pPr>
        <w:tabs>
          <w:tab w:val="left" w:pos="904"/>
        </w:tabs>
        <w:adjustRightInd/>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2、严格按照采购合同开展履约验收。采购人委托第三方机构组织验收，成立验收小组（验收小组由5人组成：其中采购人1名，专家4名由采购代理机构从</w:t>
      </w:r>
      <w:r>
        <w:rPr>
          <w:rFonts w:hint="eastAsia" w:ascii="宋体" w:hAnsi="宋体" w:eastAsia="宋体" w:cs="宋体"/>
          <w:color w:val="auto"/>
          <w:sz w:val="24"/>
          <w:lang w:eastAsia="zh-CN"/>
        </w:rPr>
        <w:t>乐采云</w:t>
      </w:r>
      <w:r>
        <w:rPr>
          <w:rFonts w:hint="eastAsia" w:ascii="宋体" w:hAnsi="宋体" w:eastAsia="宋体" w:cs="宋体"/>
          <w:color w:val="auto"/>
          <w:sz w:val="24"/>
        </w:rPr>
        <w:t>平台专家库中随机抽取产生），按照采购合同的约定对投标人履约情况进行验收，验收时，按照采购合同的约定对每一项技术、服务、安全标准的履约情况进行确认，出具验收报告并经验收小组全体成员签字。采购人根据验收报告形成验收意见并经采购人与投标人签字盖章。验收结果与采购合同约定的资金支付条件挂钩。履约验收的各项资料应当存档备查。</w:t>
      </w:r>
    </w:p>
    <w:p w14:paraId="37695E36">
      <w:pPr>
        <w:tabs>
          <w:tab w:val="left" w:pos="904"/>
        </w:tabs>
        <w:adjustRightInd/>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本项目为信息化运维项目，根据《杭州市公安局信息化项目管理办法》第27条规定,信息化运维项目服务期满后,项目单位应向市公安局科信局提交《信息化运维项目验收表》及验收所需相应材料,由市公安局科信局按照杭州市政府采购履约验收相关管理办法的程序,结合市局相关内控制度组织开展验收。</w:t>
      </w:r>
    </w:p>
    <w:p w14:paraId="7510B537">
      <w:pPr>
        <w:adjustRightInd/>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4、验收合格的项目，采购人将根据采购合同的约定及时向投标人支付采购资金。验收不合格的项目，采购人将依法及时处理。采购合同的履行、违约责任和解决争议的方式等适用《中华人民共和国民法典》。</w:t>
      </w:r>
    </w:p>
    <w:p w14:paraId="3EEB691A">
      <w:pPr>
        <w:adjustRightInd/>
        <w:spacing w:line="360" w:lineRule="auto"/>
        <w:ind w:firstLine="480" w:firstLineChars="200"/>
        <w:jc w:val="left"/>
        <w:outlineLvl w:val="1"/>
        <w:rPr>
          <w:rFonts w:hint="eastAsia" w:ascii="宋体" w:hAnsi="宋体" w:eastAsia="宋体" w:cs="宋体"/>
          <w:color w:val="auto"/>
          <w:sz w:val="24"/>
        </w:rPr>
      </w:pPr>
      <w:r>
        <w:rPr>
          <w:rFonts w:hint="eastAsia" w:ascii="宋体" w:hAnsi="宋体" w:eastAsia="宋体" w:cs="宋体"/>
          <w:color w:val="auto"/>
          <w:sz w:val="24"/>
        </w:rPr>
        <w:t>5、验收产生的费用首次验收费用由采购人承担，如首次验收不合格，后续验收费用由投标人支付。</w:t>
      </w:r>
    </w:p>
    <w:p w14:paraId="648D1836">
      <w:pPr>
        <w:tabs>
          <w:tab w:val="left" w:pos="904"/>
        </w:tabs>
        <w:adjustRightInd/>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6、验收内容及资料要求：</w:t>
      </w:r>
    </w:p>
    <w:p w14:paraId="769161C7">
      <w:pPr>
        <w:tabs>
          <w:tab w:val="left" w:pos="904"/>
        </w:tabs>
        <w:adjustRightInd/>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6.1验收内容</w:t>
      </w:r>
    </w:p>
    <w:tbl>
      <w:tblPr>
        <w:tblStyle w:val="62"/>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418"/>
        <w:gridCol w:w="6426"/>
      </w:tblGrid>
      <w:tr w14:paraId="5A06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noWrap/>
            <w:vAlign w:val="center"/>
          </w:tcPr>
          <w:p w14:paraId="30E4CC7A">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序号</w:t>
            </w:r>
          </w:p>
        </w:tc>
        <w:tc>
          <w:tcPr>
            <w:tcW w:w="1418" w:type="dxa"/>
            <w:noWrap/>
            <w:vAlign w:val="center"/>
          </w:tcPr>
          <w:p w14:paraId="729B5088">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验收内容</w:t>
            </w:r>
          </w:p>
        </w:tc>
        <w:tc>
          <w:tcPr>
            <w:tcW w:w="6426" w:type="dxa"/>
            <w:vAlign w:val="center"/>
          </w:tcPr>
          <w:p w14:paraId="2CDEBBB5">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 xml:space="preserve"> 验收标准</w:t>
            </w:r>
          </w:p>
        </w:tc>
      </w:tr>
      <w:tr w14:paraId="2CCE4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673" w:type="dxa"/>
            <w:noWrap/>
            <w:vAlign w:val="center"/>
          </w:tcPr>
          <w:p w14:paraId="1AC79FCE">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1</w:t>
            </w:r>
          </w:p>
        </w:tc>
        <w:tc>
          <w:tcPr>
            <w:tcW w:w="1418" w:type="dxa"/>
            <w:noWrap/>
            <w:vAlign w:val="center"/>
          </w:tcPr>
          <w:p w14:paraId="1DAD0931">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响应程度</w:t>
            </w:r>
          </w:p>
        </w:tc>
        <w:tc>
          <w:tcPr>
            <w:tcW w:w="6426" w:type="dxa"/>
            <w:vAlign w:val="center"/>
          </w:tcPr>
          <w:p w14:paraId="4AA9C2DE">
            <w:pPr>
              <w:widowControl/>
              <w:adjustRightInd/>
              <w:jc w:val="left"/>
              <w:rPr>
                <w:rFonts w:hint="eastAsia" w:ascii="宋体" w:hAnsi="宋体" w:eastAsia="宋体" w:cs="宋体"/>
                <w:color w:val="auto"/>
                <w:kern w:val="0"/>
                <w:sz w:val="24"/>
              </w:rPr>
            </w:pPr>
            <w:r>
              <w:rPr>
                <w:rFonts w:hint="eastAsia" w:ascii="宋体" w:hAnsi="宋体" w:eastAsia="宋体" w:cs="宋体"/>
                <w:color w:val="auto"/>
                <w:kern w:val="0"/>
                <w:sz w:val="24"/>
              </w:rPr>
              <w:t>“等保测评服务”、“数据库审计服务”、“政务网云日志审计服务”、“政务网态势感知服务”、“SaaS化安全服务”、“公安网安全风险感知服务”、“公安网桌面云服务”、“公安网一机两用服务”、“视频网终端杀毒服务”、“系统安全检测”、“网络安全检查”、“</w:t>
            </w:r>
            <w:r>
              <w:rPr>
                <w:rFonts w:hint="eastAsia" w:ascii="宋体" w:hAnsi="宋体" w:eastAsia="宋体" w:cs="宋体"/>
                <w:color w:val="auto"/>
                <w:sz w:val="24"/>
                <w:lang w:eastAsia="zh-Hans"/>
              </w:rPr>
              <w:t>重保</w:t>
            </w:r>
            <w:r>
              <w:rPr>
                <w:rFonts w:hint="eastAsia" w:ascii="宋体" w:hAnsi="宋体" w:eastAsia="宋体" w:cs="宋体"/>
                <w:color w:val="auto"/>
                <w:kern w:val="0"/>
                <w:sz w:val="24"/>
              </w:rPr>
              <w:t>”、“应急响应”、“边界通道租赁服务”十四部分维护内容的</w:t>
            </w:r>
            <w:r>
              <w:rPr>
                <w:rFonts w:hint="eastAsia" w:ascii="宋体" w:hAnsi="宋体" w:eastAsia="宋体" w:cs="宋体"/>
                <w:color w:val="auto"/>
                <w:sz w:val="24"/>
              </w:rPr>
              <w:t>具体合同与招标文件要求</w:t>
            </w:r>
            <w:r>
              <w:rPr>
                <w:rFonts w:hint="eastAsia" w:ascii="宋体" w:hAnsi="宋体" w:eastAsia="宋体" w:cs="宋体"/>
                <w:color w:val="auto"/>
                <w:kern w:val="0"/>
                <w:sz w:val="24"/>
              </w:rPr>
              <w:t>响应程度。</w:t>
            </w:r>
          </w:p>
        </w:tc>
      </w:tr>
      <w:tr w14:paraId="2272C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673" w:type="dxa"/>
            <w:vAlign w:val="center"/>
          </w:tcPr>
          <w:p w14:paraId="39B5B711">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2</w:t>
            </w:r>
          </w:p>
        </w:tc>
        <w:tc>
          <w:tcPr>
            <w:tcW w:w="1418" w:type="dxa"/>
            <w:vAlign w:val="center"/>
          </w:tcPr>
          <w:p w14:paraId="3A1F34AA">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人员情况</w:t>
            </w:r>
          </w:p>
        </w:tc>
        <w:tc>
          <w:tcPr>
            <w:tcW w:w="6426" w:type="dxa"/>
            <w:vAlign w:val="center"/>
          </w:tcPr>
          <w:p w14:paraId="733D8363">
            <w:pPr>
              <w:widowControl/>
              <w:adjustRightInd/>
              <w:jc w:val="left"/>
              <w:rPr>
                <w:rFonts w:hint="eastAsia" w:ascii="宋体" w:hAnsi="宋体" w:eastAsia="宋体" w:cs="宋体"/>
                <w:color w:val="auto"/>
                <w:kern w:val="0"/>
                <w:sz w:val="24"/>
              </w:rPr>
            </w:pPr>
            <w:r>
              <w:rPr>
                <w:rFonts w:hint="eastAsia" w:ascii="宋体" w:hAnsi="宋体" w:eastAsia="宋体" w:cs="宋体"/>
                <w:color w:val="auto"/>
                <w:kern w:val="0"/>
                <w:sz w:val="24"/>
                <w:lang w:eastAsia="zh-CN"/>
              </w:rPr>
              <w:t>所有服务人员</w:t>
            </w:r>
            <w:r>
              <w:rPr>
                <w:rFonts w:hint="eastAsia" w:ascii="宋体" w:hAnsi="宋体" w:eastAsia="宋体" w:cs="宋体"/>
                <w:color w:val="auto"/>
                <w:kern w:val="0"/>
                <w:sz w:val="24"/>
              </w:rPr>
              <w:t>的数量、技术水平专业达到采购要求</w:t>
            </w:r>
          </w:p>
        </w:tc>
      </w:tr>
      <w:tr w14:paraId="5FB1B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73" w:type="dxa"/>
            <w:vAlign w:val="center"/>
          </w:tcPr>
          <w:p w14:paraId="67F0907A">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3</w:t>
            </w:r>
          </w:p>
        </w:tc>
        <w:tc>
          <w:tcPr>
            <w:tcW w:w="1418" w:type="dxa"/>
            <w:vAlign w:val="center"/>
          </w:tcPr>
          <w:p w14:paraId="32E92A52">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响应时间情况</w:t>
            </w:r>
          </w:p>
        </w:tc>
        <w:tc>
          <w:tcPr>
            <w:tcW w:w="6426" w:type="dxa"/>
            <w:vAlign w:val="center"/>
          </w:tcPr>
          <w:p w14:paraId="1DE2206F">
            <w:pPr>
              <w:widowControl/>
              <w:adjustRightInd/>
              <w:jc w:val="left"/>
              <w:rPr>
                <w:rFonts w:hint="eastAsia" w:ascii="宋体" w:hAnsi="宋体" w:eastAsia="宋体" w:cs="宋体"/>
                <w:color w:val="auto"/>
                <w:kern w:val="0"/>
                <w:sz w:val="24"/>
              </w:rPr>
            </w:pPr>
            <w:r>
              <w:rPr>
                <w:rFonts w:hint="eastAsia" w:ascii="宋体" w:hAnsi="宋体" w:eastAsia="宋体" w:cs="宋体"/>
                <w:color w:val="auto"/>
                <w:kern w:val="0"/>
                <w:sz w:val="24"/>
              </w:rPr>
              <w:t>故障响应时间按照要求实施响应。</w:t>
            </w:r>
          </w:p>
        </w:tc>
      </w:tr>
      <w:tr w14:paraId="27D00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73" w:type="dxa"/>
            <w:vAlign w:val="center"/>
          </w:tcPr>
          <w:p w14:paraId="66840C57">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4</w:t>
            </w:r>
          </w:p>
        </w:tc>
        <w:tc>
          <w:tcPr>
            <w:tcW w:w="1418" w:type="dxa"/>
            <w:vAlign w:val="center"/>
          </w:tcPr>
          <w:p w14:paraId="64692720">
            <w:pPr>
              <w:widowControl/>
              <w:adjustRightInd/>
              <w:jc w:val="center"/>
              <w:rPr>
                <w:rFonts w:hint="eastAsia" w:ascii="宋体" w:hAnsi="宋体" w:eastAsia="宋体" w:cs="宋体"/>
                <w:color w:val="auto"/>
                <w:kern w:val="0"/>
                <w:sz w:val="24"/>
              </w:rPr>
            </w:pPr>
            <w:r>
              <w:rPr>
                <w:rFonts w:hint="eastAsia" w:ascii="宋体" w:hAnsi="宋体" w:eastAsia="宋体" w:cs="宋体"/>
                <w:color w:val="auto"/>
                <w:kern w:val="0"/>
                <w:sz w:val="24"/>
              </w:rPr>
              <w:t>运维资料</w:t>
            </w:r>
          </w:p>
          <w:p w14:paraId="2E7903F8">
            <w:pPr>
              <w:widowControl/>
              <w:adjustRightInd/>
              <w:jc w:val="center"/>
              <w:rPr>
                <w:rFonts w:hint="eastAsia" w:ascii="宋体" w:hAnsi="宋体" w:eastAsia="宋体" w:cs="宋体"/>
                <w:bCs/>
                <w:color w:val="auto"/>
                <w:kern w:val="0"/>
                <w:sz w:val="24"/>
              </w:rPr>
            </w:pPr>
            <w:r>
              <w:rPr>
                <w:rFonts w:hint="eastAsia" w:ascii="宋体" w:hAnsi="宋体" w:eastAsia="宋体" w:cs="宋体"/>
                <w:color w:val="auto"/>
                <w:kern w:val="0"/>
                <w:sz w:val="24"/>
              </w:rPr>
              <w:t>报告提供情况</w:t>
            </w:r>
          </w:p>
        </w:tc>
        <w:tc>
          <w:tcPr>
            <w:tcW w:w="6426" w:type="dxa"/>
            <w:vAlign w:val="center"/>
          </w:tcPr>
          <w:p w14:paraId="21A799FA">
            <w:pPr>
              <w:widowControl/>
              <w:spacing w:line="360" w:lineRule="auto"/>
              <w:ind w:firstLine="0"/>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Hans" w:bidi="ar-SA"/>
              </w:rPr>
              <w:t>整体测评实施方案、</w:t>
            </w:r>
            <w:r>
              <w:rPr>
                <w:rFonts w:hint="eastAsia" w:ascii="宋体" w:hAnsi="宋体" w:eastAsia="宋体" w:cs="宋体"/>
                <w:color w:val="auto"/>
                <w:kern w:val="0"/>
                <w:sz w:val="24"/>
                <w:szCs w:val="24"/>
                <w:lang w:val="en-US" w:eastAsia="zh-CN" w:bidi="ar-SA"/>
              </w:rPr>
              <w:t>等级保护测评报告、等级保护整改建议书、数据库审计运维总结报告、</w:t>
            </w:r>
            <w:r>
              <w:rPr>
                <w:rFonts w:hint="eastAsia" w:ascii="宋体" w:hAnsi="宋体" w:eastAsia="宋体" w:cs="宋体"/>
                <w:color w:val="auto"/>
                <w:kern w:val="0"/>
                <w:sz w:val="24"/>
                <w:szCs w:val="24"/>
                <w:lang w:val="en-US" w:eastAsia="zh-Hans" w:bidi="ar-SA"/>
              </w:rPr>
              <w:t>网络安全巡检服务报告</w:t>
            </w:r>
            <w:r>
              <w:rPr>
                <w:rFonts w:hint="eastAsia" w:ascii="宋体" w:hAnsi="宋体" w:eastAsia="宋体" w:cs="宋体"/>
                <w:color w:val="auto"/>
                <w:kern w:val="0"/>
                <w:sz w:val="24"/>
                <w:szCs w:val="24"/>
                <w:lang w:val="en-US" w:eastAsia="zh-CN" w:bidi="ar-SA"/>
              </w:rPr>
              <w:t>（按季度）</w:t>
            </w:r>
            <w:r>
              <w:rPr>
                <w:rFonts w:hint="eastAsia" w:ascii="宋体" w:hAnsi="宋体" w:eastAsia="宋体" w:cs="宋体"/>
                <w:color w:val="auto"/>
                <w:kern w:val="0"/>
                <w:sz w:val="24"/>
                <w:szCs w:val="24"/>
                <w:lang w:val="en-US" w:eastAsia="zh-Hans" w:bidi="ar-SA"/>
              </w:rPr>
              <w:t>、</w:t>
            </w:r>
            <w:r>
              <w:rPr>
                <w:rFonts w:hint="eastAsia" w:ascii="宋体" w:hAnsi="宋体" w:eastAsia="宋体" w:cs="宋体"/>
                <w:color w:val="auto"/>
                <w:kern w:val="0"/>
                <w:sz w:val="24"/>
                <w:szCs w:val="24"/>
                <w:lang w:val="en-US" w:eastAsia="zh-CN" w:bidi="ar-SA"/>
              </w:rPr>
              <w:t>日志审计运维总结报告、政务网</w:t>
            </w:r>
            <w:r>
              <w:rPr>
                <w:rFonts w:hint="eastAsia" w:ascii="宋体" w:hAnsi="宋体" w:eastAsia="宋体" w:cs="宋体"/>
                <w:color w:val="auto"/>
                <w:kern w:val="0"/>
                <w:sz w:val="24"/>
                <w:szCs w:val="24"/>
                <w:lang w:val="en-US" w:eastAsia="zh-CN" w:bidi="ar-SA"/>
              </w:rPr>
              <w:t>安全分析报告（按季度）、政务网业务系统安全分析报告（按月度）、</w:t>
            </w:r>
            <w:r>
              <w:rPr>
                <w:rFonts w:hint="eastAsia" w:ascii="宋体" w:hAnsi="宋体" w:eastAsia="宋体" w:cs="宋体"/>
                <w:color w:val="auto"/>
                <w:kern w:val="0"/>
                <w:sz w:val="24"/>
                <w:szCs w:val="24"/>
                <w:lang w:val="en-US" w:eastAsia="zh-CN" w:bidi="ar-SA"/>
              </w:rPr>
              <w:t>公安网安全风险感知服务分析报告、桌面云月度服务报告（按月度）、</w:t>
            </w:r>
            <w:r>
              <w:rPr>
                <w:rFonts w:hint="eastAsia" w:ascii="宋体" w:hAnsi="宋体" w:eastAsia="宋体" w:cs="宋体"/>
                <w:color w:val="auto"/>
                <w:kern w:val="0"/>
                <w:sz w:val="24"/>
                <w:szCs w:val="24"/>
                <w:lang w:val="en-US" w:eastAsia="zh-Hans" w:bidi="ar-SA"/>
              </w:rPr>
              <w:t>一机两用巡检服务报告</w:t>
            </w:r>
            <w:r>
              <w:rPr>
                <w:rFonts w:hint="eastAsia" w:ascii="宋体" w:hAnsi="宋体" w:eastAsia="宋体" w:cs="宋体"/>
                <w:color w:val="auto"/>
                <w:kern w:val="0"/>
                <w:sz w:val="24"/>
                <w:szCs w:val="24"/>
                <w:lang w:val="en-US" w:eastAsia="zh-CN" w:bidi="ar-SA"/>
              </w:rPr>
              <w:t>（按月度）、一机两用年度维保总结报告、终端杀毒服务月度报告（按月度）、系统安全</w:t>
            </w:r>
            <w:r>
              <w:rPr>
                <w:rFonts w:hint="eastAsia" w:ascii="宋体" w:hAnsi="宋体" w:eastAsia="宋体" w:cs="宋体"/>
                <w:color w:val="auto"/>
                <w:kern w:val="0"/>
                <w:sz w:val="24"/>
                <w:szCs w:val="24"/>
                <w:lang w:val="en-US" w:eastAsia="zh-Hans" w:bidi="ar-SA"/>
              </w:rPr>
              <w:t>检测总结</w:t>
            </w:r>
            <w:r>
              <w:rPr>
                <w:rFonts w:hint="eastAsia" w:ascii="宋体" w:hAnsi="宋体" w:eastAsia="宋体" w:cs="宋体"/>
                <w:color w:val="auto"/>
                <w:kern w:val="0"/>
                <w:sz w:val="24"/>
                <w:szCs w:val="24"/>
                <w:lang w:val="en-US" w:eastAsia="zh-CN" w:bidi="ar-SA"/>
              </w:rPr>
              <w:t>报告、网络安全检查总结报告、重大活动安全保障总结报告、应急响应报告、边界通道服务总结报告等资料。</w:t>
            </w:r>
          </w:p>
        </w:tc>
      </w:tr>
      <w:tr w14:paraId="5DC46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5FB7D1CC">
            <w:pPr>
              <w:widowControl/>
              <w:adjustRightInd/>
              <w:jc w:val="center"/>
              <w:rPr>
                <w:rFonts w:hint="eastAsia" w:ascii="宋体" w:hAnsi="宋体" w:eastAsia="宋体" w:cs="宋体"/>
                <w:color w:val="auto"/>
                <w:kern w:val="0"/>
                <w:sz w:val="24"/>
              </w:rPr>
            </w:pPr>
            <w:r>
              <w:rPr>
                <w:rFonts w:hint="eastAsia" w:ascii="宋体" w:hAnsi="宋体" w:eastAsia="宋体" w:cs="宋体"/>
                <w:color w:val="auto"/>
                <w:kern w:val="0"/>
                <w:sz w:val="24"/>
              </w:rPr>
              <w:t>5</w:t>
            </w:r>
          </w:p>
        </w:tc>
        <w:tc>
          <w:tcPr>
            <w:tcW w:w="1418" w:type="dxa"/>
            <w:vAlign w:val="center"/>
          </w:tcPr>
          <w:p w14:paraId="295DFCD1">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保密管理</w:t>
            </w:r>
          </w:p>
        </w:tc>
        <w:tc>
          <w:tcPr>
            <w:tcW w:w="6426" w:type="dxa"/>
            <w:vAlign w:val="center"/>
          </w:tcPr>
          <w:p w14:paraId="3D79C134">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投标人签订保密协议，</w:t>
            </w:r>
            <w:r>
              <w:rPr>
                <w:rFonts w:hint="eastAsia" w:ascii="宋体" w:hAnsi="宋体" w:eastAsia="宋体" w:cs="宋体"/>
                <w:bCs/>
                <w:color w:val="auto"/>
                <w:sz w:val="24"/>
                <w:lang w:val="zh-CN"/>
              </w:rPr>
              <w:t>遵守具体安全管理内容，履行安全保密义务和责任</w:t>
            </w:r>
            <w:r>
              <w:rPr>
                <w:rFonts w:hint="eastAsia" w:ascii="宋体" w:hAnsi="宋体" w:eastAsia="宋体" w:cs="宋体"/>
                <w:bCs/>
                <w:color w:val="auto"/>
                <w:sz w:val="24"/>
              </w:rPr>
              <w:t>，未发生重大数据丢失和泄漏问题。</w:t>
            </w:r>
          </w:p>
        </w:tc>
      </w:tr>
      <w:tr w14:paraId="2E4B8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552BBF50">
            <w:pPr>
              <w:widowControl/>
              <w:adjustRightInd/>
              <w:jc w:val="center"/>
              <w:rPr>
                <w:rFonts w:hint="eastAsia" w:ascii="宋体" w:hAnsi="宋体" w:eastAsia="宋体" w:cs="宋体"/>
                <w:color w:val="auto"/>
                <w:kern w:val="0"/>
                <w:sz w:val="24"/>
              </w:rPr>
            </w:pPr>
            <w:r>
              <w:rPr>
                <w:rFonts w:hint="eastAsia" w:ascii="宋体" w:hAnsi="宋体" w:eastAsia="宋体" w:cs="宋体"/>
                <w:color w:val="auto"/>
                <w:kern w:val="0"/>
                <w:sz w:val="24"/>
              </w:rPr>
              <w:t>6</w:t>
            </w:r>
          </w:p>
        </w:tc>
        <w:tc>
          <w:tcPr>
            <w:tcW w:w="1418" w:type="dxa"/>
            <w:vAlign w:val="center"/>
          </w:tcPr>
          <w:p w14:paraId="35DEB241">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网络安全责任和义务</w:t>
            </w:r>
          </w:p>
        </w:tc>
        <w:tc>
          <w:tcPr>
            <w:tcW w:w="6426" w:type="dxa"/>
            <w:vAlign w:val="center"/>
          </w:tcPr>
          <w:p w14:paraId="69241C7E">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网络安全责任和义务达到合同要求。</w:t>
            </w:r>
          </w:p>
        </w:tc>
      </w:tr>
      <w:tr w14:paraId="7CBF0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2741E62D">
            <w:pPr>
              <w:widowControl/>
              <w:adjustRightInd/>
              <w:jc w:val="center"/>
              <w:rPr>
                <w:rFonts w:hint="eastAsia" w:ascii="宋体" w:hAnsi="宋体" w:eastAsia="宋体" w:cs="宋体"/>
                <w:color w:val="auto"/>
                <w:kern w:val="0"/>
                <w:sz w:val="24"/>
              </w:rPr>
            </w:pPr>
            <w:r>
              <w:rPr>
                <w:rFonts w:hint="eastAsia" w:ascii="宋体" w:hAnsi="宋体" w:eastAsia="宋体" w:cs="宋体"/>
                <w:color w:val="auto"/>
                <w:kern w:val="0"/>
                <w:sz w:val="24"/>
              </w:rPr>
              <w:t>7</w:t>
            </w:r>
          </w:p>
        </w:tc>
        <w:tc>
          <w:tcPr>
            <w:tcW w:w="1418" w:type="dxa"/>
            <w:vAlign w:val="center"/>
          </w:tcPr>
          <w:p w14:paraId="4C44EBC3">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中小、小微企业预留份额</w:t>
            </w:r>
          </w:p>
        </w:tc>
        <w:tc>
          <w:tcPr>
            <w:tcW w:w="6426" w:type="dxa"/>
            <w:vAlign w:val="center"/>
          </w:tcPr>
          <w:p w14:paraId="336FFABD">
            <w:pPr>
              <w:widowControl/>
              <w:adjustRightInd/>
              <w:spacing w:line="360" w:lineRule="auto"/>
              <w:jc w:val="left"/>
              <w:outlineLvl w:val="3"/>
              <w:rPr>
                <w:rFonts w:hint="eastAsia" w:ascii="宋体" w:hAnsi="宋体" w:eastAsia="宋体" w:cs="宋体"/>
                <w:bCs/>
                <w:color w:val="auto"/>
                <w:sz w:val="24"/>
              </w:rPr>
            </w:pPr>
            <w:r>
              <w:rPr>
                <w:rFonts w:hint="eastAsia" w:ascii="宋体" w:hAnsi="宋体" w:eastAsia="宋体" w:cs="宋体"/>
                <w:bCs/>
                <w:color w:val="auto"/>
                <w:sz w:val="24"/>
              </w:rPr>
              <w:t>中小、小微企业预留份额达到合同要求。</w:t>
            </w:r>
          </w:p>
        </w:tc>
      </w:tr>
      <w:tr w14:paraId="65D6B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332D2940">
            <w:pPr>
              <w:widowControl/>
              <w:adjustRightInd/>
              <w:jc w:val="center"/>
              <w:rPr>
                <w:rFonts w:hint="eastAsia" w:ascii="宋体" w:hAnsi="宋体" w:eastAsia="宋体" w:cs="宋体"/>
                <w:color w:val="auto"/>
                <w:kern w:val="0"/>
                <w:sz w:val="24"/>
              </w:rPr>
            </w:pPr>
            <w:r>
              <w:rPr>
                <w:rFonts w:hint="eastAsia" w:ascii="宋体" w:hAnsi="宋体" w:eastAsia="宋体" w:cs="宋体"/>
                <w:color w:val="auto"/>
                <w:kern w:val="0"/>
                <w:sz w:val="24"/>
              </w:rPr>
              <w:t>8</w:t>
            </w:r>
          </w:p>
        </w:tc>
        <w:tc>
          <w:tcPr>
            <w:tcW w:w="1418" w:type="dxa"/>
            <w:vAlign w:val="center"/>
          </w:tcPr>
          <w:p w14:paraId="4B1D6C9E">
            <w:pPr>
              <w:widowControl/>
              <w:adjustRightInd/>
              <w:jc w:val="center"/>
              <w:rPr>
                <w:rFonts w:hint="eastAsia" w:ascii="宋体" w:hAnsi="宋体" w:eastAsia="宋体" w:cs="宋体"/>
                <w:bCs/>
                <w:color w:val="auto"/>
                <w:kern w:val="0"/>
                <w:sz w:val="24"/>
              </w:rPr>
            </w:pPr>
            <w:r>
              <w:rPr>
                <w:rFonts w:hint="eastAsia" w:ascii="宋体" w:hAnsi="宋体" w:eastAsia="宋体" w:cs="宋体"/>
                <w:bCs/>
                <w:color w:val="auto"/>
                <w:kern w:val="0"/>
                <w:sz w:val="24"/>
              </w:rPr>
              <w:t>其他工作</w:t>
            </w:r>
          </w:p>
        </w:tc>
        <w:tc>
          <w:tcPr>
            <w:tcW w:w="6426" w:type="dxa"/>
            <w:vAlign w:val="center"/>
          </w:tcPr>
          <w:p w14:paraId="76650A51">
            <w:pPr>
              <w:widowControl/>
              <w:adjustRightInd/>
              <w:jc w:val="left"/>
              <w:rPr>
                <w:rFonts w:hint="eastAsia" w:ascii="宋体" w:hAnsi="宋体" w:eastAsia="宋体" w:cs="宋体"/>
                <w:color w:val="auto"/>
                <w:kern w:val="0"/>
                <w:sz w:val="24"/>
              </w:rPr>
            </w:pPr>
            <w:r>
              <w:rPr>
                <w:rFonts w:hint="eastAsia" w:ascii="宋体" w:hAnsi="宋体" w:eastAsia="宋体" w:cs="宋体"/>
                <w:color w:val="auto"/>
                <w:kern w:val="0"/>
                <w:sz w:val="24"/>
              </w:rPr>
              <w:t xml:space="preserve">履行项目采购文件、投标文件、合同条款中涉及的其他承诺的情况。 </w:t>
            </w:r>
          </w:p>
        </w:tc>
      </w:tr>
    </w:tbl>
    <w:p w14:paraId="1B5FEA21">
      <w:pPr>
        <w:widowControl w:val="0"/>
        <w:adjustRightInd w:val="0"/>
        <w:snapToGrid w:val="0"/>
        <w:spacing w:line="360" w:lineRule="auto"/>
        <w:ind w:firstLine="0"/>
        <w:jc w:val="both"/>
        <w:rPr>
          <w:rFonts w:hint="eastAsia" w:ascii="宋体" w:hAnsi="宋体" w:eastAsia="宋体" w:cs="宋体"/>
          <w:color w:val="auto"/>
          <w:sz w:val="24"/>
          <w:szCs w:val="24"/>
          <w:shd w:val="clear" w:color="auto" w:fill="FFFFFF"/>
          <w:lang w:val="en-US" w:eastAsia="zh-CN" w:bidi="ar-SA"/>
        </w:rPr>
      </w:pPr>
    </w:p>
    <w:p w14:paraId="70233E4F">
      <w:pPr>
        <w:adjustRightInd/>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6.2验收资料清单如下：</w:t>
      </w:r>
    </w:p>
    <w:p w14:paraId="19F837EC">
      <w:pPr>
        <w:tabs>
          <w:tab w:val="left" w:pos="904"/>
        </w:tabs>
        <w:adjustRightInd/>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验收资料要求包括（不限于）以下内容：</w:t>
      </w:r>
    </w:p>
    <w:p w14:paraId="1766A96A">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（1）采购文件</w:t>
      </w:r>
    </w:p>
    <w:p w14:paraId="5056E5D2">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（2）投标文件</w:t>
      </w:r>
    </w:p>
    <w:p w14:paraId="5B1CA6C8">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（3）采购合同</w:t>
      </w:r>
    </w:p>
    <w:p w14:paraId="7AD762CC">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（4）考核表：（考核表由采购人经办人、审核人、投标人经办人签字盖章确认）。</w:t>
      </w:r>
    </w:p>
    <w:p w14:paraId="2AB1008A">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（5）人员清单及其他材料：</w:t>
      </w:r>
      <w:r>
        <w:rPr>
          <w:rFonts w:hint="eastAsia" w:ascii="宋体" w:hAnsi="宋体" w:eastAsia="宋体" w:cs="宋体"/>
          <w:color w:val="auto"/>
          <w:kern w:val="0"/>
          <w:sz w:val="24"/>
          <w:szCs w:val="24"/>
          <w:lang w:val="en-US" w:eastAsia="zh-Hans" w:bidi="ar-SA"/>
        </w:rPr>
        <w:t>驻点</w:t>
      </w:r>
      <w:r>
        <w:rPr>
          <w:rFonts w:hint="eastAsia" w:ascii="宋体" w:hAnsi="宋体" w:eastAsia="宋体" w:cs="宋体"/>
          <w:color w:val="auto"/>
          <w:kern w:val="0"/>
          <w:sz w:val="24"/>
          <w:szCs w:val="24"/>
          <w:lang w:val="en-US" w:eastAsia="zh-CN" w:bidi="ar-SA"/>
        </w:rPr>
        <w:t>人员及团队人员明细清单、驻点人员每月社保缴纳证明、驻点人员每日考勤签到记录、相关人员资历证明、</w:t>
      </w:r>
      <w:r>
        <w:rPr>
          <w:rFonts w:hint="eastAsia" w:ascii="宋体" w:hAnsi="宋体" w:eastAsia="宋体" w:cs="宋体"/>
          <w:color w:val="auto"/>
          <w:kern w:val="0"/>
          <w:sz w:val="24"/>
          <w:szCs w:val="24"/>
          <w:lang w:val="en-US" w:eastAsia="zh-CN" w:bidi="ar-SA"/>
        </w:rPr>
        <w:t>相关人员资质证书、</w:t>
      </w:r>
      <w:r>
        <w:rPr>
          <w:rFonts w:hint="eastAsia" w:ascii="宋体" w:hAnsi="宋体" w:eastAsia="宋体" w:cs="宋体"/>
          <w:color w:val="auto"/>
          <w:kern w:val="0"/>
          <w:sz w:val="24"/>
          <w:szCs w:val="24"/>
          <w:lang w:val="en-US" w:eastAsia="zh-Hans" w:bidi="ar-SA"/>
        </w:rPr>
        <w:t>人员变更审批单（如有）</w:t>
      </w:r>
      <w:r>
        <w:rPr>
          <w:rFonts w:hint="eastAsia" w:ascii="宋体" w:hAnsi="宋体" w:eastAsia="宋体" w:cs="宋体"/>
          <w:color w:val="auto"/>
          <w:kern w:val="0"/>
          <w:sz w:val="24"/>
          <w:szCs w:val="24"/>
          <w:lang w:val="en-US" w:eastAsia="zh-CN" w:bidi="ar-SA"/>
        </w:rPr>
        <w:t>、</w:t>
      </w:r>
      <w:r>
        <w:rPr>
          <w:rFonts w:hint="eastAsia" w:ascii="宋体" w:hAnsi="宋体" w:eastAsia="宋体" w:cs="宋体"/>
          <w:color w:val="auto"/>
          <w:kern w:val="0"/>
          <w:sz w:val="24"/>
          <w:szCs w:val="24"/>
          <w:lang w:val="en-US" w:eastAsia="zh-Hans" w:bidi="ar-SA"/>
        </w:rPr>
        <w:t>整体测评实施方案、等级保护测评报告、等级保护整改建议书、数据库审计运维总结报告、网络安全巡检服务报告（按季度）、日志审计运维总结报告、政务网安全分析报告（按季度）、政务网业务系统安全分析报告（按月度）、公安网安全风险感知服务分析报告、桌面云月度服务报告（按月度）、一机两用巡检服务报告（按月度）、</w:t>
      </w:r>
      <w:r>
        <w:rPr>
          <w:rFonts w:hint="eastAsia" w:ascii="宋体" w:hAnsi="宋体" w:eastAsia="宋体" w:cs="宋体"/>
          <w:color w:val="auto"/>
          <w:kern w:val="0"/>
          <w:sz w:val="24"/>
          <w:szCs w:val="24"/>
          <w:lang w:val="en-US" w:eastAsia="zh-CN" w:bidi="ar-SA"/>
        </w:rPr>
        <w:t>一机两用年度维保总结报告、</w:t>
      </w:r>
      <w:r>
        <w:rPr>
          <w:rFonts w:hint="eastAsia" w:ascii="宋体" w:hAnsi="宋体" w:eastAsia="宋体" w:cs="宋体"/>
          <w:color w:val="auto"/>
          <w:kern w:val="0"/>
          <w:sz w:val="24"/>
          <w:szCs w:val="24"/>
          <w:lang w:val="en-US" w:eastAsia="zh-Hans" w:bidi="ar-SA"/>
        </w:rPr>
        <w:t>终端杀毒服务月度报告（按月度）、系统安全检测总结报告、网络安全检查总结报告、重大活动安全保障总结报告、应急响应报告、边界通道服务总结报告</w:t>
      </w:r>
      <w:r>
        <w:rPr>
          <w:rFonts w:hint="eastAsia" w:ascii="宋体" w:hAnsi="宋体" w:eastAsia="宋体" w:cs="宋体"/>
          <w:color w:val="auto"/>
          <w:kern w:val="0"/>
          <w:sz w:val="24"/>
          <w:szCs w:val="24"/>
          <w:lang w:val="en-US" w:eastAsia="zh-CN" w:bidi="ar-SA"/>
        </w:rPr>
        <w:t>；</w:t>
      </w:r>
    </w:p>
    <w:p w14:paraId="12C907CD">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（6）月度安全工作专题报告；</w:t>
      </w:r>
    </w:p>
    <w:p w14:paraId="1C007544">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（7）日常保密教育资料、单位保密协议、个人保密承诺书；</w:t>
      </w:r>
    </w:p>
    <w:p w14:paraId="7954F2AE">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（8）网络安全保障方案、网络安全事件应急预案、网络安全风险书面报告（如有）、网络安全重大事项书面报告（如有）；</w:t>
      </w:r>
    </w:p>
    <w:p w14:paraId="78DAC0B8">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（9）中小企业佐证材料、小微企业佐证材料；</w:t>
      </w:r>
    </w:p>
    <w:p w14:paraId="737B805F">
      <w:pPr>
        <w:widowControl/>
        <w:numPr>
          <w:ilvl w:val="0"/>
          <w:numId w:val="0"/>
        </w:numPr>
        <w:snapToGrid w:val="0"/>
        <w:spacing w:line="360" w:lineRule="auto"/>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（10）分包协议（如有）；</w:t>
      </w:r>
    </w:p>
    <w:p w14:paraId="0BE4F07C">
      <w:pPr>
        <w:widowControl w:val="0"/>
        <w:snapToGrid w:val="0"/>
        <w:spacing w:line="360" w:lineRule="auto"/>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（11）其他需提供的相关材料。</w:t>
      </w:r>
    </w:p>
    <w:p w14:paraId="394365A3">
      <w:pPr>
        <w:snapToGrid w:val="0"/>
        <w:spacing w:line="360" w:lineRule="auto"/>
        <w:jc w:val="left"/>
        <w:rPr>
          <w:rFonts w:hint="eastAsia" w:ascii="宋体" w:hAnsi="宋体" w:eastAsia="宋体" w:cs="宋体"/>
          <w:b/>
          <w:color w:val="auto"/>
          <w:sz w:val="24"/>
        </w:rPr>
      </w:pPr>
      <w:r>
        <w:rPr>
          <w:rFonts w:hint="eastAsia" w:ascii="宋体" w:hAnsi="宋体" w:eastAsia="宋体" w:cs="宋体"/>
          <w:b/>
          <w:color w:val="auto"/>
          <w:sz w:val="24"/>
        </w:rPr>
        <w:t>②、考核：</w:t>
      </w:r>
    </w:p>
    <w:p w14:paraId="7BBC186E">
      <w:pPr>
        <w:autoSpaceDE w:val="0"/>
        <w:autoSpaceDN w:val="0"/>
        <w:snapToGrid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服务期内，采购人将对投标人进行</w:t>
      </w:r>
      <w:r>
        <w:rPr>
          <w:rFonts w:hint="eastAsia" w:ascii="宋体" w:hAnsi="宋体" w:eastAsia="宋体" w:cs="宋体"/>
          <w:color w:val="auto"/>
          <w:sz w:val="24"/>
        </w:rPr>
        <w:t>月度考核</w:t>
      </w:r>
      <w:r>
        <w:rPr>
          <w:rFonts w:hint="eastAsia" w:ascii="宋体" w:hAnsi="宋体" w:eastAsia="宋体" w:cs="宋体"/>
          <w:color w:val="auto"/>
          <w:sz w:val="24"/>
          <w:lang w:val="zh-CN"/>
        </w:rPr>
        <w:t>，采取100分制计分方式，每扣1分扣违约金200元。如果投标人</w:t>
      </w:r>
      <w:r>
        <w:rPr>
          <w:rFonts w:hint="eastAsia" w:ascii="宋体" w:hAnsi="宋体" w:eastAsia="宋体" w:cs="宋体"/>
          <w:color w:val="auto"/>
          <w:sz w:val="24"/>
        </w:rPr>
        <w:t>月度考核</w:t>
      </w:r>
      <w:r>
        <w:rPr>
          <w:rFonts w:hint="eastAsia" w:ascii="宋体" w:hAnsi="宋体" w:eastAsia="宋体" w:cs="宋体"/>
          <w:color w:val="auto"/>
          <w:sz w:val="24"/>
          <w:lang w:val="zh-CN"/>
        </w:rPr>
        <w:t>结果低于80分的，应递交书面整改报告。如投标人</w:t>
      </w:r>
      <w:r>
        <w:rPr>
          <w:rFonts w:hint="eastAsia" w:ascii="宋体" w:hAnsi="宋体" w:eastAsia="宋体" w:cs="宋体"/>
          <w:color w:val="auto"/>
          <w:sz w:val="24"/>
        </w:rPr>
        <w:t>月度考核</w:t>
      </w:r>
      <w:r>
        <w:rPr>
          <w:rFonts w:hint="eastAsia" w:ascii="宋体" w:hAnsi="宋体" w:eastAsia="宋体" w:cs="宋体"/>
          <w:color w:val="auto"/>
          <w:sz w:val="24"/>
          <w:lang w:val="zh-CN"/>
        </w:rPr>
        <w:t>结果低于60分、或连续两个</w:t>
      </w:r>
      <w:r>
        <w:rPr>
          <w:rFonts w:hint="eastAsia" w:ascii="宋体" w:hAnsi="宋体" w:eastAsia="宋体" w:cs="宋体"/>
          <w:color w:val="auto"/>
          <w:sz w:val="24"/>
        </w:rPr>
        <w:t>月度考核</w:t>
      </w:r>
      <w:r>
        <w:rPr>
          <w:rFonts w:hint="eastAsia" w:ascii="宋体" w:hAnsi="宋体" w:eastAsia="宋体" w:cs="宋体"/>
          <w:color w:val="auto"/>
          <w:sz w:val="24"/>
          <w:lang w:val="zh-CN"/>
        </w:rPr>
        <w:t>结果低于70分、或连续三个</w:t>
      </w:r>
      <w:r>
        <w:rPr>
          <w:rFonts w:hint="eastAsia" w:ascii="宋体" w:hAnsi="宋体" w:eastAsia="宋体" w:cs="宋体"/>
          <w:color w:val="auto"/>
          <w:sz w:val="24"/>
        </w:rPr>
        <w:t>月度考核</w:t>
      </w:r>
      <w:r>
        <w:rPr>
          <w:rFonts w:hint="eastAsia" w:ascii="宋体" w:hAnsi="宋体" w:eastAsia="宋体" w:cs="宋体"/>
          <w:color w:val="auto"/>
          <w:sz w:val="24"/>
          <w:lang w:val="zh-CN"/>
        </w:rPr>
        <w:t>结果低于80分，采购人有权通知投标人解除合同，如给采购人造成损失的有权向投标人提出索赔。</w:t>
      </w:r>
    </w:p>
    <w:p w14:paraId="1AF90616">
      <w:pPr>
        <w:autoSpaceDE w:val="0"/>
        <w:autoSpaceDN w:val="0"/>
        <w:snapToGrid w:val="0"/>
        <w:spacing w:line="360" w:lineRule="auto"/>
        <w:ind w:firstLine="480" w:firstLineChars="200"/>
        <w:jc w:val="left"/>
        <w:rPr>
          <w:rFonts w:hint="eastAsia" w:ascii="宋体" w:hAnsi="宋体" w:eastAsia="宋体" w:cs="宋体"/>
          <w:b/>
          <w:color w:val="auto"/>
          <w:sz w:val="24"/>
        </w:rPr>
      </w:pPr>
      <w:r>
        <w:rPr>
          <w:rFonts w:hint="eastAsia" w:ascii="宋体" w:hAnsi="宋体" w:eastAsia="宋体" w:cs="宋体"/>
          <w:color w:val="auto"/>
          <w:sz w:val="24"/>
          <w:lang w:val="zh-CN"/>
        </w:rPr>
        <w:t>如考核周期内重复出现相同扣分情形，累计计算扣除分值。</w:t>
      </w:r>
    </w:p>
    <w:p w14:paraId="32DA3AFB">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b/>
          <w:color w:val="auto"/>
          <w:sz w:val="24"/>
        </w:rPr>
        <w:t xml:space="preserve">月度考核表                         </w:t>
      </w:r>
    </w:p>
    <w:tbl>
      <w:tblPr>
        <w:tblStyle w:val="62"/>
        <w:tblW w:w="87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15"/>
        <w:gridCol w:w="3509"/>
        <w:gridCol w:w="1373"/>
        <w:gridCol w:w="1775"/>
      </w:tblGrid>
      <w:tr w14:paraId="4094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2132" w:type="dxa"/>
            <w:gridSpan w:val="2"/>
            <w:vAlign w:val="center"/>
          </w:tcPr>
          <w:p w14:paraId="72C03E53">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考核时间：</w:t>
            </w:r>
          </w:p>
        </w:tc>
        <w:tc>
          <w:tcPr>
            <w:tcW w:w="3509" w:type="dxa"/>
            <w:vAlign w:val="center"/>
          </w:tcPr>
          <w:p w14:paraId="4B146EE6">
            <w:pPr>
              <w:autoSpaceDE w:val="0"/>
              <w:autoSpaceDN w:val="0"/>
              <w:snapToGrid w:val="0"/>
              <w:spacing w:line="360" w:lineRule="auto"/>
              <w:jc w:val="center"/>
              <w:rPr>
                <w:rFonts w:hint="eastAsia" w:ascii="宋体" w:hAnsi="宋体" w:eastAsia="宋体" w:cs="宋体"/>
                <w:color w:val="auto"/>
                <w:sz w:val="24"/>
              </w:rPr>
            </w:pPr>
          </w:p>
        </w:tc>
        <w:tc>
          <w:tcPr>
            <w:tcW w:w="1373" w:type="dxa"/>
            <w:vAlign w:val="center"/>
          </w:tcPr>
          <w:p w14:paraId="260F2A36">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填表日期：</w:t>
            </w:r>
          </w:p>
        </w:tc>
        <w:tc>
          <w:tcPr>
            <w:tcW w:w="1775" w:type="dxa"/>
            <w:vAlign w:val="center"/>
          </w:tcPr>
          <w:p w14:paraId="17E238EF">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b/>
                <w:color w:val="auto"/>
                <w:sz w:val="24"/>
              </w:rPr>
              <w:t>年   月   日</w:t>
            </w:r>
          </w:p>
        </w:tc>
      </w:tr>
      <w:tr w14:paraId="78E91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trPr>
        <w:tc>
          <w:tcPr>
            <w:tcW w:w="2132" w:type="dxa"/>
            <w:gridSpan w:val="2"/>
            <w:vAlign w:val="center"/>
          </w:tcPr>
          <w:p w14:paraId="723DF347">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投标人：</w:t>
            </w:r>
          </w:p>
        </w:tc>
        <w:tc>
          <w:tcPr>
            <w:tcW w:w="6657" w:type="dxa"/>
            <w:gridSpan w:val="3"/>
            <w:vAlign w:val="center"/>
          </w:tcPr>
          <w:p w14:paraId="7C413ABE">
            <w:pPr>
              <w:autoSpaceDE w:val="0"/>
              <w:autoSpaceDN w:val="0"/>
              <w:snapToGrid w:val="0"/>
              <w:spacing w:line="360" w:lineRule="auto"/>
              <w:jc w:val="center"/>
              <w:rPr>
                <w:rFonts w:hint="eastAsia" w:ascii="宋体" w:hAnsi="宋体" w:eastAsia="宋体" w:cs="宋体"/>
                <w:color w:val="auto"/>
                <w:sz w:val="24"/>
              </w:rPr>
            </w:pPr>
          </w:p>
        </w:tc>
      </w:tr>
      <w:tr w14:paraId="6C209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7F75209">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4824" w:type="dxa"/>
            <w:gridSpan w:val="2"/>
            <w:vAlign w:val="center"/>
          </w:tcPr>
          <w:p w14:paraId="0BBCC71A">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考核内容</w:t>
            </w:r>
          </w:p>
        </w:tc>
        <w:tc>
          <w:tcPr>
            <w:tcW w:w="1373" w:type="dxa"/>
            <w:vAlign w:val="center"/>
          </w:tcPr>
          <w:p w14:paraId="176F854A">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扣分情况</w:t>
            </w:r>
          </w:p>
        </w:tc>
        <w:tc>
          <w:tcPr>
            <w:tcW w:w="1775" w:type="dxa"/>
            <w:vAlign w:val="center"/>
          </w:tcPr>
          <w:p w14:paraId="5657A5D0">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w:t>
            </w:r>
          </w:p>
        </w:tc>
      </w:tr>
      <w:tr w14:paraId="19CD8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641" w:type="dxa"/>
            <w:gridSpan w:val="3"/>
            <w:vAlign w:val="center"/>
          </w:tcPr>
          <w:p w14:paraId="57BF3DE4">
            <w:pPr>
              <w:autoSpaceDE w:val="0"/>
              <w:autoSpaceDN w:val="0"/>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（一）考核扣分项</w:t>
            </w:r>
          </w:p>
        </w:tc>
        <w:tc>
          <w:tcPr>
            <w:tcW w:w="1373" w:type="dxa"/>
            <w:vAlign w:val="center"/>
          </w:tcPr>
          <w:p w14:paraId="37322C6F">
            <w:pPr>
              <w:autoSpaceDE w:val="0"/>
              <w:autoSpaceDN w:val="0"/>
              <w:snapToGrid w:val="0"/>
              <w:spacing w:line="360" w:lineRule="auto"/>
              <w:jc w:val="center"/>
              <w:rPr>
                <w:rFonts w:hint="eastAsia" w:ascii="宋体" w:hAnsi="宋体" w:eastAsia="宋体" w:cs="宋体"/>
                <w:b/>
                <w:color w:val="auto"/>
                <w:sz w:val="24"/>
              </w:rPr>
            </w:pPr>
          </w:p>
        </w:tc>
        <w:tc>
          <w:tcPr>
            <w:tcW w:w="1775" w:type="dxa"/>
            <w:vAlign w:val="center"/>
          </w:tcPr>
          <w:p w14:paraId="0C555A7D">
            <w:pPr>
              <w:autoSpaceDE w:val="0"/>
              <w:autoSpaceDN w:val="0"/>
              <w:snapToGrid w:val="0"/>
              <w:spacing w:line="360" w:lineRule="auto"/>
              <w:jc w:val="center"/>
              <w:rPr>
                <w:rFonts w:hint="eastAsia" w:ascii="宋体" w:hAnsi="宋体" w:eastAsia="宋体" w:cs="宋体"/>
                <w:b/>
                <w:color w:val="auto"/>
                <w:sz w:val="24"/>
              </w:rPr>
            </w:pPr>
          </w:p>
        </w:tc>
      </w:tr>
      <w:tr w14:paraId="0D27F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066BA922">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4824" w:type="dxa"/>
            <w:gridSpan w:val="2"/>
            <w:vAlign w:val="center"/>
          </w:tcPr>
          <w:p w14:paraId="02EE2DB1">
            <w:pPr>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等保测评服务，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737D75FB">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5F5CD4A4">
            <w:pPr>
              <w:autoSpaceDE w:val="0"/>
              <w:autoSpaceDN w:val="0"/>
              <w:snapToGrid w:val="0"/>
              <w:spacing w:line="360" w:lineRule="auto"/>
              <w:rPr>
                <w:rFonts w:hint="eastAsia" w:ascii="宋体" w:hAnsi="宋体" w:eastAsia="宋体" w:cs="宋体"/>
                <w:color w:val="auto"/>
                <w:sz w:val="24"/>
              </w:rPr>
            </w:pPr>
          </w:p>
        </w:tc>
      </w:tr>
      <w:tr w14:paraId="330DC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41BB4475">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4824" w:type="dxa"/>
            <w:gridSpan w:val="2"/>
            <w:vAlign w:val="center"/>
          </w:tcPr>
          <w:p w14:paraId="62E93655">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数据库审计服务，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6A2D10B0">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06F4516E">
            <w:pPr>
              <w:autoSpaceDE w:val="0"/>
              <w:autoSpaceDN w:val="0"/>
              <w:snapToGrid w:val="0"/>
              <w:spacing w:line="360" w:lineRule="auto"/>
              <w:rPr>
                <w:rFonts w:hint="eastAsia" w:ascii="宋体" w:hAnsi="宋体" w:eastAsia="宋体" w:cs="宋体"/>
                <w:color w:val="auto"/>
                <w:sz w:val="24"/>
              </w:rPr>
            </w:pPr>
          </w:p>
        </w:tc>
      </w:tr>
      <w:tr w14:paraId="07ACC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3D89F251">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3</w:t>
            </w:r>
          </w:p>
        </w:tc>
        <w:tc>
          <w:tcPr>
            <w:tcW w:w="4824" w:type="dxa"/>
            <w:gridSpan w:val="2"/>
            <w:vAlign w:val="center"/>
          </w:tcPr>
          <w:p w14:paraId="5F84B21F">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政务网云日志审计服务，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51B6DB0D">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18396061">
            <w:pPr>
              <w:autoSpaceDE w:val="0"/>
              <w:autoSpaceDN w:val="0"/>
              <w:snapToGrid w:val="0"/>
              <w:spacing w:line="360" w:lineRule="auto"/>
              <w:rPr>
                <w:rFonts w:hint="eastAsia" w:ascii="宋体" w:hAnsi="宋体" w:eastAsia="宋体" w:cs="宋体"/>
                <w:color w:val="auto"/>
                <w:sz w:val="24"/>
              </w:rPr>
            </w:pPr>
          </w:p>
        </w:tc>
      </w:tr>
      <w:tr w14:paraId="68968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D87E5CA">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4</w:t>
            </w:r>
          </w:p>
        </w:tc>
        <w:tc>
          <w:tcPr>
            <w:tcW w:w="4824" w:type="dxa"/>
            <w:gridSpan w:val="2"/>
            <w:vAlign w:val="center"/>
          </w:tcPr>
          <w:p w14:paraId="5EC853C2">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针对政务网态势感知服务</w:t>
            </w:r>
            <w:r>
              <w:rPr>
                <w:rFonts w:hint="eastAsia" w:ascii="宋体" w:hAnsi="宋体" w:eastAsia="宋体" w:cs="宋体"/>
                <w:bCs/>
                <w:color w:val="auto"/>
                <w:sz w:val="24"/>
              </w:rPr>
              <w:t>，</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004859C8">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2695C013">
            <w:pPr>
              <w:autoSpaceDE w:val="0"/>
              <w:autoSpaceDN w:val="0"/>
              <w:snapToGrid w:val="0"/>
              <w:spacing w:line="360" w:lineRule="auto"/>
              <w:rPr>
                <w:rFonts w:hint="eastAsia" w:ascii="宋体" w:hAnsi="宋体" w:eastAsia="宋体" w:cs="宋体"/>
                <w:color w:val="auto"/>
                <w:sz w:val="24"/>
              </w:rPr>
            </w:pPr>
          </w:p>
        </w:tc>
      </w:tr>
      <w:tr w14:paraId="66941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387F7E4">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5</w:t>
            </w:r>
          </w:p>
        </w:tc>
        <w:tc>
          <w:tcPr>
            <w:tcW w:w="4824" w:type="dxa"/>
            <w:gridSpan w:val="2"/>
            <w:vAlign w:val="center"/>
          </w:tcPr>
          <w:p w14:paraId="2D12A29A">
            <w:pPr>
              <w:snapToGrid w:val="0"/>
              <w:spacing w:line="360" w:lineRule="auto"/>
              <w:rPr>
                <w:rFonts w:hint="eastAsia" w:ascii="宋体" w:hAnsi="宋体" w:eastAsia="宋体" w:cs="宋体"/>
                <w:bCs/>
                <w:color w:val="auto"/>
                <w:sz w:val="24"/>
                <w:lang w:eastAsia="zh-Hans"/>
              </w:rPr>
            </w:pPr>
            <w:r>
              <w:rPr>
                <w:rFonts w:hint="eastAsia" w:ascii="宋体" w:hAnsi="宋体" w:eastAsia="宋体" w:cs="宋体"/>
                <w:bCs/>
                <w:color w:val="auto"/>
                <w:sz w:val="24"/>
                <w:lang w:eastAsia="zh-Hans"/>
              </w:rPr>
              <w:t>针对SaaS化安全服务</w:t>
            </w:r>
            <w:r>
              <w:rPr>
                <w:rFonts w:hint="eastAsia" w:ascii="宋体" w:hAnsi="宋体" w:eastAsia="宋体" w:cs="宋体"/>
                <w:bCs/>
                <w:color w:val="auto"/>
                <w:sz w:val="24"/>
              </w:rPr>
              <w:t>，</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6F1D56C1">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46DA1458">
            <w:pPr>
              <w:autoSpaceDE w:val="0"/>
              <w:autoSpaceDN w:val="0"/>
              <w:snapToGrid w:val="0"/>
              <w:spacing w:line="360" w:lineRule="auto"/>
              <w:rPr>
                <w:rFonts w:hint="eastAsia" w:ascii="宋体" w:hAnsi="宋体" w:eastAsia="宋体" w:cs="宋体"/>
                <w:color w:val="auto"/>
                <w:sz w:val="24"/>
              </w:rPr>
            </w:pPr>
          </w:p>
        </w:tc>
      </w:tr>
      <w:tr w14:paraId="04041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1B2FF9A">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6</w:t>
            </w:r>
          </w:p>
        </w:tc>
        <w:tc>
          <w:tcPr>
            <w:tcW w:w="4824" w:type="dxa"/>
            <w:gridSpan w:val="2"/>
            <w:vAlign w:val="center"/>
          </w:tcPr>
          <w:p w14:paraId="4307B720">
            <w:pPr>
              <w:snapToGrid w:val="0"/>
              <w:spacing w:line="360" w:lineRule="auto"/>
              <w:rPr>
                <w:rFonts w:hint="eastAsia" w:ascii="宋体" w:hAnsi="宋体" w:eastAsia="宋体" w:cs="宋体"/>
                <w:color w:val="auto"/>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公安网安全风险感知服务，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4A5347D9">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73B476B3">
            <w:pPr>
              <w:autoSpaceDE w:val="0"/>
              <w:autoSpaceDN w:val="0"/>
              <w:snapToGrid w:val="0"/>
              <w:spacing w:line="360" w:lineRule="auto"/>
              <w:rPr>
                <w:rFonts w:hint="eastAsia" w:ascii="宋体" w:hAnsi="宋体" w:eastAsia="宋体" w:cs="宋体"/>
                <w:color w:val="auto"/>
                <w:sz w:val="24"/>
              </w:rPr>
            </w:pPr>
          </w:p>
        </w:tc>
      </w:tr>
      <w:tr w14:paraId="2AA21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8767FD4">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7</w:t>
            </w:r>
          </w:p>
        </w:tc>
        <w:tc>
          <w:tcPr>
            <w:tcW w:w="4824" w:type="dxa"/>
            <w:gridSpan w:val="2"/>
            <w:vAlign w:val="center"/>
          </w:tcPr>
          <w:p w14:paraId="6E67C756">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公安网桌面云服务，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6803221D">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6A4DE435">
            <w:pPr>
              <w:autoSpaceDE w:val="0"/>
              <w:autoSpaceDN w:val="0"/>
              <w:snapToGrid w:val="0"/>
              <w:spacing w:line="360" w:lineRule="auto"/>
              <w:rPr>
                <w:rFonts w:hint="eastAsia" w:ascii="宋体" w:hAnsi="宋体" w:eastAsia="宋体" w:cs="宋体"/>
                <w:color w:val="auto"/>
                <w:sz w:val="24"/>
              </w:rPr>
            </w:pPr>
          </w:p>
        </w:tc>
      </w:tr>
      <w:tr w14:paraId="7E189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A41A789">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8</w:t>
            </w:r>
          </w:p>
        </w:tc>
        <w:tc>
          <w:tcPr>
            <w:tcW w:w="4824" w:type="dxa"/>
            <w:gridSpan w:val="2"/>
            <w:vAlign w:val="center"/>
          </w:tcPr>
          <w:p w14:paraId="15BC42B0">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公安网一机两用服务，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572BB50A">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27A6A10B">
            <w:pPr>
              <w:autoSpaceDE w:val="0"/>
              <w:autoSpaceDN w:val="0"/>
              <w:snapToGrid w:val="0"/>
              <w:spacing w:line="360" w:lineRule="auto"/>
              <w:rPr>
                <w:rFonts w:hint="eastAsia" w:ascii="宋体" w:hAnsi="宋体" w:eastAsia="宋体" w:cs="宋体"/>
                <w:color w:val="auto"/>
                <w:sz w:val="24"/>
              </w:rPr>
            </w:pPr>
          </w:p>
        </w:tc>
      </w:tr>
      <w:tr w14:paraId="2B748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C8201AB">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9</w:t>
            </w:r>
          </w:p>
        </w:tc>
        <w:tc>
          <w:tcPr>
            <w:tcW w:w="4824" w:type="dxa"/>
            <w:gridSpan w:val="2"/>
            <w:vAlign w:val="center"/>
          </w:tcPr>
          <w:p w14:paraId="479EB7D3">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视频网终端杀毒服务，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32F5F1C5">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6CE03F96">
            <w:pPr>
              <w:autoSpaceDE w:val="0"/>
              <w:autoSpaceDN w:val="0"/>
              <w:snapToGrid w:val="0"/>
              <w:spacing w:line="360" w:lineRule="auto"/>
              <w:rPr>
                <w:rFonts w:hint="eastAsia" w:ascii="宋体" w:hAnsi="宋体" w:eastAsia="宋体" w:cs="宋体"/>
                <w:color w:val="auto"/>
                <w:sz w:val="24"/>
              </w:rPr>
            </w:pPr>
          </w:p>
        </w:tc>
      </w:tr>
      <w:tr w14:paraId="184CD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14:paraId="302D290F">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10</w:t>
            </w:r>
          </w:p>
        </w:tc>
        <w:tc>
          <w:tcPr>
            <w:tcW w:w="4824" w:type="dxa"/>
            <w:gridSpan w:val="2"/>
            <w:vAlign w:val="center"/>
          </w:tcPr>
          <w:p w14:paraId="3BB970F7">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系统安全检测服务，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18BA38F3">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17CA276F">
            <w:pPr>
              <w:autoSpaceDE w:val="0"/>
              <w:autoSpaceDN w:val="0"/>
              <w:snapToGrid w:val="0"/>
              <w:spacing w:line="360" w:lineRule="auto"/>
              <w:rPr>
                <w:rFonts w:hint="eastAsia" w:ascii="宋体" w:hAnsi="宋体" w:eastAsia="宋体" w:cs="宋体"/>
                <w:color w:val="auto"/>
                <w:sz w:val="24"/>
              </w:rPr>
            </w:pPr>
          </w:p>
        </w:tc>
      </w:tr>
      <w:tr w14:paraId="13CD6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14:paraId="27427280">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11</w:t>
            </w:r>
          </w:p>
        </w:tc>
        <w:tc>
          <w:tcPr>
            <w:tcW w:w="4824" w:type="dxa"/>
            <w:gridSpan w:val="2"/>
            <w:vAlign w:val="center"/>
          </w:tcPr>
          <w:p w14:paraId="3F5A9F10">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网络安全检查服务，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237E6876">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0E2BE2DA">
            <w:pPr>
              <w:autoSpaceDE w:val="0"/>
              <w:autoSpaceDN w:val="0"/>
              <w:snapToGrid w:val="0"/>
              <w:spacing w:line="360" w:lineRule="auto"/>
              <w:rPr>
                <w:rFonts w:hint="eastAsia" w:ascii="宋体" w:hAnsi="宋体" w:eastAsia="宋体" w:cs="宋体"/>
                <w:color w:val="auto"/>
                <w:sz w:val="24"/>
              </w:rPr>
            </w:pPr>
          </w:p>
        </w:tc>
      </w:tr>
      <w:tr w14:paraId="0AC5E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FC744D">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12</w:t>
            </w:r>
          </w:p>
        </w:tc>
        <w:tc>
          <w:tcPr>
            <w:tcW w:w="4824" w:type="dxa"/>
            <w:gridSpan w:val="2"/>
            <w:vAlign w:val="center"/>
          </w:tcPr>
          <w:p w14:paraId="0EAFCFE3">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color w:val="auto"/>
                <w:sz w:val="24"/>
                <w:lang w:eastAsia="zh-Hans"/>
              </w:rPr>
              <w:t>重要时期重大活动安全保障服务</w:t>
            </w:r>
            <w:r>
              <w:rPr>
                <w:rFonts w:hint="eastAsia" w:ascii="宋体" w:hAnsi="宋体" w:eastAsia="宋体" w:cs="宋体"/>
                <w:bCs/>
                <w:color w:val="auto"/>
                <w:sz w:val="24"/>
              </w:rPr>
              <w:t>，</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05806EF6">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72086CAA">
            <w:pPr>
              <w:autoSpaceDE w:val="0"/>
              <w:autoSpaceDN w:val="0"/>
              <w:snapToGrid w:val="0"/>
              <w:spacing w:line="360" w:lineRule="auto"/>
              <w:rPr>
                <w:rFonts w:hint="eastAsia" w:ascii="宋体" w:hAnsi="宋体" w:eastAsia="宋体" w:cs="宋体"/>
                <w:color w:val="auto"/>
                <w:sz w:val="24"/>
              </w:rPr>
            </w:pPr>
          </w:p>
        </w:tc>
      </w:tr>
      <w:tr w14:paraId="6B88F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47BF447">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13</w:t>
            </w:r>
          </w:p>
        </w:tc>
        <w:tc>
          <w:tcPr>
            <w:tcW w:w="4824" w:type="dxa"/>
            <w:gridSpan w:val="2"/>
            <w:vAlign w:val="center"/>
          </w:tcPr>
          <w:p w14:paraId="1367E50A">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应急响应服务，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0D0953A6">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15D9A43A">
            <w:pPr>
              <w:autoSpaceDE w:val="0"/>
              <w:autoSpaceDN w:val="0"/>
              <w:snapToGrid w:val="0"/>
              <w:spacing w:line="360" w:lineRule="auto"/>
              <w:rPr>
                <w:rFonts w:hint="eastAsia" w:ascii="宋体" w:hAnsi="宋体" w:eastAsia="宋体" w:cs="宋体"/>
                <w:color w:val="auto"/>
                <w:sz w:val="24"/>
              </w:rPr>
            </w:pPr>
          </w:p>
        </w:tc>
      </w:tr>
      <w:tr w14:paraId="4493D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CDFAED5">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14</w:t>
            </w:r>
          </w:p>
        </w:tc>
        <w:tc>
          <w:tcPr>
            <w:tcW w:w="4824" w:type="dxa"/>
            <w:gridSpan w:val="2"/>
            <w:vAlign w:val="center"/>
          </w:tcPr>
          <w:p w14:paraId="0C54BF69">
            <w:pPr>
              <w:snapToGrid w:val="0"/>
              <w:spacing w:line="360" w:lineRule="auto"/>
              <w:rPr>
                <w:rFonts w:hint="eastAsia" w:ascii="宋体" w:hAnsi="宋体" w:eastAsia="宋体" w:cs="宋体"/>
                <w:color w:val="auto"/>
                <w:sz w:val="24"/>
              </w:rPr>
            </w:pPr>
            <w:r>
              <w:rPr>
                <w:rFonts w:hint="eastAsia" w:ascii="宋体" w:hAnsi="宋体" w:eastAsia="宋体" w:cs="宋体"/>
                <w:bCs/>
                <w:color w:val="auto"/>
                <w:sz w:val="24"/>
                <w:lang w:eastAsia="zh-Hans"/>
              </w:rPr>
              <w:t>针对</w:t>
            </w:r>
            <w:r>
              <w:rPr>
                <w:rFonts w:hint="eastAsia" w:ascii="宋体" w:hAnsi="宋体" w:eastAsia="宋体" w:cs="宋体"/>
                <w:bCs/>
                <w:color w:val="auto"/>
                <w:sz w:val="24"/>
              </w:rPr>
              <w:t>边界通道租赁服务，</w:t>
            </w:r>
            <w:r>
              <w:rPr>
                <w:rFonts w:hint="eastAsia" w:ascii="宋体" w:hAnsi="宋体" w:eastAsia="宋体" w:cs="宋体"/>
                <w:bCs/>
                <w:color w:val="auto"/>
                <w:sz w:val="24"/>
                <w:lang w:eastAsia="zh-Hans"/>
              </w:rPr>
              <w:t>投标人未按采购需求要求提供服务，每发生一次扣3分。</w:t>
            </w:r>
          </w:p>
        </w:tc>
        <w:tc>
          <w:tcPr>
            <w:tcW w:w="1373" w:type="dxa"/>
            <w:vAlign w:val="center"/>
          </w:tcPr>
          <w:p w14:paraId="1DEFF54A">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5EF54D69">
            <w:pPr>
              <w:autoSpaceDE w:val="0"/>
              <w:autoSpaceDN w:val="0"/>
              <w:snapToGrid w:val="0"/>
              <w:spacing w:line="360" w:lineRule="auto"/>
              <w:rPr>
                <w:rFonts w:hint="eastAsia" w:ascii="宋体" w:hAnsi="宋体" w:eastAsia="宋体" w:cs="宋体"/>
                <w:color w:val="auto"/>
                <w:sz w:val="24"/>
              </w:rPr>
            </w:pPr>
          </w:p>
        </w:tc>
      </w:tr>
      <w:tr w14:paraId="5FB5B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CDE26DE">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15</w:t>
            </w:r>
          </w:p>
        </w:tc>
        <w:tc>
          <w:tcPr>
            <w:tcW w:w="4824" w:type="dxa"/>
            <w:gridSpan w:val="2"/>
            <w:vAlign w:val="center"/>
          </w:tcPr>
          <w:p w14:paraId="6ECC06B3">
            <w:pPr>
              <w:spacing w:line="360" w:lineRule="auto"/>
              <w:rPr>
                <w:rFonts w:hint="eastAsia" w:ascii="宋体" w:hAnsi="宋体" w:eastAsia="宋体" w:cs="宋体"/>
                <w:color w:val="auto"/>
                <w:sz w:val="24"/>
                <w:lang w:eastAsia="zh-Hans"/>
              </w:rPr>
            </w:pPr>
            <w:r>
              <w:rPr>
                <w:rFonts w:hint="eastAsia" w:ascii="宋体" w:hAnsi="宋体" w:eastAsia="宋体" w:cs="宋体"/>
                <w:color w:val="auto"/>
                <w:sz w:val="24"/>
              </w:rPr>
              <w:t>投标人</w:t>
            </w:r>
            <w:r>
              <w:rPr>
                <w:rFonts w:hint="eastAsia" w:ascii="宋体" w:hAnsi="宋体" w:eastAsia="宋体" w:cs="宋体"/>
                <w:color w:val="auto"/>
                <w:kern w:val="0"/>
                <w:sz w:val="24"/>
                <w:lang w:bidi="ar"/>
              </w:rPr>
              <w:t>人员配备要求达不到合同条款要求的，每发生一次扣5</w:t>
            </w:r>
            <w:r>
              <w:rPr>
                <w:rFonts w:hint="eastAsia" w:ascii="宋体" w:hAnsi="宋体" w:eastAsia="宋体" w:cs="宋体"/>
                <w:color w:val="auto"/>
                <w:kern w:val="0"/>
                <w:sz w:val="24"/>
                <w:lang w:eastAsia="zh-Hans" w:bidi="ar"/>
              </w:rPr>
              <w:t>分。</w:t>
            </w:r>
          </w:p>
        </w:tc>
        <w:tc>
          <w:tcPr>
            <w:tcW w:w="1373" w:type="dxa"/>
            <w:vAlign w:val="center"/>
          </w:tcPr>
          <w:p w14:paraId="42DAF1C6">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66B6C345">
            <w:pPr>
              <w:autoSpaceDE w:val="0"/>
              <w:autoSpaceDN w:val="0"/>
              <w:snapToGrid w:val="0"/>
              <w:spacing w:line="360" w:lineRule="auto"/>
              <w:rPr>
                <w:rFonts w:hint="eastAsia" w:ascii="宋体" w:hAnsi="宋体" w:eastAsia="宋体" w:cs="宋体"/>
                <w:color w:val="auto"/>
                <w:sz w:val="24"/>
              </w:rPr>
            </w:pPr>
          </w:p>
        </w:tc>
      </w:tr>
      <w:tr w14:paraId="7738F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B1E962E">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16</w:t>
            </w:r>
          </w:p>
        </w:tc>
        <w:tc>
          <w:tcPr>
            <w:tcW w:w="4824" w:type="dxa"/>
            <w:gridSpan w:val="2"/>
            <w:vAlign w:val="center"/>
          </w:tcPr>
          <w:p w14:paraId="56DEE340">
            <w:pPr>
              <w:spacing w:line="360" w:lineRule="auto"/>
              <w:rPr>
                <w:rFonts w:hint="eastAsia" w:ascii="宋体" w:hAnsi="宋体" w:eastAsia="宋体" w:cs="宋体"/>
                <w:color w:val="auto"/>
                <w:sz w:val="24"/>
              </w:rPr>
            </w:pPr>
            <w:r>
              <w:rPr>
                <w:rFonts w:hint="eastAsia" w:ascii="宋体" w:hAnsi="宋体" w:eastAsia="宋体" w:cs="宋体"/>
                <w:color w:val="auto"/>
                <w:sz w:val="24"/>
                <w:lang w:eastAsia="zh-Hans"/>
              </w:rPr>
              <w:t>投标人在</w:t>
            </w:r>
            <w:r>
              <w:rPr>
                <w:rFonts w:hint="eastAsia" w:ascii="宋体" w:hAnsi="宋体" w:eastAsia="宋体" w:cs="宋体"/>
                <w:color w:val="auto"/>
                <w:sz w:val="24"/>
              </w:rPr>
              <w:t>服务期内</w:t>
            </w:r>
            <w:r>
              <w:rPr>
                <w:rFonts w:hint="eastAsia" w:ascii="宋体" w:hAnsi="宋体" w:eastAsia="宋体" w:cs="宋体"/>
                <w:color w:val="auto"/>
                <w:sz w:val="24"/>
                <w:lang w:eastAsia="zh-Hans"/>
              </w:rPr>
              <w:t>未</w:t>
            </w:r>
            <w:r>
              <w:rPr>
                <w:rFonts w:hint="eastAsia" w:ascii="宋体" w:hAnsi="宋体" w:eastAsia="宋体" w:cs="宋体"/>
                <w:color w:val="auto"/>
                <w:sz w:val="24"/>
              </w:rPr>
              <w:t>提供7*24小时的技术支持（包括电话咨询与现场服务）。投标人在接到应急电话后，</w:t>
            </w:r>
            <w:r>
              <w:rPr>
                <w:rFonts w:hint="eastAsia" w:ascii="宋体" w:hAnsi="宋体" w:eastAsia="宋体" w:cs="宋体"/>
                <w:color w:val="auto"/>
                <w:sz w:val="24"/>
                <w:lang w:eastAsia="zh-Hans"/>
              </w:rPr>
              <w:t>未在</w:t>
            </w:r>
            <w:r>
              <w:rPr>
                <w:rFonts w:hint="eastAsia" w:ascii="宋体" w:hAnsi="宋体" w:eastAsia="宋体" w:cs="宋体"/>
                <w:color w:val="auto"/>
                <w:sz w:val="24"/>
              </w:rPr>
              <w:t>应规定时间内响应，</w:t>
            </w:r>
            <w:r>
              <w:rPr>
                <w:rFonts w:hint="eastAsia" w:ascii="宋体" w:hAnsi="宋体" w:eastAsia="宋体" w:cs="宋体"/>
                <w:bCs/>
                <w:color w:val="auto"/>
                <w:sz w:val="24"/>
                <w:lang w:eastAsia="zh-Hans"/>
              </w:rPr>
              <w:t>每发生一次扣3分</w:t>
            </w:r>
            <w:r>
              <w:rPr>
                <w:rFonts w:hint="eastAsia" w:ascii="宋体" w:hAnsi="宋体" w:eastAsia="宋体" w:cs="宋体"/>
                <w:color w:val="auto"/>
                <w:sz w:val="24"/>
              </w:rPr>
              <w:t>。</w:t>
            </w:r>
          </w:p>
        </w:tc>
        <w:tc>
          <w:tcPr>
            <w:tcW w:w="1373" w:type="dxa"/>
            <w:vAlign w:val="center"/>
          </w:tcPr>
          <w:p w14:paraId="16773BEC">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78A27275">
            <w:pPr>
              <w:autoSpaceDE w:val="0"/>
              <w:autoSpaceDN w:val="0"/>
              <w:snapToGrid w:val="0"/>
              <w:spacing w:line="360" w:lineRule="auto"/>
              <w:rPr>
                <w:rFonts w:hint="eastAsia" w:ascii="宋体" w:hAnsi="宋体" w:eastAsia="宋体" w:cs="宋体"/>
                <w:color w:val="auto"/>
                <w:sz w:val="24"/>
              </w:rPr>
            </w:pPr>
          </w:p>
        </w:tc>
      </w:tr>
      <w:tr w14:paraId="0BD59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7229CF0">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17</w:t>
            </w:r>
          </w:p>
        </w:tc>
        <w:tc>
          <w:tcPr>
            <w:tcW w:w="4824" w:type="dxa"/>
            <w:gridSpan w:val="2"/>
            <w:vAlign w:val="center"/>
          </w:tcPr>
          <w:p w14:paraId="17BEB72A">
            <w:pPr>
              <w:spacing w:line="360" w:lineRule="auto"/>
              <w:rPr>
                <w:rFonts w:hint="eastAsia" w:ascii="宋体" w:hAnsi="宋体" w:eastAsia="宋体" w:cs="宋体"/>
                <w:color w:val="auto"/>
                <w:sz w:val="24"/>
              </w:rPr>
            </w:pPr>
            <w:r>
              <w:rPr>
                <w:rFonts w:hint="eastAsia" w:ascii="宋体" w:hAnsi="宋体" w:eastAsia="宋体" w:cs="宋体"/>
                <w:color w:val="auto"/>
                <w:sz w:val="24"/>
              </w:rPr>
              <w:t>投标人</w:t>
            </w:r>
            <w:r>
              <w:rPr>
                <w:rFonts w:hint="eastAsia" w:ascii="宋体" w:hAnsi="宋体" w:eastAsia="宋体" w:cs="宋体"/>
                <w:color w:val="auto"/>
                <w:sz w:val="24"/>
                <w:lang w:eastAsia="zh-Hans"/>
              </w:rPr>
              <w:t>未</w:t>
            </w:r>
            <w:r>
              <w:rPr>
                <w:rFonts w:hint="eastAsia" w:ascii="宋体" w:hAnsi="宋体" w:eastAsia="宋体" w:cs="宋体"/>
                <w:color w:val="auto"/>
                <w:sz w:val="24"/>
              </w:rPr>
              <w:t>协助采购人完成安全检查工作，</w:t>
            </w:r>
            <w:r>
              <w:rPr>
                <w:rFonts w:hint="eastAsia" w:ascii="宋体" w:hAnsi="宋体" w:eastAsia="宋体" w:cs="宋体"/>
                <w:bCs/>
                <w:color w:val="auto"/>
                <w:sz w:val="24"/>
                <w:lang w:eastAsia="zh-Hans"/>
              </w:rPr>
              <w:t>每发生一次扣3分</w:t>
            </w:r>
            <w:r>
              <w:rPr>
                <w:rFonts w:hint="eastAsia" w:ascii="宋体" w:hAnsi="宋体" w:eastAsia="宋体" w:cs="宋体"/>
                <w:color w:val="auto"/>
                <w:sz w:val="24"/>
              </w:rPr>
              <w:t>。</w:t>
            </w:r>
          </w:p>
        </w:tc>
        <w:tc>
          <w:tcPr>
            <w:tcW w:w="1373" w:type="dxa"/>
            <w:vAlign w:val="center"/>
          </w:tcPr>
          <w:p w14:paraId="770ADC84">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7A34CCA6">
            <w:pPr>
              <w:autoSpaceDE w:val="0"/>
              <w:autoSpaceDN w:val="0"/>
              <w:snapToGrid w:val="0"/>
              <w:spacing w:line="360" w:lineRule="auto"/>
              <w:rPr>
                <w:rFonts w:hint="eastAsia" w:ascii="宋体" w:hAnsi="宋体" w:eastAsia="宋体" w:cs="宋体"/>
                <w:color w:val="auto"/>
                <w:sz w:val="24"/>
              </w:rPr>
            </w:pPr>
          </w:p>
        </w:tc>
      </w:tr>
      <w:tr w14:paraId="5D742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8D9EED8">
            <w:pPr>
              <w:autoSpaceDE w:val="0"/>
              <w:autoSpaceDN w:val="0"/>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18</w:t>
            </w:r>
          </w:p>
        </w:tc>
        <w:tc>
          <w:tcPr>
            <w:tcW w:w="4824" w:type="dxa"/>
            <w:gridSpan w:val="2"/>
            <w:vAlign w:val="center"/>
          </w:tcPr>
          <w:p w14:paraId="0EB4428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投标人未按照要求提供文档，</w:t>
            </w:r>
            <w:r>
              <w:rPr>
                <w:rFonts w:hint="eastAsia" w:ascii="宋体" w:hAnsi="宋体" w:eastAsia="宋体" w:cs="宋体"/>
                <w:color w:val="auto"/>
                <w:sz w:val="24"/>
              </w:rPr>
              <w:t>每发</w:t>
            </w:r>
            <w:r>
              <w:rPr>
                <w:rFonts w:hint="eastAsia" w:ascii="宋体" w:hAnsi="宋体" w:eastAsia="宋体" w:cs="宋体"/>
                <w:color w:val="auto"/>
                <w:sz w:val="24"/>
                <w:lang w:eastAsia="zh-Hans"/>
              </w:rPr>
              <w:t>生一</w:t>
            </w:r>
            <w:r>
              <w:rPr>
                <w:rFonts w:hint="eastAsia" w:ascii="宋体" w:hAnsi="宋体" w:eastAsia="宋体" w:cs="宋体"/>
                <w:color w:val="auto"/>
                <w:sz w:val="24"/>
              </w:rPr>
              <w:t>次扣5分。</w:t>
            </w:r>
          </w:p>
        </w:tc>
        <w:tc>
          <w:tcPr>
            <w:tcW w:w="1373" w:type="dxa"/>
            <w:vAlign w:val="center"/>
          </w:tcPr>
          <w:p w14:paraId="02DA3D80">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3411EBCF">
            <w:pPr>
              <w:autoSpaceDE w:val="0"/>
              <w:autoSpaceDN w:val="0"/>
              <w:snapToGrid w:val="0"/>
              <w:spacing w:line="360" w:lineRule="auto"/>
              <w:rPr>
                <w:rFonts w:hint="eastAsia" w:ascii="宋体" w:hAnsi="宋体" w:eastAsia="宋体" w:cs="宋体"/>
                <w:color w:val="auto"/>
                <w:sz w:val="24"/>
              </w:rPr>
            </w:pPr>
          </w:p>
        </w:tc>
      </w:tr>
      <w:tr w14:paraId="5A75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F7CD01C">
            <w:pPr>
              <w:autoSpaceDE w:val="0"/>
              <w:autoSpaceDN w:val="0"/>
              <w:snapToGrid w:val="0"/>
              <w:spacing w:line="360" w:lineRule="auto"/>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19</w:t>
            </w:r>
          </w:p>
        </w:tc>
        <w:tc>
          <w:tcPr>
            <w:tcW w:w="4824" w:type="dxa"/>
            <w:gridSpan w:val="2"/>
            <w:vAlign w:val="center"/>
          </w:tcPr>
          <w:p w14:paraId="51A9A573">
            <w:pPr>
              <w:snapToGrid w:val="0"/>
              <w:spacing w:line="360" w:lineRule="auto"/>
              <w:rPr>
                <w:rFonts w:hint="eastAsia" w:ascii="宋体" w:hAnsi="宋体" w:eastAsia="宋体" w:cs="宋体"/>
                <w:color w:val="auto"/>
                <w:sz w:val="24"/>
                <w:lang w:eastAsia="zh-CN"/>
              </w:rPr>
            </w:pPr>
            <w:r>
              <w:rPr>
                <w:rFonts w:hint="eastAsia" w:ascii="宋体" w:hAnsi="宋体" w:eastAsia="宋体" w:cs="宋体"/>
                <w:color w:val="auto"/>
                <w:sz w:val="24"/>
                <w:lang w:eastAsia="zh-CN"/>
              </w:rPr>
              <w:t>投标人及驻点工作人员未按要求遵守采购人规章制度，</w:t>
            </w:r>
            <w:r>
              <w:rPr>
                <w:rFonts w:hint="eastAsia" w:ascii="宋体" w:hAnsi="宋体" w:eastAsia="宋体" w:cs="宋体"/>
                <w:color w:val="auto"/>
                <w:sz w:val="24"/>
              </w:rPr>
              <w:t>每发</w:t>
            </w:r>
            <w:r>
              <w:rPr>
                <w:rFonts w:hint="eastAsia" w:ascii="宋体" w:hAnsi="宋体" w:eastAsia="宋体" w:cs="宋体"/>
                <w:color w:val="auto"/>
                <w:sz w:val="24"/>
                <w:lang w:eastAsia="zh-Hans"/>
              </w:rPr>
              <w:t>生一</w:t>
            </w:r>
            <w:r>
              <w:rPr>
                <w:rFonts w:hint="eastAsia" w:ascii="宋体" w:hAnsi="宋体" w:eastAsia="宋体" w:cs="宋体"/>
                <w:color w:val="auto"/>
                <w:sz w:val="24"/>
              </w:rPr>
              <w:t>次扣5分。</w:t>
            </w:r>
          </w:p>
        </w:tc>
        <w:tc>
          <w:tcPr>
            <w:tcW w:w="1373" w:type="dxa"/>
            <w:vAlign w:val="center"/>
          </w:tcPr>
          <w:p w14:paraId="402A698C">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468ED311">
            <w:pPr>
              <w:autoSpaceDE w:val="0"/>
              <w:autoSpaceDN w:val="0"/>
              <w:snapToGrid w:val="0"/>
              <w:spacing w:line="360" w:lineRule="auto"/>
              <w:rPr>
                <w:rFonts w:hint="eastAsia" w:ascii="宋体" w:hAnsi="宋体" w:eastAsia="宋体" w:cs="宋体"/>
                <w:color w:val="auto"/>
                <w:sz w:val="24"/>
              </w:rPr>
            </w:pPr>
          </w:p>
        </w:tc>
      </w:tr>
      <w:tr w14:paraId="717D7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3A6F27E">
            <w:pPr>
              <w:autoSpaceDE w:val="0"/>
              <w:autoSpaceDN w:val="0"/>
              <w:snapToGrid w:val="0"/>
              <w:spacing w:line="360" w:lineRule="auto"/>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20</w:t>
            </w:r>
          </w:p>
        </w:tc>
        <w:tc>
          <w:tcPr>
            <w:tcW w:w="4824" w:type="dxa"/>
            <w:gridSpan w:val="2"/>
            <w:vAlign w:val="center"/>
          </w:tcPr>
          <w:p w14:paraId="3E9B5580">
            <w:pPr>
              <w:snapToGrid w:val="0"/>
              <w:spacing w:line="360" w:lineRule="auto"/>
              <w:rPr>
                <w:rFonts w:hint="eastAsia" w:ascii="宋体" w:hAnsi="宋体" w:eastAsia="宋体" w:cs="宋体"/>
                <w:color w:val="auto"/>
                <w:sz w:val="24"/>
                <w:lang w:eastAsia="zh-Hans"/>
              </w:rPr>
            </w:pPr>
            <w:r>
              <w:rPr>
                <w:rFonts w:hint="eastAsia" w:ascii="宋体" w:hAnsi="宋体" w:eastAsia="宋体" w:cs="宋体"/>
                <w:color w:val="auto"/>
                <w:sz w:val="24"/>
              </w:rPr>
              <w:t>投标人</w:t>
            </w:r>
            <w:r>
              <w:rPr>
                <w:rFonts w:hint="eastAsia" w:ascii="宋体" w:hAnsi="宋体" w:eastAsia="宋体" w:cs="宋体"/>
                <w:color w:val="auto"/>
                <w:kern w:val="0"/>
                <w:sz w:val="24"/>
                <w:lang w:bidi="ar"/>
              </w:rPr>
              <w:t>发生违反相关保密规定、未按网络安全履行责任和义务的,每发生一次扣除违约金10000元/次外，采购人将追究投标人一切法律责任。</w:t>
            </w:r>
          </w:p>
        </w:tc>
        <w:tc>
          <w:tcPr>
            <w:tcW w:w="1373" w:type="dxa"/>
            <w:vAlign w:val="center"/>
          </w:tcPr>
          <w:p w14:paraId="27434461">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01D9458B">
            <w:pPr>
              <w:autoSpaceDE w:val="0"/>
              <w:autoSpaceDN w:val="0"/>
              <w:snapToGrid w:val="0"/>
              <w:spacing w:line="360" w:lineRule="auto"/>
              <w:rPr>
                <w:rFonts w:hint="eastAsia" w:ascii="宋体" w:hAnsi="宋体" w:eastAsia="宋体" w:cs="宋体"/>
                <w:color w:val="auto"/>
                <w:sz w:val="24"/>
              </w:rPr>
            </w:pPr>
          </w:p>
        </w:tc>
      </w:tr>
      <w:tr w14:paraId="6F32B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2A3F787">
            <w:pPr>
              <w:autoSpaceDE w:val="0"/>
              <w:autoSpaceDN w:val="0"/>
              <w:snapToGrid w:val="0"/>
              <w:spacing w:line="360" w:lineRule="auto"/>
              <w:jc w:val="center"/>
              <w:rPr>
                <w:rFonts w:hint="eastAsia" w:ascii="宋体" w:hAnsi="宋体" w:eastAsia="宋体" w:cs="宋体"/>
                <w:color w:val="auto"/>
                <w:sz w:val="24"/>
                <w:lang w:eastAsia="zh-CN"/>
              </w:rPr>
            </w:pPr>
            <w:r>
              <w:rPr>
                <w:rFonts w:hint="eastAsia" w:ascii="宋体" w:hAnsi="宋体" w:eastAsia="宋体" w:cs="宋体"/>
                <w:color w:val="auto"/>
                <w:sz w:val="24"/>
              </w:rPr>
              <w:t>2</w:t>
            </w:r>
            <w:r>
              <w:rPr>
                <w:rFonts w:hint="eastAsia" w:ascii="宋体" w:hAnsi="宋体" w:eastAsia="宋体" w:cs="宋体"/>
                <w:color w:val="auto"/>
                <w:sz w:val="24"/>
                <w:lang w:val="en-US" w:eastAsia="zh-CN"/>
              </w:rPr>
              <w:t>1</w:t>
            </w:r>
          </w:p>
        </w:tc>
        <w:tc>
          <w:tcPr>
            <w:tcW w:w="4824" w:type="dxa"/>
            <w:gridSpan w:val="2"/>
            <w:vAlign w:val="center"/>
          </w:tcPr>
          <w:p w14:paraId="0848CE9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未按承诺预留中小企业的比例达到合同总价的</w:t>
            </w:r>
            <w:r>
              <w:rPr>
                <w:rFonts w:hint="eastAsia" w:ascii="宋体" w:hAnsi="宋体" w:eastAsia="宋体" w:cs="宋体"/>
                <w:color w:val="auto"/>
                <w:sz w:val="24"/>
                <w:lang w:val="en-US" w:eastAsia="zh-CN"/>
              </w:rPr>
              <w:t>100</w:t>
            </w:r>
            <w:r>
              <w:rPr>
                <w:rFonts w:hint="eastAsia" w:ascii="宋体" w:hAnsi="宋体" w:eastAsia="宋体" w:cs="宋体"/>
                <w:color w:val="auto"/>
                <w:sz w:val="24"/>
              </w:rPr>
              <w:t>%、小微企业的比例达到合同总价的28%，采购人有权无条件终止合同,并报送本级政府采购监管部门，提前列入失信行为记录名单，追究相关责任，且投标人应向采购人支付合同总价30%的违约金。</w:t>
            </w:r>
          </w:p>
        </w:tc>
        <w:tc>
          <w:tcPr>
            <w:tcW w:w="1373" w:type="dxa"/>
            <w:vAlign w:val="center"/>
          </w:tcPr>
          <w:p w14:paraId="67176B4C">
            <w:pPr>
              <w:autoSpaceDE w:val="0"/>
              <w:autoSpaceDN w:val="0"/>
              <w:snapToGrid w:val="0"/>
              <w:spacing w:line="360" w:lineRule="auto"/>
              <w:rPr>
                <w:rFonts w:hint="eastAsia" w:ascii="宋体" w:hAnsi="宋体" w:eastAsia="宋体" w:cs="宋体"/>
                <w:color w:val="auto"/>
                <w:sz w:val="24"/>
              </w:rPr>
            </w:pPr>
          </w:p>
        </w:tc>
        <w:tc>
          <w:tcPr>
            <w:tcW w:w="1775" w:type="dxa"/>
            <w:vAlign w:val="center"/>
          </w:tcPr>
          <w:p w14:paraId="21D05F94">
            <w:pPr>
              <w:autoSpaceDE w:val="0"/>
              <w:autoSpaceDN w:val="0"/>
              <w:snapToGrid w:val="0"/>
              <w:spacing w:line="360" w:lineRule="auto"/>
              <w:rPr>
                <w:rFonts w:hint="eastAsia" w:ascii="宋体" w:hAnsi="宋体" w:eastAsia="宋体" w:cs="宋体"/>
                <w:color w:val="auto"/>
                <w:sz w:val="24"/>
              </w:rPr>
            </w:pPr>
          </w:p>
        </w:tc>
      </w:tr>
      <w:tr w14:paraId="4BD3C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blHeader/>
        </w:trPr>
        <w:tc>
          <w:tcPr>
            <w:tcW w:w="8789" w:type="dxa"/>
            <w:gridSpan w:val="5"/>
            <w:vAlign w:val="center"/>
          </w:tcPr>
          <w:p w14:paraId="0154A1EA">
            <w:pPr>
              <w:widowControl/>
              <w:spacing w:line="360" w:lineRule="auto"/>
              <w:jc w:val="left"/>
              <w:textAlignment w:val="center"/>
              <w:rPr>
                <w:rFonts w:hint="eastAsia" w:ascii="宋体" w:hAnsi="宋体" w:eastAsia="宋体" w:cs="宋体"/>
                <w:color w:val="auto"/>
                <w:kern w:val="0"/>
                <w:sz w:val="24"/>
              </w:rPr>
            </w:pPr>
            <w:r>
              <w:rPr>
                <w:rFonts w:hint="eastAsia" w:ascii="宋体" w:hAnsi="宋体" w:eastAsia="宋体" w:cs="宋体"/>
                <w:color w:val="auto"/>
                <w:kern w:val="0"/>
                <w:sz w:val="24"/>
                <w:lang w:eastAsia="zh-CN"/>
              </w:rPr>
              <w:t>采购人</w:t>
            </w:r>
            <w:r>
              <w:rPr>
                <w:rFonts w:hint="eastAsia" w:ascii="宋体" w:hAnsi="宋体" w:eastAsia="宋体" w:cs="宋体"/>
                <w:color w:val="auto"/>
                <w:kern w:val="0"/>
                <w:sz w:val="24"/>
              </w:rPr>
              <w:t>项目经办人（签字）：                 投标人项目负责人（签字盖章）：</w:t>
            </w:r>
          </w:p>
          <w:p w14:paraId="3D174D18">
            <w:pPr>
              <w:rPr>
                <w:rFonts w:hint="eastAsia" w:ascii="宋体" w:hAnsi="宋体" w:eastAsia="宋体" w:cs="宋体"/>
                <w:color w:val="auto"/>
              </w:rPr>
            </w:pPr>
            <w:r>
              <w:rPr>
                <w:rFonts w:hint="eastAsia" w:ascii="宋体" w:hAnsi="宋体" w:eastAsia="宋体" w:cs="宋体"/>
                <w:color w:val="auto"/>
                <w:kern w:val="0"/>
                <w:sz w:val="24"/>
                <w:lang w:eastAsia="zh-CN"/>
              </w:rPr>
              <w:t>采购人</w:t>
            </w:r>
            <w:r>
              <w:rPr>
                <w:rFonts w:hint="eastAsia" w:ascii="宋体" w:hAnsi="宋体" w:eastAsia="宋体" w:cs="宋体"/>
                <w:color w:val="auto"/>
                <w:kern w:val="0"/>
                <w:sz w:val="24"/>
              </w:rPr>
              <w:t>项目审核人（签字盖章）：                  日  期：</w:t>
            </w:r>
          </w:p>
          <w:p w14:paraId="39BA10C3">
            <w:pPr>
              <w:widowControl/>
              <w:spacing w:line="360" w:lineRule="auto"/>
              <w:jc w:val="left"/>
              <w:textAlignment w:val="center"/>
              <w:rPr>
                <w:rFonts w:hint="eastAsia" w:ascii="宋体" w:hAnsi="宋体" w:eastAsia="宋体" w:cs="宋体"/>
                <w:color w:val="auto"/>
                <w:sz w:val="24"/>
              </w:rPr>
            </w:pPr>
          </w:p>
        </w:tc>
      </w:tr>
    </w:tbl>
    <w:p w14:paraId="604D5F00">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1" w:name="_Toc184312131"/>
      <w:bookmarkEnd w:id="31"/>
      <w:bookmarkStart w:id="32" w:name="_Toc184314468"/>
      <w:bookmarkEnd w:id="32"/>
      <w:bookmarkStart w:id="33" w:name="_Toc184308085"/>
      <w:bookmarkEnd w:id="33"/>
      <w:bookmarkStart w:id="34" w:name="_Toc184310332"/>
      <w:bookmarkEnd w:id="34"/>
      <w:bookmarkStart w:id="35" w:name="_Toc184310284"/>
      <w:bookmarkEnd w:id="35"/>
      <w:bookmarkStart w:id="36" w:name="_Toc184312094"/>
      <w:bookmarkEnd w:id="36"/>
      <w:bookmarkStart w:id="37" w:name="_Toc184314476"/>
      <w:bookmarkEnd w:id="37"/>
      <w:bookmarkStart w:id="38" w:name="_Toc184310288"/>
      <w:bookmarkEnd w:id="38"/>
      <w:bookmarkStart w:id="39" w:name="_Toc184310322"/>
      <w:bookmarkEnd w:id="39"/>
      <w:bookmarkStart w:id="40" w:name="_Toc184313266"/>
      <w:bookmarkEnd w:id="40"/>
      <w:bookmarkStart w:id="41" w:name="_Toc184312090"/>
      <w:bookmarkEnd w:id="41"/>
      <w:bookmarkStart w:id="42" w:name="_Toc184313261"/>
      <w:bookmarkEnd w:id="42"/>
      <w:bookmarkStart w:id="43" w:name="_Toc184312105"/>
      <w:bookmarkEnd w:id="43"/>
      <w:bookmarkStart w:id="44" w:name="_Toc184308092"/>
      <w:bookmarkEnd w:id="44"/>
      <w:bookmarkStart w:id="45" w:name="_Toc184312107"/>
      <w:bookmarkEnd w:id="45"/>
      <w:bookmarkStart w:id="46" w:name="_Toc184308086"/>
      <w:bookmarkEnd w:id="46"/>
      <w:bookmarkStart w:id="47" w:name="_Toc184308082"/>
      <w:bookmarkEnd w:id="47"/>
      <w:bookmarkStart w:id="48" w:name="_Toc184313300"/>
      <w:bookmarkEnd w:id="48"/>
      <w:bookmarkStart w:id="49" w:name="_Toc184312096"/>
      <w:bookmarkEnd w:id="49"/>
      <w:bookmarkStart w:id="50" w:name="_Toc184310300"/>
      <w:bookmarkEnd w:id="50"/>
      <w:bookmarkStart w:id="51" w:name="_Toc184314463"/>
      <w:bookmarkEnd w:id="51"/>
      <w:bookmarkStart w:id="52" w:name="_Toc184308097"/>
      <w:bookmarkEnd w:id="52"/>
      <w:bookmarkStart w:id="53" w:name="_Toc184308096"/>
      <w:bookmarkEnd w:id="53"/>
      <w:bookmarkStart w:id="54" w:name="_Toc184308077"/>
      <w:bookmarkEnd w:id="54"/>
      <w:bookmarkStart w:id="55" w:name="_Toc184313280"/>
      <w:bookmarkEnd w:id="55"/>
      <w:bookmarkStart w:id="56" w:name="_Toc184314439"/>
      <w:bookmarkEnd w:id="56"/>
      <w:bookmarkStart w:id="57" w:name="_Toc184314411"/>
      <w:bookmarkEnd w:id="57"/>
      <w:bookmarkStart w:id="58" w:name="_Toc184312072"/>
      <w:bookmarkEnd w:id="58"/>
      <w:bookmarkStart w:id="59" w:name="_Toc184312069"/>
      <w:bookmarkEnd w:id="59"/>
      <w:bookmarkStart w:id="60" w:name="_Toc184312112"/>
      <w:bookmarkEnd w:id="60"/>
      <w:bookmarkStart w:id="61" w:name="_Toc184314420"/>
      <w:bookmarkEnd w:id="61"/>
      <w:bookmarkStart w:id="62" w:name="_Toc184308057"/>
      <w:bookmarkEnd w:id="62"/>
      <w:bookmarkStart w:id="63" w:name="_Toc184314436"/>
      <w:bookmarkEnd w:id="63"/>
      <w:bookmarkStart w:id="64" w:name="_Toc184314452"/>
      <w:bookmarkEnd w:id="64"/>
      <w:bookmarkStart w:id="65" w:name="_Toc184313292"/>
      <w:bookmarkEnd w:id="65"/>
      <w:bookmarkStart w:id="66" w:name="_Toc184313290"/>
      <w:bookmarkEnd w:id="66"/>
      <w:bookmarkStart w:id="67" w:name="_Toc184312138"/>
      <w:bookmarkEnd w:id="67"/>
      <w:bookmarkStart w:id="68" w:name="_Toc184313265"/>
      <w:bookmarkEnd w:id="68"/>
      <w:bookmarkStart w:id="69" w:name="_Toc184308060"/>
      <w:bookmarkEnd w:id="69"/>
      <w:bookmarkStart w:id="70" w:name="_Toc184313295"/>
      <w:bookmarkEnd w:id="70"/>
      <w:bookmarkStart w:id="71" w:name="_Toc184314467"/>
      <w:bookmarkEnd w:id="71"/>
      <w:bookmarkStart w:id="72" w:name="_Toc184313285"/>
      <w:bookmarkEnd w:id="72"/>
      <w:bookmarkStart w:id="73" w:name="_Toc184312114"/>
      <w:bookmarkEnd w:id="73"/>
      <w:bookmarkStart w:id="74" w:name="_Toc184313297"/>
      <w:bookmarkEnd w:id="74"/>
      <w:bookmarkStart w:id="75" w:name="_Toc184310344"/>
      <w:bookmarkEnd w:id="75"/>
      <w:bookmarkStart w:id="76" w:name="_Toc184312106"/>
      <w:bookmarkEnd w:id="76"/>
      <w:bookmarkStart w:id="77" w:name="_Toc184308055"/>
      <w:bookmarkEnd w:id="77"/>
      <w:bookmarkStart w:id="78" w:name="_Toc184310272"/>
      <w:bookmarkEnd w:id="78"/>
      <w:bookmarkStart w:id="79" w:name="_Toc184308106"/>
      <w:bookmarkEnd w:id="79"/>
      <w:bookmarkStart w:id="80" w:name="_Toc184313278"/>
      <w:bookmarkEnd w:id="80"/>
      <w:bookmarkStart w:id="81" w:name="_Toc184312109"/>
      <w:bookmarkEnd w:id="81"/>
      <w:bookmarkStart w:id="82" w:name="_Toc184310293"/>
      <w:bookmarkEnd w:id="82"/>
      <w:bookmarkStart w:id="83" w:name="_Toc184308041"/>
      <w:bookmarkEnd w:id="83"/>
      <w:bookmarkStart w:id="84" w:name="_Toc184308074"/>
      <w:bookmarkEnd w:id="84"/>
      <w:bookmarkStart w:id="85" w:name="_Toc184310341"/>
      <w:bookmarkEnd w:id="85"/>
      <w:bookmarkStart w:id="86" w:name="_Toc184308088"/>
      <w:bookmarkEnd w:id="86"/>
      <w:bookmarkStart w:id="87" w:name="_Toc184313284"/>
      <w:bookmarkEnd w:id="87"/>
      <w:bookmarkStart w:id="88" w:name="_Toc184312088"/>
      <w:bookmarkEnd w:id="88"/>
      <w:bookmarkStart w:id="89" w:name="_Toc184308076"/>
      <w:bookmarkEnd w:id="89"/>
      <w:bookmarkStart w:id="90" w:name="_Toc184313306"/>
      <w:bookmarkEnd w:id="90"/>
      <w:bookmarkStart w:id="91" w:name="_Toc184308104"/>
      <w:bookmarkEnd w:id="91"/>
      <w:bookmarkStart w:id="92" w:name="_Toc184310294"/>
      <w:bookmarkEnd w:id="92"/>
      <w:bookmarkStart w:id="93" w:name="_Toc184312101"/>
      <w:bookmarkEnd w:id="93"/>
      <w:bookmarkStart w:id="94" w:name="_Toc184308068"/>
      <w:bookmarkEnd w:id="94"/>
      <w:bookmarkStart w:id="95" w:name="_Toc184313271"/>
      <w:bookmarkEnd w:id="95"/>
      <w:bookmarkStart w:id="96" w:name="_Toc184314444"/>
      <w:bookmarkEnd w:id="96"/>
      <w:bookmarkStart w:id="97" w:name="_Toc184313293"/>
      <w:bookmarkEnd w:id="97"/>
      <w:bookmarkStart w:id="98" w:name="_Toc184308048"/>
      <w:bookmarkEnd w:id="98"/>
      <w:bookmarkStart w:id="99" w:name="_Toc184308078"/>
      <w:bookmarkEnd w:id="99"/>
      <w:bookmarkStart w:id="100" w:name="_Toc184308101"/>
      <w:bookmarkEnd w:id="100"/>
      <w:bookmarkStart w:id="101" w:name="_Toc184308064"/>
      <w:bookmarkEnd w:id="101"/>
      <w:bookmarkStart w:id="102" w:name="_Toc184308108"/>
      <w:bookmarkEnd w:id="102"/>
      <w:bookmarkStart w:id="103" w:name="_Toc184308065"/>
      <w:bookmarkEnd w:id="103"/>
      <w:bookmarkStart w:id="104" w:name="_Toc184313251"/>
      <w:bookmarkEnd w:id="104"/>
      <w:bookmarkStart w:id="105" w:name="_Toc184310329"/>
      <w:bookmarkEnd w:id="105"/>
      <w:bookmarkStart w:id="106" w:name="_Toc184314469"/>
      <w:bookmarkEnd w:id="106"/>
      <w:bookmarkStart w:id="107" w:name="_Toc184310317"/>
      <w:bookmarkEnd w:id="107"/>
      <w:bookmarkStart w:id="108" w:name="_Toc184312122"/>
      <w:bookmarkEnd w:id="108"/>
      <w:bookmarkStart w:id="109" w:name="_Toc184308063"/>
      <w:bookmarkEnd w:id="109"/>
      <w:bookmarkStart w:id="110" w:name="_Toc184310298"/>
      <w:bookmarkEnd w:id="110"/>
      <w:bookmarkStart w:id="111" w:name="_Toc184310303"/>
      <w:bookmarkEnd w:id="111"/>
      <w:bookmarkStart w:id="112" w:name="_Toc184310290"/>
      <w:bookmarkEnd w:id="112"/>
      <w:bookmarkStart w:id="113" w:name="_Toc184313308"/>
      <w:bookmarkEnd w:id="113"/>
      <w:bookmarkStart w:id="114" w:name="_Toc184308089"/>
      <w:bookmarkEnd w:id="114"/>
      <w:bookmarkStart w:id="115" w:name="_Toc184314410"/>
      <w:bookmarkEnd w:id="115"/>
      <w:bookmarkStart w:id="116" w:name="_Toc184314426"/>
      <w:bookmarkEnd w:id="116"/>
      <w:bookmarkStart w:id="117" w:name="_Toc184314437"/>
      <w:bookmarkEnd w:id="117"/>
      <w:bookmarkStart w:id="118" w:name="_Toc184312100"/>
      <w:bookmarkEnd w:id="118"/>
      <w:bookmarkStart w:id="119" w:name="_Toc184310334"/>
      <w:bookmarkEnd w:id="119"/>
      <w:bookmarkStart w:id="120" w:name="_Toc184312081"/>
      <w:bookmarkEnd w:id="120"/>
      <w:bookmarkStart w:id="121" w:name="_Toc184314449"/>
      <w:bookmarkEnd w:id="121"/>
      <w:bookmarkStart w:id="122" w:name="_Toc184314431"/>
      <w:bookmarkEnd w:id="122"/>
      <w:bookmarkStart w:id="123" w:name="_Toc184312111"/>
      <w:bookmarkEnd w:id="123"/>
      <w:bookmarkStart w:id="124" w:name="_Toc184314472"/>
      <w:bookmarkEnd w:id="124"/>
      <w:bookmarkStart w:id="125" w:name="_Toc184310283"/>
      <w:bookmarkEnd w:id="125"/>
      <w:bookmarkStart w:id="126" w:name="_Toc184314415"/>
      <w:bookmarkEnd w:id="126"/>
      <w:bookmarkStart w:id="127" w:name="_Toc184308058"/>
      <w:bookmarkEnd w:id="127"/>
      <w:bookmarkStart w:id="128" w:name="_Toc184313307"/>
      <w:bookmarkEnd w:id="128"/>
      <w:bookmarkStart w:id="129" w:name="_Toc184313277"/>
      <w:bookmarkEnd w:id="129"/>
      <w:bookmarkStart w:id="130" w:name="_Toc184308042"/>
      <w:bookmarkEnd w:id="130"/>
      <w:bookmarkStart w:id="131" w:name="_Toc184310302"/>
      <w:bookmarkEnd w:id="131"/>
      <w:bookmarkStart w:id="132" w:name="_Toc184310307"/>
      <w:bookmarkEnd w:id="132"/>
      <w:bookmarkStart w:id="133" w:name="_Toc184308072"/>
      <w:bookmarkEnd w:id="133"/>
      <w:bookmarkStart w:id="134" w:name="_Toc184313256"/>
      <w:bookmarkEnd w:id="134"/>
      <w:bookmarkStart w:id="135" w:name="_Toc184310327"/>
      <w:bookmarkEnd w:id="135"/>
      <w:bookmarkStart w:id="136" w:name="_Toc184312126"/>
      <w:bookmarkEnd w:id="136"/>
      <w:bookmarkStart w:id="137" w:name="_Toc184314441"/>
      <w:bookmarkEnd w:id="137"/>
      <w:bookmarkStart w:id="138" w:name="_Toc184314446"/>
      <w:bookmarkEnd w:id="138"/>
      <w:bookmarkStart w:id="139" w:name="_Toc184312095"/>
      <w:bookmarkEnd w:id="139"/>
      <w:bookmarkStart w:id="140" w:name="_Toc184313272"/>
      <w:bookmarkEnd w:id="140"/>
      <w:bookmarkStart w:id="141" w:name="_Toc184314448"/>
      <w:bookmarkEnd w:id="141"/>
      <w:bookmarkStart w:id="142" w:name="_Toc184308049"/>
      <w:bookmarkEnd w:id="142"/>
      <w:bookmarkStart w:id="143" w:name="_Toc184308045"/>
      <w:bookmarkEnd w:id="143"/>
      <w:bookmarkStart w:id="144" w:name="_Toc184314482"/>
      <w:bookmarkEnd w:id="144"/>
      <w:bookmarkStart w:id="145" w:name="_Toc184312115"/>
      <w:bookmarkEnd w:id="145"/>
      <w:bookmarkStart w:id="146" w:name="_Toc184313274"/>
      <w:bookmarkEnd w:id="146"/>
      <w:bookmarkStart w:id="147" w:name="_Toc184312083"/>
      <w:bookmarkEnd w:id="147"/>
      <w:bookmarkStart w:id="148" w:name="_Toc184314422"/>
      <w:bookmarkEnd w:id="148"/>
      <w:bookmarkStart w:id="149" w:name="_Toc184308103"/>
      <w:bookmarkEnd w:id="149"/>
      <w:bookmarkStart w:id="150" w:name="_Toc184308094"/>
      <w:bookmarkEnd w:id="150"/>
      <w:bookmarkStart w:id="151" w:name="_Toc184310320"/>
      <w:bookmarkEnd w:id="151"/>
      <w:bookmarkStart w:id="152" w:name="_Toc184308039"/>
      <w:bookmarkEnd w:id="152"/>
      <w:bookmarkStart w:id="153" w:name="_Toc184310315"/>
      <w:bookmarkEnd w:id="153"/>
      <w:bookmarkStart w:id="154" w:name="_Toc184313303"/>
      <w:bookmarkEnd w:id="154"/>
      <w:bookmarkStart w:id="155" w:name="_Toc184310287"/>
      <w:bookmarkEnd w:id="155"/>
      <w:bookmarkStart w:id="156" w:name="_Toc184308053"/>
      <w:bookmarkEnd w:id="156"/>
      <w:bookmarkStart w:id="157" w:name="_Toc184314459"/>
      <w:bookmarkEnd w:id="157"/>
      <w:bookmarkStart w:id="158" w:name="_Toc184308087"/>
      <w:bookmarkEnd w:id="158"/>
      <w:bookmarkStart w:id="159" w:name="_Toc184310330"/>
      <w:bookmarkEnd w:id="159"/>
      <w:bookmarkStart w:id="160" w:name="_Toc184313238"/>
      <w:bookmarkEnd w:id="160"/>
      <w:bookmarkStart w:id="161" w:name="_Toc184310308"/>
      <w:bookmarkEnd w:id="161"/>
      <w:bookmarkStart w:id="162" w:name="_Toc184310275"/>
      <w:bookmarkEnd w:id="162"/>
      <w:bookmarkStart w:id="163" w:name="_Toc184313259"/>
      <w:bookmarkEnd w:id="163"/>
      <w:bookmarkStart w:id="164" w:name="_Toc184310343"/>
      <w:bookmarkEnd w:id="164"/>
      <w:bookmarkStart w:id="165" w:name="_Toc184308073"/>
      <w:bookmarkEnd w:id="165"/>
      <w:bookmarkStart w:id="166" w:name="_Toc184314458"/>
      <w:bookmarkEnd w:id="166"/>
      <w:bookmarkStart w:id="167" w:name="_Toc184312074"/>
      <w:bookmarkEnd w:id="167"/>
      <w:bookmarkStart w:id="168" w:name="_Toc184308098"/>
      <w:bookmarkEnd w:id="168"/>
      <w:bookmarkStart w:id="169" w:name="_Toc184308059"/>
      <w:bookmarkEnd w:id="169"/>
      <w:bookmarkStart w:id="170" w:name="_Toc184310296"/>
      <w:bookmarkEnd w:id="170"/>
      <w:bookmarkStart w:id="171" w:name="_Toc184314434"/>
      <w:bookmarkEnd w:id="171"/>
      <w:bookmarkStart w:id="172" w:name="_Toc184313279"/>
      <w:bookmarkEnd w:id="172"/>
      <w:bookmarkStart w:id="173" w:name="_Toc184312127"/>
      <w:bookmarkEnd w:id="173"/>
      <w:bookmarkStart w:id="174" w:name="_Toc184312119"/>
      <w:bookmarkEnd w:id="174"/>
      <w:bookmarkStart w:id="175" w:name="_Toc184313250"/>
      <w:bookmarkEnd w:id="175"/>
      <w:bookmarkStart w:id="176" w:name="_Toc184314440"/>
      <w:bookmarkEnd w:id="176"/>
      <w:bookmarkStart w:id="177" w:name="_Toc184312123"/>
      <w:bookmarkEnd w:id="177"/>
      <w:bookmarkStart w:id="178" w:name="_Toc184312084"/>
      <w:bookmarkEnd w:id="178"/>
      <w:bookmarkStart w:id="179" w:name="_Toc184314462"/>
      <w:bookmarkEnd w:id="179"/>
      <w:bookmarkStart w:id="180" w:name="_Toc184313299"/>
      <w:bookmarkEnd w:id="180"/>
      <w:bookmarkStart w:id="181" w:name="_Toc184312120"/>
      <w:bookmarkEnd w:id="181"/>
      <w:bookmarkStart w:id="182" w:name="_Toc184308080"/>
      <w:bookmarkEnd w:id="182"/>
      <w:bookmarkStart w:id="183" w:name="_Toc184310312"/>
      <w:bookmarkEnd w:id="183"/>
      <w:bookmarkStart w:id="184" w:name="_Toc184308036"/>
      <w:bookmarkEnd w:id="184"/>
      <w:bookmarkStart w:id="185" w:name="_Toc184313294"/>
      <w:bookmarkEnd w:id="185"/>
      <w:bookmarkStart w:id="186" w:name="_Toc184312136"/>
      <w:bookmarkEnd w:id="186"/>
      <w:bookmarkStart w:id="187" w:name="_Toc184314419"/>
      <w:bookmarkEnd w:id="187"/>
      <w:bookmarkStart w:id="188" w:name="_Toc184314478"/>
      <w:bookmarkEnd w:id="188"/>
      <w:bookmarkStart w:id="189" w:name="_Toc184314445"/>
      <w:bookmarkEnd w:id="189"/>
      <w:bookmarkStart w:id="190" w:name="_Toc184308061"/>
      <w:bookmarkEnd w:id="190"/>
      <w:bookmarkStart w:id="191" w:name="_Toc184313301"/>
      <w:bookmarkEnd w:id="191"/>
      <w:bookmarkStart w:id="192" w:name="_Toc184313262"/>
      <w:bookmarkEnd w:id="192"/>
      <w:bookmarkStart w:id="193" w:name="_Toc184312077"/>
      <w:bookmarkEnd w:id="193"/>
      <w:bookmarkStart w:id="194" w:name="_Toc184314430"/>
      <w:bookmarkEnd w:id="194"/>
      <w:bookmarkStart w:id="195" w:name="_Toc184310321"/>
      <w:bookmarkEnd w:id="195"/>
      <w:bookmarkStart w:id="196" w:name="_Toc184313244"/>
      <w:bookmarkEnd w:id="196"/>
      <w:bookmarkStart w:id="197" w:name="_Toc184312086"/>
      <w:bookmarkEnd w:id="197"/>
      <w:bookmarkStart w:id="198" w:name="_Toc184310285"/>
      <w:bookmarkEnd w:id="198"/>
      <w:bookmarkStart w:id="199" w:name="_Toc184314443"/>
      <w:bookmarkEnd w:id="199"/>
      <w:bookmarkStart w:id="200" w:name="_Toc184313260"/>
      <w:bookmarkEnd w:id="200"/>
      <w:bookmarkStart w:id="201" w:name="_Toc184310277"/>
      <w:bookmarkEnd w:id="201"/>
      <w:bookmarkStart w:id="202" w:name="_Toc184314457"/>
      <w:bookmarkEnd w:id="202"/>
      <w:bookmarkStart w:id="203" w:name="_Toc184313291"/>
      <w:bookmarkEnd w:id="203"/>
      <w:bookmarkStart w:id="204" w:name="_Toc184310273"/>
      <w:bookmarkEnd w:id="204"/>
      <w:bookmarkStart w:id="205" w:name="_Toc184313263"/>
      <w:bookmarkEnd w:id="205"/>
      <w:bookmarkStart w:id="206" w:name="_Toc184310295"/>
      <w:bookmarkEnd w:id="206"/>
      <w:bookmarkStart w:id="207" w:name="_Toc184310281"/>
      <w:bookmarkEnd w:id="207"/>
      <w:bookmarkStart w:id="208" w:name="_Toc184310309"/>
      <w:bookmarkEnd w:id="208"/>
      <w:bookmarkStart w:id="209" w:name="_Toc184313257"/>
      <w:bookmarkEnd w:id="209"/>
      <w:bookmarkStart w:id="210" w:name="_Toc184312108"/>
      <w:bookmarkEnd w:id="210"/>
      <w:bookmarkStart w:id="211" w:name="_Toc184314423"/>
      <w:bookmarkEnd w:id="211"/>
      <w:bookmarkStart w:id="212" w:name="_Toc184313302"/>
      <w:bookmarkEnd w:id="212"/>
      <w:bookmarkStart w:id="213" w:name="_Toc184313242"/>
      <w:bookmarkEnd w:id="213"/>
      <w:bookmarkStart w:id="214" w:name="_Toc184313275"/>
      <w:bookmarkEnd w:id="214"/>
      <w:bookmarkStart w:id="215" w:name="_Toc184312070"/>
      <w:bookmarkEnd w:id="215"/>
      <w:bookmarkStart w:id="216" w:name="_Toc184312099"/>
      <w:bookmarkEnd w:id="216"/>
      <w:bookmarkStart w:id="217" w:name="_Toc184314454"/>
      <w:bookmarkEnd w:id="217"/>
      <w:bookmarkStart w:id="218" w:name="_Toc184314442"/>
      <w:bookmarkEnd w:id="218"/>
      <w:bookmarkStart w:id="219" w:name="_Toc184314425"/>
      <w:bookmarkEnd w:id="219"/>
      <w:bookmarkStart w:id="220" w:name="_Toc184314429"/>
      <w:bookmarkEnd w:id="220"/>
      <w:bookmarkStart w:id="221" w:name="_Toc184313288"/>
      <w:bookmarkEnd w:id="221"/>
      <w:bookmarkStart w:id="222" w:name="_Toc184310301"/>
      <w:bookmarkEnd w:id="222"/>
      <w:bookmarkStart w:id="223" w:name="_Toc184312104"/>
      <w:bookmarkEnd w:id="223"/>
      <w:bookmarkStart w:id="224" w:name="_Toc184308071"/>
      <w:bookmarkEnd w:id="224"/>
      <w:bookmarkStart w:id="225" w:name="_Toc184312098"/>
      <w:bookmarkEnd w:id="225"/>
      <w:bookmarkStart w:id="226" w:name="_Toc184310325"/>
      <w:bookmarkEnd w:id="226"/>
      <w:bookmarkStart w:id="227" w:name="_Toc184314418"/>
      <w:bookmarkEnd w:id="227"/>
      <w:bookmarkStart w:id="228" w:name="_Toc184313254"/>
      <w:bookmarkEnd w:id="228"/>
      <w:bookmarkStart w:id="229" w:name="_Toc184310336"/>
      <w:bookmarkEnd w:id="229"/>
      <w:bookmarkStart w:id="230" w:name="_Toc184314438"/>
      <w:bookmarkEnd w:id="230"/>
      <w:bookmarkStart w:id="231" w:name="_Toc184314475"/>
      <w:bookmarkEnd w:id="231"/>
      <w:bookmarkStart w:id="232" w:name="_Toc184312087"/>
      <w:bookmarkEnd w:id="232"/>
      <w:bookmarkStart w:id="233" w:name="_Toc184314433"/>
      <w:bookmarkEnd w:id="233"/>
      <w:bookmarkStart w:id="234" w:name="_Toc184314413"/>
      <w:bookmarkEnd w:id="234"/>
      <w:bookmarkStart w:id="235" w:name="_Toc184310311"/>
      <w:bookmarkEnd w:id="235"/>
      <w:bookmarkStart w:id="236" w:name="_Toc184310331"/>
      <w:bookmarkEnd w:id="236"/>
      <w:bookmarkStart w:id="237" w:name="_Toc184314460"/>
      <w:bookmarkEnd w:id="237"/>
      <w:bookmarkStart w:id="238" w:name="_Toc184310333"/>
      <w:bookmarkEnd w:id="238"/>
      <w:bookmarkStart w:id="239" w:name="_Toc184308070"/>
      <w:bookmarkEnd w:id="239"/>
      <w:bookmarkStart w:id="240" w:name="_Toc184314471"/>
      <w:bookmarkEnd w:id="240"/>
      <w:bookmarkStart w:id="241" w:name="_Toc184312134"/>
      <w:bookmarkEnd w:id="241"/>
      <w:bookmarkStart w:id="242" w:name="_Toc184313241"/>
      <w:bookmarkEnd w:id="242"/>
      <w:bookmarkStart w:id="243" w:name="_Toc184312068"/>
      <w:bookmarkEnd w:id="243"/>
      <w:bookmarkStart w:id="244" w:name="_Toc184312135"/>
      <w:bookmarkEnd w:id="244"/>
      <w:bookmarkStart w:id="245" w:name="_Toc184313287"/>
      <w:bookmarkEnd w:id="245"/>
      <w:bookmarkStart w:id="246" w:name="_Toc184310335"/>
      <w:bookmarkEnd w:id="246"/>
      <w:bookmarkStart w:id="247" w:name="_Toc184310299"/>
      <w:bookmarkEnd w:id="247"/>
      <w:bookmarkStart w:id="248" w:name="_Toc184310339"/>
      <w:bookmarkEnd w:id="248"/>
      <w:bookmarkStart w:id="249" w:name="_Toc184310292"/>
      <w:bookmarkEnd w:id="249"/>
      <w:bookmarkStart w:id="250" w:name="_Toc184308107"/>
      <w:bookmarkEnd w:id="250"/>
      <w:bookmarkStart w:id="251" w:name="_Toc184312116"/>
      <w:bookmarkEnd w:id="251"/>
      <w:bookmarkStart w:id="252" w:name="_Toc184313246"/>
      <w:bookmarkEnd w:id="252"/>
      <w:bookmarkStart w:id="253" w:name="_Toc184310310"/>
      <w:bookmarkEnd w:id="253"/>
      <w:bookmarkStart w:id="254" w:name="_Toc184310318"/>
      <w:bookmarkEnd w:id="254"/>
      <w:bookmarkStart w:id="255" w:name="_Toc184312073"/>
      <w:bookmarkEnd w:id="255"/>
      <w:bookmarkStart w:id="256" w:name="_Toc184312133"/>
      <w:bookmarkEnd w:id="256"/>
      <w:bookmarkStart w:id="257" w:name="_Toc184308051"/>
      <w:bookmarkEnd w:id="257"/>
      <w:bookmarkStart w:id="258" w:name="_Toc184314479"/>
      <w:bookmarkEnd w:id="258"/>
      <w:bookmarkStart w:id="259" w:name="_Toc184308099"/>
      <w:bookmarkEnd w:id="259"/>
      <w:bookmarkStart w:id="260" w:name="_Toc184312124"/>
      <w:bookmarkEnd w:id="260"/>
      <w:bookmarkStart w:id="261" w:name="_Toc184308050"/>
      <w:bookmarkEnd w:id="261"/>
      <w:bookmarkStart w:id="262" w:name="_Toc184308091"/>
      <w:bookmarkEnd w:id="262"/>
      <w:bookmarkStart w:id="263" w:name="_Toc184308038"/>
      <w:bookmarkEnd w:id="263"/>
      <w:bookmarkStart w:id="264" w:name="_Toc184310328"/>
      <w:bookmarkEnd w:id="264"/>
      <w:bookmarkStart w:id="265" w:name="_Toc184314464"/>
      <w:bookmarkEnd w:id="265"/>
      <w:bookmarkStart w:id="266" w:name="_Toc184310297"/>
      <w:bookmarkEnd w:id="266"/>
      <w:bookmarkStart w:id="267" w:name="_Toc184310340"/>
      <w:bookmarkEnd w:id="267"/>
      <w:bookmarkStart w:id="268" w:name="_Toc184312102"/>
      <w:bookmarkEnd w:id="268"/>
      <w:bookmarkStart w:id="269" w:name="_Toc184314435"/>
      <w:bookmarkEnd w:id="269"/>
      <w:bookmarkStart w:id="270" w:name="_Toc184308079"/>
      <w:bookmarkEnd w:id="270"/>
      <w:bookmarkStart w:id="271" w:name="_Toc184308047"/>
      <w:bookmarkEnd w:id="271"/>
      <w:bookmarkStart w:id="272" w:name="_Toc184314416"/>
      <w:bookmarkEnd w:id="272"/>
      <w:bookmarkStart w:id="273" w:name="_Toc184313258"/>
      <w:bookmarkEnd w:id="273"/>
      <w:bookmarkStart w:id="274" w:name="_Toc184313289"/>
      <w:bookmarkEnd w:id="274"/>
      <w:bookmarkStart w:id="275" w:name="_Toc184314450"/>
      <w:bookmarkEnd w:id="275"/>
      <w:bookmarkStart w:id="276" w:name="_Toc184308043"/>
      <w:bookmarkEnd w:id="276"/>
      <w:bookmarkStart w:id="277" w:name="_Toc184310338"/>
      <w:bookmarkEnd w:id="277"/>
      <w:bookmarkStart w:id="278" w:name="_Toc184314414"/>
      <w:bookmarkEnd w:id="278"/>
      <w:bookmarkStart w:id="279" w:name="_Toc184313298"/>
      <w:bookmarkEnd w:id="279"/>
      <w:bookmarkStart w:id="280" w:name="_Toc184312132"/>
      <w:bookmarkEnd w:id="280"/>
      <w:bookmarkStart w:id="281" w:name="_Toc184312092"/>
      <w:bookmarkEnd w:id="281"/>
      <w:bookmarkStart w:id="282" w:name="_Toc184314470"/>
      <w:bookmarkEnd w:id="282"/>
      <w:bookmarkStart w:id="283" w:name="_Toc184314428"/>
      <w:bookmarkEnd w:id="283"/>
      <w:bookmarkStart w:id="284" w:name="_Toc184312091"/>
      <w:bookmarkEnd w:id="284"/>
      <w:bookmarkStart w:id="285" w:name="_Toc184310337"/>
      <w:bookmarkEnd w:id="285"/>
      <w:bookmarkStart w:id="286" w:name="_Toc184312080"/>
      <w:bookmarkEnd w:id="286"/>
      <w:bookmarkStart w:id="287" w:name="_Toc184308093"/>
      <w:bookmarkEnd w:id="287"/>
      <w:bookmarkStart w:id="288" w:name="_Toc184313252"/>
      <w:bookmarkEnd w:id="288"/>
      <w:bookmarkStart w:id="289" w:name="_Toc184308090"/>
      <w:bookmarkEnd w:id="289"/>
      <w:bookmarkStart w:id="290" w:name="_Toc184312110"/>
      <w:bookmarkEnd w:id="290"/>
      <w:bookmarkStart w:id="291" w:name="_Toc184310304"/>
      <w:bookmarkEnd w:id="291"/>
      <w:bookmarkStart w:id="292" w:name="_Toc184313309"/>
      <w:bookmarkEnd w:id="292"/>
      <w:bookmarkStart w:id="293" w:name="_Toc184313243"/>
      <w:bookmarkEnd w:id="293"/>
      <w:bookmarkStart w:id="294" w:name="_Toc184314412"/>
      <w:bookmarkEnd w:id="294"/>
      <w:bookmarkStart w:id="295" w:name="_Toc184310323"/>
      <w:bookmarkEnd w:id="295"/>
      <w:bookmarkStart w:id="296" w:name="_Toc184308066"/>
      <w:bookmarkEnd w:id="296"/>
      <w:bookmarkStart w:id="297" w:name="_Toc184308083"/>
      <w:bookmarkEnd w:id="297"/>
      <w:bookmarkStart w:id="298" w:name="_Toc184310279"/>
      <w:bookmarkEnd w:id="298"/>
      <w:bookmarkStart w:id="299" w:name="_Toc184310276"/>
      <w:bookmarkEnd w:id="299"/>
      <w:bookmarkStart w:id="300" w:name="_Toc184312097"/>
      <w:bookmarkEnd w:id="300"/>
      <w:bookmarkStart w:id="301" w:name="_Toc184314424"/>
      <w:bookmarkEnd w:id="301"/>
      <w:bookmarkStart w:id="302" w:name="_Toc184313281"/>
      <w:bookmarkEnd w:id="302"/>
      <w:bookmarkStart w:id="303" w:name="_Toc184313268"/>
      <w:bookmarkEnd w:id="303"/>
      <w:bookmarkStart w:id="304" w:name="_Toc184312129"/>
      <w:bookmarkEnd w:id="304"/>
      <w:bookmarkStart w:id="305" w:name="_Toc184312128"/>
      <w:bookmarkEnd w:id="305"/>
      <w:bookmarkStart w:id="306" w:name="_Toc184313247"/>
      <w:bookmarkEnd w:id="306"/>
      <w:bookmarkStart w:id="307" w:name="_Toc184313286"/>
      <w:bookmarkEnd w:id="307"/>
      <w:bookmarkStart w:id="308" w:name="_Toc184314451"/>
      <w:bookmarkEnd w:id="308"/>
      <w:bookmarkStart w:id="309" w:name="_Toc184314481"/>
      <w:bookmarkEnd w:id="309"/>
      <w:bookmarkStart w:id="310" w:name="_Toc184310278"/>
      <w:bookmarkEnd w:id="310"/>
      <w:bookmarkStart w:id="311" w:name="_Toc184308052"/>
      <w:bookmarkEnd w:id="311"/>
      <w:bookmarkStart w:id="312" w:name="_Toc184308062"/>
      <w:bookmarkEnd w:id="312"/>
      <w:bookmarkStart w:id="313" w:name="_Toc184308105"/>
      <w:bookmarkEnd w:id="313"/>
      <w:bookmarkStart w:id="314" w:name="_Toc184313253"/>
      <w:bookmarkEnd w:id="314"/>
      <w:bookmarkStart w:id="315" w:name="_Toc184310291"/>
      <w:bookmarkEnd w:id="315"/>
      <w:bookmarkStart w:id="316" w:name="_Toc184313304"/>
      <w:bookmarkEnd w:id="316"/>
      <w:bookmarkStart w:id="317" w:name="_Toc184308037"/>
      <w:bookmarkEnd w:id="317"/>
      <w:bookmarkStart w:id="318" w:name="_Toc184314461"/>
      <w:bookmarkEnd w:id="318"/>
      <w:bookmarkStart w:id="319" w:name="_Toc184313255"/>
      <w:bookmarkEnd w:id="319"/>
      <w:bookmarkStart w:id="320" w:name="_Toc184308102"/>
      <w:bookmarkEnd w:id="320"/>
      <w:bookmarkStart w:id="321" w:name="_Toc184313273"/>
      <w:bookmarkEnd w:id="321"/>
      <w:bookmarkStart w:id="322" w:name="_Toc184312117"/>
      <w:bookmarkEnd w:id="322"/>
      <w:bookmarkStart w:id="323" w:name="_Toc184313249"/>
      <w:bookmarkEnd w:id="323"/>
      <w:bookmarkStart w:id="324" w:name="_Toc184308084"/>
      <w:bookmarkEnd w:id="324"/>
      <w:bookmarkStart w:id="325" w:name="_Toc184310306"/>
      <w:bookmarkEnd w:id="325"/>
      <w:bookmarkStart w:id="326" w:name="_Toc184312139"/>
      <w:bookmarkEnd w:id="326"/>
      <w:bookmarkStart w:id="327" w:name="_Toc184308069"/>
      <w:bookmarkEnd w:id="327"/>
      <w:bookmarkStart w:id="328" w:name="_Toc184312078"/>
      <w:bookmarkEnd w:id="328"/>
      <w:bookmarkStart w:id="329" w:name="_Toc184312121"/>
      <w:bookmarkEnd w:id="329"/>
      <w:bookmarkStart w:id="330" w:name="_Toc184313270"/>
      <w:bookmarkEnd w:id="330"/>
      <w:bookmarkStart w:id="331" w:name="_Toc184310274"/>
      <w:bookmarkEnd w:id="331"/>
      <w:bookmarkStart w:id="332" w:name="_Toc184312093"/>
      <w:bookmarkEnd w:id="332"/>
      <w:bookmarkStart w:id="333" w:name="_Toc184312067"/>
      <w:bookmarkEnd w:id="333"/>
      <w:bookmarkStart w:id="334" w:name="_Toc184312125"/>
      <w:bookmarkEnd w:id="334"/>
      <w:bookmarkStart w:id="335" w:name="_Toc184312082"/>
      <w:bookmarkEnd w:id="335"/>
      <w:bookmarkStart w:id="336" w:name="_Toc184308067"/>
      <w:bookmarkEnd w:id="336"/>
      <w:bookmarkStart w:id="337" w:name="_Toc184313239"/>
      <w:bookmarkEnd w:id="337"/>
      <w:bookmarkStart w:id="338" w:name="_Toc184310313"/>
      <w:bookmarkEnd w:id="338"/>
      <w:bookmarkStart w:id="339" w:name="_Toc184308075"/>
      <w:bookmarkEnd w:id="339"/>
      <w:bookmarkStart w:id="340" w:name="_Toc184313267"/>
      <w:bookmarkEnd w:id="340"/>
      <w:bookmarkStart w:id="341" w:name="_Toc184308095"/>
      <w:bookmarkEnd w:id="341"/>
      <w:bookmarkStart w:id="342" w:name="_Toc184313248"/>
      <w:bookmarkEnd w:id="342"/>
      <w:bookmarkStart w:id="343" w:name="_Toc184308044"/>
      <w:bookmarkEnd w:id="343"/>
      <w:bookmarkStart w:id="344" w:name="_Toc184308100"/>
      <w:bookmarkEnd w:id="344"/>
      <w:bookmarkStart w:id="345" w:name="_Toc184310342"/>
      <w:bookmarkEnd w:id="345"/>
      <w:bookmarkStart w:id="346" w:name="_Toc184310280"/>
      <w:bookmarkEnd w:id="346"/>
      <w:bookmarkStart w:id="347" w:name="_Toc184310289"/>
      <w:bookmarkEnd w:id="347"/>
      <w:bookmarkStart w:id="348" w:name="_Toc184308054"/>
      <w:bookmarkEnd w:id="348"/>
      <w:bookmarkStart w:id="349" w:name="_Toc184310319"/>
      <w:bookmarkEnd w:id="349"/>
      <w:bookmarkStart w:id="350" w:name="_Toc184312085"/>
      <w:bookmarkEnd w:id="350"/>
      <w:bookmarkStart w:id="351" w:name="_Toc184313296"/>
      <w:bookmarkEnd w:id="351"/>
      <w:bookmarkStart w:id="352" w:name="_Toc184310305"/>
      <w:bookmarkEnd w:id="352"/>
      <w:bookmarkStart w:id="353" w:name="_Toc184312089"/>
      <w:bookmarkEnd w:id="353"/>
      <w:bookmarkStart w:id="354" w:name="_Toc184314456"/>
      <w:bookmarkEnd w:id="354"/>
      <w:bookmarkStart w:id="355" w:name="_Toc184310282"/>
      <w:bookmarkEnd w:id="355"/>
      <w:bookmarkStart w:id="356" w:name="_Toc184314465"/>
      <w:bookmarkEnd w:id="356"/>
      <w:bookmarkStart w:id="357" w:name="_Toc184308081"/>
      <w:bookmarkEnd w:id="357"/>
      <w:bookmarkStart w:id="358" w:name="_Toc184314477"/>
      <w:bookmarkEnd w:id="358"/>
      <w:bookmarkStart w:id="359" w:name="_Toc184314417"/>
      <w:bookmarkEnd w:id="359"/>
      <w:bookmarkStart w:id="360" w:name="_Toc184313310"/>
      <w:bookmarkEnd w:id="360"/>
      <w:bookmarkStart w:id="361" w:name="_Toc184310286"/>
      <w:bookmarkEnd w:id="361"/>
      <w:bookmarkStart w:id="362" w:name="_Toc184310314"/>
      <w:bookmarkEnd w:id="362"/>
      <w:bookmarkStart w:id="363" w:name="_Toc184312071"/>
      <w:bookmarkEnd w:id="363"/>
      <w:bookmarkStart w:id="364" w:name="_Toc184310316"/>
      <w:bookmarkEnd w:id="364"/>
      <w:bookmarkStart w:id="365" w:name="_Toc184313305"/>
      <w:bookmarkEnd w:id="365"/>
      <w:bookmarkStart w:id="366" w:name="_Toc184314432"/>
      <w:bookmarkEnd w:id="366"/>
      <w:bookmarkStart w:id="367" w:name="_Toc184314427"/>
      <w:bookmarkEnd w:id="367"/>
      <w:bookmarkStart w:id="368" w:name="_Toc184308046"/>
      <w:bookmarkEnd w:id="368"/>
      <w:bookmarkStart w:id="369" w:name="_Toc184314466"/>
      <w:bookmarkEnd w:id="369"/>
      <w:bookmarkStart w:id="370" w:name="_Toc184314455"/>
      <w:bookmarkEnd w:id="370"/>
      <w:bookmarkStart w:id="371" w:name="_Toc184310326"/>
      <w:bookmarkEnd w:id="371"/>
      <w:bookmarkStart w:id="372" w:name="_Toc184308056"/>
      <w:bookmarkEnd w:id="372"/>
      <w:bookmarkStart w:id="373" w:name="_Toc184313283"/>
      <w:bookmarkEnd w:id="373"/>
      <w:bookmarkStart w:id="374" w:name="_Toc184312075"/>
      <w:bookmarkEnd w:id="374"/>
      <w:bookmarkStart w:id="375" w:name="_Toc184314453"/>
      <w:bookmarkEnd w:id="375"/>
      <w:bookmarkStart w:id="376" w:name="_Toc184312130"/>
      <w:bookmarkEnd w:id="376"/>
      <w:bookmarkStart w:id="377" w:name="_Toc184312113"/>
      <w:bookmarkEnd w:id="377"/>
      <w:bookmarkStart w:id="378" w:name="_Toc184312079"/>
      <w:bookmarkEnd w:id="378"/>
      <w:bookmarkStart w:id="379" w:name="_Toc184313269"/>
      <w:bookmarkEnd w:id="379"/>
      <w:bookmarkStart w:id="380" w:name="_Toc184310324"/>
      <w:bookmarkEnd w:id="380"/>
      <w:bookmarkStart w:id="381" w:name="_Toc184312103"/>
      <w:bookmarkEnd w:id="381"/>
      <w:bookmarkStart w:id="382" w:name="_Toc184314480"/>
      <w:bookmarkEnd w:id="382"/>
      <w:bookmarkStart w:id="383" w:name="_Toc184308040"/>
      <w:bookmarkEnd w:id="383"/>
      <w:bookmarkStart w:id="384" w:name="_Toc184313276"/>
      <w:bookmarkEnd w:id="384"/>
      <w:bookmarkStart w:id="385" w:name="_Toc184312137"/>
      <w:bookmarkEnd w:id="385"/>
      <w:bookmarkStart w:id="386" w:name="_Toc184314474"/>
      <w:bookmarkEnd w:id="386"/>
      <w:bookmarkStart w:id="387" w:name="_Toc184313245"/>
      <w:bookmarkEnd w:id="387"/>
      <w:bookmarkStart w:id="388" w:name="_Toc184312076"/>
      <w:bookmarkEnd w:id="388"/>
      <w:bookmarkStart w:id="389" w:name="_Toc184314447"/>
      <w:bookmarkEnd w:id="389"/>
      <w:bookmarkStart w:id="390" w:name="_Toc184313264"/>
      <w:bookmarkEnd w:id="390"/>
      <w:bookmarkStart w:id="391" w:name="_Toc184314473"/>
      <w:bookmarkEnd w:id="391"/>
      <w:bookmarkStart w:id="392" w:name="_Toc184314421"/>
      <w:bookmarkEnd w:id="392"/>
      <w:bookmarkStart w:id="393" w:name="_Toc184312118"/>
      <w:bookmarkEnd w:id="393"/>
      <w:bookmarkStart w:id="394" w:name="_Toc184313282"/>
      <w:bookmarkEnd w:id="394"/>
      <w:bookmarkStart w:id="395" w:name="_Toc184313240"/>
      <w:bookmarkEnd w:id="395"/>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10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21"/>
        <w:gridCol w:w="5238"/>
        <w:gridCol w:w="823"/>
        <w:gridCol w:w="1061"/>
        <w:gridCol w:w="1361"/>
      </w:tblGrid>
      <w:tr w14:paraId="5DE52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5FBC">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序号</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A6B40">
            <w:pPr>
              <w:keepNext w:val="0"/>
              <w:keepLines w:val="0"/>
              <w:widowControl/>
              <w:suppressLineNumbers w:val="0"/>
              <w:spacing w:beforeLines="50" w:afterLines="50" w:line="360" w:lineRule="exact"/>
              <w:ind w:firstLineChars="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评标标准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C4BAC">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权重</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B3F37">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主观分/客观分属性</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6461B">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投标文件中评标标准相应的商务技术资料目录*</w:t>
            </w:r>
          </w:p>
        </w:tc>
      </w:tr>
      <w:tr w14:paraId="33073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19202">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7E669">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根据投标人针对本项目的服务能力：</w:t>
            </w:r>
          </w:p>
          <w:p w14:paraId="38D37ADF">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1、</w:t>
            </w:r>
            <w:r>
              <w:rPr>
                <w:rFonts w:hint="eastAsia" w:ascii="宋体" w:hAnsi="宋体" w:eastAsia="宋体" w:cs="宋体"/>
                <w:b/>
                <w:bCs/>
                <w:i w:val="0"/>
                <w:iCs w:val="0"/>
                <w:color w:val="auto"/>
                <w:kern w:val="0"/>
                <w:sz w:val="24"/>
                <w:szCs w:val="24"/>
                <w:u w:val="none"/>
                <w:lang w:val="en-US" w:eastAsia="zh-CN" w:bidi="ar"/>
              </w:rPr>
              <w:t>等保测评服务中所使用的安全测评工具软件：</w:t>
            </w:r>
            <w:r>
              <w:rPr>
                <w:rFonts w:hint="eastAsia" w:ascii="宋体" w:hAnsi="宋体" w:eastAsia="宋体" w:cs="宋体"/>
                <w:i w:val="0"/>
                <w:iCs w:val="0"/>
                <w:color w:val="auto"/>
                <w:kern w:val="0"/>
                <w:sz w:val="24"/>
                <w:szCs w:val="24"/>
                <w:u w:val="none"/>
                <w:lang w:val="en-US" w:eastAsia="zh-CN" w:bidi="ar"/>
              </w:rPr>
              <w:t>（1）等保工具箱（2）商用密码检测工具（3）软件测试工具（4）代码审计工具。</w:t>
            </w:r>
          </w:p>
          <w:p w14:paraId="639B04E0">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2、</w:t>
            </w:r>
            <w:r>
              <w:rPr>
                <w:rFonts w:hint="eastAsia" w:ascii="宋体" w:hAnsi="宋体" w:eastAsia="宋体" w:cs="宋体"/>
                <w:b/>
                <w:bCs/>
                <w:i w:val="0"/>
                <w:iCs w:val="0"/>
                <w:color w:val="auto"/>
                <w:kern w:val="0"/>
                <w:sz w:val="24"/>
                <w:szCs w:val="24"/>
                <w:u w:val="none"/>
                <w:lang w:val="en-US" w:eastAsia="zh-CN" w:bidi="ar"/>
              </w:rPr>
              <w:t>数据库审计服务：</w:t>
            </w:r>
            <w:r>
              <w:rPr>
                <w:rFonts w:hint="eastAsia" w:ascii="宋体" w:hAnsi="宋体" w:eastAsia="宋体" w:cs="宋体"/>
                <w:i w:val="0"/>
                <w:iCs w:val="0"/>
                <w:color w:val="auto"/>
                <w:kern w:val="0"/>
                <w:sz w:val="24"/>
                <w:szCs w:val="24"/>
                <w:u w:val="none"/>
                <w:lang w:val="en-US" w:eastAsia="zh-CN" w:bidi="ar"/>
              </w:rPr>
              <w:t>（1）模块支持、（2）数据库类型支持、（3）攻击识别防御、（4）操作告警记录、（5）数据库审计策略、（6）事件识别、（7）人工监测、（8）资源优化调整。</w:t>
            </w:r>
          </w:p>
          <w:p w14:paraId="5A828C83">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3、</w:t>
            </w:r>
            <w:r>
              <w:rPr>
                <w:rFonts w:hint="eastAsia" w:ascii="宋体" w:hAnsi="宋体" w:eastAsia="宋体" w:cs="宋体"/>
                <w:b/>
                <w:bCs/>
                <w:i w:val="0"/>
                <w:iCs w:val="0"/>
                <w:color w:val="auto"/>
                <w:kern w:val="0"/>
                <w:sz w:val="24"/>
                <w:szCs w:val="24"/>
                <w:u w:val="none"/>
                <w:lang w:val="en-US" w:eastAsia="zh-CN" w:bidi="ar"/>
              </w:rPr>
              <w:t>政务网云日志审计服务：</w:t>
            </w:r>
            <w:r>
              <w:rPr>
                <w:rFonts w:hint="eastAsia" w:ascii="宋体" w:hAnsi="宋体" w:eastAsia="宋体" w:cs="宋体"/>
                <w:i w:val="0"/>
                <w:iCs w:val="0"/>
                <w:color w:val="auto"/>
                <w:kern w:val="0"/>
                <w:sz w:val="24"/>
                <w:szCs w:val="24"/>
                <w:u w:val="none"/>
                <w:lang w:val="en-US" w:eastAsia="zh-CN" w:bidi="ar"/>
              </w:rPr>
              <w:t>（1）大数据联调功能</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（2）日志采集能力、（3）日志解析能力、（4）安全评估模型能力</w:t>
            </w:r>
            <w:r>
              <w:rPr>
                <w:rFonts w:hint="eastAsia" w:ascii="宋体" w:hAnsi="宋体" w:cs="宋体"/>
                <w:i w:val="0"/>
                <w:iCs w:val="0"/>
                <w:color w:val="auto"/>
                <w:kern w:val="0"/>
                <w:sz w:val="24"/>
                <w:szCs w:val="24"/>
                <w:u w:val="none"/>
                <w:lang w:val="en-US" w:eastAsia="zh-CN" w:bidi="ar"/>
              </w:rPr>
              <w:t>、（5）应用性能监控</w:t>
            </w:r>
            <w:r>
              <w:rPr>
                <w:rFonts w:hint="eastAsia" w:ascii="宋体" w:hAnsi="宋体" w:eastAsia="宋体" w:cs="宋体"/>
                <w:i w:val="0"/>
                <w:iCs w:val="0"/>
                <w:color w:val="auto"/>
                <w:kern w:val="0"/>
                <w:sz w:val="24"/>
                <w:szCs w:val="24"/>
                <w:u w:val="none"/>
                <w:lang w:val="en-US" w:eastAsia="zh-CN" w:bidi="ar"/>
              </w:rPr>
              <w:t>。</w:t>
            </w:r>
          </w:p>
          <w:p w14:paraId="7BDFD1BC">
            <w:pPr>
              <w:pStyle w:val="23"/>
              <w:keepNext w:val="0"/>
              <w:keepLines w:val="0"/>
              <w:pageBreakBefore w:val="0"/>
              <w:kinsoku/>
              <w:wordWrap/>
              <w:overflowPunct/>
              <w:topLinePunct w:val="0"/>
              <w:autoSpaceDE/>
              <w:autoSpaceDN/>
              <w:bidi w:val="0"/>
              <w:adjustRightInd w:val="0"/>
              <w:snapToGrid/>
              <w:spacing w:line="400" w:lineRule="exact"/>
              <w:rPr>
                <w:rFonts w:hint="eastAsia" w:hAnsi="宋体" w:cs="宋体"/>
                <w:i w:val="0"/>
                <w:iCs w:val="0"/>
                <w:color w:val="auto"/>
                <w:kern w:val="0"/>
                <w:sz w:val="24"/>
                <w:szCs w:val="24"/>
                <w:highlight w:val="yellow"/>
                <w:u w:val="none"/>
                <w:lang w:val="en-US" w:eastAsia="zh-CN" w:bidi="ar"/>
              </w:rPr>
            </w:pPr>
            <w:r>
              <w:rPr>
                <w:rFonts w:hint="eastAsia" w:hAnsi="宋体" w:cs="宋体"/>
                <w:b/>
                <w:bCs/>
                <w:i w:val="0"/>
                <w:iCs w:val="0"/>
                <w:snapToGrid/>
                <w:color w:val="auto"/>
                <w:kern w:val="0"/>
                <w:sz w:val="24"/>
                <w:szCs w:val="24"/>
                <w:u w:val="none"/>
                <w:lang w:val="en-US" w:eastAsia="zh-CN" w:bidi="ar"/>
              </w:rPr>
              <w:t>4、政务网态势感知服务：</w:t>
            </w:r>
            <w:r>
              <w:rPr>
                <w:rFonts w:hint="eastAsia" w:hAnsi="宋体" w:cs="宋体"/>
                <w:b/>
                <w:bCs/>
                <w:i w:val="0"/>
                <w:iCs w:val="0"/>
                <w:snapToGrid/>
                <w:color w:val="auto"/>
                <w:kern w:val="0"/>
                <w:sz w:val="24"/>
                <w:szCs w:val="24"/>
                <w:highlight w:val="none"/>
                <w:u w:val="none"/>
                <w:lang w:val="en-US" w:eastAsia="zh-CN" w:bidi="ar"/>
              </w:rPr>
              <w:t>（</w:t>
            </w:r>
            <w:r>
              <w:rPr>
                <w:rFonts w:hint="eastAsia" w:hAnsi="宋体" w:cs="宋体"/>
                <w:i w:val="0"/>
                <w:iCs w:val="0"/>
                <w:color w:val="auto"/>
                <w:kern w:val="0"/>
                <w:sz w:val="24"/>
                <w:szCs w:val="24"/>
                <w:highlight w:val="none"/>
                <w:u w:val="none"/>
                <w:lang w:val="en-US" w:eastAsia="zh-CN" w:bidi="ar"/>
              </w:rPr>
              <w:t>1）安全模块集成、（2）前沿大数据智能安全威胁挖掘分析与预警管控能力。</w:t>
            </w:r>
          </w:p>
          <w:p w14:paraId="5B8E00A8">
            <w:pPr>
              <w:pStyle w:val="60"/>
              <w:keepNext w:val="0"/>
              <w:keepLines w:val="0"/>
              <w:pageBreakBefore w:val="0"/>
              <w:kinsoku/>
              <w:wordWrap/>
              <w:overflowPunct/>
              <w:topLinePunct w:val="0"/>
              <w:autoSpaceDE/>
              <w:autoSpaceDN/>
              <w:bidi w:val="0"/>
              <w:adjustRightInd w:val="0"/>
              <w:snapToGrid/>
              <w:spacing w:line="400" w:lineRule="exact"/>
              <w:ind w:firstLine="0"/>
              <w:rPr>
                <w:rFonts w:hint="default"/>
                <w:color w:val="auto"/>
                <w:lang w:val="en-US" w:eastAsia="zh-CN"/>
              </w:rPr>
            </w:pPr>
            <w:r>
              <w:rPr>
                <w:rFonts w:hint="eastAsia" w:hAnsi="宋体" w:cs="宋体"/>
                <w:b/>
                <w:bCs/>
                <w:i w:val="0"/>
                <w:iCs w:val="0"/>
                <w:color w:val="auto"/>
                <w:kern w:val="0"/>
                <w:sz w:val="24"/>
                <w:szCs w:val="24"/>
                <w:u w:val="none"/>
                <w:lang w:val="en-US" w:eastAsia="zh-CN" w:bidi="ar"/>
              </w:rPr>
              <w:t>5、SaaS化安全服务：</w:t>
            </w:r>
            <w:r>
              <w:rPr>
                <w:rFonts w:hint="eastAsia" w:hAnsi="宋体" w:cs="宋体"/>
                <w:i w:val="0"/>
                <w:iCs w:val="0"/>
                <w:color w:val="auto"/>
                <w:kern w:val="0"/>
                <w:sz w:val="24"/>
                <w:szCs w:val="24"/>
                <w:u w:val="none"/>
                <w:lang w:val="en-US" w:eastAsia="zh-CN" w:bidi="ar"/>
              </w:rPr>
              <w:t>（1）流量监测功能、（2）日志采集能力、（3）攻击防护安全策略、（4）云监测服务节点、（5）大规模漏洞扫描服务能力。</w:t>
            </w:r>
          </w:p>
          <w:p w14:paraId="6E1B47C4">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6、</w:t>
            </w:r>
            <w:r>
              <w:rPr>
                <w:rFonts w:hint="eastAsia" w:ascii="宋体" w:hAnsi="宋体" w:eastAsia="宋体" w:cs="宋体"/>
                <w:b/>
                <w:bCs/>
                <w:i w:val="0"/>
                <w:iCs w:val="0"/>
                <w:color w:val="auto"/>
                <w:kern w:val="0"/>
                <w:sz w:val="24"/>
                <w:szCs w:val="24"/>
                <w:u w:val="none"/>
                <w:lang w:val="en-US" w:eastAsia="zh-CN" w:bidi="ar"/>
              </w:rPr>
              <w:t>公安网安全风险感知服务：</w:t>
            </w:r>
            <w:r>
              <w:rPr>
                <w:rFonts w:hint="eastAsia" w:ascii="宋体" w:hAnsi="宋体" w:eastAsia="宋体" w:cs="宋体"/>
                <w:i w:val="0"/>
                <w:iCs w:val="0"/>
                <w:color w:val="auto"/>
                <w:kern w:val="0"/>
                <w:sz w:val="24"/>
                <w:szCs w:val="24"/>
                <w:u w:val="none"/>
                <w:lang w:val="en-US" w:eastAsia="zh-CN" w:bidi="ar"/>
              </w:rPr>
              <w:t>（1）攻击态势、（2）告警分析、（3）威胁分析、（4）脆弱性分析</w:t>
            </w:r>
            <w:r>
              <w:rPr>
                <w:rFonts w:hint="eastAsia" w:ascii="宋体" w:hAnsi="宋体" w:cs="宋体"/>
                <w:i w:val="0"/>
                <w:iCs w:val="0"/>
                <w:color w:val="auto"/>
                <w:kern w:val="0"/>
                <w:sz w:val="24"/>
                <w:szCs w:val="24"/>
                <w:u w:val="none"/>
                <w:lang w:val="en-US" w:eastAsia="zh-CN" w:bidi="ar"/>
              </w:rPr>
              <w:t>。</w:t>
            </w:r>
          </w:p>
          <w:p w14:paraId="2EF089F5">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7、</w:t>
            </w:r>
            <w:r>
              <w:rPr>
                <w:rFonts w:hint="eastAsia" w:ascii="宋体" w:hAnsi="宋体" w:eastAsia="宋体" w:cs="宋体"/>
                <w:b/>
                <w:bCs/>
                <w:i w:val="0"/>
                <w:iCs w:val="0"/>
                <w:color w:val="auto"/>
                <w:kern w:val="0"/>
                <w:sz w:val="24"/>
                <w:szCs w:val="24"/>
                <w:u w:val="none"/>
                <w:lang w:val="en-US" w:eastAsia="zh-CN" w:bidi="ar"/>
              </w:rPr>
              <w:t>公安网桌面云服务:</w:t>
            </w:r>
            <w:r>
              <w:rPr>
                <w:rFonts w:hint="eastAsia" w:ascii="宋体" w:hAnsi="宋体" w:eastAsia="宋体" w:cs="宋体"/>
                <w:i w:val="0"/>
                <w:iCs w:val="0"/>
                <w:color w:val="auto"/>
                <w:kern w:val="0"/>
                <w:sz w:val="24"/>
                <w:szCs w:val="24"/>
                <w:highlight w:val="none"/>
                <w:u w:val="none"/>
                <w:lang w:val="en-US" w:eastAsia="zh-CN" w:bidi="ar"/>
              </w:rPr>
              <w:t>（1）身份认证系统需提供2种认证方式组合的身份认证登录截图证明（2）文件导出内容审计(3)内置应用管控技</w:t>
            </w:r>
            <w:r>
              <w:rPr>
                <w:rFonts w:hint="eastAsia" w:ascii="宋体" w:hAnsi="宋体" w:eastAsia="宋体" w:cs="宋体"/>
                <w:i w:val="0"/>
                <w:iCs w:val="0"/>
                <w:color w:val="auto"/>
                <w:kern w:val="0"/>
                <w:sz w:val="24"/>
                <w:szCs w:val="24"/>
                <w:u w:val="none"/>
                <w:lang w:val="en-US" w:eastAsia="zh-CN" w:bidi="ar"/>
              </w:rPr>
              <w:t>术。</w:t>
            </w:r>
          </w:p>
          <w:p w14:paraId="46C9B8E6">
            <w:pPr>
              <w:keepNext w:val="0"/>
              <w:keepLines w:val="0"/>
              <w:pageBreakBefore w:val="0"/>
              <w:widowControl/>
              <w:kinsoku/>
              <w:wordWrap/>
              <w:overflowPunct/>
              <w:topLinePunct w:val="0"/>
              <w:autoSpaceDE/>
              <w:autoSpaceDN/>
              <w:bidi w:val="0"/>
              <w:adjustRightInd w:val="0"/>
              <w:snapToGrid/>
              <w:spacing w:line="400" w:lineRule="exact"/>
              <w:jc w:val="left"/>
              <w:textAlignment w:val="center"/>
              <w:rPr>
                <w:rFonts w:hint="eastAsia"/>
                <w:color w:val="auto"/>
                <w:lang w:val="en-US" w:eastAsia="zh-CN"/>
              </w:rPr>
            </w:pPr>
            <w:r>
              <w:rPr>
                <w:rFonts w:hint="eastAsia" w:ascii="宋体" w:hAnsi="宋体" w:cs="宋体"/>
                <w:b/>
                <w:bCs/>
                <w:i w:val="0"/>
                <w:iCs w:val="0"/>
                <w:color w:val="auto"/>
                <w:kern w:val="0"/>
                <w:sz w:val="24"/>
                <w:szCs w:val="24"/>
                <w:u w:val="none"/>
                <w:lang w:val="en-US" w:eastAsia="zh-CN" w:bidi="ar"/>
              </w:rPr>
              <w:t>8、</w:t>
            </w:r>
            <w:r>
              <w:rPr>
                <w:rFonts w:hint="eastAsia" w:ascii="宋体" w:hAnsi="宋体" w:eastAsia="宋体" w:cs="宋体"/>
                <w:b/>
                <w:bCs/>
                <w:i w:val="0"/>
                <w:iCs w:val="0"/>
                <w:color w:val="auto"/>
                <w:kern w:val="0"/>
                <w:sz w:val="24"/>
                <w:szCs w:val="24"/>
                <w:u w:val="none"/>
                <w:lang w:val="en-US" w:eastAsia="zh-CN" w:bidi="ar"/>
              </w:rPr>
              <w:t>视频网终端杀毒服务：</w:t>
            </w:r>
            <w:r>
              <w:rPr>
                <w:rFonts w:hint="eastAsia" w:ascii="宋体" w:hAnsi="宋体" w:eastAsia="宋体" w:cs="宋体"/>
                <w:i w:val="0"/>
                <w:iCs w:val="0"/>
                <w:color w:val="auto"/>
                <w:kern w:val="0"/>
                <w:sz w:val="24"/>
                <w:szCs w:val="24"/>
                <w:u w:val="none"/>
                <w:lang w:val="en-US" w:eastAsia="zh-CN" w:bidi="ar"/>
              </w:rPr>
              <w:t>（1）病毒库更新、（2）病毒查杀、（3）终端立体防护、（4）文件系统防护和访问控制、（5）攻击拦截、（6）黑白名单扫描、（7）控制中心支持级联管理、（8）支持按CVE编号查询漏洞，支持按KB号查询漏洞</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（9）简化补丁运维工作。</w:t>
            </w:r>
          </w:p>
          <w:p w14:paraId="482522D1">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提供软件或系统功能截图，并明确需求中对应的服务要求，每项不满足扣1分，满分3</w:t>
            </w:r>
            <w:r>
              <w:rPr>
                <w:rFonts w:hint="eastAsia" w:ascii="宋体" w:hAnsi="宋体" w:cs="宋体"/>
                <w:i w:val="0"/>
                <w:iCs w:val="0"/>
                <w:color w:val="auto"/>
                <w:kern w:val="0"/>
                <w:sz w:val="24"/>
                <w:szCs w:val="24"/>
                <w:u w:val="none"/>
                <w:lang w:val="en-US" w:eastAsia="zh-CN" w:bidi="ar"/>
              </w:rPr>
              <w:t>3</w:t>
            </w:r>
            <w:r>
              <w:rPr>
                <w:rFonts w:hint="eastAsia" w:ascii="宋体" w:hAnsi="宋体" w:eastAsia="宋体" w:cs="宋体"/>
                <w:i w:val="0"/>
                <w:iCs w:val="0"/>
                <w:color w:val="auto"/>
                <w:kern w:val="0"/>
                <w:sz w:val="24"/>
                <w:szCs w:val="24"/>
                <w:u w:val="none"/>
                <w:lang w:val="en-US" w:eastAsia="zh-CN" w:bidi="ar"/>
              </w:rPr>
              <w:t>分，扣完为止。截图材料不满足采购需求对应服务要求或无有效证明材料不得分。截图以投标人提供的盖章材料为依据。</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7907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r>
              <w:rPr>
                <w:rFonts w:hint="eastAsia" w:ascii="宋体" w:hAnsi="宋体" w:cs="宋体"/>
                <w:i w:val="0"/>
                <w:iCs w:val="0"/>
                <w:color w:val="auto"/>
                <w:kern w:val="0"/>
                <w:sz w:val="24"/>
                <w:szCs w:val="24"/>
                <w:u w:val="none"/>
                <w:lang w:val="en-US" w:eastAsia="zh-CN" w:bidi="ar"/>
              </w:rPr>
              <w:t>3</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7FDCB">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restart"/>
            <w:tcBorders>
              <w:top w:val="single" w:color="000000" w:sz="4" w:space="0"/>
              <w:left w:val="single" w:color="000000" w:sz="4" w:space="0"/>
              <w:right w:val="single" w:color="000000" w:sz="4" w:space="0"/>
            </w:tcBorders>
            <w:shd w:val="clear" w:color="auto" w:fill="auto"/>
            <w:vAlign w:val="center"/>
          </w:tcPr>
          <w:p w14:paraId="5717C45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一、服务能力</w:t>
            </w:r>
          </w:p>
        </w:tc>
      </w:tr>
      <w:tr w14:paraId="0C4E4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A3A9F">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F019E">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投标人承诺提供</w:t>
            </w:r>
          </w:p>
          <w:p w14:paraId="13319E63">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cs="宋体"/>
                <w:b/>
                <w:bCs/>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公安网桌面云服务桌面授权和瘦终端数量满足采购需求</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cs="宋体"/>
                <w:b/>
                <w:bCs/>
                <w:i w:val="0"/>
                <w:iCs w:val="0"/>
                <w:color w:val="auto"/>
                <w:kern w:val="0"/>
                <w:sz w:val="24"/>
                <w:szCs w:val="24"/>
                <w:highlight w:val="none"/>
                <w:u w:val="none"/>
                <w:lang w:val="en-US" w:eastAsia="zh-CN" w:bidi="ar"/>
              </w:rPr>
              <w:t>（2分）</w:t>
            </w:r>
          </w:p>
          <w:p w14:paraId="53B4618A">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视频网终端杀毒服务pc终端和服务器授权数量满足采购需求</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cs="宋体"/>
                <w:b/>
                <w:bCs/>
                <w:i w:val="0"/>
                <w:iCs w:val="0"/>
                <w:color w:val="auto"/>
                <w:kern w:val="0"/>
                <w:sz w:val="24"/>
                <w:szCs w:val="24"/>
                <w:highlight w:val="none"/>
                <w:u w:val="none"/>
                <w:lang w:val="en-US" w:eastAsia="zh-CN" w:bidi="ar"/>
              </w:rPr>
              <w:t>（2分）</w:t>
            </w:r>
          </w:p>
          <w:p w14:paraId="6B0AB1A0">
            <w:pPr>
              <w:keepNext w:val="0"/>
              <w:keepLines w:val="0"/>
              <w:pageBreakBefore w:val="0"/>
              <w:widowControl/>
              <w:numPr>
                <w:ilvl w:val="0"/>
                <w:numId w:val="0"/>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highlight w:val="none"/>
                <w:u w:val="none"/>
                <w:lang w:val="en-US" w:eastAsia="zh-CN" w:bidi="ar"/>
              </w:rPr>
              <w:t>每项</w:t>
            </w:r>
            <w:r>
              <w:rPr>
                <w:rFonts w:hint="eastAsia" w:ascii="宋体" w:hAnsi="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0"/>
                <w:sz w:val="24"/>
                <w:szCs w:val="24"/>
                <w:highlight w:val="none"/>
                <w:u w:val="none"/>
                <w:lang w:val="en-US" w:eastAsia="zh-CN" w:bidi="ar"/>
              </w:rPr>
              <w:t>满足采购</w:t>
            </w:r>
            <w:r>
              <w:rPr>
                <w:rFonts w:hint="eastAsia" w:ascii="宋体" w:hAnsi="宋体" w:cs="宋体"/>
                <w:i w:val="0"/>
                <w:iCs w:val="0"/>
                <w:color w:val="auto"/>
                <w:kern w:val="0"/>
                <w:sz w:val="24"/>
                <w:szCs w:val="24"/>
                <w:highlight w:val="none"/>
                <w:u w:val="none"/>
                <w:lang w:val="en-US" w:eastAsia="zh-CN" w:bidi="ar"/>
              </w:rPr>
              <w:t>需求的</w:t>
            </w:r>
            <w:r>
              <w:rPr>
                <w:rFonts w:hint="eastAsia" w:ascii="宋体" w:hAnsi="宋体" w:eastAsia="宋体" w:cs="宋体"/>
                <w:i w:val="0"/>
                <w:iCs w:val="0"/>
                <w:color w:val="auto"/>
                <w:kern w:val="0"/>
                <w:sz w:val="24"/>
                <w:szCs w:val="24"/>
                <w:highlight w:val="none"/>
                <w:u w:val="none"/>
                <w:lang w:val="en-US" w:eastAsia="zh-CN" w:bidi="ar"/>
              </w:rPr>
              <w:t>得2分，不满足不得分，最高得4分</w:t>
            </w:r>
            <w:r>
              <w:rPr>
                <w:rFonts w:hint="eastAsia" w:ascii="宋体" w:hAnsi="宋体" w:cs="宋体"/>
                <w:i w:val="0"/>
                <w:iCs w:val="0"/>
                <w:color w:val="auto"/>
                <w:kern w:val="0"/>
                <w:sz w:val="24"/>
                <w:szCs w:val="24"/>
                <w:highlight w:val="none"/>
                <w:u w:val="none"/>
                <w:lang w:val="en-US" w:eastAsia="zh-CN" w:bidi="ar"/>
              </w:rPr>
              <w:t>。</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F48F7">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DF971">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70641CFD">
            <w:pPr>
              <w:spacing w:beforeLines="50" w:afterLines="50" w:line="360" w:lineRule="exact"/>
              <w:jc w:val="center"/>
              <w:rPr>
                <w:rFonts w:hint="eastAsia" w:ascii="宋体" w:hAnsi="宋体" w:eastAsia="宋体" w:cs="宋体"/>
                <w:i w:val="0"/>
                <w:iCs w:val="0"/>
                <w:color w:val="auto"/>
                <w:sz w:val="24"/>
                <w:szCs w:val="24"/>
                <w:u w:val="none"/>
              </w:rPr>
            </w:pPr>
          </w:p>
        </w:tc>
      </w:tr>
      <w:tr w14:paraId="47E15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DA7E6">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3</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89375">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投标人承诺提供</w:t>
            </w:r>
            <w:r>
              <w:rPr>
                <w:rFonts w:hint="eastAsia" w:ascii="宋体" w:hAnsi="宋体" w:eastAsia="宋体" w:cs="宋体"/>
                <w:color w:val="auto"/>
                <w:sz w:val="24"/>
                <w:lang w:eastAsia="zh-Hans"/>
              </w:rPr>
              <w:t>“一机两用”监控系统每月一次的巡检服务</w:t>
            </w:r>
            <w:r>
              <w:rPr>
                <w:rFonts w:hint="eastAsia" w:ascii="宋体" w:hAnsi="宋体" w:cs="宋体"/>
                <w:color w:val="auto"/>
                <w:sz w:val="24"/>
                <w:lang w:eastAsia="zh-CN"/>
              </w:rPr>
              <w:t>，</w:t>
            </w:r>
            <w:r>
              <w:rPr>
                <w:rFonts w:hint="eastAsia" w:ascii="宋体" w:hAnsi="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0"/>
                <w:sz w:val="24"/>
                <w:szCs w:val="24"/>
                <w:highlight w:val="none"/>
                <w:u w:val="none"/>
                <w:lang w:val="en-US" w:eastAsia="zh-CN" w:bidi="ar"/>
              </w:rPr>
              <w:t>满足采购</w:t>
            </w:r>
            <w:r>
              <w:rPr>
                <w:rFonts w:hint="eastAsia" w:ascii="宋体" w:hAnsi="宋体" w:cs="宋体"/>
                <w:i w:val="0"/>
                <w:iCs w:val="0"/>
                <w:color w:val="auto"/>
                <w:kern w:val="0"/>
                <w:sz w:val="24"/>
                <w:szCs w:val="24"/>
                <w:highlight w:val="none"/>
                <w:u w:val="none"/>
                <w:lang w:val="en-US" w:eastAsia="zh-CN" w:bidi="ar"/>
              </w:rPr>
              <w:t>需求的</w:t>
            </w:r>
            <w:r>
              <w:rPr>
                <w:rFonts w:hint="eastAsia" w:ascii="宋体" w:hAnsi="宋体" w:eastAsia="宋体" w:cs="宋体"/>
                <w:i w:val="0"/>
                <w:iCs w:val="0"/>
                <w:color w:val="auto"/>
                <w:kern w:val="0"/>
                <w:sz w:val="24"/>
                <w:szCs w:val="24"/>
                <w:highlight w:val="none"/>
                <w:u w:val="none"/>
                <w:lang w:val="en-US" w:eastAsia="zh-CN" w:bidi="ar"/>
              </w:rPr>
              <w:t>得2分，不满足不得分</w:t>
            </w:r>
            <w:r>
              <w:rPr>
                <w:rFonts w:hint="eastAsia" w:ascii="宋体" w:hAnsi="宋体" w:cs="宋体"/>
                <w:i w:val="0"/>
                <w:iCs w:val="0"/>
                <w:color w:val="auto"/>
                <w:kern w:val="0"/>
                <w:sz w:val="24"/>
                <w:szCs w:val="24"/>
                <w:highlight w:val="none"/>
                <w:u w:val="none"/>
                <w:lang w:val="en-US" w:eastAsia="zh-CN" w:bidi="ar"/>
              </w:rPr>
              <w:t>。</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DE805">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2</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178EF">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792B01C9">
            <w:pPr>
              <w:spacing w:beforeLines="50" w:afterLines="50" w:line="360" w:lineRule="exact"/>
              <w:jc w:val="center"/>
              <w:rPr>
                <w:rFonts w:hint="eastAsia" w:ascii="宋体" w:hAnsi="宋体" w:eastAsia="宋体" w:cs="宋体"/>
                <w:i w:val="0"/>
                <w:iCs w:val="0"/>
                <w:color w:val="auto"/>
                <w:sz w:val="24"/>
                <w:szCs w:val="24"/>
                <w:u w:val="none"/>
              </w:rPr>
            </w:pPr>
          </w:p>
        </w:tc>
      </w:tr>
      <w:tr w14:paraId="4FC56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012FB">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4</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CE40E">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投标人提供系统安全检测服务维护内容</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方案包括</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安全架构评估、系统漏洞扫描、安全配置检查、应用安全扫描、渗透测试，方案内容完整且合理、可行，</w:t>
            </w:r>
            <w:r>
              <w:rPr>
                <w:rFonts w:hint="eastAsia" w:ascii="宋体" w:hAnsi="宋体" w:cs="宋体"/>
                <w:i w:val="0"/>
                <w:iCs w:val="0"/>
                <w:color w:val="auto"/>
                <w:kern w:val="0"/>
                <w:sz w:val="24"/>
                <w:szCs w:val="24"/>
                <w:u w:val="none"/>
                <w:lang w:val="en-US" w:eastAsia="zh-CN" w:bidi="ar"/>
              </w:rPr>
              <w:t>满足</w:t>
            </w:r>
            <w:r>
              <w:rPr>
                <w:rFonts w:hint="eastAsia" w:ascii="宋体" w:hAnsi="宋体" w:eastAsia="宋体" w:cs="宋体"/>
                <w:i w:val="0"/>
                <w:iCs w:val="0"/>
                <w:color w:val="auto"/>
                <w:kern w:val="0"/>
                <w:sz w:val="24"/>
                <w:szCs w:val="24"/>
                <w:u w:val="none"/>
                <w:lang w:val="en-US" w:eastAsia="zh-CN" w:bidi="ar"/>
              </w:rPr>
              <w:t>采购需求的得2分，不满足不得分。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23999">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9F0FD">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主观分</w:t>
            </w:r>
          </w:p>
        </w:tc>
        <w:tc>
          <w:tcPr>
            <w:tcW w:w="1361" w:type="dxa"/>
            <w:vMerge w:val="continue"/>
            <w:tcBorders>
              <w:left w:val="single" w:color="000000" w:sz="4" w:space="0"/>
              <w:right w:val="single" w:color="000000" w:sz="4" w:space="0"/>
            </w:tcBorders>
            <w:shd w:val="clear" w:color="auto" w:fill="auto"/>
            <w:vAlign w:val="center"/>
          </w:tcPr>
          <w:p w14:paraId="35EC9194">
            <w:pPr>
              <w:spacing w:beforeLines="50" w:afterLines="50" w:line="360" w:lineRule="exact"/>
              <w:jc w:val="center"/>
              <w:rPr>
                <w:rFonts w:hint="eastAsia" w:ascii="宋体" w:hAnsi="宋体" w:eastAsia="宋体" w:cs="宋体"/>
                <w:i w:val="0"/>
                <w:iCs w:val="0"/>
                <w:color w:val="auto"/>
                <w:sz w:val="24"/>
                <w:szCs w:val="24"/>
                <w:u w:val="none"/>
              </w:rPr>
            </w:pPr>
          </w:p>
        </w:tc>
      </w:tr>
      <w:tr w14:paraId="20B5B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5"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7B5CD">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5</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9E10F">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投标人提供网络安全检查服务承诺</w:t>
            </w:r>
          </w:p>
          <w:p w14:paraId="52D215A0">
            <w:pPr>
              <w:keepNext w:val="0"/>
              <w:keepLines w:val="0"/>
              <w:pageBreakBefore w:val="0"/>
              <w:widowControl/>
              <w:numPr>
                <w:ilvl w:val="0"/>
                <w:numId w:val="3"/>
              </w:numPr>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在上级部门开展网络安全检查前，能够配合采购人先行开展安全检查，协助整改完成；</w:t>
            </w:r>
            <w:r>
              <w:rPr>
                <w:rFonts w:hint="eastAsia" w:ascii="宋体" w:hAnsi="宋体" w:cs="宋体"/>
                <w:b/>
                <w:bCs/>
                <w:i w:val="0"/>
                <w:iCs w:val="0"/>
                <w:color w:val="auto"/>
                <w:kern w:val="0"/>
                <w:sz w:val="24"/>
                <w:szCs w:val="24"/>
                <w:highlight w:val="none"/>
                <w:u w:val="none"/>
                <w:lang w:val="en-US" w:eastAsia="zh-CN" w:bidi="ar"/>
              </w:rPr>
              <w:t>（1分）</w:t>
            </w:r>
          </w:p>
          <w:p w14:paraId="11333A9C">
            <w:pPr>
              <w:keepNext w:val="0"/>
              <w:keepLines w:val="0"/>
              <w:pageBreakBefore w:val="0"/>
              <w:widowControl/>
              <w:numPr>
                <w:ilvl w:val="0"/>
                <w:numId w:val="3"/>
              </w:numPr>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在上级部门开展检查期间提供技术支撑配合、值守保障等</w:t>
            </w:r>
            <w:r>
              <w:rPr>
                <w:rFonts w:hint="eastAsia" w:ascii="宋体" w:hAnsi="宋体" w:cs="宋体"/>
                <w:i w:val="0"/>
                <w:iCs w:val="0"/>
                <w:color w:val="auto"/>
                <w:kern w:val="0"/>
                <w:sz w:val="24"/>
                <w:szCs w:val="24"/>
                <w:u w:val="none"/>
                <w:lang w:val="en-US" w:eastAsia="zh-CN" w:bidi="ar"/>
              </w:rPr>
              <w:t>。</w:t>
            </w:r>
            <w:r>
              <w:rPr>
                <w:rFonts w:hint="eastAsia" w:ascii="宋体" w:hAnsi="宋体" w:cs="宋体"/>
                <w:b/>
                <w:bCs/>
                <w:i w:val="0"/>
                <w:iCs w:val="0"/>
                <w:color w:val="auto"/>
                <w:kern w:val="0"/>
                <w:sz w:val="24"/>
                <w:szCs w:val="24"/>
                <w:highlight w:val="none"/>
                <w:u w:val="none"/>
                <w:lang w:val="en-US" w:eastAsia="zh-CN" w:bidi="ar"/>
              </w:rPr>
              <w:t>（1分）</w:t>
            </w:r>
          </w:p>
          <w:p w14:paraId="07AC866A">
            <w:pPr>
              <w:keepNext w:val="0"/>
              <w:keepLines w:val="0"/>
              <w:pageBreakBefore w:val="0"/>
              <w:widowControl/>
              <w:numPr>
                <w:ilvl w:val="-1"/>
                <w:numId w:val="0"/>
              </w:numPr>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highlight w:val="none"/>
                <w:u w:val="none"/>
                <w:lang w:val="en-US" w:eastAsia="zh-CN" w:bidi="ar"/>
              </w:rPr>
              <w:t>每项</w:t>
            </w:r>
            <w:r>
              <w:rPr>
                <w:rFonts w:hint="eastAsia" w:ascii="宋体" w:hAnsi="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0"/>
                <w:sz w:val="24"/>
                <w:szCs w:val="24"/>
                <w:highlight w:val="none"/>
                <w:u w:val="none"/>
                <w:lang w:val="en-US" w:eastAsia="zh-CN" w:bidi="ar"/>
              </w:rPr>
              <w:t>满足采购</w:t>
            </w:r>
            <w:r>
              <w:rPr>
                <w:rFonts w:hint="eastAsia" w:ascii="宋体" w:hAnsi="宋体" w:cs="宋体"/>
                <w:i w:val="0"/>
                <w:iCs w:val="0"/>
                <w:color w:val="auto"/>
                <w:kern w:val="0"/>
                <w:sz w:val="24"/>
                <w:szCs w:val="24"/>
                <w:highlight w:val="none"/>
                <w:u w:val="none"/>
                <w:lang w:val="en-US" w:eastAsia="zh-CN" w:bidi="ar"/>
              </w:rPr>
              <w:t>需求的</w:t>
            </w:r>
            <w:r>
              <w:rPr>
                <w:rFonts w:hint="eastAsia" w:ascii="宋体" w:hAnsi="宋体" w:eastAsia="宋体" w:cs="宋体"/>
                <w:i w:val="0"/>
                <w:iCs w:val="0"/>
                <w:color w:val="auto"/>
                <w:kern w:val="0"/>
                <w:sz w:val="24"/>
                <w:szCs w:val="24"/>
                <w:u w:val="none"/>
                <w:lang w:val="en-US" w:eastAsia="zh-CN" w:bidi="ar"/>
              </w:rPr>
              <w:t>得1分，不满足不得分，最高得2分。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100F0">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0A6E7">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364C4558">
            <w:pPr>
              <w:spacing w:beforeLines="50" w:afterLines="50" w:line="360" w:lineRule="exact"/>
              <w:jc w:val="center"/>
              <w:rPr>
                <w:rFonts w:hint="eastAsia" w:ascii="宋体" w:hAnsi="宋体" w:eastAsia="宋体" w:cs="宋体"/>
                <w:i w:val="0"/>
                <w:iCs w:val="0"/>
                <w:color w:val="auto"/>
                <w:sz w:val="24"/>
                <w:szCs w:val="24"/>
                <w:u w:val="none"/>
              </w:rPr>
            </w:pPr>
          </w:p>
        </w:tc>
      </w:tr>
      <w:tr w14:paraId="2A304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A9E59">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6</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6295C">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投标人提供重要时期重大活动安全保障服务承诺</w:t>
            </w:r>
          </w:p>
          <w:p w14:paraId="638EFCDC">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在重大活动时期，除驻点人员外，另派遣不少于1名专业工程师驻场值守，对杭州市公安局重要系统进行安全保障，承诺满足</w:t>
            </w:r>
            <w:r>
              <w:rPr>
                <w:rFonts w:hint="eastAsia" w:ascii="宋体" w:hAnsi="宋体" w:eastAsia="宋体" w:cs="宋体"/>
                <w:i w:val="0"/>
                <w:iCs w:val="0"/>
                <w:color w:val="auto"/>
                <w:kern w:val="0"/>
                <w:sz w:val="24"/>
                <w:szCs w:val="24"/>
                <w:highlight w:val="none"/>
                <w:u w:val="none"/>
                <w:lang w:val="en-US" w:eastAsia="zh-CN" w:bidi="ar"/>
              </w:rPr>
              <w:t>采购</w:t>
            </w:r>
            <w:r>
              <w:rPr>
                <w:rFonts w:hint="eastAsia" w:ascii="宋体" w:hAnsi="宋体" w:cs="宋体"/>
                <w:i w:val="0"/>
                <w:iCs w:val="0"/>
                <w:color w:val="auto"/>
                <w:kern w:val="0"/>
                <w:sz w:val="24"/>
                <w:szCs w:val="24"/>
                <w:highlight w:val="none"/>
                <w:u w:val="none"/>
                <w:lang w:val="en-US" w:eastAsia="zh-CN" w:bidi="ar"/>
              </w:rPr>
              <w:t>需求的</w:t>
            </w:r>
            <w:r>
              <w:rPr>
                <w:rFonts w:hint="eastAsia" w:ascii="宋体" w:hAnsi="宋体" w:eastAsia="宋体" w:cs="宋体"/>
                <w:i w:val="0"/>
                <w:iCs w:val="0"/>
                <w:color w:val="auto"/>
                <w:kern w:val="0"/>
                <w:sz w:val="24"/>
                <w:szCs w:val="24"/>
                <w:u w:val="none"/>
                <w:lang w:val="en-US" w:eastAsia="zh-CN" w:bidi="ar"/>
              </w:rPr>
              <w:t>得</w:t>
            </w:r>
            <w:r>
              <w:rPr>
                <w:rFonts w:hint="eastAsia" w:ascii="宋体" w:hAnsi="宋体" w:cs="宋体"/>
                <w:i w:val="0"/>
                <w:iCs w:val="0"/>
                <w:color w:val="auto"/>
                <w:kern w:val="0"/>
                <w:sz w:val="24"/>
                <w:szCs w:val="24"/>
                <w:u w:val="none"/>
                <w:lang w:val="en-US" w:eastAsia="zh-CN" w:bidi="ar"/>
              </w:rPr>
              <w:t>1</w:t>
            </w:r>
            <w:r>
              <w:rPr>
                <w:rFonts w:hint="eastAsia" w:ascii="宋体" w:hAnsi="宋体" w:eastAsia="宋体" w:cs="宋体"/>
                <w:i w:val="0"/>
                <w:iCs w:val="0"/>
                <w:color w:val="auto"/>
                <w:kern w:val="0"/>
                <w:sz w:val="24"/>
                <w:szCs w:val="24"/>
                <w:u w:val="none"/>
                <w:lang w:val="en-US" w:eastAsia="zh-CN" w:bidi="ar"/>
              </w:rPr>
              <w:t>分，不满足不得分。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D028C">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1</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84BA2">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44BDB6D4">
            <w:pPr>
              <w:spacing w:beforeLines="50" w:afterLines="50" w:line="360" w:lineRule="exact"/>
              <w:jc w:val="center"/>
              <w:rPr>
                <w:rFonts w:hint="eastAsia" w:ascii="宋体" w:hAnsi="宋体" w:eastAsia="宋体" w:cs="宋体"/>
                <w:i w:val="0"/>
                <w:iCs w:val="0"/>
                <w:color w:val="auto"/>
                <w:sz w:val="24"/>
                <w:szCs w:val="24"/>
                <w:u w:val="none"/>
              </w:rPr>
            </w:pPr>
          </w:p>
        </w:tc>
      </w:tr>
      <w:tr w14:paraId="140CA6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69"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74803">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7</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79EC1">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投标人提供应急响应服务承诺</w:t>
            </w:r>
          </w:p>
          <w:p w14:paraId="07080DF2">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（1）紧急安全事件应急响应：接到电话通知后，必须15分钟内做出响应，1小时内到达现场。如1小时内无法解决问题，30分钟内调动安全专家协助解决。</w:t>
            </w:r>
            <w:r>
              <w:rPr>
                <w:rFonts w:hint="eastAsia" w:ascii="宋体" w:hAnsi="宋体" w:cs="宋体"/>
                <w:b/>
                <w:bCs/>
                <w:i w:val="0"/>
                <w:iCs w:val="0"/>
                <w:color w:val="auto"/>
                <w:kern w:val="0"/>
                <w:sz w:val="24"/>
                <w:szCs w:val="24"/>
                <w:u w:val="none"/>
                <w:lang w:val="en-US" w:eastAsia="zh-CN" w:bidi="ar"/>
              </w:rPr>
              <w:t>（1分）</w:t>
            </w:r>
          </w:p>
          <w:p w14:paraId="57ED7CCF">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（2）严重安全事件应急响应：接到电话通知后，必须15分钟内做出响应，2小时内到达现场。如2小时内无法解决问题，1小时内调动安全专家协助解决。</w:t>
            </w:r>
            <w:r>
              <w:rPr>
                <w:rFonts w:hint="eastAsia" w:ascii="宋体" w:hAnsi="宋体" w:cs="宋体"/>
                <w:b/>
                <w:bCs/>
                <w:i w:val="0"/>
                <w:iCs w:val="0"/>
                <w:color w:val="auto"/>
                <w:kern w:val="0"/>
                <w:sz w:val="24"/>
                <w:szCs w:val="24"/>
                <w:u w:val="none"/>
                <w:lang w:val="en-US" w:eastAsia="zh-CN" w:bidi="ar"/>
              </w:rPr>
              <w:t>（1分）</w:t>
            </w:r>
          </w:p>
          <w:p w14:paraId="171A8C3F">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（3）一般安全事件应急响应</w:t>
            </w:r>
            <w:r>
              <w:rPr>
                <w:rFonts w:hint="eastAsia" w:ascii="宋体" w:hAnsi="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none"/>
                <w:lang w:val="en-US" w:eastAsia="zh-CN" w:bidi="ar"/>
              </w:rPr>
              <w:t>接到电话通知后，必须30分钟内做出响应，4小时内到达现场。如4小时内无法解决问题，2小时内调动安全专家协助解决。</w:t>
            </w:r>
            <w:r>
              <w:rPr>
                <w:rFonts w:hint="eastAsia" w:ascii="宋体" w:hAnsi="宋体" w:cs="宋体"/>
                <w:b/>
                <w:bCs/>
                <w:i w:val="0"/>
                <w:iCs w:val="0"/>
                <w:color w:val="auto"/>
                <w:kern w:val="0"/>
                <w:sz w:val="24"/>
                <w:szCs w:val="24"/>
                <w:u w:val="none"/>
                <w:lang w:val="en-US" w:eastAsia="zh-CN" w:bidi="ar"/>
              </w:rPr>
              <w:t>（1分）</w:t>
            </w:r>
          </w:p>
          <w:p w14:paraId="030F8989">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highlight w:val="none"/>
                <w:u w:val="none"/>
                <w:lang w:val="en-US" w:eastAsia="zh-CN" w:bidi="ar"/>
              </w:rPr>
              <w:t>每项</w:t>
            </w:r>
            <w:r>
              <w:rPr>
                <w:rFonts w:hint="eastAsia" w:ascii="宋体" w:hAnsi="宋体" w:cs="宋体"/>
                <w:i w:val="0"/>
                <w:iCs w:val="0"/>
                <w:color w:val="auto"/>
                <w:kern w:val="0"/>
                <w:sz w:val="24"/>
                <w:szCs w:val="24"/>
                <w:highlight w:val="none"/>
                <w:u w:val="none"/>
                <w:lang w:val="en-US" w:eastAsia="zh-CN" w:bidi="ar"/>
              </w:rPr>
              <w:t>承诺</w:t>
            </w:r>
            <w:r>
              <w:rPr>
                <w:rFonts w:hint="eastAsia" w:ascii="宋体" w:hAnsi="宋体" w:eastAsia="宋体" w:cs="宋体"/>
                <w:i w:val="0"/>
                <w:iCs w:val="0"/>
                <w:color w:val="auto"/>
                <w:kern w:val="0"/>
                <w:sz w:val="24"/>
                <w:szCs w:val="24"/>
                <w:highlight w:val="none"/>
                <w:u w:val="none"/>
                <w:lang w:val="en-US" w:eastAsia="zh-CN" w:bidi="ar"/>
              </w:rPr>
              <w:t>满足采购</w:t>
            </w:r>
            <w:r>
              <w:rPr>
                <w:rFonts w:hint="eastAsia" w:ascii="宋体" w:hAnsi="宋体" w:cs="宋体"/>
                <w:i w:val="0"/>
                <w:iCs w:val="0"/>
                <w:color w:val="auto"/>
                <w:kern w:val="0"/>
                <w:sz w:val="24"/>
                <w:szCs w:val="24"/>
                <w:highlight w:val="none"/>
                <w:u w:val="none"/>
                <w:lang w:val="en-US" w:eastAsia="zh-CN" w:bidi="ar"/>
              </w:rPr>
              <w:t>需求的</w:t>
            </w:r>
            <w:r>
              <w:rPr>
                <w:rFonts w:hint="eastAsia" w:ascii="宋体" w:hAnsi="宋体" w:eastAsia="宋体" w:cs="宋体"/>
                <w:i w:val="0"/>
                <w:iCs w:val="0"/>
                <w:color w:val="auto"/>
                <w:kern w:val="0"/>
                <w:sz w:val="24"/>
                <w:szCs w:val="24"/>
                <w:u w:val="none"/>
                <w:lang w:val="en-US" w:eastAsia="zh-CN" w:bidi="ar"/>
              </w:rPr>
              <w:t>得1分，不满足不得分，最高得分3分。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BF69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61C50">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6ECFEEBB">
            <w:pPr>
              <w:spacing w:beforeLines="50" w:afterLines="50" w:line="360" w:lineRule="exact"/>
              <w:jc w:val="center"/>
              <w:rPr>
                <w:rFonts w:hint="eastAsia" w:ascii="宋体" w:hAnsi="宋体" w:eastAsia="宋体" w:cs="宋体"/>
                <w:i w:val="0"/>
                <w:iCs w:val="0"/>
                <w:color w:val="auto"/>
                <w:sz w:val="24"/>
                <w:szCs w:val="24"/>
                <w:u w:val="none"/>
              </w:rPr>
            </w:pPr>
          </w:p>
        </w:tc>
      </w:tr>
      <w:tr w14:paraId="33F46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4" w:hRule="atLeast"/>
          <w:jc w:val="center"/>
        </w:trPr>
        <w:tc>
          <w:tcPr>
            <w:tcW w:w="621" w:type="dxa"/>
            <w:tcBorders>
              <w:top w:val="single" w:color="000000" w:sz="4" w:space="0"/>
              <w:left w:val="single" w:color="000000" w:sz="4" w:space="0"/>
              <w:right w:val="single" w:color="000000" w:sz="4" w:space="0"/>
            </w:tcBorders>
            <w:shd w:val="clear" w:color="auto" w:fill="auto"/>
            <w:vAlign w:val="center"/>
          </w:tcPr>
          <w:p w14:paraId="0B89054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8</w:t>
            </w:r>
          </w:p>
        </w:tc>
        <w:tc>
          <w:tcPr>
            <w:tcW w:w="5238" w:type="dxa"/>
            <w:tcBorders>
              <w:top w:val="single" w:color="000000" w:sz="4" w:space="0"/>
              <w:left w:val="single" w:color="000000" w:sz="4" w:space="0"/>
              <w:right w:val="single" w:color="000000" w:sz="4" w:space="0"/>
            </w:tcBorders>
            <w:shd w:val="clear" w:color="auto" w:fill="auto"/>
            <w:vAlign w:val="center"/>
          </w:tcPr>
          <w:p w14:paraId="451994BA">
            <w:pPr>
              <w:keepNext w:val="0"/>
              <w:keepLines w:val="0"/>
              <w:widowControl/>
              <w:numPr>
                <w:ilvl w:val="0"/>
                <w:numId w:val="0"/>
              </w:numPr>
              <w:suppressLineNumbers w:val="0"/>
              <w:spacing w:beforeLines="50" w:afterLines="50"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投标人提供边界通道租赁服务维护满足：</w:t>
            </w:r>
          </w:p>
          <w:p w14:paraId="4B6E61A2">
            <w:pPr>
              <w:keepNext w:val="0"/>
              <w:keepLines w:val="0"/>
              <w:widowControl/>
              <w:numPr>
                <w:ilvl w:val="0"/>
                <w:numId w:val="4"/>
              </w:numPr>
              <w:suppressLineNumbers w:val="0"/>
              <w:spacing w:beforeLines="50" w:afterLines="50" w:line="400" w:lineRule="exact"/>
              <w:jc w:val="left"/>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服务性能：吞吐量≥8Gbps；数据库同步速率（1KB）≥12000条/秒</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FTP文件同步速率（40KB）≥2600个/秒；消息同步速率（1KB）≥7000个/秒；传输时延≤50ms</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cs="宋体"/>
                <w:b/>
                <w:bCs/>
                <w:i w:val="0"/>
                <w:iCs w:val="0"/>
                <w:color w:val="auto"/>
                <w:kern w:val="0"/>
                <w:sz w:val="24"/>
                <w:szCs w:val="24"/>
                <w:highlight w:val="none"/>
                <w:u w:val="none"/>
                <w:lang w:val="en-US" w:eastAsia="zh-CN" w:bidi="ar"/>
              </w:rPr>
              <w:t>需提供产品说明书或官网技术参数截图或承诺</w:t>
            </w:r>
            <w:r>
              <w:rPr>
                <w:rFonts w:hint="eastAsia" w:ascii="宋体" w:hAnsi="宋体" w:cs="宋体"/>
                <w:i w:val="0"/>
                <w:iCs w:val="0"/>
                <w:color w:val="auto"/>
                <w:kern w:val="0"/>
                <w:sz w:val="24"/>
                <w:szCs w:val="24"/>
                <w:highlight w:val="none"/>
                <w:u w:val="none"/>
                <w:lang w:val="en-US" w:eastAsia="zh-CN" w:bidi="ar"/>
              </w:rPr>
              <w:t>，参数均满足采购需求的得1分，不满足不得分。</w:t>
            </w:r>
            <w:r>
              <w:rPr>
                <w:rFonts w:hint="eastAsia" w:ascii="宋体" w:hAnsi="宋体" w:cs="宋体"/>
                <w:b/>
                <w:bCs/>
                <w:i w:val="0"/>
                <w:iCs w:val="0"/>
                <w:color w:val="auto"/>
                <w:kern w:val="0"/>
                <w:sz w:val="24"/>
                <w:szCs w:val="24"/>
                <w:highlight w:val="none"/>
                <w:u w:val="none"/>
                <w:lang w:val="en-US" w:eastAsia="zh-CN" w:bidi="ar"/>
              </w:rPr>
              <w:t>（1分）</w:t>
            </w:r>
          </w:p>
          <w:p w14:paraId="7B272030">
            <w:pPr>
              <w:keepNext w:val="0"/>
              <w:keepLines w:val="0"/>
              <w:widowControl/>
              <w:numPr>
                <w:ilvl w:val="0"/>
                <w:numId w:val="4"/>
              </w:numPr>
              <w:suppressLineNumbers w:val="0"/>
              <w:spacing w:beforeLines="50" w:afterLines="50" w:line="400" w:lineRule="exact"/>
              <w:jc w:val="left"/>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API交换：支持通过鉴权方式对服务调用方进行身份认证，认证凭证包括数字证书、口令密码、动态令牌、Token等。</w:t>
            </w:r>
            <w:r>
              <w:rPr>
                <w:rFonts w:hint="eastAsia" w:ascii="宋体" w:hAnsi="宋体" w:cs="宋体"/>
                <w:b/>
                <w:bCs/>
                <w:i w:val="0"/>
                <w:iCs w:val="0"/>
                <w:color w:val="auto"/>
                <w:kern w:val="0"/>
                <w:sz w:val="24"/>
                <w:szCs w:val="24"/>
                <w:highlight w:val="none"/>
                <w:u w:val="none"/>
                <w:lang w:val="en-US" w:eastAsia="zh-CN" w:bidi="ar"/>
              </w:rPr>
              <w:t>需提供具有CMA资质的第三方机构出具的检测报告</w:t>
            </w:r>
            <w:r>
              <w:rPr>
                <w:rFonts w:hint="eastAsia" w:ascii="宋体" w:hAnsi="宋体" w:cs="宋体"/>
                <w:i w:val="0"/>
                <w:iCs w:val="0"/>
                <w:color w:val="auto"/>
                <w:kern w:val="0"/>
                <w:sz w:val="24"/>
                <w:szCs w:val="24"/>
                <w:highlight w:val="none"/>
                <w:u w:val="none"/>
                <w:lang w:val="en-US" w:eastAsia="zh-CN" w:bidi="ar"/>
              </w:rPr>
              <w:t>，满足得2分，不满足不得分。</w:t>
            </w:r>
            <w:r>
              <w:rPr>
                <w:rFonts w:hint="eastAsia" w:ascii="宋体" w:hAnsi="宋体" w:cs="宋体"/>
                <w:b/>
                <w:bCs/>
                <w:i w:val="0"/>
                <w:iCs w:val="0"/>
                <w:color w:val="auto"/>
                <w:kern w:val="0"/>
                <w:sz w:val="24"/>
                <w:szCs w:val="24"/>
                <w:highlight w:val="none"/>
                <w:u w:val="none"/>
                <w:lang w:val="en-US" w:eastAsia="zh-CN" w:bidi="ar"/>
              </w:rPr>
              <w:t>（2分）</w:t>
            </w:r>
          </w:p>
          <w:p w14:paraId="1D2FACD9">
            <w:pPr>
              <w:keepNext w:val="0"/>
              <w:keepLines w:val="0"/>
              <w:widowControl/>
              <w:numPr>
                <w:ilvl w:val="0"/>
                <w:numId w:val="4"/>
              </w:numPr>
              <w:suppressLineNumbers w:val="0"/>
              <w:spacing w:beforeLines="50" w:afterLines="50" w:line="400" w:lineRule="exact"/>
              <w:jc w:val="left"/>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服务认证：支持对服务提供注册、编目、查询、变更、注销等功能。</w:t>
            </w:r>
            <w:r>
              <w:rPr>
                <w:rFonts w:hint="eastAsia" w:ascii="宋体" w:hAnsi="宋体" w:cs="宋体"/>
                <w:b/>
                <w:bCs/>
                <w:i w:val="0"/>
                <w:iCs w:val="0"/>
                <w:color w:val="auto"/>
                <w:kern w:val="0"/>
                <w:sz w:val="24"/>
                <w:szCs w:val="24"/>
                <w:highlight w:val="none"/>
                <w:u w:val="none"/>
                <w:lang w:val="en-US" w:eastAsia="zh-CN" w:bidi="ar"/>
              </w:rPr>
              <w:t>需</w:t>
            </w:r>
            <w:r>
              <w:rPr>
                <w:rFonts w:hint="eastAsia" w:ascii="宋体" w:hAnsi="宋体" w:eastAsia="宋体" w:cs="宋体"/>
                <w:b/>
                <w:bCs/>
                <w:i w:val="0"/>
                <w:iCs w:val="0"/>
                <w:color w:val="auto"/>
                <w:kern w:val="0"/>
                <w:sz w:val="24"/>
                <w:szCs w:val="24"/>
                <w:u w:val="none"/>
                <w:lang w:val="en-US" w:eastAsia="zh-CN" w:bidi="ar"/>
              </w:rPr>
              <w:t>提供软件或系统功能截图，并明确需求中对应的服务要求</w:t>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i w:val="0"/>
                <w:iCs w:val="0"/>
                <w:color w:val="auto"/>
                <w:kern w:val="0"/>
                <w:sz w:val="24"/>
                <w:szCs w:val="24"/>
                <w:u w:val="none"/>
                <w:lang w:val="en-US" w:eastAsia="zh-CN" w:bidi="ar"/>
              </w:rPr>
              <w:t>满足得1分，不满足不得分。</w:t>
            </w:r>
            <w:r>
              <w:rPr>
                <w:rFonts w:hint="eastAsia" w:ascii="宋体" w:hAnsi="宋体" w:cs="宋体"/>
                <w:b/>
                <w:bCs/>
                <w:i w:val="0"/>
                <w:iCs w:val="0"/>
                <w:color w:val="auto"/>
                <w:kern w:val="0"/>
                <w:sz w:val="24"/>
                <w:szCs w:val="24"/>
                <w:highlight w:val="none"/>
                <w:u w:val="none"/>
                <w:lang w:val="en-US" w:eastAsia="zh-CN" w:bidi="ar"/>
              </w:rPr>
              <w:t>（1分）</w:t>
            </w:r>
          </w:p>
          <w:p w14:paraId="6C2D3734">
            <w:pPr>
              <w:keepNext w:val="0"/>
              <w:keepLines w:val="0"/>
              <w:widowControl/>
              <w:numPr>
                <w:ilvl w:val="0"/>
                <w:numId w:val="4"/>
              </w:numPr>
              <w:suppressLineNumbers w:val="0"/>
              <w:spacing w:beforeLines="50" w:afterLines="50"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签名验签：支持签名验证，确保交换数据的真实性、完整性和不可抵赖性；支持对无签名或签名验证不通过的数据进行拦截丢弃，并进行日志报警。</w:t>
            </w:r>
            <w:r>
              <w:rPr>
                <w:rFonts w:hint="eastAsia" w:ascii="宋体" w:hAnsi="宋体" w:cs="宋体"/>
                <w:b/>
                <w:bCs/>
                <w:i w:val="0"/>
                <w:iCs w:val="0"/>
                <w:color w:val="auto"/>
                <w:kern w:val="0"/>
                <w:sz w:val="24"/>
                <w:szCs w:val="24"/>
                <w:highlight w:val="none"/>
                <w:u w:val="none"/>
                <w:lang w:val="en-US" w:eastAsia="zh-CN" w:bidi="ar"/>
              </w:rPr>
              <w:t>需提供具有CMA资质的第三方机构出具的检测报告</w:t>
            </w:r>
            <w:r>
              <w:rPr>
                <w:rFonts w:hint="eastAsia" w:ascii="宋体" w:hAnsi="宋体" w:cs="宋体"/>
                <w:i w:val="0"/>
                <w:iCs w:val="0"/>
                <w:color w:val="auto"/>
                <w:kern w:val="0"/>
                <w:sz w:val="24"/>
                <w:szCs w:val="24"/>
                <w:highlight w:val="none"/>
                <w:u w:val="none"/>
                <w:lang w:val="en-US" w:eastAsia="zh-CN" w:bidi="ar"/>
              </w:rPr>
              <w:t>，满足得2分，不满足不得分。</w:t>
            </w:r>
            <w:r>
              <w:rPr>
                <w:rFonts w:hint="eastAsia" w:ascii="宋体" w:hAnsi="宋体" w:cs="宋体"/>
                <w:b/>
                <w:bCs/>
                <w:i w:val="0"/>
                <w:iCs w:val="0"/>
                <w:color w:val="auto"/>
                <w:kern w:val="0"/>
                <w:sz w:val="24"/>
                <w:szCs w:val="24"/>
                <w:highlight w:val="none"/>
                <w:u w:val="none"/>
                <w:lang w:val="en-US" w:eastAsia="zh-CN" w:bidi="ar"/>
              </w:rPr>
              <w:t>（2分）</w:t>
            </w:r>
          </w:p>
        </w:tc>
        <w:tc>
          <w:tcPr>
            <w:tcW w:w="823" w:type="dxa"/>
            <w:tcBorders>
              <w:top w:val="single" w:color="000000" w:sz="4" w:space="0"/>
              <w:left w:val="single" w:color="000000" w:sz="4" w:space="0"/>
              <w:right w:val="single" w:color="000000" w:sz="4" w:space="0"/>
            </w:tcBorders>
            <w:shd w:val="clear" w:color="auto" w:fill="auto"/>
            <w:vAlign w:val="center"/>
          </w:tcPr>
          <w:p w14:paraId="4A26870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6</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EDDEF">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continue"/>
            <w:tcBorders>
              <w:left w:val="single" w:color="000000" w:sz="4" w:space="0"/>
              <w:right w:val="single" w:color="000000" w:sz="4" w:space="0"/>
            </w:tcBorders>
            <w:shd w:val="clear" w:color="auto" w:fill="auto"/>
            <w:vAlign w:val="center"/>
          </w:tcPr>
          <w:p w14:paraId="63B6A423">
            <w:pPr>
              <w:spacing w:beforeLines="50" w:afterLines="50" w:line="360" w:lineRule="exact"/>
              <w:jc w:val="center"/>
              <w:rPr>
                <w:rFonts w:hint="eastAsia" w:ascii="宋体" w:hAnsi="宋体" w:eastAsia="宋体" w:cs="宋体"/>
                <w:i w:val="0"/>
                <w:iCs w:val="0"/>
                <w:color w:val="auto"/>
                <w:sz w:val="24"/>
                <w:szCs w:val="24"/>
                <w:u w:val="none"/>
              </w:rPr>
            </w:pPr>
          </w:p>
        </w:tc>
      </w:tr>
      <w:tr w14:paraId="7095A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23"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84C47">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sz w:val="24"/>
                <w:szCs w:val="24"/>
                <w:u w:val="none"/>
                <w:lang w:val="en-US"/>
              </w:rPr>
            </w:pPr>
            <w:r>
              <w:rPr>
                <w:rFonts w:hint="eastAsia" w:ascii="宋体" w:hAnsi="宋体" w:cs="宋体"/>
                <w:i w:val="0"/>
                <w:iCs w:val="0"/>
                <w:color w:val="auto"/>
                <w:kern w:val="0"/>
                <w:sz w:val="24"/>
                <w:szCs w:val="24"/>
                <w:u w:val="none"/>
                <w:lang w:val="en-US" w:eastAsia="zh-CN" w:bidi="ar"/>
              </w:rPr>
              <w:t>9</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28FD6">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投标人针对本项目建立健全相应的管理制度，包括</w:t>
            </w:r>
            <w:r>
              <w:rPr>
                <w:rFonts w:hint="eastAsia" w:ascii="宋体" w:hAnsi="宋体" w:cs="宋体"/>
                <w:i w:val="0"/>
                <w:iCs w:val="0"/>
                <w:color w:val="auto"/>
                <w:kern w:val="0"/>
                <w:sz w:val="24"/>
                <w:szCs w:val="24"/>
                <w:u w:val="none"/>
                <w:lang w:val="en-US" w:eastAsia="zh-CN" w:bidi="ar"/>
              </w:rPr>
              <w:t>：（1）</w:t>
            </w:r>
            <w:r>
              <w:rPr>
                <w:rFonts w:hint="eastAsia" w:ascii="宋体" w:hAnsi="宋体" w:eastAsia="宋体" w:cs="宋体"/>
                <w:i w:val="0"/>
                <w:iCs w:val="0"/>
                <w:color w:val="auto"/>
                <w:kern w:val="0"/>
                <w:sz w:val="24"/>
                <w:szCs w:val="24"/>
                <w:u w:val="none"/>
                <w:lang w:val="en-US" w:eastAsia="zh-CN" w:bidi="ar"/>
              </w:rPr>
              <w:t>日常管理规章制度、</w:t>
            </w:r>
            <w:r>
              <w:rPr>
                <w:rFonts w:hint="eastAsia" w:ascii="宋体" w:hAnsi="宋体" w:cs="宋体"/>
                <w:i w:val="0"/>
                <w:iCs w:val="0"/>
                <w:color w:val="auto"/>
                <w:kern w:val="0"/>
                <w:sz w:val="24"/>
                <w:szCs w:val="24"/>
                <w:u w:val="none"/>
                <w:lang w:val="en-US" w:eastAsia="zh-CN" w:bidi="ar"/>
              </w:rPr>
              <w:t>（2）</w:t>
            </w:r>
            <w:r>
              <w:rPr>
                <w:rFonts w:hint="eastAsia" w:ascii="宋体" w:hAnsi="宋体" w:eastAsia="宋体" w:cs="宋体"/>
                <w:i w:val="0"/>
                <w:iCs w:val="0"/>
                <w:color w:val="auto"/>
                <w:kern w:val="0"/>
                <w:sz w:val="24"/>
                <w:szCs w:val="24"/>
                <w:u w:val="none"/>
                <w:lang w:val="en-US" w:eastAsia="zh-CN" w:bidi="ar"/>
              </w:rPr>
              <w:t>内部岗位责任制度（包括各岗位职责等）、</w:t>
            </w:r>
            <w:r>
              <w:rPr>
                <w:rFonts w:hint="eastAsia" w:ascii="宋体" w:hAnsi="宋体" w:cs="宋体"/>
                <w:i w:val="0"/>
                <w:iCs w:val="0"/>
                <w:color w:val="auto"/>
                <w:kern w:val="0"/>
                <w:sz w:val="24"/>
                <w:szCs w:val="24"/>
                <w:u w:val="none"/>
                <w:lang w:val="en-US" w:eastAsia="zh-CN" w:bidi="ar"/>
              </w:rPr>
              <w:t>（3）</w:t>
            </w:r>
            <w:r>
              <w:rPr>
                <w:rFonts w:hint="eastAsia" w:ascii="宋体" w:hAnsi="宋体" w:eastAsia="宋体" w:cs="宋体"/>
                <w:i w:val="0"/>
                <w:iCs w:val="0"/>
                <w:color w:val="auto"/>
                <w:kern w:val="0"/>
                <w:sz w:val="24"/>
                <w:szCs w:val="24"/>
                <w:u w:val="none"/>
                <w:lang w:val="en-US" w:eastAsia="zh-CN" w:bidi="ar"/>
              </w:rPr>
              <w:t>管理运作制度、</w:t>
            </w:r>
            <w:r>
              <w:rPr>
                <w:rFonts w:hint="eastAsia" w:ascii="宋体" w:hAnsi="宋体" w:cs="宋体"/>
                <w:i w:val="0"/>
                <w:iCs w:val="0"/>
                <w:color w:val="auto"/>
                <w:kern w:val="0"/>
                <w:sz w:val="24"/>
                <w:szCs w:val="24"/>
                <w:u w:val="none"/>
                <w:lang w:val="en-US" w:eastAsia="zh-CN" w:bidi="ar"/>
              </w:rPr>
              <w:t>（4）</w:t>
            </w:r>
            <w:r>
              <w:rPr>
                <w:rFonts w:hint="eastAsia" w:ascii="宋体" w:hAnsi="宋体" w:eastAsia="宋体" w:cs="宋体"/>
                <w:i w:val="0"/>
                <w:iCs w:val="0"/>
                <w:color w:val="auto"/>
                <w:kern w:val="0"/>
                <w:sz w:val="24"/>
                <w:szCs w:val="24"/>
                <w:u w:val="none"/>
                <w:lang w:val="en-US" w:eastAsia="zh-CN" w:bidi="ar"/>
              </w:rPr>
              <w:t>考核制度（包括考核机制、激励机制、监督机制等），每项方案</w:t>
            </w:r>
            <w:r>
              <w:rPr>
                <w:rFonts w:hint="eastAsia" w:ascii="宋体" w:hAnsi="宋体" w:cs="宋体"/>
                <w:i w:val="0"/>
                <w:iCs w:val="0"/>
                <w:color w:val="auto"/>
                <w:kern w:val="0"/>
                <w:sz w:val="24"/>
                <w:szCs w:val="24"/>
                <w:u w:val="none"/>
                <w:lang w:val="en-US" w:eastAsia="zh-CN" w:bidi="ar"/>
              </w:rPr>
              <w:t>完整合理、可行，</w:t>
            </w:r>
            <w:r>
              <w:rPr>
                <w:rFonts w:hint="eastAsia" w:ascii="宋体" w:hAnsi="宋体" w:eastAsia="宋体" w:cs="宋体"/>
                <w:i w:val="0"/>
                <w:iCs w:val="0"/>
                <w:color w:val="auto"/>
                <w:kern w:val="0"/>
                <w:sz w:val="24"/>
                <w:szCs w:val="24"/>
                <w:u w:val="none"/>
                <w:lang w:val="en-US" w:eastAsia="zh-CN" w:bidi="ar"/>
              </w:rPr>
              <w:t>满足</w:t>
            </w:r>
            <w:r>
              <w:rPr>
                <w:rFonts w:hint="eastAsia" w:ascii="宋体" w:hAnsi="宋体" w:cs="宋体"/>
                <w:i w:val="0"/>
                <w:iCs w:val="0"/>
                <w:color w:val="auto"/>
                <w:kern w:val="0"/>
                <w:sz w:val="24"/>
                <w:szCs w:val="24"/>
                <w:u w:val="none"/>
                <w:lang w:val="en-US" w:eastAsia="zh-CN" w:bidi="ar"/>
              </w:rPr>
              <w:t>采购需求的</w:t>
            </w:r>
            <w:r>
              <w:rPr>
                <w:rFonts w:hint="eastAsia" w:ascii="宋体" w:hAnsi="宋体" w:eastAsia="宋体" w:cs="宋体"/>
                <w:i w:val="0"/>
                <w:iCs w:val="0"/>
                <w:color w:val="auto"/>
                <w:kern w:val="0"/>
                <w:sz w:val="24"/>
                <w:szCs w:val="24"/>
                <w:u w:val="none"/>
                <w:lang w:val="en-US" w:eastAsia="zh-CN" w:bidi="ar"/>
              </w:rPr>
              <w:t>得1分，不满足不得分，最高得4分。</w:t>
            </w:r>
          </w:p>
          <w:p w14:paraId="6A582EA3">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投标人针对本项目建立紧急事件处理应急方案，包括建立运行服务保障应急预案、对可能遇到的问题具有相应的应对措施，在服务期间巡检、故障处理的组织和联系机制等。方案</w:t>
            </w:r>
            <w:r>
              <w:rPr>
                <w:rFonts w:hint="eastAsia" w:ascii="宋体" w:hAnsi="宋体" w:cs="宋体"/>
                <w:i w:val="0"/>
                <w:iCs w:val="0"/>
                <w:color w:val="auto"/>
                <w:kern w:val="0"/>
                <w:sz w:val="24"/>
                <w:szCs w:val="24"/>
                <w:u w:val="none"/>
                <w:lang w:val="en-US" w:eastAsia="zh-CN" w:bidi="ar"/>
              </w:rPr>
              <w:t>完整合理、可行，</w:t>
            </w:r>
            <w:r>
              <w:rPr>
                <w:rFonts w:hint="eastAsia" w:ascii="宋体" w:hAnsi="宋体" w:eastAsia="宋体" w:cs="宋体"/>
                <w:i w:val="0"/>
                <w:iCs w:val="0"/>
                <w:color w:val="auto"/>
                <w:kern w:val="0"/>
                <w:sz w:val="24"/>
                <w:szCs w:val="24"/>
                <w:u w:val="none"/>
                <w:lang w:val="en-US" w:eastAsia="zh-CN" w:bidi="ar"/>
              </w:rPr>
              <w:t>满足</w:t>
            </w:r>
            <w:r>
              <w:rPr>
                <w:rFonts w:hint="eastAsia" w:ascii="宋体" w:hAnsi="宋体" w:cs="宋体"/>
                <w:i w:val="0"/>
                <w:iCs w:val="0"/>
                <w:color w:val="auto"/>
                <w:kern w:val="0"/>
                <w:sz w:val="24"/>
                <w:szCs w:val="24"/>
                <w:u w:val="none"/>
                <w:lang w:val="en-US" w:eastAsia="zh-CN" w:bidi="ar"/>
              </w:rPr>
              <w:t>采购需求的</w:t>
            </w:r>
            <w:r>
              <w:rPr>
                <w:rFonts w:hint="eastAsia" w:ascii="宋体" w:hAnsi="宋体" w:eastAsia="宋体" w:cs="宋体"/>
                <w:i w:val="0"/>
                <w:iCs w:val="0"/>
                <w:color w:val="auto"/>
                <w:kern w:val="0"/>
                <w:sz w:val="24"/>
                <w:szCs w:val="24"/>
                <w:u w:val="none"/>
                <w:lang w:val="en-US" w:eastAsia="zh-CN" w:bidi="ar"/>
              </w:rPr>
              <w:t>得2分，不满足不得分。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59E1A">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6</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7C3DA">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主观分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08A8C">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二、总体服务方案</w:t>
            </w:r>
          </w:p>
        </w:tc>
      </w:tr>
      <w:tr w14:paraId="35A27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6" w:hRule="atLeast"/>
          <w:jc w:val="center"/>
        </w:trPr>
        <w:tc>
          <w:tcPr>
            <w:tcW w:w="6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A7BA1">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sz w:val="24"/>
                <w:szCs w:val="24"/>
                <w:u w:val="none"/>
                <w:lang w:val="en-US"/>
              </w:rPr>
            </w:pPr>
            <w:r>
              <w:rPr>
                <w:rFonts w:hint="eastAsia" w:ascii="宋体" w:hAnsi="宋体" w:cs="宋体"/>
                <w:i w:val="0"/>
                <w:iCs w:val="0"/>
                <w:color w:val="auto"/>
                <w:kern w:val="0"/>
                <w:sz w:val="24"/>
                <w:szCs w:val="24"/>
                <w:u w:val="none"/>
                <w:lang w:val="en-US" w:eastAsia="zh-CN" w:bidi="ar"/>
              </w:rPr>
              <w:t>10</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693E0">
            <w:pPr>
              <w:keepNext w:val="0"/>
              <w:keepLines w:val="0"/>
              <w:pageBreakBefore w:val="0"/>
              <w:widowControl/>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投标人提供</w:t>
            </w:r>
            <w:r>
              <w:rPr>
                <w:rFonts w:hint="eastAsia" w:ascii="宋体" w:hAnsi="宋体" w:cs="宋体"/>
                <w:b/>
                <w:bCs/>
                <w:i w:val="0"/>
                <w:iCs w:val="0"/>
                <w:color w:val="auto"/>
                <w:kern w:val="0"/>
                <w:sz w:val="24"/>
                <w:szCs w:val="24"/>
                <w:u w:val="none"/>
                <w:lang w:val="en-US" w:eastAsia="zh-CN" w:bidi="ar"/>
              </w:rPr>
              <w:t>的2名</w:t>
            </w:r>
            <w:r>
              <w:rPr>
                <w:rFonts w:hint="eastAsia" w:ascii="宋体" w:hAnsi="宋体" w:eastAsia="宋体" w:cs="宋体"/>
                <w:b/>
                <w:bCs/>
                <w:i w:val="0"/>
                <w:iCs w:val="0"/>
                <w:color w:val="auto"/>
                <w:kern w:val="0"/>
                <w:sz w:val="24"/>
                <w:szCs w:val="24"/>
                <w:u w:val="none"/>
                <w:lang w:val="en-US" w:eastAsia="zh-CN" w:bidi="ar"/>
              </w:rPr>
              <w:t>驻点人</w:t>
            </w:r>
            <w:r>
              <w:rPr>
                <w:rFonts w:hint="eastAsia" w:ascii="宋体" w:hAnsi="宋体" w:cs="宋体"/>
                <w:b/>
                <w:bCs/>
                <w:i w:val="0"/>
                <w:iCs w:val="0"/>
                <w:color w:val="auto"/>
                <w:kern w:val="0"/>
                <w:sz w:val="24"/>
                <w:szCs w:val="24"/>
                <w:u w:val="none"/>
                <w:lang w:val="en-US" w:eastAsia="zh-CN" w:bidi="ar"/>
              </w:rPr>
              <w:t>员均需满足</w:t>
            </w:r>
            <w:r>
              <w:rPr>
                <w:rFonts w:hint="eastAsia" w:ascii="宋体" w:hAnsi="宋体" w:eastAsia="宋体" w:cs="宋体"/>
                <w:b/>
                <w:bCs/>
                <w:i w:val="0"/>
                <w:iCs w:val="0"/>
                <w:color w:val="auto"/>
                <w:kern w:val="0"/>
                <w:sz w:val="24"/>
                <w:szCs w:val="24"/>
                <w:u w:val="none"/>
                <w:lang w:val="en-US" w:eastAsia="zh-CN" w:bidi="ar"/>
              </w:rPr>
              <w:t>：</w:t>
            </w:r>
          </w:p>
          <w:p w14:paraId="423B7A24">
            <w:pPr>
              <w:keepNext w:val="0"/>
              <w:keepLines w:val="0"/>
              <w:pageBreakBefore w:val="0"/>
              <w:widowControl/>
              <w:numPr>
                <w:ilvl w:val="0"/>
                <w:numId w:val="5"/>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具有</w:t>
            </w:r>
            <w:r>
              <w:rPr>
                <w:rFonts w:hint="eastAsia" w:ascii="宋体" w:hAnsi="宋体" w:eastAsia="宋体" w:cs="宋体"/>
                <w:i w:val="0"/>
                <w:iCs w:val="0"/>
                <w:color w:val="auto"/>
                <w:kern w:val="0"/>
                <w:sz w:val="24"/>
                <w:szCs w:val="24"/>
                <w:u w:val="none"/>
                <w:lang w:val="en-US" w:eastAsia="zh-CN" w:bidi="ar"/>
              </w:rPr>
              <w:t>全日制专科以上计算机专业学历</w:t>
            </w:r>
            <w:r>
              <w:rPr>
                <w:rFonts w:hint="eastAsia" w:ascii="宋体" w:hAnsi="宋体" w:cs="宋体"/>
                <w:i w:val="0"/>
                <w:iCs w:val="0"/>
                <w:color w:val="auto"/>
                <w:kern w:val="0"/>
                <w:sz w:val="24"/>
                <w:szCs w:val="24"/>
                <w:u w:val="none"/>
                <w:lang w:val="en-US" w:eastAsia="zh-CN" w:bidi="ar"/>
              </w:rPr>
              <w:t>，需提供学历证书复印件</w:t>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b/>
                <w:bCs/>
                <w:i w:val="0"/>
                <w:iCs w:val="0"/>
                <w:color w:val="auto"/>
                <w:kern w:val="0"/>
                <w:sz w:val="24"/>
                <w:szCs w:val="24"/>
                <w:u w:val="none"/>
                <w:lang w:val="en-US" w:eastAsia="zh-CN" w:bidi="ar"/>
              </w:rPr>
              <w:t>（3分）</w:t>
            </w:r>
          </w:p>
          <w:p w14:paraId="759E1965">
            <w:pPr>
              <w:keepNext w:val="0"/>
              <w:keepLines w:val="0"/>
              <w:pageBreakBefore w:val="0"/>
              <w:widowControl/>
              <w:numPr>
                <w:ilvl w:val="0"/>
                <w:numId w:val="5"/>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具有具有</w:t>
            </w:r>
            <w:r>
              <w:rPr>
                <w:rFonts w:hint="eastAsia" w:ascii="宋体" w:hAnsi="宋体" w:cs="宋体"/>
                <w:i w:val="0"/>
                <w:iCs w:val="0"/>
                <w:color w:val="auto"/>
                <w:kern w:val="0"/>
                <w:sz w:val="24"/>
                <w:szCs w:val="24"/>
                <w:highlight w:val="none"/>
                <w:u w:val="none"/>
                <w:lang w:val="en-US" w:eastAsia="zh-CN" w:bidi="ar"/>
              </w:rPr>
              <w:t>类似</w:t>
            </w:r>
            <w:r>
              <w:rPr>
                <w:rFonts w:hint="eastAsia" w:ascii="宋体" w:hAnsi="宋体" w:eastAsia="宋体" w:cs="宋体"/>
                <w:i w:val="0"/>
                <w:iCs w:val="0"/>
                <w:color w:val="auto"/>
                <w:kern w:val="0"/>
                <w:sz w:val="24"/>
                <w:szCs w:val="24"/>
                <w:highlight w:val="none"/>
                <w:u w:val="none"/>
                <w:lang w:val="en-US" w:eastAsia="zh-CN" w:bidi="ar"/>
              </w:rPr>
              <w:t>网络安</w:t>
            </w:r>
            <w:r>
              <w:rPr>
                <w:rFonts w:hint="eastAsia" w:ascii="宋体" w:hAnsi="宋体" w:eastAsia="宋体" w:cs="宋体"/>
                <w:i w:val="0"/>
                <w:iCs w:val="0"/>
                <w:color w:val="auto"/>
                <w:kern w:val="0"/>
                <w:sz w:val="24"/>
                <w:szCs w:val="24"/>
                <w:u w:val="none"/>
                <w:lang w:val="en-US" w:eastAsia="zh-CN" w:bidi="ar"/>
              </w:rPr>
              <w:t>全工作经验</w:t>
            </w:r>
            <w:r>
              <w:rPr>
                <w:rFonts w:hint="eastAsia" w:ascii="宋体" w:hAnsi="宋体" w:cs="宋体"/>
                <w:i w:val="0"/>
                <w:iCs w:val="0"/>
                <w:color w:val="auto"/>
                <w:kern w:val="0"/>
                <w:sz w:val="24"/>
                <w:szCs w:val="24"/>
                <w:u w:val="none"/>
                <w:lang w:val="en-US" w:eastAsia="zh-CN" w:bidi="ar"/>
              </w:rPr>
              <w:t>，需提供业绩合同或业主证明材料（需体现人员姓名信息）</w:t>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b/>
                <w:bCs/>
                <w:i w:val="0"/>
                <w:iCs w:val="0"/>
                <w:color w:val="auto"/>
                <w:kern w:val="0"/>
                <w:sz w:val="24"/>
                <w:szCs w:val="24"/>
                <w:u w:val="none"/>
                <w:lang w:val="en-US" w:eastAsia="zh-CN" w:bidi="ar"/>
              </w:rPr>
              <w:t>（3分）</w:t>
            </w:r>
          </w:p>
          <w:p w14:paraId="3DCB9695">
            <w:pPr>
              <w:keepNext w:val="0"/>
              <w:keepLines w:val="0"/>
              <w:pageBreakBefore w:val="0"/>
              <w:widowControl/>
              <w:numPr>
                <w:ilvl w:val="0"/>
                <w:numId w:val="5"/>
              </w:numPr>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年龄55周岁（含）以下；</w:t>
            </w:r>
            <w:r>
              <w:rPr>
                <w:rFonts w:hint="eastAsia" w:ascii="宋体" w:hAnsi="宋体" w:cs="宋体"/>
                <w:b/>
                <w:bCs/>
                <w:i w:val="0"/>
                <w:iCs w:val="0"/>
                <w:color w:val="auto"/>
                <w:kern w:val="0"/>
                <w:sz w:val="24"/>
                <w:szCs w:val="24"/>
                <w:u w:val="none"/>
                <w:lang w:val="en-US" w:eastAsia="zh-CN" w:bidi="ar"/>
              </w:rPr>
              <w:t>（3分）</w:t>
            </w:r>
          </w:p>
          <w:p w14:paraId="1DC9665A">
            <w:pPr>
              <w:keepNext w:val="0"/>
              <w:keepLines w:val="0"/>
              <w:pageBreakBefore w:val="0"/>
              <w:widowControl/>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cs="宋体"/>
                <w:b/>
                <w:bCs/>
                <w:i w:val="0"/>
                <w:iCs w:val="0"/>
                <w:color w:val="auto"/>
                <w:kern w:val="0"/>
                <w:sz w:val="24"/>
                <w:szCs w:val="24"/>
                <w:u w:val="none"/>
                <w:lang w:val="en-US" w:eastAsia="zh-CN" w:bidi="ar"/>
              </w:rPr>
            </w:pPr>
            <w:r>
              <w:rPr>
                <w:rFonts w:hint="eastAsia" w:ascii="宋体" w:hAnsi="宋体" w:cs="宋体"/>
                <w:b/>
                <w:bCs/>
                <w:i w:val="0"/>
                <w:iCs w:val="0"/>
                <w:color w:val="auto"/>
                <w:kern w:val="0"/>
                <w:sz w:val="24"/>
                <w:szCs w:val="24"/>
                <w:u w:val="none"/>
                <w:lang w:val="en-US" w:eastAsia="zh-CN" w:bidi="ar"/>
              </w:rPr>
              <w:t>其中的1名驻点人员：</w:t>
            </w:r>
          </w:p>
          <w:p w14:paraId="58043F05">
            <w:pPr>
              <w:keepNext w:val="0"/>
              <w:keepLines w:val="0"/>
              <w:pageBreakBefore w:val="0"/>
              <w:widowControl/>
              <w:suppressLineNumbers w:val="0"/>
              <w:kinsoku/>
              <w:wordWrap/>
              <w:overflowPunct/>
              <w:topLinePunct w:val="0"/>
              <w:autoSpaceDE/>
              <w:autoSpaceDN/>
              <w:bidi w:val="0"/>
              <w:adjustRightInd w:val="0"/>
              <w:snapToGrid/>
              <w:spacing w:line="400" w:lineRule="exact"/>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（4）具有</w:t>
            </w:r>
            <w:r>
              <w:rPr>
                <w:rFonts w:hint="eastAsia" w:ascii="宋体" w:hAnsi="宋体" w:eastAsia="宋体" w:cs="宋体"/>
                <w:color w:val="auto"/>
                <w:sz w:val="24"/>
              </w:rPr>
              <w:t>信息安全工程师</w:t>
            </w:r>
            <w:r>
              <w:rPr>
                <w:rFonts w:hint="eastAsia" w:ascii="宋体" w:hAnsi="宋体" w:eastAsia="宋体" w:cs="宋体"/>
                <w:color w:val="auto"/>
                <w:sz w:val="24"/>
                <w:lang w:eastAsia="zh-Hans"/>
              </w:rPr>
              <w:t>（国家人力资源和社会保障部、工业和信息化部共同颁发）</w:t>
            </w:r>
            <w:r>
              <w:rPr>
                <w:rFonts w:hint="eastAsia" w:ascii="宋体" w:hAnsi="宋体" w:eastAsia="宋体" w:cs="宋体"/>
                <w:color w:val="auto"/>
                <w:sz w:val="24"/>
              </w:rPr>
              <w:t>或</w:t>
            </w:r>
            <w:r>
              <w:rPr>
                <w:rFonts w:hint="eastAsia" w:ascii="宋体" w:hAnsi="宋体" w:eastAsia="宋体" w:cs="宋体"/>
                <w:color w:val="auto"/>
                <w:sz w:val="24"/>
                <w:lang w:eastAsia="zh-Hans"/>
              </w:rPr>
              <w:t>系统集成项目管理工程师（国家人力资源和社会保障部、工业和信息化部共同颁发）</w:t>
            </w:r>
            <w:r>
              <w:rPr>
                <w:rFonts w:hint="eastAsia" w:ascii="宋体" w:hAnsi="宋体" w:cs="宋体"/>
                <w:color w:val="auto"/>
                <w:sz w:val="24"/>
                <w:lang w:val="en-US" w:eastAsia="zh-CN"/>
              </w:rPr>
              <w:t>证书，提供资质证书复印件</w:t>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b/>
                <w:bCs/>
                <w:i w:val="0"/>
                <w:iCs w:val="0"/>
                <w:color w:val="auto"/>
                <w:kern w:val="0"/>
                <w:sz w:val="24"/>
                <w:szCs w:val="24"/>
                <w:u w:val="none"/>
                <w:lang w:val="en-US" w:eastAsia="zh-CN" w:bidi="ar"/>
              </w:rPr>
              <w:t>（3分）</w:t>
            </w:r>
          </w:p>
          <w:p w14:paraId="1E1FFAA3">
            <w:pPr>
              <w:keepNext w:val="0"/>
              <w:keepLines w:val="0"/>
              <w:widowControl/>
              <w:spacing w:line="400" w:lineRule="exact"/>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每项满足得3分，不满足不得分，最高得12分。</w:t>
            </w:r>
          </w:p>
          <w:p w14:paraId="0266F3BB">
            <w:pPr>
              <w:keepNext w:val="0"/>
              <w:keepLines w:val="0"/>
              <w:widowControl/>
              <w:numPr>
                <w:ilvl w:val="0"/>
                <w:numId w:val="0"/>
              </w:numPr>
              <w:spacing w:line="400" w:lineRule="exact"/>
              <w:jc w:val="both"/>
              <w:textAlignment w:val="center"/>
              <w:rPr>
                <w:rFonts w:hint="eastAsia"/>
                <w:color w:val="auto"/>
              </w:rPr>
            </w:pPr>
            <w:r>
              <w:rPr>
                <w:rFonts w:hint="eastAsia" w:ascii="宋体" w:hAnsi="宋体" w:eastAsia="宋体" w:cs="宋体"/>
                <w:i w:val="0"/>
                <w:iCs w:val="0"/>
                <w:color w:val="auto"/>
                <w:kern w:val="0"/>
                <w:sz w:val="24"/>
                <w:szCs w:val="24"/>
                <w:u w:val="none"/>
                <w:lang w:val="en-US" w:eastAsia="zh-CN" w:bidi="ar"/>
              </w:rPr>
              <w:t>（需提供人员身份证复印件、社保缴纳证明材料，否则不得分）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DBD79">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12</w:t>
            </w:r>
          </w:p>
        </w:tc>
        <w:tc>
          <w:tcPr>
            <w:tcW w:w="10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94D28C">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4DEB63">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三、人员要求</w:t>
            </w:r>
          </w:p>
        </w:tc>
      </w:tr>
      <w:tr w14:paraId="4B19E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95" w:hRule="atLeast"/>
          <w:jc w:val="center"/>
        </w:trPr>
        <w:tc>
          <w:tcPr>
            <w:tcW w:w="62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D56EB2">
            <w:pPr>
              <w:spacing w:beforeLines="50" w:afterLines="50" w:line="360" w:lineRule="exact"/>
              <w:jc w:val="center"/>
              <w:rPr>
                <w:rFonts w:hint="eastAsia" w:ascii="宋体" w:hAnsi="宋体" w:eastAsia="宋体" w:cs="宋体"/>
                <w:i w:val="0"/>
                <w:iCs w:val="0"/>
                <w:color w:val="auto"/>
                <w:sz w:val="24"/>
                <w:szCs w:val="24"/>
                <w:u w:val="none"/>
              </w:rPr>
            </w:pP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124EE">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投标人提供项目小组：</w:t>
            </w:r>
          </w:p>
          <w:p w14:paraId="590AC7DB">
            <w:pPr>
              <w:keepNext w:val="0"/>
              <w:keepLines w:val="0"/>
              <w:pageBreakBefore w:val="0"/>
              <w:widowControl/>
              <w:numPr>
                <w:ilvl w:val="0"/>
                <w:numId w:val="6"/>
              </w:numPr>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按照实际工作需求为本项目配备项目小组，并明确人员分工职责（须包含一名项目负责人）。</w:t>
            </w:r>
            <w:r>
              <w:rPr>
                <w:rFonts w:hint="eastAsia" w:ascii="宋体" w:hAnsi="宋体" w:cs="宋体"/>
                <w:b/>
                <w:bCs/>
                <w:i w:val="0"/>
                <w:iCs w:val="0"/>
                <w:color w:val="auto"/>
                <w:kern w:val="0"/>
                <w:sz w:val="24"/>
                <w:szCs w:val="24"/>
                <w:u w:val="none"/>
                <w:lang w:val="en-US" w:eastAsia="zh-CN" w:bidi="ar"/>
              </w:rPr>
              <w:t>（2分）</w:t>
            </w:r>
          </w:p>
          <w:p w14:paraId="14CB8A69">
            <w:pPr>
              <w:keepNext w:val="0"/>
              <w:keepLines w:val="0"/>
              <w:pageBreakBefore w:val="0"/>
              <w:widowControl/>
              <w:numPr>
                <w:ilvl w:val="0"/>
                <w:numId w:val="6"/>
              </w:numPr>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人员配备标准：除2名驻点人员外，项目组人员中须配备至少2名人员具有信息安全工程师（国家人力资源和社会保障部、工业和信息化部共同颁发）或系统集成项目管理工程师（国家人力资源和社会保障部、工业和信息化部共同颁发）</w:t>
            </w:r>
            <w:r>
              <w:rPr>
                <w:rFonts w:hint="eastAsia" w:ascii="宋体" w:hAnsi="宋体" w:cs="宋体"/>
                <w:i w:val="0"/>
                <w:iCs w:val="0"/>
                <w:color w:val="auto"/>
                <w:kern w:val="0"/>
                <w:sz w:val="24"/>
                <w:szCs w:val="24"/>
                <w:u w:val="none"/>
                <w:lang w:val="en-US" w:eastAsia="zh-CN" w:bidi="ar"/>
              </w:rPr>
              <w:t>证书，需提供资质证书复印件</w:t>
            </w:r>
            <w:r>
              <w:rPr>
                <w:rFonts w:hint="eastAsia" w:ascii="宋体" w:hAnsi="宋体" w:eastAsia="宋体" w:cs="宋体"/>
                <w:i w:val="0"/>
                <w:iCs w:val="0"/>
                <w:color w:val="auto"/>
                <w:kern w:val="0"/>
                <w:sz w:val="24"/>
                <w:szCs w:val="24"/>
                <w:u w:val="none"/>
                <w:lang w:val="en-US" w:eastAsia="zh-CN" w:bidi="ar"/>
              </w:rPr>
              <w:t>。</w:t>
            </w:r>
            <w:r>
              <w:rPr>
                <w:rFonts w:hint="eastAsia" w:ascii="宋体" w:hAnsi="宋体" w:cs="宋体"/>
                <w:b/>
                <w:bCs/>
                <w:i w:val="0"/>
                <w:iCs w:val="0"/>
                <w:color w:val="auto"/>
                <w:kern w:val="0"/>
                <w:sz w:val="24"/>
                <w:szCs w:val="24"/>
                <w:u w:val="none"/>
                <w:lang w:val="en-US" w:eastAsia="zh-CN" w:bidi="ar"/>
              </w:rPr>
              <w:t>（2分）</w:t>
            </w:r>
          </w:p>
          <w:p w14:paraId="58C0F871">
            <w:pPr>
              <w:keepNext w:val="0"/>
              <w:keepLines w:val="0"/>
              <w:pageBreakBefore w:val="0"/>
              <w:widowControl/>
              <w:numPr>
                <w:ilvl w:val="-1"/>
                <w:numId w:val="0"/>
              </w:numPr>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每项满足得2分，不满足不得分，最高得</w:t>
            </w:r>
            <w:r>
              <w:rPr>
                <w:rFonts w:hint="eastAsia" w:ascii="宋体" w:hAnsi="宋体" w:cs="宋体"/>
                <w:i w:val="0"/>
                <w:iCs w:val="0"/>
                <w:color w:val="auto"/>
                <w:kern w:val="0"/>
                <w:sz w:val="24"/>
                <w:szCs w:val="24"/>
                <w:u w:val="none"/>
                <w:lang w:val="en-US" w:eastAsia="zh-CN" w:bidi="ar"/>
              </w:rPr>
              <w:t>4</w:t>
            </w:r>
            <w:r>
              <w:rPr>
                <w:rFonts w:hint="eastAsia" w:ascii="宋体" w:hAnsi="宋体" w:eastAsia="宋体" w:cs="宋体"/>
                <w:i w:val="0"/>
                <w:iCs w:val="0"/>
                <w:color w:val="auto"/>
                <w:kern w:val="0"/>
                <w:sz w:val="24"/>
                <w:szCs w:val="24"/>
                <w:u w:val="none"/>
                <w:lang w:val="en-US" w:eastAsia="zh-CN" w:bidi="ar"/>
              </w:rPr>
              <w:t>分。</w:t>
            </w:r>
          </w:p>
          <w:p w14:paraId="2E0CE2EC">
            <w:pPr>
              <w:keepNext w:val="0"/>
              <w:keepLines w:val="0"/>
              <w:widowControl/>
              <w:spacing w:line="400" w:lineRule="exact"/>
              <w:jc w:val="both"/>
              <w:textAlignment w:val="center"/>
              <w:rPr>
                <w:rFonts w:hint="default"/>
                <w:color w:val="auto"/>
                <w:lang w:val="en-US"/>
              </w:rPr>
            </w:pPr>
            <w:r>
              <w:rPr>
                <w:rFonts w:hint="eastAsia" w:ascii="宋体" w:hAnsi="宋体" w:eastAsia="宋体" w:cs="宋体"/>
                <w:i w:val="0"/>
                <w:iCs w:val="0"/>
                <w:color w:val="auto"/>
                <w:kern w:val="0"/>
                <w:sz w:val="24"/>
                <w:szCs w:val="24"/>
                <w:u w:val="none"/>
                <w:lang w:val="en-US" w:eastAsia="zh-CN" w:bidi="ar"/>
              </w:rPr>
              <w:t>（需提供人员身份证复印件、社保缴纳证明材料，否则不得分）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CFA4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4</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23790C">
            <w:pPr>
              <w:spacing w:beforeLines="50" w:afterLines="50" w:line="360" w:lineRule="exact"/>
              <w:jc w:val="center"/>
              <w:rPr>
                <w:rFonts w:hint="eastAsia" w:ascii="宋体" w:hAnsi="宋体" w:eastAsia="宋体" w:cs="宋体"/>
                <w:i w:val="0"/>
                <w:iCs w:val="0"/>
                <w:color w:val="auto"/>
                <w:sz w:val="24"/>
                <w:szCs w:val="24"/>
                <w:u w:val="none"/>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257787">
            <w:pPr>
              <w:spacing w:beforeLines="50" w:afterLines="50" w:line="360" w:lineRule="exact"/>
              <w:jc w:val="center"/>
              <w:rPr>
                <w:rFonts w:hint="eastAsia" w:ascii="宋体" w:hAnsi="宋体" w:eastAsia="宋体" w:cs="宋体"/>
                <w:i w:val="0"/>
                <w:iCs w:val="0"/>
                <w:color w:val="auto"/>
                <w:sz w:val="24"/>
                <w:szCs w:val="24"/>
                <w:u w:val="none"/>
              </w:rPr>
            </w:pPr>
          </w:p>
        </w:tc>
      </w:tr>
      <w:tr w14:paraId="4CAA9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B1CE">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sz w:val="24"/>
                <w:szCs w:val="24"/>
                <w:u w:val="none"/>
                <w:lang w:val="en-US"/>
              </w:rPr>
            </w:pPr>
            <w:r>
              <w:rPr>
                <w:rFonts w:hint="eastAsia" w:ascii="宋体" w:hAnsi="宋体" w:cs="宋体"/>
                <w:i w:val="0"/>
                <w:iCs w:val="0"/>
                <w:color w:val="auto"/>
                <w:kern w:val="0"/>
                <w:sz w:val="24"/>
                <w:szCs w:val="24"/>
                <w:u w:val="none"/>
                <w:lang w:val="en-US" w:eastAsia="zh-CN" w:bidi="ar"/>
              </w:rPr>
              <w:t>11</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C1D9C">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0"/>
              <w:jc w:val="both"/>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投标人承诺应在完成服务后五个工作日内提交相关报告，所有报告均以纸质版提交（需经采购人经办人、审核人、供应商签字并加盖公章）。承诺满足得1分，不满足不得分。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F1DB">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57022">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A3D6B">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四、服务报告</w:t>
            </w:r>
          </w:p>
        </w:tc>
      </w:tr>
      <w:tr w14:paraId="61FDE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F965">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r>
              <w:rPr>
                <w:rFonts w:hint="eastAsia" w:ascii="宋体" w:hAnsi="宋体" w:cs="宋体"/>
                <w:i w:val="0"/>
                <w:iCs w:val="0"/>
                <w:color w:val="auto"/>
                <w:kern w:val="0"/>
                <w:sz w:val="24"/>
                <w:szCs w:val="24"/>
                <w:u w:val="none"/>
                <w:lang w:val="en-US" w:eastAsia="zh-CN" w:bidi="ar"/>
              </w:rPr>
              <w:t>2</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8EBF6">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承诺接受采购人对投标人及工作人员开展常态化安全保密教育，签订安全保密承诺书，遵守具体安全管理内容，履行安全保密义务和责任。承诺满足得</w:t>
            </w:r>
            <w:r>
              <w:rPr>
                <w:rFonts w:hint="eastAsia" w:ascii="宋体" w:hAnsi="宋体" w:cs="宋体"/>
                <w:i w:val="0"/>
                <w:iCs w:val="0"/>
                <w:color w:val="auto"/>
                <w:kern w:val="0"/>
                <w:sz w:val="24"/>
                <w:szCs w:val="24"/>
                <w:u w:val="none"/>
                <w:lang w:val="en-US" w:eastAsia="zh-CN" w:bidi="ar"/>
              </w:rPr>
              <w:t>1</w:t>
            </w:r>
            <w:r>
              <w:rPr>
                <w:rFonts w:hint="eastAsia" w:ascii="宋体" w:hAnsi="宋体" w:eastAsia="宋体" w:cs="宋体"/>
                <w:i w:val="0"/>
                <w:iCs w:val="0"/>
                <w:color w:val="auto"/>
                <w:kern w:val="0"/>
                <w:sz w:val="24"/>
                <w:szCs w:val="24"/>
                <w:u w:val="none"/>
                <w:lang w:val="en-US" w:eastAsia="zh-CN" w:bidi="ar"/>
              </w:rPr>
              <w:t>分，不满足不得分。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9326A">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cs="宋体"/>
                <w:i w:val="0"/>
                <w:iCs w:val="0"/>
                <w:color w:val="auto"/>
                <w:kern w:val="0"/>
                <w:sz w:val="24"/>
                <w:szCs w:val="24"/>
                <w:u w:val="none"/>
                <w:lang w:val="en-US" w:eastAsia="zh-CN" w:bidi="ar"/>
              </w:rPr>
              <w:t>1</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57588">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078F1">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五、保密承诺</w:t>
            </w:r>
          </w:p>
        </w:tc>
      </w:tr>
      <w:tr w14:paraId="5AC1E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8"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24757">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13</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3A75A">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default" w:ascii="宋体" w:hAnsi="宋体" w:eastAsia="宋体" w:cs="宋体"/>
                <w:i w:val="0"/>
                <w:iCs w:val="0"/>
                <w:color w:val="auto"/>
                <w:kern w:val="0"/>
                <w:sz w:val="24"/>
                <w:szCs w:val="24"/>
                <w:u w:val="none"/>
                <w:lang w:val="en-US" w:eastAsia="zh-CN" w:bidi="ar"/>
              </w:rPr>
            </w:pPr>
            <w:r>
              <w:rPr>
                <w:rFonts w:hint="default" w:ascii="宋体" w:hAnsi="宋体" w:eastAsia="宋体" w:cs="宋体"/>
                <w:i w:val="0"/>
                <w:iCs w:val="0"/>
                <w:color w:val="auto"/>
                <w:kern w:val="0"/>
                <w:sz w:val="24"/>
                <w:szCs w:val="24"/>
                <w:u w:val="none"/>
                <w:lang w:val="en-US" w:eastAsia="zh-CN" w:bidi="ar"/>
              </w:rPr>
              <w:t>针对本项目网络安全责任和义务的承诺：</w:t>
            </w:r>
          </w:p>
          <w:p w14:paraId="471307DF">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1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①</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明确投标人法定代表人为合作事项网络安全第一责任人，具体承担合作事项的部门主要负责人为直接责任人。</w:t>
            </w:r>
          </w:p>
          <w:p w14:paraId="5BA9151E">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t>②不得转包合同任务。</w:t>
            </w:r>
          </w:p>
          <w:p w14:paraId="3447F5A9">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t>③投标人应制订与合作事项相关的网络安全保障方案和网络安全事件应急预案。</w:t>
            </w:r>
          </w:p>
          <w:p w14:paraId="19A76057">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4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④</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投标人发现网络安全漏洞、缺陷或者其他严重网络安全风险，应及时向采购人报告。</w:t>
            </w:r>
          </w:p>
          <w:p w14:paraId="53821096">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5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⑤</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处理合作事项的信息平台应当优先采用安全可信的硬件和软件产品。</w:t>
            </w:r>
          </w:p>
          <w:p w14:paraId="337153BC">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6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⑥</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发生可能影响合作事项的网络安全重大事项，包括负责人及重要工作人员变更、业务转型、合并重组和投资并购等，投标人应提前向采购人报告。</w:t>
            </w:r>
          </w:p>
          <w:p w14:paraId="6AEC1227">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7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⑦</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采用社会公共网络平台实施合作事项时，严禁涉及国家秘密和警务工作秘密。</w:t>
            </w:r>
          </w:p>
          <w:p w14:paraId="174E6ED5">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lang w:bidi="ar"/>
              </w:rPr>
            </w:pPr>
            <w:r>
              <w:rPr>
                <w:rFonts w:hint="eastAsia" w:ascii="宋体" w:hAnsi="宋体" w:eastAsia="宋体" w:cs="宋体"/>
                <w:color w:val="auto"/>
                <w:sz w:val="24"/>
                <w:lang w:bidi="ar"/>
              </w:rPr>
              <w:fldChar w:fldCharType="begin"/>
            </w:r>
            <w:r>
              <w:rPr>
                <w:rFonts w:hint="eastAsia" w:ascii="宋体" w:hAnsi="宋体" w:eastAsia="宋体" w:cs="宋体"/>
                <w:color w:val="auto"/>
                <w:sz w:val="24"/>
                <w:lang w:bidi="ar"/>
              </w:rPr>
              <w:instrText xml:space="preserve"> = 8 \* GB3 \* MERGEFORMAT </w:instrText>
            </w:r>
            <w:r>
              <w:rPr>
                <w:rFonts w:hint="eastAsia" w:ascii="宋体" w:hAnsi="宋体" w:eastAsia="宋体" w:cs="宋体"/>
                <w:color w:val="auto"/>
                <w:sz w:val="24"/>
                <w:lang w:bidi="ar"/>
              </w:rPr>
              <w:fldChar w:fldCharType="separate"/>
            </w:r>
            <w:r>
              <w:rPr>
                <w:rFonts w:hint="eastAsia" w:ascii="宋体" w:hAnsi="宋体" w:eastAsia="宋体" w:cs="宋体"/>
                <w:color w:val="auto"/>
                <w:sz w:val="24"/>
                <w:lang w:bidi="ar"/>
              </w:rPr>
              <w:t>⑧</w:t>
            </w:r>
            <w:r>
              <w:rPr>
                <w:rFonts w:hint="eastAsia" w:ascii="宋体" w:hAnsi="宋体" w:eastAsia="宋体" w:cs="宋体"/>
                <w:color w:val="auto"/>
                <w:sz w:val="24"/>
                <w:lang w:bidi="ar"/>
              </w:rPr>
              <w:fldChar w:fldCharType="end"/>
            </w:r>
            <w:r>
              <w:rPr>
                <w:rFonts w:hint="eastAsia" w:ascii="宋体" w:hAnsi="宋体" w:eastAsia="宋体" w:cs="宋体"/>
                <w:color w:val="auto"/>
                <w:sz w:val="24"/>
                <w:lang w:bidi="ar"/>
              </w:rPr>
              <w:t>投标人应每年向采购人提交网络安全报告。</w:t>
            </w:r>
          </w:p>
          <w:p w14:paraId="2915E80B">
            <w:pPr>
              <w:keepNext w:val="0"/>
              <w:keepLines w:val="0"/>
              <w:pageBreakBefore w:val="0"/>
              <w:widowControl/>
              <w:kinsoku/>
              <w:wordWrap/>
              <w:overflowPunct/>
              <w:topLinePunct w:val="0"/>
              <w:autoSpaceDE/>
              <w:autoSpaceDN/>
              <w:bidi w:val="0"/>
              <w:adjustRightInd w:val="0"/>
              <w:snapToGrid/>
              <w:spacing w:line="400" w:lineRule="exact"/>
              <w:ind w:firstLine="480" w:firstLineChars="200"/>
              <w:jc w:val="left"/>
              <w:outlineLvl w:val="1"/>
              <w:rPr>
                <w:rFonts w:hint="eastAsia" w:ascii="宋体" w:hAnsi="宋体" w:eastAsia="宋体" w:cs="宋体"/>
                <w:color w:val="auto"/>
                <w:sz w:val="24"/>
              </w:rPr>
            </w:pPr>
            <w:r>
              <w:rPr>
                <w:rFonts w:hint="eastAsia" w:ascii="宋体" w:hAnsi="宋体" w:eastAsia="宋体" w:cs="宋体"/>
                <w:color w:val="auto"/>
                <w:sz w:val="24"/>
                <w:lang w:bidi="ar"/>
              </w:rPr>
              <w:t>⑨其他应当落实的网络安全责任和义务</w:t>
            </w:r>
            <w:r>
              <w:rPr>
                <w:rFonts w:hint="eastAsia" w:ascii="宋体" w:hAnsi="宋体" w:eastAsia="宋体" w:cs="宋体"/>
                <w:color w:val="auto"/>
                <w:sz w:val="24"/>
              </w:rPr>
              <w:t>。</w:t>
            </w:r>
          </w:p>
          <w:p w14:paraId="524FE670">
            <w:pPr>
              <w:keepNext w:val="0"/>
              <w:keepLines w:val="0"/>
              <w:pageBreakBefore w:val="0"/>
              <w:widowControl/>
              <w:suppressLineNumbers w:val="0"/>
              <w:kinsoku/>
              <w:wordWrap/>
              <w:overflowPunct/>
              <w:topLinePunct w:val="0"/>
              <w:autoSpaceDE/>
              <w:autoSpaceDN/>
              <w:bidi w:val="0"/>
              <w:adjustRightInd w:val="0"/>
              <w:snapToGrid/>
              <w:spacing w:line="400" w:lineRule="exact"/>
              <w:jc w:val="left"/>
              <w:textAlignment w:val="center"/>
              <w:rPr>
                <w:rFonts w:hint="default" w:ascii="宋体" w:hAnsi="宋体" w:eastAsia="宋体" w:cs="宋体"/>
                <w:i w:val="0"/>
                <w:iCs w:val="0"/>
                <w:color w:val="auto"/>
                <w:kern w:val="0"/>
                <w:sz w:val="24"/>
                <w:szCs w:val="24"/>
                <w:u w:val="none"/>
                <w:lang w:val="en-US" w:eastAsia="zh-CN" w:bidi="ar"/>
              </w:rPr>
            </w:pPr>
            <w:r>
              <w:rPr>
                <w:rFonts w:hint="default" w:ascii="宋体" w:hAnsi="宋体" w:eastAsia="宋体" w:cs="宋体"/>
                <w:i w:val="0"/>
                <w:iCs w:val="0"/>
                <w:color w:val="auto"/>
                <w:kern w:val="0"/>
                <w:sz w:val="24"/>
                <w:szCs w:val="24"/>
                <w:u w:val="none"/>
                <w:lang w:val="en-US" w:eastAsia="zh-CN" w:bidi="ar"/>
              </w:rPr>
              <w:t>承诺满足</w:t>
            </w:r>
            <w:r>
              <w:rPr>
                <w:rFonts w:hint="eastAsia" w:ascii="宋体" w:hAnsi="宋体" w:cs="宋体"/>
                <w:i w:val="0"/>
                <w:iCs w:val="0"/>
                <w:color w:val="auto"/>
                <w:kern w:val="0"/>
                <w:sz w:val="24"/>
                <w:szCs w:val="24"/>
                <w:u w:val="none"/>
                <w:lang w:val="en-US" w:eastAsia="zh-CN" w:bidi="ar"/>
              </w:rPr>
              <w:t>以上所有网络安全责任和义务要求的得1分</w:t>
            </w:r>
            <w:r>
              <w:rPr>
                <w:rFonts w:hint="default" w:ascii="宋体" w:hAnsi="宋体" w:eastAsia="宋体" w:cs="宋体"/>
                <w:i w:val="0"/>
                <w:iCs w:val="0"/>
                <w:color w:val="auto"/>
                <w:kern w:val="0"/>
                <w:sz w:val="24"/>
                <w:szCs w:val="24"/>
                <w:u w:val="none"/>
                <w:lang w:val="en-US" w:eastAsia="zh-CN" w:bidi="ar"/>
              </w:rPr>
              <w:t>，不满足不得分。</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3BBB">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1</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035F2">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客观分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46569">
            <w:pPr>
              <w:keepNext w:val="0"/>
              <w:keepLines w:val="0"/>
              <w:widowControl/>
              <w:suppressLineNumbers w:val="0"/>
              <w:spacing w:beforeLines="50" w:afterLines="50" w:line="360" w:lineRule="exact"/>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cs="宋体"/>
                <w:i w:val="0"/>
                <w:iCs w:val="0"/>
                <w:color w:val="auto"/>
                <w:kern w:val="0"/>
                <w:sz w:val="24"/>
                <w:szCs w:val="24"/>
                <w:u w:val="none"/>
                <w:lang w:val="en-US" w:eastAsia="zh-CN" w:bidi="ar"/>
              </w:rPr>
              <w:t>六、网络安全</w:t>
            </w:r>
          </w:p>
        </w:tc>
      </w:tr>
      <w:tr w14:paraId="31667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9D065">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r>
              <w:rPr>
                <w:rFonts w:hint="eastAsia" w:ascii="宋体" w:hAnsi="宋体" w:cs="宋体"/>
                <w:i w:val="0"/>
                <w:iCs w:val="0"/>
                <w:color w:val="auto"/>
                <w:kern w:val="0"/>
                <w:sz w:val="24"/>
                <w:szCs w:val="24"/>
                <w:u w:val="none"/>
                <w:lang w:val="en-US" w:eastAsia="zh-CN" w:bidi="ar"/>
              </w:rPr>
              <w:t>4</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6499C">
            <w:pPr>
              <w:keepNext w:val="0"/>
              <w:keepLines w:val="0"/>
              <w:pageBreakBefore w:val="0"/>
              <w:widowControl/>
              <w:kinsoku/>
              <w:wordWrap/>
              <w:overflowPunct/>
              <w:topLinePunct w:val="0"/>
              <w:autoSpaceDE/>
              <w:autoSpaceDN/>
              <w:bidi w:val="0"/>
              <w:adjustRightInd w:val="0"/>
              <w:snapToGrid/>
              <w:spacing w:line="400" w:lineRule="exact"/>
              <w:ind w:firstLineChars="200"/>
              <w:jc w:val="both"/>
              <w:textAlignment w:val="center"/>
              <w:rPr>
                <w:rFonts w:hint="eastAsia" w:ascii="宋体" w:hAnsi="宋体" w:eastAsia="宋体" w:cs="宋体"/>
                <w:color w:val="auto"/>
                <w:kern w:val="0"/>
                <w:sz w:val="24"/>
                <w:u w:val="none"/>
                <w:lang w:bidi="ar"/>
              </w:rPr>
            </w:pPr>
            <w:bookmarkStart w:id="522" w:name="_GoBack"/>
            <w:r>
              <w:rPr>
                <w:rFonts w:hint="eastAsia" w:ascii="宋体" w:hAnsi="宋体" w:eastAsia="宋体" w:cs="宋体"/>
                <w:color w:val="auto"/>
                <w:kern w:val="0"/>
                <w:sz w:val="24"/>
                <w:u w:val="none"/>
                <w:lang w:bidi="ar"/>
              </w:rPr>
              <w:t>投标人自投标截止之日起3年内（以合同签订时间为准），完成过类似</w:t>
            </w:r>
            <w:r>
              <w:rPr>
                <w:rFonts w:hint="eastAsia" w:ascii="宋体" w:hAnsi="宋体" w:eastAsia="宋体" w:cs="宋体"/>
                <w:color w:val="auto"/>
                <w:kern w:val="0"/>
                <w:sz w:val="24"/>
                <w:u w:val="none"/>
                <w:lang w:val="en-US" w:eastAsia="zh-CN" w:bidi="ar"/>
              </w:rPr>
              <w:t>项目</w:t>
            </w:r>
            <w:r>
              <w:rPr>
                <w:rFonts w:hint="eastAsia" w:ascii="宋体" w:hAnsi="宋体" w:eastAsia="宋体" w:cs="宋体"/>
                <w:color w:val="auto"/>
                <w:kern w:val="0"/>
                <w:sz w:val="24"/>
                <w:u w:val="none"/>
                <w:lang w:bidi="ar"/>
              </w:rPr>
              <w:t>合同业绩的，每提供一个得</w:t>
            </w:r>
            <w:r>
              <w:rPr>
                <w:rFonts w:hint="eastAsia" w:ascii="宋体" w:hAnsi="宋体" w:eastAsia="宋体" w:cs="宋体"/>
                <w:color w:val="auto"/>
                <w:kern w:val="0"/>
                <w:sz w:val="24"/>
                <w:u w:val="none"/>
                <w:lang w:val="en-US" w:eastAsia="zh-CN" w:bidi="ar"/>
              </w:rPr>
              <w:t>1</w:t>
            </w:r>
            <w:r>
              <w:rPr>
                <w:rFonts w:hint="eastAsia" w:ascii="宋体" w:hAnsi="宋体" w:eastAsia="宋体" w:cs="宋体"/>
                <w:color w:val="auto"/>
                <w:kern w:val="0"/>
                <w:sz w:val="24"/>
                <w:u w:val="none"/>
                <w:lang w:bidi="ar"/>
              </w:rPr>
              <w:t>分，最高得</w:t>
            </w:r>
            <w:r>
              <w:rPr>
                <w:rFonts w:hint="eastAsia" w:ascii="宋体" w:hAnsi="宋体" w:eastAsia="宋体" w:cs="宋体"/>
                <w:color w:val="auto"/>
                <w:kern w:val="0"/>
                <w:sz w:val="24"/>
                <w:u w:val="none"/>
                <w:lang w:val="en-US" w:eastAsia="zh-CN" w:bidi="ar"/>
              </w:rPr>
              <w:t>2</w:t>
            </w:r>
            <w:r>
              <w:rPr>
                <w:rFonts w:hint="eastAsia" w:ascii="宋体" w:hAnsi="宋体" w:eastAsia="宋体" w:cs="宋体"/>
                <w:color w:val="auto"/>
                <w:kern w:val="0"/>
                <w:sz w:val="24"/>
                <w:u w:val="none"/>
                <w:lang w:bidi="ar"/>
              </w:rPr>
              <w:t>分。</w:t>
            </w:r>
          </w:p>
          <w:p w14:paraId="639CAF98">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200"/>
              <w:jc w:val="both"/>
              <w:textAlignment w:val="center"/>
              <w:rPr>
                <w:rFonts w:hint="eastAsia" w:ascii="宋体" w:hAnsi="宋体" w:eastAsia="宋体" w:cs="宋体"/>
                <w:i w:val="0"/>
                <w:iCs w:val="0"/>
                <w:color w:val="auto"/>
                <w:sz w:val="24"/>
                <w:szCs w:val="24"/>
                <w:u w:val="none"/>
              </w:rPr>
            </w:pPr>
            <w:r>
              <w:rPr>
                <w:rFonts w:hint="eastAsia" w:ascii="宋体" w:hAnsi="宋体" w:eastAsia="宋体" w:cs="宋体"/>
                <w:b w:val="0"/>
                <w:bCs w:val="0"/>
                <w:color w:val="auto"/>
                <w:kern w:val="0"/>
                <w:sz w:val="24"/>
                <w:u w:val="none"/>
                <w:lang w:bidi="ar"/>
              </w:rPr>
              <w:t>【证明材料：1）须提供项目合同及用户验收报告复印件（至少包括首页、盖章页，并须能体现相关评审因素）并加盖投标人公章；2）提供的证明材料须能体现相关评审因素，不提供或者不能提供有效证明的不得分。】</w:t>
            </w:r>
            <w:r>
              <w:rPr>
                <w:rFonts w:hint="eastAsia" w:ascii="宋体" w:hAnsi="宋体" w:eastAsia="宋体" w:cs="宋体"/>
                <w:i w:val="0"/>
                <w:iCs w:val="0"/>
                <w:color w:val="auto"/>
                <w:kern w:val="0"/>
                <w:sz w:val="24"/>
                <w:szCs w:val="24"/>
                <w:u w:val="none"/>
                <w:lang w:val="en-US" w:eastAsia="zh-CN" w:bidi="ar"/>
              </w:rPr>
              <w:t>。</w:t>
            </w:r>
            <w:bookmarkEnd w:id="522"/>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A1FF7">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A8425">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33725">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六、业绩</w:t>
            </w:r>
          </w:p>
        </w:tc>
      </w:tr>
      <w:tr w14:paraId="116CC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1" w:hRule="atLeast"/>
          <w:jc w:val="center"/>
        </w:trPr>
        <w:tc>
          <w:tcPr>
            <w:tcW w:w="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8124E">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r>
              <w:rPr>
                <w:rFonts w:hint="eastAsia" w:ascii="宋体" w:hAnsi="宋体" w:cs="宋体"/>
                <w:i w:val="0"/>
                <w:iCs w:val="0"/>
                <w:color w:val="auto"/>
                <w:kern w:val="0"/>
                <w:sz w:val="24"/>
                <w:szCs w:val="24"/>
                <w:u w:val="none"/>
                <w:lang w:val="en-US" w:eastAsia="zh-CN" w:bidi="ar"/>
              </w:rPr>
              <w:t>5</w:t>
            </w:r>
          </w:p>
        </w:tc>
        <w:tc>
          <w:tcPr>
            <w:tcW w:w="52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A1D7A">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200"/>
              <w:jc w:val="both"/>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有效投标报价的最低价作为评标基准价，其最低报价为满分；按［投标报价得分=（评标基准价/投标报价）*20］的计算公式计算。</w:t>
            </w:r>
          </w:p>
          <w:p w14:paraId="054E983E">
            <w:pPr>
              <w:keepNext w:val="0"/>
              <w:keepLines w:val="0"/>
              <w:pageBreakBefore w:val="0"/>
              <w:widowControl/>
              <w:suppressLineNumbers w:val="0"/>
              <w:kinsoku/>
              <w:wordWrap/>
              <w:overflowPunct/>
              <w:topLinePunct w:val="0"/>
              <w:autoSpaceDE/>
              <w:autoSpaceDN/>
              <w:bidi w:val="0"/>
              <w:adjustRightInd w:val="0"/>
              <w:snapToGrid/>
              <w:spacing w:line="400" w:lineRule="exact"/>
              <w:ind w:firstLineChars="200"/>
              <w:jc w:val="both"/>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评标过程中，不得去掉报价中的最高报价和最低报价。</w:t>
            </w:r>
          </w:p>
        </w:tc>
        <w:tc>
          <w:tcPr>
            <w:tcW w:w="8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C0612">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20</w:t>
            </w:r>
          </w:p>
        </w:tc>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58B9F">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客观分</w:t>
            </w:r>
          </w:p>
        </w:tc>
        <w:tc>
          <w:tcPr>
            <w:tcW w:w="1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3DBAD">
            <w:pPr>
              <w:keepNext w:val="0"/>
              <w:keepLines w:val="0"/>
              <w:widowControl/>
              <w:suppressLineNumbers w:val="0"/>
              <w:spacing w:beforeLines="50" w:afterLines="50" w:line="360" w:lineRule="exact"/>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w:t>
            </w:r>
          </w:p>
        </w:tc>
      </w:tr>
    </w:tbl>
    <w:p w14:paraId="2CC815B6">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评标委员会</w:t>
      </w:r>
      <w:r>
        <w:rPr>
          <w:rFonts w:hint="eastAsia" w:ascii="宋体" w:hAnsi="宋体" w:eastAsia="宋体" w:cs="宋体"/>
          <w:color w:val="auto"/>
          <w:kern w:val="0"/>
          <w:sz w:val="24"/>
          <w:highlight w:val="none"/>
        </w:rPr>
        <w:t>成员个人主观打分偏离所有</w:t>
      </w:r>
      <w:r>
        <w:rPr>
          <w:rFonts w:hint="eastAsia" w:ascii="宋体" w:hAnsi="宋体" w:cs="宋体"/>
          <w:color w:val="auto"/>
          <w:kern w:val="0"/>
          <w:sz w:val="24"/>
          <w:highlight w:val="none"/>
        </w:rPr>
        <w:t>评标委员会</w:t>
      </w:r>
      <w:r>
        <w:rPr>
          <w:rFonts w:hint="eastAsia" w:ascii="宋体" w:hAnsi="宋体" w:eastAsia="宋体" w:cs="宋体"/>
          <w:color w:val="auto"/>
          <w:kern w:val="0"/>
          <w:sz w:val="24"/>
          <w:highlight w:val="none"/>
        </w:rPr>
        <w:t>成员主观打分平均值30%以上的，由</w:t>
      </w:r>
      <w:r>
        <w:rPr>
          <w:rFonts w:hint="eastAsia" w:ascii="宋体" w:hAnsi="宋体" w:cs="宋体"/>
          <w:color w:val="auto"/>
          <w:kern w:val="0"/>
          <w:sz w:val="24"/>
          <w:highlight w:val="none"/>
        </w:rPr>
        <w:t>评标委员会</w:t>
      </w:r>
      <w:r>
        <w:rPr>
          <w:rFonts w:hint="eastAsia" w:ascii="宋体" w:hAnsi="宋体" w:eastAsia="宋体" w:cs="宋体"/>
          <w:color w:val="auto"/>
          <w:kern w:val="0"/>
          <w:sz w:val="24"/>
          <w:highlight w:val="none"/>
        </w:rPr>
        <w:t>启动评分畸高、畸低行为认定程序，限制专家自由裁量权</w:t>
      </w:r>
      <w:r>
        <w:rPr>
          <w:rFonts w:hint="eastAsia" w:ascii="宋体" w:hAnsi="宋体" w:cs="宋体"/>
          <w:color w:val="auto"/>
          <w:kern w:val="0"/>
          <w:sz w:val="24"/>
          <w:highlight w:val="none"/>
        </w:rPr>
        <w:t>。</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1名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28"/>
    <w:p w14:paraId="6D191506">
      <w:pPr>
        <w:spacing w:line="360" w:lineRule="auto"/>
        <w:outlineLvl w:val="0"/>
        <w:rPr>
          <w:rFonts w:ascii="宋体" w:hAnsi="宋体" w:cs="宋体"/>
          <w:b/>
          <w:color w:val="auto"/>
          <w:sz w:val="36"/>
          <w:szCs w:val="36"/>
          <w:highlight w:val="none"/>
        </w:rPr>
      </w:pPr>
      <w:bookmarkStart w:id="396" w:name="第五部分"/>
      <w:bookmarkStart w:id="397" w:name="_Toc86217003"/>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72495EA9">
      <w:pPr>
        <w:spacing w:line="360" w:lineRule="auto"/>
        <w:ind w:left="720" w:leftChars="343" w:firstLine="1084" w:firstLineChars="300"/>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第五部分 拟签订的合同文本</w:t>
      </w:r>
    </w:p>
    <w:p w14:paraId="08BCBC2F">
      <w:pPr>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合同编号：</w:t>
      </w:r>
      <w:r>
        <w:rPr>
          <w:rFonts w:hint="eastAsia" w:asciiTheme="minorEastAsia" w:hAnsiTheme="minorEastAsia" w:eastAsiaTheme="minorEastAsia" w:cstheme="minorEastAsia"/>
          <w:color w:val="auto"/>
          <w:sz w:val="24"/>
          <w:highlight w:val="none"/>
          <w:u w:val="single"/>
        </w:rPr>
        <w:t xml:space="preserve">           </w:t>
      </w:r>
    </w:p>
    <w:p w14:paraId="165E7296">
      <w:pPr>
        <w:spacing w:line="360" w:lineRule="auto"/>
        <w:jc w:val="center"/>
        <w:rPr>
          <w:rFonts w:hint="eastAsia" w:asciiTheme="minorEastAsia" w:hAnsiTheme="minorEastAsia" w:eastAsiaTheme="minorEastAsia" w:cstheme="minorEastAsia"/>
          <w:b/>
          <w:color w:val="auto"/>
          <w:sz w:val="28"/>
          <w:szCs w:val="28"/>
          <w:highlight w:val="none"/>
        </w:rPr>
      </w:pPr>
    </w:p>
    <w:p w14:paraId="79DA28DB">
      <w:pPr>
        <w:spacing w:line="360" w:lineRule="auto"/>
        <w:jc w:val="center"/>
        <w:rPr>
          <w:rFonts w:hint="eastAsia" w:asciiTheme="minorEastAsia" w:hAnsiTheme="minorEastAsia" w:eastAsiaTheme="minorEastAsia" w:cstheme="minorEastAsia"/>
          <w:b/>
          <w:color w:val="auto"/>
          <w:sz w:val="24"/>
          <w:highlight w:val="none"/>
        </w:rPr>
      </w:pPr>
    </w:p>
    <w:p w14:paraId="2947D434">
      <w:pPr>
        <w:spacing w:line="360" w:lineRule="auto"/>
        <w:jc w:val="center"/>
        <w:rPr>
          <w:rFonts w:hint="eastAsia" w:asciiTheme="minorEastAsia" w:hAnsiTheme="minorEastAsia" w:eastAsiaTheme="minorEastAsia" w:cstheme="minorEastAsia"/>
          <w:b/>
          <w:color w:val="auto"/>
          <w:sz w:val="24"/>
          <w:highlight w:val="none"/>
        </w:rPr>
      </w:pPr>
    </w:p>
    <w:p w14:paraId="5EC430C2">
      <w:pPr>
        <w:pStyle w:val="702"/>
        <w:spacing w:line="360" w:lineRule="auto"/>
        <w:ind w:firstLine="2843" w:firstLineChars="11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第一部分 合同书</w:t>
      </w:r>
    </w:p>
    <w:p w14:paraId="313DFB90">
      <w:pPr>
        <w:spacing w:before="120" w:line="360" w:lineRule="auto"/>
        <w:rPr>
          <w:rFonts w:hint="eastAsia" w:asciiTheme="minorEastAsia" w:hAnsiTheme="minorEastAsia" w:eastAsiaTheme="minorEastAsia" w:cstheme="minorEastAsia"/>
          <w:color w:val="auto"/>
          <w:sz w:val="24"/>
          <w:highlight w:val="none"/>
        </w:rPr>
      </w:pPr>
    </w:p>
    <w:p w14:paraId="37A39825">
      <w:pPr>
        <w:pStyle w:val="2"/>
        <w:spacing w:line="360" w:lineRule="auto"/>
        <w:rPr>
          <w:rFonts w:hint="eastAsia" w:asciiTheme="minorEastAsia" w:hAnsiTheme="minorEastAsia" w:eastAsiaTheme="minorEastAsia" w:cstheme="minorEastAsia"/>
          <w:color w:val="auto"/>
          <w:highlight w:val="none"/>
        </w:rPr>
      </w:pPr>
    </w:p>
    <w:p w14:paraId="6C206D66">
      <w:pPr>
        <w:spacing w:before="120" w:line="360" w:lineRule="auto"/>
        <w:ind w:left="96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杭州市公安业务网安全服务项目</w:t>
      </w:r>
      <w:r>
        <w:rPr>
          <w:rFonts w:hint="eastAsia" w:asciiTheme="minorEastAsia" w:hAnsiTheme="minorEastAsia" w:eastAsiaTheme="minorEastAsia" w:cstheme="minorEastAsia"/>
          <w:color w:val="auto"/>
          <w:sz w:val="24"/>
          <w:highlight w:val="none"/>
          <w:u w:val="single"/>
        </w:rPr>
        <w:t xml:space="preserve">      </w:t>
      </w:r>
    </w:p>
    <w:p w14:paraId="0E8AB670">
      <w:pPr>
        <w:pStyle w:val="599"/>
        <w:spacing w:before="120" w:line="360" w:lineRule="auto"/>
        <w:rPr>
          <w:rFonts w:hint="eastAsia" w:asciiTheme="minorEastAsia" w:hAnsiTheme="minorEastAsia" w:eastAsiaTheme="minorEastAsia" w:cstheme="minorEastAsia"/>
          <w:color w:val="auto"/>
          <w:szCs w:val="24"/>
          <w:highlight w:val="none"/>
        </w:rPr>
      </w:pPr>
    </w:p>
    <w:p w14:paraId="386BBB1C">
      <w:pPr>
        <w:pStyle w:val="599"/>
        <w:spacing w:before="120" w:line="360" w:lineRule="auto"/>
        <w:rPr>
          <w:rFonts w:hint="eastAsia" w:asciiTheme="minorEastAsia" w:hAnsiTheme="minorEastAsia" w:eastAsiaTheme="minorEastAsia" w:cstheme="minorEastAsia"/>
          <w:color w:val="auto"/>
          <w:szCs w:val="24"/>
          <w:highlight w:val="none"/>
        </w:rPr>
      </w:pPr>
    </w:p>
    <w:p w14:paraId="6C538A67">
      <w:pPr>
        <w:spacing w:line="360" w:lineRule="auto"/>
        <w:rPr>
          <w:rFonts w:hint="eastAsia" w:asciiTheme="minorEastAsia" w:hAnsiTheme="minorEastAsia" w:eastAsiaTheme="minorEastAsia" w:cstheme="minorEastAsia"/>
          <w:color w:val="auto"/>
          <w:sz w:val="24"/>
          <w:highlight w:val="none"/>
        </w:rPr>
      </w:pPr>
    </w:p>
    <w:p w14:paraId="3E7C18AD">
      <w:pPr>
        <w:spacing w:before="120" w:line="360" w:lineRule="auto"/>
        <w:ind w:left="96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甲方：</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杭州市公安局</w:t>
      </w:r>
      <w:r>
        <w:rPr>
          <w:rFonts w:hint="eastAsia" w:asciiTheme="minorEastAsia" w:hAnsiTheme="minorEastAsia" w:eastAsiaTheme="minorEastAsia" w:cstheme="minorEastAsia"/>
          <w:color w:val="auto"/>
          <w:sz w:val="24"/>
          <w:highlight w:val="none"/>
          <w:u w:val="single"/>
        </w:rPr>
        <w:t xml:space="preserve">           </w:t>
      </w:r>
    </w:p>
    <w:p w14:paraId="1EC3FDA2">
      <w:pPr>
        <w:spacing w:before="120" w:line="360" w:lineRule="auto"/>
        <w:rPr>
          <w:rFonts w:hint="eastAsia" w:asciiTheme="minorEastAsia" w:hAnsiTheme="minorEastAsia" w:eastAsiaTheme="minorEastAsia" w:cstheme="minorEastAsia"/>
          <w:color w:val="auto"/>
          <w:sz w:val="24"/>
          <w:highlight w:val="none"/>
        </w:rPr>
      </w:pPr>
    </w:p>
    <w:p w14:paraId="35671865">
      <w:pPr>
        <w:spacing w:before="120" w:line="360" w:lineRule="auto"/>
        <w:ind w:left="96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乙方：</w:t>
      </w:r>
      <w:r>
        <w:rPr>
          <w:rFonts w:hint="eastAsia" w:asciiTheme="minorEastAsia" w:hAnsiTheme="minorEastAsia" w:eastAsiaTheme="minorEastAsia" w:cstheme="minorEastAsia"/>
          <w:color w:val="auto"/>
          <w:sz w:val="24"/>
          <w:highlight w:val="none"/>
          <w:u w:val="single"/>
        </w:rPr>
        <w:t xml:space="preserve">                                       </w:t>
      </w:r>
    </w:p>
    <w:p w14:paraId="6E0258C3">
      <w:pPr>
        <w:spacing w:before="120" w:line="360" w:lineRule="auto"/>
        <w:rPr>
          <w:rFonts w:hint="eastAsia" w:asciiTheme="minorEastAsia" w:hAnsiTheme="minorEastAsia" w:eastAsiaTheme="minorEastAsia" w:cstheme="minorEastAsia"/>
          <w:color w:val="auto"/>
          <w:sz w:val="24"/>
          <w:highlight w:val="none"/>
        </w:rPr>
      </w:pPr>
    </w:p>
    <w:p w14:paraId="402B540A">
      <w:pPr>
        <w:spacing w:before="120" w:line="360" w:lineRule="auto"/>
        <w:ind w:firstLine="960" w:firstLineChars="4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签订地：</w:t>
      </w:r>
      <w:r>
        <w:rPr>
          <w:rFonts w:hint="eastAsia" w:asciiTheme="minorEastAsia" w:hAnsiTheme="minorEastAsia" w:eastAsiaTheme="minorEastAsia" w:cstheme="minorEastAsia"/>
          <w:color w:val="auto"/>
          <w:sz w:val="24"/>
          <w:highlight w:val="none"/>
          <w:u w:val="single"/>
        </w:rPr>
        <w:t xml:space="preserve">                                     </w:t>
      </w:r>
    </w:p>
    <w:p w14:paraId="2169C513">
      <w:pPr>
        <w:spacing w:before="120" w:line="360" w:lineRule="auto"/>
        <w:rPr>
          <w:rFonts w:hint="eastAsia" w:asciiTheme="minorEastAsia" w:hAnsiTheme="minorEastAsia" w:eastAsiaTheme="minorEastAsia" w:cstheme="minorEastAsia"/>
          <w:color w:val="auto"/>
          <w:sz w:val="24"/>
          <w:highlight w:val="none"/>
        </w:rPr>
      </w:pPr>
    </w:p>
    <w:p w14:paraId="4C62E5DA">
      <w:pPr>
        <w:spacing w:before="120" w:line="360" w:lineRule="auto"/>
        <w:ind w:firstLine="960" w:firstLineChars="4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签订日期：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日</w:t>
      </w:r>
    </w:p>
    <w:p w14:paraId="2D5D137F">
      <w:pPr>
        <w:widowControl/>
        <w:spacing w:line="360" w:lineRule="auto"/>
        <w:jc w:val="left"/>
        <w:rPr>
          <w:rFonts w:hint="eastAsia" w:asciiTheme="minorEastAsia" w:hAnsiTheme="minorEastAsia" w:eastAsiaTheme="minorEastAsia" w:cstheme="minorEastAsia"/>
          <w:color w:val="auto"/>
          <w:kern w:val="0"/>
          <w:sz w:val="24"/>
          <w:highlight w:val="none"/>
        </w:rPr>
        <w:sectPr>
          <w:pgSz w:w="11907" w:h="16840"/>
          <w:pgMar w:top="1474" w:right="1814" w:bottom="1474" w:left="1814" w:header="851" w:footer="851" w:gutter="0"/>
          <w:cols w:space="720" w:num="1"/>
        </w:sectPr>
      </w:pPr>
    </w:p>
    <w:p w14:paraId="7FF00D87">
      <w:pPr>
        <w:spacing w:line="360" w:lineRule="auto"/>
        <w:rPr>
          <w:rFonts w:hint="eastAsia" w:asciiTheme="minorEastAsia" w:hAnsiTheme="minorEastAsia" w:eastAsiaTheme="minorEastAsia" w:cstheme="minorEastAsia"/>
          <w:b/>
          <w:color w:val="auto"/>
          <w:sz w:val="24"/>
          <w:highlight w:val="none"/>
        </w:rPr>
      </w:pPr>
    </w:p>
    <w:p w14:paraId="78404B1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lang w:val="zh-CN"/>
        </w:rPr>
        <w:t xml:space="preserve">        </w:t>
      </w:r>
      <w:r>
        <w:rPr>
          <w:rFonts w:hint="eastAsia" w:asciiTheme="minorEastAsia" w:hAnsiTheme="minorEastAsia" w:eastAsiaTheme="minorEastAsia" w:cstheme="minorEastAsia"/>
          <w:color w:val="auto"/>
          <w:sz w:val="24"/>
          <w:highlight w:val="none"/>
          <w:lang w:val="zh-CN"/>
        </w:rPr>
        <w:t>年</w:t>
      </w:r>
      <w:r>
        <w:rPr>
          <w:rFonts w:hint="eastAsia" w:asciiTheme="minorEastAsia" w:hAnsiTheme="minorEastAsia" w:eastAsiaTheme="minorEastAsia" w:cstheme="minorEastAsia"/>
          <w:color w:val="auto"/>
          <w:sz w:val="24"/>
          <w:highlight w:val="none"/>
          <w:u w:val="single"/>
          <w:lang w:val="zh-CN"/>
        </w:rPr>
        <w:t xml:space="preserve">    </w:t>
      </w:r>
      <w:r>
        <w:rPr>
          <w:rFonts w:hint="eastAsia" w:asciiTheme="minorEastAsia" w:hAnsiTheme="minorEastAsia" w:eastAsiaTheme="minorEastAsia" w:cstheme="minorEastAsia"/>
          <w:color w:val="auto"/>
          <w:sz w:val="24"/>
          <w:highlight w:val="none"/>
          <w:lang w:val="zh-CN"/>
        </w:rPr>
        <w:t>月</w:t>
      </w:r>
      <w:r>
        <w:rPr>
          <w:rFonts w:hint="eastAsia" w:asciiTheme="minorEastAsia" w:hAnsiTheme="minorEastAsia" w:eastAsiaTheme="minorEastAsia" w:cstheme="minorEastAsia"/>
          <w:color w:val="auto"/>
          <w:sz w:val="24"/>
          <w:highlight w:val="none"/>
          <w:u w:val="single"/>
          <w:lang w:val="zh-CN"/>
        </w:rPr>
        <w:t xml:space="preserve">    </w:t>
      </w:r>
      <w:r>
        <w:rPr>
          <w:rFonts w:hint="eastAsia" w:asciiTheme="minorEastAsia" w:hAnsiTheme="minorEastAsia" w:eastAsiaTheme="minorEastAsia" w:cstheme="minorEastAsia"/>
          <w:color w:val="auto"/>
          <w:sz w:val="24"/>
          <w:highlight w:val="none"/>
          <w:lang w:val="zh-CN"/>
        </w:rPr>
        <w:t>日</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杭州市公安局</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以</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公开招标</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对</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杭州市公安业务网安全服务项目</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项目进行了采购。经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评标委员会</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评定，</w:t>
      </w:r>
      <w:r>
        <w:rPr>
          <w:rFonts w:hint="eastAsia" w:asciiTheme="minorEastAsia" w:hAnsiTheme="minorEastAsia" w:eastAsiaTheme="minorEastAsia" w:cstheme="minorEastAsia"/>
          <w:color w:val="auto"/>
          <w:sz w:val="24"/>
          <w:highlight w:val="none"/>
          <w:u w:val="single"/>
        </w:rPr>
        <w:t xml:space="preserve">   （中标或者成交供应商名称） </w:t>
      </w:r>
      <w:r>
        <w:rPr>
          <w:rFonts w:hint="eastAsia" w:asciiTheme="minorEastAsia" w:hAnsiTheme="minorEastAsia" w:eastAsiaTheme="minorEastAsia" w:cstheme="minorEastAsia"/>
          <w:color w:val="auto"/>
          <w:sz w:val="24"/>
          <w:highlight w:val="none"/>
        </w:rPr>
        <w:t>为该项目中标或者成交供应商。现于中标或者成交通知书发出之日起10个工作日内，按照采购文件确定的事项签订本合同。</w:t>
      </w:r>
    </w:p>
    <w:p w14:paraId="144EB97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根据《中华人民共和国民法典》《中华人民共和国政府采购法》等相关法律法规之规定，按照平等、自愿、公平和诚实信用的原则，经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杭州市公安局</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lang w:val="zh-CN"/>
        </w:rPr>
        <w:t>(以下简称：甲方)和</w:t>
      </w:r>
      <w:r>
        <w:rPr>
          <w:rFonts w:hint="eastAsia" w:asciiTheme="minorEastAsia" w:hAnsiTheme="minorEastAsia" w:eastAsiaTheme="minorEastAsia" w:cstheme="minorEastAsia"/>
          <w:color w:val="auto"/>
          <w:sz w:val="24"/>
          <w:highlight w:val="none"/>
          <w:u w:val="single"/>
        </w:rPr>
        <w:t xml:space="preserve">   （中或者成交标供应商名称）   </w:t>
      </w:r>
      <w:r>
        <w:rPr>
          <w:rFonts w:hint="eastAsia" w:asciiTheme="minorEastAsia" w:hAnsiTheme="minorEastAsia" w:eastAsiaTheme="minorEastAsia" w:cstheme="minorEastAsia"/>
          <w:color w:val="auto"/>
          <w:sz w:val="24"/>
          <w:highlight w:val="none"/>
          <w:lang w:val="zh-CN"/>
        </w:rPr>
        <w:t>(以下简称：乙方)协商一致，约定以下合同</w:t>
      </w:r>
      <w:r>
        <w:rPr>
          <w:rFonts w:hint="eastAsia" w:asciiTheme="minorEastAsia" w:hAnsiTheme="minorEastAsia" w:eastAsiaTheme="minorEastAsia" w:cstheme="minorEastAsia"/>
          <w:color w:val="auto"/>
          <w:sz w:val="24"/>
          <w:highlight w:val="none"/>
        </w:rPr>
        <w:t>条款，以兹共同遵守、全面履行。</w:t>
      </w:r>
    </w:p>
    <w:p w14:paraId="75D7FD0A">
      <w:pPr>
        <w:spacing w:line="360" w:lineRule="auto"/>
        <w:ind w:firstLine="482" w:firstLineChars="200"/>
        <w:outlineLvl w:val="0"/>
        <w:rPr>
          <w:rFonts w:hint="eastAsia" w:asciiTheme="minorEastAsia" w:hAnsiTheme="minorEastAsia" w:eastAsiaTheme="minorEastAsia" w:cstheme="minorEastAsia"/>
          <w:color w:val="auto"/>
          <w:sz w:val="24"/>
          <w:highlight w:val="none"/>
        </w:rPr>
      </w:pPr>
      <w:bookmarkStart w:id="398" w:name="_Toc19273"/>
      <w:bookmarkStart w:id="399" w:name="_Toc15367"/>
      <w:bookmarkStart w:id="400" w:name="_Toc20421"/>
      <w:bookmarkStart w:id="401" w:name="_Toc28855"/>
      <w:bookmarkStart w:id="402" w:name="_Toc22967"/>
      <w:r>
        <w:rPr>
          <w:rFonts w:hint="eastAsia" w:asciiTheme="minorEastAsia" w:hAnsiTheme="minorEastAsia" w:eastAsiaTheme="minorEastAsia" w:cstheme="minorEastAsia"/>
          <w:b/>
          <w:color w:val="auto"/>
          <w:sz w:val="24"/>
          <w:highlight w:val="none"/>
        </w:rPr>
        <w:t>1.1 合同组成部分</w:t>
      </w:r>
      <w:bookmarkEnd w:id="398"/>
      <w:bookmarkEnd w:id="399"/>
      <w:bookmarkEnd w:id="400"/>
      <w:bookmarkEnd w:id="401"/>
      <w:bookmarkEnd w:id="402"/>
    </w:p>
    <w:p w14:paraId="3B13DEE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D7AB3E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1.1.1 本合同及其补充合同、变更协议；</w:t>
      </w:r>
    </w:p>
    <w:p w14:paraId="2522F80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1.1.2 中标或者成交通知书；</w:t>
      </w:r>
    </w:p>
    <w:p w14:paraId="6D338B9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1.1.3 投标或者响应文件（含澄清或者说明文件）；</w:t>
      </w:r>
    </w:p>
    <w:p w14:paraId="3CA0E0C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1.1.4 采购文件（含澄清或者修改文件）；</w:t>
      </w:r>
    </w:p>
    <w:p w14:paraId="030487B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1.1.5 其他相关采购文件。</w:t>
      </w:r>
    </w:p>
    <w:p w14:paraId="322C0A1B">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03" w:name="_Toc6311"/>
      <w:bookmarkStart w:id="404" w:name="_Toc6773"/>
      <w:bookmarkStart w:id="405" w:name="_Toc22185"/>
      <w:bookmarkStart w:id="406" w:name="_Toc18585"/>
      <w:bookmarkStart w:id="407" w:name="_Toc2918"/>
      <w:r>
        <w:rPr>
          <w:rFonts w:hint="eastAsia" w:asciiTheme="minorEastAsia" w:hAnsiTheme="minorEastAsia" w:eastAsiaTheme="minorEastAsia" w:cstheme="minorEastAsia"/>
          <w:b/>
          <w:color w:val="auto"/>
          <w:sz w:val="24"/>
          <w:highlight w:val="none"/>
        </w:rPr>
        <w:t>1.2 标的</w:t>
      </w:r>
      <w:bookmarkEnd w:id="403"/>
      <w:bookmarkEnd w:id="404"/>
      <w:bookmarkEnd w:id="405"/>
      <w:bookmarkEnd w:id="406"/>
      <w:bookmarkEnd w:id="407"/>
    </w:p>
    <w:p w14:paraId="76B9B509">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1.2.1 服务内容：</w:t>
      </w:r>
      <w:r>
        <w:rPr>
          <w:rFonts w:hint="eastAsia" w:asciiTheme="minorEastAsia" w:hAnsiTheme="minorEastAsia" w:eastAsiaTheme="minorEastAsia" w:cstheme="minorEastAsia"/>
          <w:color w:val="auto"/>
          <w:sz w:val="24"/>
          <w:highlight w:val="none"/>
          <w:u w:val="single"/>
        </w:rPr>
        <w:t xml:space="preserve"> 为保证杭州市公安局公安业务网和数据的安全稳定运行，通过采购等保测评服务、数据库审计服务、政务网云日志审计服务、政务网态势感知服务、SaaS化安全服务、公安网安全风险感知服务、公安网桌面云服务、公安网一机两用服务、视频网终端杀毒服务、系统安全检测、网络安全检查、重保、应急响应、边界通道租赁服务，提升杭州市公安局公安业务网网络与数据安全的能力。 </w:t>
      </w:r>
      <w:r>
        <w:rPr>
          <w:rFonts w:hint="eastAsia" w:asciiTheme="minorEastAsia" w:hAnsiTheme="minorEastAsia" w:eastAsiaTheme="minorEastAsia" w:cstheme="minorEastAsia"/>
          <w:color w:val="auto"/>
          <w:sz w:val="24"/>
          <w:highlight w:val="none"/>
        </w:rPr>
        <w:t>；</w:t>
      </w:r>
    </w:p>
    <w:p w14:paraId="14C008C2">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1.2.2 服务标准：</w:t>
      </w:r>
      <w:r>
        <w:rPr>
          <w:rFonts w:hint="eastAsia" w:asciiTheme="minorEastAsia" w:hAnsiTheme="minorEastAsia" w:eastAsiaTheme="minorEastAsia" w:cstheme="minorEastAsia"/>
          <w:color w:val="auto"/>
          <w:sz w:val="24"/>
          <w:highlight w:val="none"/>
          <w:u w:val="single"/>
        </w:rPr>
        <w:t xml:space="preserve">  据采购文件确定的技术指标或者服务要求确定验收指标和标准。未进行相应约定的，应当符合国家强制性规定、政策要求、安全标准、行业</w:t>
      </w:r>
      <w:r>
        <w:rPr>
          <w:rFonts w:hint="eastAsia" w:asciiTheme="minorEastAsia" w:hAnsiTheme="minorEastAsia" w:eastAsiaTheme="minorEastAsia" w:cstheme="minorEastAsia"/>
          <w:color w:val="auto"/>
          <w:sz w:val="24"/>
          <w:highlight w:val="none"/>
          <w:u w:val="single"/>
          <w:lang w:val="en-US" w:eastAsia="zh-CN"/>
        </w:rPr>
        <w:t>和</w:t>
      </w:r>
      <w:r>
        <w:rPr>
          <w:rFonts w:hint="eastAsia" w:asciiTheme="minorEastAsia" w:hAnsiTheme="minorEastAsia" w:eastAsiaTheme="minorEastAsia" w:cstheme="minorEastAsia"/>
          <w:color w:val="auto"/>
          <w:sz w:val="24"/>
          <w:highlight w:val="none"/>
          <w:u w:val="single"/>
        </w:rPr>
        <w:t xml:space="preserve">企业有关标准等  </w:t>
      </w:r>
      <w:r>
        <w:rPr>
          <w:rFonts w:hint="eastAsia" w:asciiTheme="minorEastAsia" w:hAnsiTheme="minorEastAsia" w:eastAsiaTheme="minorEastAsia" w:cstheme="minorEastAsia"/>
          <w:color w:val="auto"/>
          <w:sz w:val="24"/>
          <w:highlight w:val="none"/>
        </w:rPr>
        <w:t>；</w:t>
      </w:r>
    </w:p>
    <w:p w14:paraId="16BE4AE3">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1.2.3 技术保障：</w:t>
      </w:r>
      <w:r>
        <w:rPr>
          <w:rFonts w:hint="eastAsia" w:asciiTheme="minorEastAsia" w:hAnsiTheme="minorEastAsia" w:eastAsiaTheme="minorEastAsia" w:cstheme="minorEastAsia"/>
          <w:color w:val="auto"/>
          <w:sz w:val="24"/>
          <w:highlight w:val="none"/>
          <w:u w:val="single"/>
        </w:rPr>
        <w:t>　</w:t>
      </w:r>
      <w:r>
        <w:rPr>
          <w:rFonts w:hint="eastAsia" w:asciiTheme="minorEastAsia" w:hAnsiTheme="minorEastAsia" w:eastAsiaTheme="minorEastAsia" w:cstheme="minorEastAsia"/>
          <w:color w:val="auto"/>
          <w:sz w:val="24"/>
          <w:u w:val="single"/>
        </w:rPr>
        <w:t>按乙方提供的服务承诺、日常管理制度保障本合同有效执行</w:t>
      </w:r>
      <w:r>
        <w:rPr>
          <w:rFonts w:hint="eastAsia" w:asciiTheme="minorEastAsia" w:hAnsiTheme="minorEastAsia" w:eastAsiaTheme="minorEastAsia" w:cstheme="minorEastAsia"/>
          <w:color w:val="auto"/>
          <w:sz w:val="24"/>
          <w:highlight w:val="none"/>
          <w:u w:val="single"/>
        </w:rPr>
        <w:t xml:space="preserve">  ；</w:t>
      </w:r>
    </w:p>
    <w:p w14:paraId="3E9917FF">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1.2.4 服务人员组成：</w:t>
      </w:r>
      <w:r>
        <w:rPr>
          <w:rFonts w:hint="eastAsia" w:asciiTheme="minorEastAsia" w:hAnsiTheme="minorEastAsia" w:eastAsiaTheme="minorEastAsia" w:cstheme="minorEastAsia"/>
          <w:color w:val="auto"/>
          <w:sz w:val="24"/>
          <w:highlight w:val="none"/>
          <w:u w:val="single"/>
        </w:rPr>
        <w:t>　</w:t>
      </w:r>
      <w:r>
        <w:rPr>
          <w:rFonts w:hint="eastAsia" w:asciiTheme="minorEastAsia" w:hAnsiTheme="minorEastAsia" w:eastAsiaTheme="minorEastAsia" w:cstheme="minorEastAsia"/>
          <w:color w:val="auto"/>
          <w:sz w:val="24"/>
          <w:highlight w:val="none"/>
          <w:u w:val="single"/>
          <w:lang w:val="en-US" w:eastAsia="zh-CN"/>
        </w:rPr>
        <w:t>详见附件一：项目人员名单</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1647AC8C">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1.2.5合同</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eastAsia="zh-CN"/>
        </w:rPr>
        <w:t>否</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（是/否）涉及货物。若涉及货物的，则：</w:t>
      </w:r>
    </w:p>
    <w:p w14:paraId="19D4B0A6">
      <w:pPr>
        <w:spacing w:line="360" w:lineRule="auto"/>
        <w:ind w:firstLine="480" w:firstLineChars="200"/>
        <w:rPr>
          <w:rFonts w:hint="eastAsia" w:asciiTheme="minorEastAsia" w:hAnsiTheme="minorEastAsia" w:eastAsiaTheme="minorEastAsia" w:cstheme="minorEastAsia"/>
          <w:color w:val="auto"/>
          <w:sz w:val="24"/>
          <w:highlight w:val="none"/>
          <w:u w:val="single"/>
        </w:rPr>
      </w:pPr>
      <w:bookmarkStart w:id="408" w:name="_Toc13918"/>
      <w:bookmarkStart w:id="409" w:name="_Toc5635"/>
      <w:bookmarkStart w:id="410" w:name="_Toc1386"/>
      <w:bookmarkStart w:id="411" w:name="_Toc21124"/>
      <w:bookmarkStart w:id="412" w:name="_Toc4929"/>
      <w:r>
        <w:rPr>
          <w:rFonts w:hint="eastAsia" w:asciiTheme="minorEastAsia" w:hAnsiTheme="minorEastAsia" w:eastAsiaTheme="minorEastAsia" w:cstheme="minorEastAsia"/>
          <w:color w:val="auto"/>
          <w:sz w:val="24"/>
          <w:highlight w:val="none"/>
        </w:rPr>
        <w:t>1.2.5.1 货物名称、品牌、规格型号、花色：</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6D91D710">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1.2.5.2 货物数量：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7FF3EDD4">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1.2.5.3 货物质量：</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0693EE61">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1.3 价款</w:t>
      </w:r>
      <w:bookmarkEnd w:id="408"/>
      <w:bookmarkEnd w:id="409"/>
      <w:bookmarkEnd w:id="410"/>
      <w:bookmarkEnd w:id="411"/>
      <w:bookmarkEnd w:id="412"/>
    </w:p>
    <w:p w14:paraId="231724F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本项目采用以下第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eastAsia="zh-CN"/>
        </w:rPr>
        <w:t>1.3.2</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条款规定的计价方式计价。</w:t>
      </w:r>
    </w:p>
    <w:p w14:paraId="28573327">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1.3.1总价合同，本合同总价（含税）为：￥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元（大写：</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元人民币）。</w:t>
      </w:r>
    </w:p>
    <w:p w14:paraId="443AFF86">
      <w:pPr>
        <w:spacing w:line="360" w:lineRule="auto"/>
        <w:ind w:firstLine="480" w:firstLineChars="200"/>
        <w:rPr>
          <w:rFonts w:hint="eastAsia" w:asciiTheme="minorEastAsia" w:hAnsiTheme="minorEastAsia" w:eastAsiaTheme="minorEastAsia" w:cstheme="minorEastAsia"/>
          <w:color w:val="auto"/>
          <w:sz w:val="24"/>
          <w:highlight w:val="none"/>
        </w:rPr>
      </w:pPr>
      <w:bookmarkStart w:id="413" w:name="_Toc30506"/>
      <w:bookmarkStart w:id="414" w:name="_Toc30158"/>
      <w:bookmarkStart w:id="415" w:name="_Toc3654"/>
      <w:bookmarkStart w:id="416" w:name="_Toc14993"/>
      <w:bookmarkStart w:id="417" w:name="_Toc26916"/>
      <w:r>
        <w:rPr>
          <w:rFonts w:hint="eastAsia" w:asciiTheme="minorEastAsia" w:hAnsiTheme="minorEastAsia" w:eastAsiaTheme="minorEastAsia" w:cstheme="minorEastAsia"/>
          <w:bCs/>
          <w:color w:val="auto"/>
          <w:sz w:val="24"/>
          <w:highlight w:val="none"/>
        </w:rPr>
        <w:t>1.3.2单价合同，本合同单价（含税）标准为：</w:t>
      </w:r>
      <w:r>
        <w:rPr>
          <w:rFonts w:hint="eastAsia" w:asciiTheme="minorEastAsia" w:hAnsiTheme="minorEastAsia" w:eastAsiaTheme="minorEastAsia" w:cstheme="minorEastAsia"/>
          <w:bCs/>
          <w:color w:val="auto"/>
          <w:sz w:val="24"/>
          <w:highlight w:val="none"/>
          <w:u w:val="single"/>
        </w:rPr>
        <w:t xml:space="preserve">  </w:t>
      </w:r>
      <w:r>
        <w:rPr>
          <w:rFonts w:hint="eastAsia" w:asciiTheme="minorEastAsia" w:hAnsiTheme="minorEastAsia" w:eastAsiaTheme="minorEastAsia" w:cstheme="minorEastAsia"/>
          <w:bCs/>
          <w:color w:val="auto"/>
          <w:sz w:val="24"/>
          <w:highlight w:val="none"/>
          <w:u w:val="single"/>
          <w:lang w:val="en-US" w:eastAsia="zh-CN"/>
        </w:rPr>
        <w:t>详见附件二：合同价格清单</w:t>
      </w:r>
      <w:r>
        <w:rPr>
          <w:rFonts w:hint="eastAsia" w:asciiTheme="minorEastAsia" w:hAnsiTheme="minorEastAsia" w:eastAsiaTheme="minorEastAsia" w:cstheme="minorEastAsia"/>
          <w:bCs/>
          <w:color w:val="auto"/>
          <w:sz w:val="24"/>
          <w:highlight w:val="none"/>
          <w:u w:val="single"/>
        </w:rPr>
        <w:t xml:space="preserve"> </w:t>
      </w:r>
      <w:r>
        <w:rPr>
          <w:rFonts w:hint="eastAsia" w:asciiTheme="minorEastAsia" w:hAnsiTheme="minorEastAsia" w:eastAsiaTheme="minorEastAsia" w:cstheme="minorEastAsia"/>
          <w:color w:val="auto"/>
          <w:sz w:val="24"/>
          <w:highlight w:val="none"/>
        </w:rPr>
        <w:t>。服务工作量的计量方式为：</w:t>
      </w:r>
      <w:r>
        <w:rPr>
          <w:rFonts w:hint="eastAsia" w:asciiTheme="minorEastAsia" w:hAnsiTheme="minorEastAsia" w:eastAsiaTheme="minorEastAsia" w:cstheme="minorEastAsia"/>
          <w:bCs/>
          <w:color w:val="auto"/>
          <w:sz w:val="24"/>
          <w:highlight w:val="none"/>
          <w:u w:val="single"/>
        </w:rPr>
        <w:t xml:space="preserve">       </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bCs/>
          <w:color w:val="auto"/>
          <w:sz w:val="24"/>
          <w:highlight w:val="none"/>
          <w:u w:val="single"/>
        </w:rPr>
        <w:t xml:space="preserve">     </w:t>
      </w:r>
      <w:r>
        <w:rPr>
          <w:rFonts w:hint="eastAsia" w:asciiTheme="minorEastAsia" w:hAnsiTheme="minorEastAsia" w:eastAsiaTheme="minorEastAsia" w:cstheme="minorEastAsia"/>
          <w:color w:val="auto"/>
          <w:sz w:val="24"/>
          <w:highlight w:val="none"/>
        </w:rPr>
        <w:t>。单价合同，在合同履行期间内，根据根据合同单价、实际维护内容及数量按实结算，但结算总价上限不得超过预算金额或者双方确定的金额￥</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元（大写：</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元人民币）。</w:t>
      </w:r>
    </w:p>
    <w:p w14:paraId="19943555">
      <w:pPr>
        <w:pStyle w:val="2"/>
        <w:spacing w:line="360" w:lineRule="auto"/>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sz w:val="24"/>
          <w:highlight w:val="none"/>
          <w:lang w:val="en-US"/>
        </w:rPr>
        <w:t xml:space="preserve">    </w:t>
      </w:r>
      <w:r>
        <w:rPr>
          <w:rFonts w:hint="eastAsia" w:asciiTheme="minorEastAsia" w:hAnsiTheme="minorEastAsia" w:eastAsiaTheme="minorEastAsia" w:cstheme="minorEastAsia"/>
          <w:b w:val="0"/>
          <w:bCs w:val="0"/>
          <w:color w:val="auto"/>
          <w:sz w:val="24"/>
          <w:highlight w:val="none"/>
          <w:lang w:val="en-US"/>
        </w:rPr>
        <w:t>1.3.3其他计价方式：</w:t>
      </w:r>
      <w:r>
        <w:rPr>
          <w:rFonts w:hint="eastAsia" w:asciiTheme="minorEastAsia" w:hAnsiTheme="minorEastAsia" w:eastAsiaTheme="minorEastAsia" w:cstheme="minorEastAsia"/>
          <w:b w:val="0"/>
          <w:bCs w:val="0"/>
          <w:color w:val="auto"/>
          <w:sz w:val="24"/>
          <w:highlight w:val="none"/>
          <w:u w:val="single"/>
          <w:lang w:val="en-US"/>
        </w:rPr>
        <w:t xml:space="preserve">                   </w:t>
      </w:r>
      <w:r>
        <w:rPr>
          <w:rFonts w:hint="eastAsia" w:asciiTheme="minorEastAsia" w:hAnsiTheme="minorEastAsia" w:eastAsiaTheme="minorEastAsia" w:cstheme="minorEastAsia"/>
          <w:b w:val="0"/>
          <w:bCs w:val="0"/>
          <w:color w:val="auto"/>
          <w:sz w:val="24"/>
          <w:highlight w:val="none"/>
        </w:rPr>
        <w:t>。</w:t>
      </w:r>
    </w:p>
    <w:bookmarkEnd w:id="413"/>
    <w:bookmarkEnd w:id="414"/>
    <w:bookmarkEnd w:id="415"/>
    <w:bookmarkEnd w:id="416"/>
    <w:bookmarkEnd w:id="417"/>
    <w:p w14:paraId="1C0AA878">
      <w:pPr>
        <w:pStyle w:val="960"/>
        <w:spacing w:before="0" w:beforeAutospacing="0" w:after="0" w:afterAutospacing="0" w:line="360" w:lineRule="auto"/>
        <w:ind w:firstLine="480"/>
        <w:rPr>
          <w:rFonts w:hint="eastAsia" w:asciiTheme="minorEastAsia" w:hAnsiTheme="minorEastAsia" w:eastAsiaTheme="minorEastAsia" w:cstheme="minorEastAsia"/>
          <w:b/>
          <w:color w:val="auto"/>
          <w:highlight w:val="none"/>
        </w:rPr>
      </w:pPr>
      <w:bookmarkStart w:id="418" w:name="_Toc10340"/>
      <w:bookmarkStart w:id="419" w:name="_Toc1814"/>
      <w:bookmarkStart w:id="420" w:name="_Toc22618"/>
      <w:bookmarkStart w:id="421" w:name="_Toc11108"/>
      <w:bookmarkStart w:id="422" w:name="_Toc4760"/>
      <w:bookmarkStart w:id="423" w:name="_Toc8772"/>
      <w:bookmarkStart w:id="424" w:name="_Toc3625"/>
      <w:bookmarkStart w:id="425" w:name="_Toc31421"/>
      <w:r>
        <w:rPr>
          <w:rFonts w:hint="eastAsia" w:asciiTheme="minorEastAsia" w:hAnsiTheme="minorEastAsia" w:eastAsiaTheme="minorEastAsia" w:cstheme="minorEastAsia"/>
          <w:b/>
          <w:color w:val="auto"/>
          <w:highlight w:val="none"/>
        </w:rPr>
        <w:t>1.4履约保证金</w:t>
      </w:r>
    </w:p>
    <w:p w14:paraId="2882CD27">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乙方</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eastAsia="zh-CN"/>
        </w:rPr>
        <w:t>否</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（是/否）需要支付履约保证金。若需要支付履约保证金的，则：</w:t>
      </w:r>
    </w:p>
    <w:p w14:paraId="61E753D2">
      <w:pPr>
        <w:spacing w:line="360" w:lineRule="auto"/>
        <w:ind w:firstLine="480" w:firstLineChars="200"/>
        <w:outlineLvl w:val="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1.4.1履约保证金的比例为合同金额的</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u w:val="single"/>
          <w:lang w:val="en-US" w:eastAsia="zh-CN"/>
        </w:rPr>
        <w:t>/</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14:paraId="45A48D0A">
      <w:pPr>
        <w:spacing w:line="360" w:lineRule="auto"/>
        <w:ind w:firstLine="480" w:firstLineChars="200"/>
        <w:outlineLvl w:val="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1.4.2履约保证金支付方式详见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14:paraId="35F2B94F">
      <w:pPr>
        <w:pStyle w:val="2"/>
        <w:tabs>
          <w:tab w:val="left" w:pos="0"/>
        </w:tabs>
        <w:spacing w:line="360" w:lineRule="auto"/>
        <w:ind w:left="0"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08A596">
      <w:pPr>
        <w:spacing w:line="360" w:lineRule="auto"/>
        <w:ind w:firstLine="480" w:firstLineChars="200"/>
        <w:outlineLvl w:val="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1.4.4甲方在项目验收结束后及时退还履约保证金。甲方在项目通过验收之日起</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个工作日内将履约保证金无息退还乙方，逾期退还的，乙方可要求甲方支付违约金，违约金按每迟延退还一日的应退还而未退还金额的</w:t>
      </w:r>
      <w:r>
        <w:rPr>
          <w:rFonts w:hint="eastAsia" w:asciiTheme="minorEastAsia" w:hAnsiTheme="minorEastAsia" w:eastAsiaTheme="minorEastAsia" w:cstheme="minorEastAsia"/>
          <w:color w:val="auto"/>
          <w:kern w:val="0"/>
          <w:sz w:val="24"/>
          <w:highlight w:val="none"/>
          <w:u w:val="single"/>
        </w:rPr>
        <w:t xml:space="preserve">  0.05  </w:t>
      </w:r>
      <w:r>
        <w:rPr>
          <w:rFonts w:hint="eastAsia" w:asciiTheme="minorEastAsia" w:hAnsiTheme="minorEastAsia" w:eastAsiaTheme="minorEastAsia" w:cstheme="minorEastAsia"/>
          <w:color w:val="auto"/>
          <w:kern w:val="0"/>
          <w:sz w:val="24"/>
          <w:highlight w:val="none"/>
        </w:rPr>
        <w:t>%计算，最高限额为本合同履约保证金的</w:t>
      </w:r>
      <w:r>
        <w:rPr>
          <w:rFonts w:hint="eastAsia" w:asciiTheme="minorEastAsia" w:hAnsiTheme="minorEastAsia" w:eastAsiaTheme="minorEastAsia" w:cstheme="minorEastAsia"/>
          <w:color w:val="auto"/>
          <w:kern w:val="0"/>
          <w:sz w:val="24"/>
          <w:highlight w:val="none"/>
          <w:u w:val="single"/>
        </w:rPr>
        <w:t xml:space="preserve">  20  </w:t>
      </w:r>
      <w:r>
        <w:rPr>
          <w:rFonts w:hint="eastAsia" w:asciiTheme="minorEastAsia" w:hAnsiTheme="minorEastAsia" w:eastAsiaTheme="minorEastAsia" w:cstheme="minorEastAsia"/>
          <w:color w:val="auto"/>
          <w:kern w:val="0"/>
          <w:sz w:val="24"/>
          <w:highlight w:val="none"/>
        </w:rPr>
        <w:t xml:space="preserve"> %。</w:t>
      </w:r>
    </w:p>
    <w:p w14:paraId="3366523D">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1.5</w:t>
      </w:r>
      <w:bookmarkEnd w:id="418"/>
      <w:bookmarkEnd w:id="419"/>
      <w:bookmarkEnd w:id="420"/>
      <w:r>
        <w:rPr>
          <w:rFonts w:hint="eastAsia" w:asciiTheme="minorEastAsia" w:hAnsiTheme="minorEastAsia" w:eastAsiaTheme="minorEastAsia" w:cstheme="minorEastAsia"/>
          <w:b/>
          <w:color w:val="auto"/>
          <w:sz w:val="24"/>
          <w:highlight w:val="none"/>
        </w:rPr>
        <w:t>预付款</w:t>
      </w:r>
    </w:p>
    <w:p w14:paraId="664F3ED8">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甲方</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eastAsia="zh-CN"/>
        </w:rPr>
        <w:t>是</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（是/否）需要支付预付款。若需要支付预付款的，则：</w:t>
      </w:r>
    </w:p>
    <w:p w14:paraId="636079F0">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1.5.1预付款比例、支付方式、时间详见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w:t>
      </w:r>
    </w:p>
    <w:p w14:paraId="429BF626">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1.5.2预付款的扣回方式详见</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b/>
          <w:i/>
          <w:color w:val="auto"/>
          <w:highlight w:val="none"/>
          <w:u w:val="single"/>
        </w:rPr>
        <w:t>合同专用条款</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w:t>
      </w:r>
    </w:p>
    <w:p w14:paraId="4EA95396">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1.5.3预付款的担保措施详见</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b/>
          <w:i/>
          <w:color w:val="auto"/>
          <w:highlight w:val="none"/>
          <w:u w:val="single"/>
        </w:rPr>
        <w:t>合同专用条款</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w:t>
      </w:r>
    </w:p>
    <w:p w14:paraId="59AC941B">
      <w:pPr>
        <w:pStyle w:val="960"/>
        <w:spacing w:before="0" w:beforeAutospacing="0" w:after="0" w:afterAutospacing="0" w:line="360" w:lineRule="auto"/>
        <w:ind w:firstLine="480"/>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1.6资金支付</w:t>
      </w:r>
    </w:p>
    <w:p w14:paraId="55D276DD">
      <w:pPr>
        <w:pStyle w:val="960"/>
        <w:spacing w:before="0" w:beforeAutospacing="0" w:after="0" w:afterAutospacing="0" w:line="360" w:lineRule="auto"/>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65499CA">
      <w:pPr>
        <w:spacing w:line="360" w:lineRule="auto"/>
        <w:ind w:firstLine="480" w:firstLineChars="200"/>
        <w:outlineLvl w:val="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1.6.2资金支付的方式、时间和条件详见</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23CDAA37">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1.7 履行期限、地点和方式</w:t>
      </w:r>
      <w:bookmarkEnd w:id="421"/>
      <w:bookmarkEnd w:id="422"/>
      <w:bookmarkEnd w:id="423"/>
      <w:bookmarkEnd w:id="424"/>
      <w:bookmarkEnd w:id="425"/>
    </w:p>
    <w:p w14:paraId="2ADFFFF0">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1.7.1 服务交付（实施）的时间（期限）：</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065E008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1.7.2 服务交付（实施）的地点（地域范围）：</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4BBE449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1.7.3 服务交付（实施）的方式：</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1F3CFD4A">
      <w:pPr>
        <w:spacing w:line="360" w:lineRule="auto"/>
        <w:ind w:firstLine="480" w:firstLineChars="200"/>
        <w:outlineLvl w:val="0"/>
        <w:rPr>
          <w:rFonts w:hint="eastAsia" w:asciiTheme="minorEastAsia" w:hAnsiTheme="minorEastAsia" w:eastAsiaTheme="minorEastAsia" w:cstheme="minorEastAsia"/>
          <w:bCs/>
          <w:color w:val="auto"/>
          <w:sz w:val="24"/>
          <w:highlight w:val="none"/>
        </w:rPr>
      </w:pPr>
      <w:bookmarkStart w:id="426" w:name="_Toc8586"/>
      <w:bookmarkStart w:id="427" w:name="_Toc3079"/>
      <w:bookmarkStart w:id="428" w:name="_Toc24662"/>
      <w:bookmarkStart w:id="429" w:name="_Toc5698"/>
      <w:bookmarkStart w:id="430" w:name="_Toc2375"/>
      <w:r>
        <w:rPr>
          <w:rFonts w:hint="eastAsia" w:asciiTheme="minorEastAsia" w:hAnsiTheme="minorEastAsia" w:eastAsiaTheme="minorEastAsia" w:cstheme="minorEastAsia"/>
          <w:bCs/>
          <w:color w:val="auto"/>
          <w:sz w:val="24"/>
          <w:highlight w:val="none"/>
        </w:rPr>
        <w:t>1.7.4若服务涉及货物的，则货物的：</w:t>
      </w:r>
    </w:p>
    <w:p w14:paraId="7D38DDED">
      <w:pPr>
        <w:spacing w:line="360" w:lineRule="auto"/>
        <w:ind w:firstLine="480" w:firstLineChars="2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1.7.4.1 交付期限：详见</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0E6DFFE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1.7.4.2 交付地点：</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63A5F2A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1.7.4.3 交付方式：</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78F23645">
      <w:pPr>
        <w:spacing w:line="360" w:lineRule="auto"/>
        <w:ind w:firstLine="482" w:firstLineChars="200"/>
        <w:outlineLvl w:val="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b/>
          <w:color w:val="auto"/>
          <w:sz w:val="24"/>
          <w:highlight w:val="none"/>
        </w:rPr>
        <w:t>1.8违约责任</w:t>
      </w:r>
      <w:bookmarkEnd w:id="426"/>
      <w:bookmarkEnd w:id="427"/>
      <w:bookmarkEnd w:id="428"/>
      <w:bookmarkEnd w:id="429"/>
      <w:bookmarkEnd w:id="430"/>
    </w:p>
    <w:p w14:paraId="2B24A307">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Theme="minorEastAsia" w:hAnsiTheme="minorEastAsia" w:eastAsiaTheme="minorEastAsia" w:cstheme="minorEastAsia"/>
          <w:color w:val="auto"/>
          <w:sz w:val="24"/>
          <w:highlight w:val="none"/>
          <w:u w:val="single"/>
        </w:rPr>
        <w:t xml:space="preserve">0.05 </w:t>
      </w:r>
      <w:r>
        <w:rPr>
          <w:rFonts w:hint="eastAsia" w:asciiTheme="minorEastAsia" w:hAnsiTheme="minorEastAsia" w:eastAsiaTheme="minorEastAsia" w:cstheme="minorEastAsia"/>
          <w:color w:val="auto"/>
          <w:sz w:val="24"/>
          <w:highlight w:val="none"/>
        </w:rPr>
        <w:t>%计算，最高限额为本合同总价的</w:t>
      </w:r>
      <w:r>
        <w:rPr>
          <w:rFonts w:hint="eastAsia" w:asciiTheme="minorEastAsia" w:hAnsiTheme="minorEastAsia" w:eastAsiaTheme="minorEastAsia" w:cstheme="minorEastAsia"/>
          <w:color w:val="auto"/>
          <w:sz w:val="24"/>
          <w:highlight w:val="none"/>
          <w:u w:val="single"/>
        </w:rPr>
        <w:t xml:space="preserve">  20   </w:t>
      </w:r>
      <w:r>
        <w:rPr>
          <w:rFonts w:hint="eastAsia" w:asciiTheme="minorEastAsia" w:hAnsiTheme="minorEastAsia" w:eastAsiaTheme="minorEastAsia" w:cstheme="minorEastAsia"/>
          <w:color w:val="auto"/>
          <w:sz w:val="24"/>
          <w:highlight w:val="none"/>
        </w:rPr>
        <w:t>%；迟延履行的违约金计算数额达到前述最高限额之日起，甲方有权在要求乙方支付违约金的同时，书面通知乙方解除本合同；</w:t>
      </w:r>
    </w:p>
    <w:p w14:paraId="74B61C58">
      <w:pPr>
        <w:pStyle w:val="2"/>
        <w:spacing w:line="360" w:lineRule="auto"/>
        <w:ind w:left="0" w:firstLine="480" w:firstLineChars="200"/>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Theme="minorEastAsia" w:hAnsiTheme="minorEastAsia" w:eastAsiaTheme="minorEastAsia" w:cstheme="minorEastAsia"/>
          <w:b w:val="0"/>
          <w:bCs w:val="0"/>
          <w:color w:val="auto"/>
          <w:sz w:val="24"/>
          <w:szCs w:val="24"/>
          <w:highlight w:val="none"/>
          <w:u w:val="single"/>
          <w:lang w:val="en-US"/>
        </w:rPr>
        <w:t xml:space="preserve">  0.0</w:t>
      </w:r>
      <w:r>
        <w:rPr>
          <w:rFonts w:hint="eastAsia" w:asciiTheme="minorEastAsia" w:hAnsiTheme="minorEastAsia" w:eastAsiaTheme="minorEastAsia" w:cstheme="minorEastAsia"/>
          <w:b w:val="0"/>
          <w:bCs w:val="0"/>
          <w:color w:val="auto"/>
          <w:sz w:val="24"/>
          <w:szCs w:val="24"/>
          <w:highlight w:val="none"/>
          <w:lang w:val="en-US"/>
        </w:rPr>
        <w:t xml:space="preserve">5 </w:t>
      </w:r>
      <w:r>
        <w:rPr>
          <w:rFonts w:hint="eastAsia" w:asciiTheme="minorEastAsia" w:hAnsiTheme="minorEastAsia" w:eastAsiaTheme="minorEastAsia" w:cstheme="minorEastAsia"/>
          <w:b w:val="0"/>
          <w:bCs w:val="0"/>
          <w:color w:val="auto"/>
          <w:sz w:val="24"/>
          <w:szCs w:val="24"/>
          <w:highlight w:val="none"/>
          <w:u w:val="single"/>
          <w:lang w:val="en-US"/>
        </w:rPr>
        <w:t xml:space="preserve">  </w:t>
      </w:r>
      <w:r>
        <w:rPr>
          <w:rFonts w:hint="eastAsia" w:asciiTheme="minorEastAsia" w:hAnsiTheme="minorEastAsia" w:eastAsiaTheme="minorEastAsia" w:cstheme="minorEastAsia"/>
          <w:b w:val="0"/>
          <w:bCs w:val="0"/>
          <w:color w:val="auto"/>
          <w:sz w:val="24"/>
          <w:szCs w:val="24"/>
          <w:highlight w:val="none"/>
          <w:lang w:val="en-US"/>
        </w:rPr>
        <w:t>%计算，最高限额为本合同总价的</w:t>
      </w:r>
      <w:r>
        <w:rPr>
          <w:rFonts w:hint="eastAsia" w:asciiTheme="minorEastAsia" w:hAnsiTheme="minorEastAsia" w:eastAsiaTheme="minorEastAsia" w:cstheme="minorEastAsia"/>
          <w:b w:val="0"/>
          <w:bCs w:val="0"/>
          <w:color w:val="auto"/>
          <w:sz w:val="24"/>
          <w:szCs w:val="24"/>
          <w:highlight w:val="none"/>
          <w:u w:val="single"/>
          <w:lang w:val="en-US"/>
        </w:rPr>
        <w:t xml:space="preserve">  20  </w:t>
      </w:r>
      <w:r>
        <w:rPr>
          <w:rFonts w:hint="eastAsia" w:asciiTheme="minorEastAsia" w:hAnsiTheme="minorEastAsia" w:eastAsiaTheme="minorEastAsia" w:cstheme="minorEastAsia"/>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E6428C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1.8.3除不可抗力外，如果甲方没有按照本合同约定的付款方式付款，那么乙方可要求甲方支付违约金，违约金按每迟延付款一日的应付而未付款的</w:t>
      </w:r>
      <w:r>
        <w:rPr>
          <w:rFonts w:hint="eastAsia" w:asciiTheme="minorEastAsia" w:hAnsiTheme="minorEastAsia" w:eastAsiaTheme="minorEastAsia" w:cstheme="minorEastAsia"/>
          <w:color w:val="auto"/>
          <w:sz w:val="24"/>
          <w:highlight w:val="none"/>
          <w:u w:val="single"/>
        </w:rPr>
        <w:t xml:space="preserve">   0.05   </w:t>
      </w:r>
      <w:r>
        <w:rPr>
          <w:rFonts w:hint="eastAsia" w:asciiTheme="minorEastAsia" w:hAnsiTheme="minorEastAsia" w:eastAsiaTheme="minorEastAsia" w:cstheme="minorEastAsia"/>
          <w:color w:val="auto"/>
          <w:sz w:val="24"/>
          <w:highlight w:val="none"/>
        </w:rPr>
        <w:t>%计算，最高限额为本合同总价的</w:t>
      </w:r>
      <w:r>
        <w:rPr>
          <w:rFonts w:hint="eastAsia" w:asciiTheme="minorEastAsia" w:hAnsiTheme="minorEastAsia" w:eastAsiaTheme="minorEastAsia" w:cstheme="minorEastAsia"/>
          <w:color w:val="auto"/>
          <w:sz w:val="24"/>
          <w:highlight w:val="none"/>
          <w:u w:val="single"/>
        </w:rPr>
        <w:t xml:space="preserve">   20   </w:t>
      </w:r>
      <w:r>
        <w:rPr>
          <w:rFonts w:hint="eastAsia" w:asciiTheme="minorEastAsia" w:hAnsiTheme="minorEastAsia" w:eastAsiaTheme="minorEastAsia" w:cstheme="minorEastAsia"/>
          <w:color w:val="auto"/>
          <w:sz w:val="24"/>
          <w:highlight w:val="none"/>
        </w:rPr>
        <w:t>%；迟延付款的违约金计算数额达到前述最高限额之日起，乙方有权在要求甲方支付违约金的同时，书面通知甲方解除本合同；</w:t>
      </w:r>
    </w:p>
    <w:p w14:paraId="2F645EF8">
      <w:pPr>
        <w:spacing w:line="360" w:lineRule="auto"/>
        <w:ind w:firstLine="480" w:firstLineChars="200"/>
        <w:rPr>
          <w:rFonts w:hint="eastAsia" w:asciiTheme="minorEastAsia" w:hAnsiTheme="minorEastAsia" w:eastAsiaTheme="minorEastAsia" w:cstheme="minorEastAsia"/>
          <w:color w:val="auto"/>
          <w:sz w:val="24"/>
          <w:highlight w:val="none"/>
        </w:rPr>
      </w:pPr>
      <w:bookmarkStart w:id="431" w:name="_Toc18683"/>
      <w:bookmarkStart w:id="432" w:name="_Toc32454"/>
      <w:bookmarkStart w:id="433" w:name="_Toc26807"/>
      <w:bookmarkStart w:id="434" w:name="_Toc30329"/>
      <w:bookmarkStart w:id="435" w:name="_Toc9497"/>
      <w:r>
        <w:rPr>
          <w:rFonts w:hint="eastAsia" w:asciiTheme="minorEastAsia" w:hAnsiTheme="minorEastAsia" w:eastAsiaTheme="minorEastAsia" w:cstheme="minorEastAsia"/>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8A9D509">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8CAC3B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5DD80128">
      <w:pPr>
        <w:spacing w:line="360" w:lineRule="auto"/>
        <w:ind w:right="-420" w:righ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1.8.7违约责任</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另有约定的，从其约定。</w:t>
      </w:r>
    </w:p>
    <w:bookmarkEnd w:id="431"/>
    <w:bookmarkEnd w:id="432"/>
    <w:bookmarkEnd w:id="433"/>
    <w:bookmarkEnd w:id="434"/>
    <w:bookmarkEnd w:id="435"/>
    <w:p w14:paraId="05288B88">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36" w:name="_Toc16021"/>
      <w:bookmarkStart w:id="437" w:name="_Toc15583"/>
      <w:bookmarkStart w:id="438" w:name="_Toc28375"/>
      <w:r>
        <w:rPr>
          <w:rFonts w:hint="eastAsia" w:asciiTheme="minorEastAsia" w:hAnsiTheme="minorEastAsia" w:eastAsiaTheme="minorEastAsia" w:cstheme="minorEastAsia"/>
          <w:b/>
          <w:color w:val="auto"/>
          <w:sz w:val="24"/>
          <w:highlight w:val="none"/>
        </w:rPr>
        <w:t>1.9合同争议的解决</w:t>
      </w:r>
      <w:bookmarkEnd w:id="436"/>
      <w:bookmarkEnd w:id="437"/>
      <w:bookmarkEnd w:id="438"/>
    </w:p>
    <w:p w14:paraId="396F1A07">
      <w:pPr>
        <w:spacing w:line="360" w:lineRule="auto"/>
        <w:ind w:left="-61" w:leftChars="-29" w:right="-420" w:rightChars="-200" w:firstLine="240" w:firstLineChars="1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本合同履行过程中发生的任何争议，双方当事人均可通过和解或者调解解决；不愿和解、调解或者和解、调解不成的，可以选择以下第</w:t>
      </w:r>
      <w:r>
        <w:rPr>
          <w:rFonts w:hint="eastAsia" w:asciiTheme="minorEastAsia" w:hAnsiTheme="minorEastAsia" w:eastAsiaTheme="minorEastAsia" w:cstheme="minorEastAsia"/>
          <w:b/>
          <w:i/>
          <w:color w:val="auto"/>
          <w:sz w:val="24"/>
          <w:highlight w:val="none"/>
          <w:u w:val="single"/>
        </w:rPr>
        <w:t xml:space="preserve">   </w:t>
      </w:r>
      <w:r>
        <w:rPr>
          <w:rFonts w:hint="eastAsia" w:asciiTheme="minorEastAsia" w:hAnsiTheme="minorEastAsia" w:eastAsiaTheme="minorEastAsia" w:cstheme="minorEastAsia"/>
          <w:b/>
          <w:i/>
          <w:color w:val="auto"/>
          <w:sz w:val="24"/>
          <w:highlight w:val="none"/>
          <w:u w:val="single"/>
          <w:lang w:val="en-US" w:eastAsia="zh-CN"/>
        </w:rPr>
        <w:t>1.9.2</w:t>
      </w:r>
      <w:r>
        <w:rPr>
          <w:rFonts w:hint="eastAsia" w:asciiTheme="minorEastAsia" w:hAnsiTheme="minorEastAsia" w:eastAsiaTheme="minorEastAsia" w:cstheme="minorEastAsia"/>
          <w:b/>
          <w:i/>
          <w:color w:val="auto"/>
          <w:sz w:val="24"/>
          <w:highlight w:val="none"/>
          <w:u w:val="single"/>
        </w:rPr>
        <w:t xml:space="preserve">   </w:t>
      </w:r>
      <w:r>
        <w:rPr>
          <w:rFonts w:hint="eastAsia" w:asciiTheme="minorEastAsia" w:hAnsiTheme="minorEastAsia" w:eastAsiaTheme="minorEastAsia" w:cstheme="minorEastAsia"/>
          <w:color w:val="auto"/>
          <w:sz w:val="24"/>
          <w:highlight w:val="none"/>
        </w:rPr>
        <w:t>条款规定的方式解决：</w:t>
      </w:r>
    </w:p>
    <w:p w14:paraId="7AFD98D0">
      <w:pPr>
        <w:spacing w:line="360" w:lineRule="auto"/>
        <w:ind w:left="-420" w:leftChars="-200" w:right="-420" w:rightChars="-200" w:firstLine="600" w:firstLineChars="2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1.9.1 将争议提交</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仲裁委员会依申请仲裁时其现行有效的仲裁规则裁决；</w:t>
      </w:r>
    </w:p>
    <w:p w14:paraId="0FA93C13">
      <w:pPr>
        <w:spacing w:line="360" w:lineRule="auto"/>
        <w:ind w:left="-420" w:leftChars="-200" w:right="-420" w:rightChars="-200" w:firstLine="600" w:firstLineChars="2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1.9.2 向</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人民法院起诉。</w:t>
      </w:r>
    </w:p>
    <w:p w14:paraId="540A1025">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39" w:name="_Toc15322"/>
      <w:bookmarkStart w:id="440" w:name="_Toc11173"/>
      <w:bookmarkStart w:id="441" w:name="_Toc7245"/>
      <w:r>
        <w:rPr>
          <w:rFonts w:hint="eastAsia" w:asciiTheme="minorEastAsia" w:hAnsiTheme="minorEastAsia" w:eastAsiaTheme="minorEastAsia" w:cstheme="minorEastAsia"/>
          <w:b/>
          <w:color w:val="auto"/>
          <w:sz w:val="24"/>
          <w:highlight w:val="none"/>
        </w:rPr>
        <w:t>2.0 合同生效</w:t>
      </w:r>
      <w:bookmarkEnd w:id="439"/>
      <w:bookmarkEnd w:id="440"/>
      <w:bookmarkEnd w:id="441"/>
    </w:p>
    <w:p w14:paraId="21C5BFE6">
      <w:pPr>
        <w:spacing w:line="360" w:lineRule="auto"/>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highlight w:val="none"/>
        </w:rPr>
        <w:t>本合同自双方当事人盖章</w:t>
      </w:r>
      <w:r>
        <w:rPr>
          <w:rFonts w:hint="eastAsia" w:asciiTheme="minorEastAsia" w:hAnsiTheme="minorEastAsia" w:eastAsiaTheme="minorEastAsia" w:cstheme="minorEastAsia"/>
          <w:color w:val="auto"/>
          <w:sz w:val="24"/>
          <w:highlight w:val="none"/>
          <w:lang w:val="en-US" w:eastAsia="zh-CN"/>
        </w:rPr>
        <w:t>并</w:t>
      </w:r>
      <w:r>
        <w:rPr>
          <w:rFonts w:hint="eastAsia" w:asciiTheme="minorEastAsia" w:hAnsiTheme="minorEastAsia" w:eastAsiaTheme="minorEastAsia" w:cstheme="minorEastAsia"/>
          <w:color w:val="auto"/>
          <w:sz w:val="24"/>
          <w:highlight w:val="none"/>
        </w:rPr>
        <w:t>签字时生效。</w:t>
      </w:r>
    </w:p>
    <w:p w14:paraId="715477C4">
      <w:pPr>
        <w:autoSpaceDE w:val="0"/>
        <w:autoSpaceDN w:val="0"/>
        <w:spacing w:line="360" w:lineRule="auto"/>
        <w:rPr>
          <w:rFonts w:hint="eastAsia" w:asciiTheme="minorEastAsia" w:hAnsiTheme="minorEastAsia" w:eastAsiaTheme="minorEastAsia" w:cstheme="minorEastAsia"/>
          <w:color w:val="auto"/>
          <w:sz w:val="24"/>
          <w:highlight w:val="none"/>
          <w:lang w:val="zh-CN"/>
        </w:rPr>
      </w:pPr>
    </w:p>
    <w:p w14:paraId="287F2B66">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b/>
          <w:color w:val="auto"/>
          <w:sz w:val="24"/>
          <w:highlight w:val="none"/>
          <w:lang w:val="zh-CN"/>
        </w:rPr>
        <w:t>甲方</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b/>
          <w:color w:val="auto"/>
          <w:sz w:val="24"/>
          <w:highlight w:val="none"/>
          <w:lang w:val="zh-CN"/>
        </w:rPr>
        <w:t xml:space="preserve">      乙方</w:t>
      </w:r>
      <w:r>
        <w:rPr>
          <w:rFonts w:hint="eastAsia" w:asciiTheme="minorEastAsia" w:hAnsiTheme="minorEastAsia" w:eastAsiaTheme="minorEastAsia" w:cstheme="minorEastAsia"/>
          <w:color w:val="auto"/>
          <w:sz w:val="24"/>
          <w:highlight w:val="none"/>
          <w:lang w:val="zh-CN"/>
        </w:rPr>
        <w:t>：</w:t>
      </w:r>
    </w:p>
    <w:p w14:paraId="3C9F2DE5">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统一社会信用代码：                        统一社会信用代码或身份证号码：</w:t>
      </w:r>
    </w:p>
    <w:p w14:paraId="59F0F46C">
      <w:pPr>
        <w:autoSpaceDE w:val="0"/>
        <w:autoSpaceDN w:val="0"/>
        <w:spacing w:line="360" w:lineRule="auto"/>
        <w:rPr>
          <w:rFonts w:hint="eastAsia" w:asciiTheme="minorEastAsia" w:hAnsiTheme="minorEastAsia" w:eastAsiaTheme="minorEastAsia" w:cstheme="minorEastAsia"/>
          <w:color w:val="auto"/>
          <w:sz w:val="24"/>
          <w:highlight w:val="none"/>
          <w:lang w:val="zh-CN"/>
        </w:rPr>
      </w:pPr>
    </w:p>
    <w:p w14:paraId="649EAB2D">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住所：                                   住所：</w:t>
      </w:r>
    </w:p>
    <w:p w14:paraId="6AE7BC8D">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法定代表人或                             法定代表人或</w:t>
      </w:r>
    </w:p>
    <w:p w14:paraId="50E600F2">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 xml:space="preserve">授权代表（签字）：                       授权代表（签字）: </w:t>
      </w:r>
    </w:p>
    <w:p w14:paraId="54336B34">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联系人：                                 联系人：</w:t>
      </w:r>
    </w:p>
    <w:p w14:paraId="41C474D5">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约定送达地址：                           约定送达地址：</w:t>
      </w:r>
    </w:p>
    <w:p w14:paraId="795961AA">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邮政编码：                               邮政编码：</w:t>
      </w:r>
    </w:p>
    <w:p w14:paraId="1A1AFA5C">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 xml:space="preserve">电话:                                    电话: </w:t>
      </w:r>
    </w:p>
    <w:p w14:paraId="1DF9A191">
      <w:pPr>
        <w:autoSpaceDE w:val="0"/>
        <w:autoSpaceDN w:val="0"/>
        <w:spacing w:line="360" w:lineRule="auto"/>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传真:                                    传真:</w:t>
      </w:r>
    </w:p>
    <w:p w14:paraId="4FF51316">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电子邮箱：                               电子邮箱：</w:t>
      </w:r>
    </w:p>
    <w:p w14:paraId="608E42AD">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开户银行：                               开户银行： </w:t>
      </w:r>
    </w:p>
    <w:p w14:paraId="77BE5678">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开户名称：                               开户名称： </w:t>
      </w:r>
    </w:p>
    <w:p w14:paraId="4C725630">
      <w:pPr>
        <w:autoSpaceDE w:val="0"/>
        <w:autoSpaceDN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开户账号：</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开户账号：</w:t>
      </w:r>
    </w:p>
    <w:p w14:paraId="01150818">
      <w:pPr>
        <w:widowControl/>
        <w:spacing w:line="360" w:lineRule="auto"/>
        <w:jc w:val="left"/>
        <w:rPr>
          <w:rFonts w:hint="eastAsia" w:asciiTheme="minorEastAsia" w:hAnsiTheme="minorEastAsia" w:eastAsiaTheme="minorEastAsia" w:cstheme="minorEastAsia"/>
          <w:b/>
          <w:color w:val="auto"/>
          <w:sz w:val="24"/>
          <w:highlight w:val="none"/>
        </w:rPr>
      </w:pPr>
    </w:p>
    <w:p w14:paraId="6F98DBB3">
      <w:pPr>
        <w:widowControl/>
        <w:adjustRightInd/>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highlight w:val="none"/>
        </w:rPr>
        <w:br w:type="page"/>
      </w:r>
    </w:p>
    <w:p w14:paraId="5E07A9BA">
      <w:pPr>
        <w:pStyle w:val="702"/>
        <w:spacing w:line="360" w:lineRule="auto"/>
        <w:ind w:firstLine="482"/>
        <w:jc w:val="center"/>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第二部分 合同一般条款</w:t>
      </w:r>
    </w:p>
    <w:p w14:paraId="439EEDE2">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42" w:name="_Toc5228"/>
      <w:bookmarkStart w:id="443" w:name="_Toc14021"/>
      <w:bookmarkStart w:id="444" w:name="_Toc25079"/>
      <w:bookmarkStart w:id="445" w:name="_Toc19680"/>
      <w:bookmarkStart w:id="446" w:name="_Toc31297"/>
      <w:r>
        <w:rPr>
          <w:rFonts w:hint="eastAsia" w:asciiTheme="minorEastAsia" w:hAnsiTheme="minorEastAsia" w:eastAsiaTheme="minorEastAsia" w:cstheme="minorEastAsia"/>
          <w:b/>
          <w:color w:val="auto"/>
          <w:sz w:val="24"/>
          <w:highlight w:val="none"/>
        </w:rPr>
        <w:t>2.1 定义</w:t>
      </w:r>
      <w:bookmarkEnd w:id="442"/>
      <w:bookmarkEnd w:id="443"/>
      <w:bookmarkEnd w:id="444"/>
      <w:bookmarkEnd w:id="445"/>
      <w:bookmarkEnd w:id="446"/>
    </w:p>
    <w:p w14:paraId="4016495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本合同中的下列词语应按以下内容进行解释：</w:t>
      </w:r>
    </w:p>
    <w:p w14:paraId="2585902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 “合同”系指</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和中标或成交供应商签订的载明双方当事人所达成的协议，并包括所有的附件、附录和构成合同的其他文件。</w:t>
      </w:r>
    </w:p>
    <w:p w14:paraId="10D35B9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 “合同价”系指根据合同约定，中标或成交供应商在完全履行合同义务后，</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应支付给中标或成交供应商的价格。</w:t>
      </w:r>
    </w:p>
    <w:p w14:paraId="4E8DB6E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2.1.3 “服务”系指中标或成交供应商根据合同约定应向</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履行的除货物和工程以外的其他政府采购对象，包括</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自身需要的服务和向社会公众提供的公共服务。</w:t>
      </w:r>
    </w:p>
    <w:p w14:paraId="34BA674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 “甲方”系指与中标或成交供应商签署合同的</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委托采购代理机构代表其与乙方签订合同的，</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的授权委托书作为合同附件。</w:t>
      </w:r>
    </w:p>
    <w:p w14:paraId="4F8947D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D88510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2.1.6 “现场”系指合同约定提供服务的地点。</w:t>
      </w:r>
    </w:p>
    <w:p w14:paraId="37470BCF">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47" w:name="_Toc19539"/>
      <w:bookmarkStart w:id="448" w:name="_Toc23289"/>
      <w:bookmarkStart w:id="449" w:name="_Toc16752"/>
      <w:bookmarkStart w:id="450" w:name="_Toc3769"/>
      <w:bookmarkStart w:id="451" w:name="_Toc31402"/>
      <w:r>
        <w:rPr>
          <w:rFonts w:hint="eastAsia" w:asciiTheme="minorEastAsia" w:hAnsiTheme="minorEastAsia" w:eastAsiaTheme="minorEastAsia" w:cstheme="minorEastAsia"/>
          <w:b/>
          <w:color w:val="auto"/>
          <w:sz w:val="24"/>
          <w:highlight w:val="none"/>
        </w:rPr>
        <w:t>2.2 技术规范</w:t>
      </w:r>
      <w:bookmarkEnd w:id="447"/>
      <w:bookmarkEnd w:id="448"/>
      <w:bookmarkEnd w:id="449"/>
      <w:bookmarkEnd w:id="450"/>
      <w:bookmarkEnd w:id="451"/>
    </w:p>
    <w:p w14:paraId="5C1942E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D2AC4FC">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52" w:name="_Toc9161"/>
      <w:bookmarkStart w:id="453" w:name="_Toc12412"/>
      <w:bookmarkStart w:id="454" w:name="_Toc27945"/>
      <w:bookmarkStart w:id="455" w:name="_Toc4133"/>
      <w:bookmarkStart w:id="456" w:name="_Toc13673"/>
      <w:r>
        <w:rPr>
          <w:rFonts w:hint="eastAsia" w:asciiTheme="minorEastAsia" w:hAnsiTheme="minorEastAsia" w:eastAsiaTheme="minorEastAsia" w:cstheme="minorEastAsia"/>
          <w:b/>
          <w:color w:val="auto"/>
          <w:sz w:val="24"/>
          <w:highlight w:val="none"/>
        </w:rPr>
        <w:t>2.3 知识产权</w:t>
      </w:r>
      <w:bookmarkEnd w:id="452"/>
      <w:bookmarkEnd w:id="453"/>
      <w:bookmarkEnd w:id="454"/>
      <w:bookmarkEnd w:id="455"/>
      <w:bookmarkEnd w:id="456"/>
    </w:p>
    <w:p w14:paraId="08B8900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E1F0DF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 合同涉及技术成果的归属和收益的分成办法的，详见</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20C9E8EA">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2.4 履约检查和问题反馈</w:t>
      </w:r>
    </w:p>
    <w:p w14:paraId="74C299C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1F8A4D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2.4.2 合同履行期间，甲方有权将履行过程中出现的问题反馈给乙方，双方当事人应以书面形式约定需要完善和改进的内容。</w:t>
      </w:r>
    </w:p>
    <w:p w14:paraId="4D946101">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57" w:name="_Toc32670"/>
      <w:bookmarkStart w:id="458" w:name="_Toc22011"/>
      <w:bookmarkStart w:id="459" w:name="_Toc31233"/>
      <w:bookmarkStart w:id="460" w:name="_Toc15447"/>
      <w:bookmarkStart w:id="461" w:name="_Toc26555"/>
      <w:r>
        <w:rPr>
          <w:rFonts w:hint="eastAsia" w:asciiTheme="minorEastAsia" w:hAnsiTheme="minorEastAsia" w:eastAsiaTheme="minorEastAsia" w:cstheme="minorEastAsia"/>
          <w:b/>
          <w:color w:val="auto"/>
          <w:sz w:val="24"/>
          <w:highlight w:val="none"/>
        </w:rPr>
        <w:t>2.5 结算方式和付款条件</w:t>
      </w:r>
      <w:bookmarkEnd w:id="457"/>
      <w:bookmarkEnd w:id="458"/>
      <w:bookmarkEnd w:id="459"/>
      <w:bookmarkEnd w:id="460"/>
      <w:bookmarkEnd w:id="461"/>
    </w:p>
    <w:p w14:paraId="57FE94C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详见</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w:t>
      </w:r>
    </w:p>
    <w:p w14:paraId="3A45731F">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62" w:name="_Toc18990"/>
      <w:bookmarkStart w:id="463" w:name="_Toc13467"/>
      <w:bookmarkStart w:id="464" w:name="_Toc16163"/>
      <w:bookmarkStart w:id="465" w:name="_Toc13154"/>
      <w:bookmarkStart w:id="466" w:name="_Toc30507"/>
      <w:r>
        <w:rPr>
          <w:rFonts w:hint="eastAsia" w:asciiTheme="minorEastAsia" w:hAnsiTheme="minorEastAsia" w:eastAsiaTheme="minorEastAsia" w:cstheme="minorEastAsia"/>
          <w:b/>
          <w:color w:val="auto"/>
          <w:sz w:val="24"/>
          <w:highlight w:val="none"/>
        </w:rPr>
        <w:t>2.6 技术资料和保密义务</w:t>
      </w:r>
      <w:bookmarkEnd w:id="462"/>
      <w:bookmarkEnd w:id="463"/>
      <w:bookmarkEnd w:id="464"/>
      <w:bookmarkEnd w:id="465"/>
      <w:bookmarkEnd w:id="466"/>
    </w:p>
    <w:p w14:paraId="3F23DD7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2.6.1 乙方有权依据合同约定和项目需要，向甲方了解有关情况，调阅有关资料等，甲方应予积极配合；</w:t>
      </w:r>
    </w:p>
    <w:p w14:paraId="70806A9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2.6.2 乙方有义务妥善保管和保护由甲方提供的前款信息和资料等；</w:t>
      </w:r>
    </w:p>
    <w:p w14:paraId="759446D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1D5FF9B">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67" w:name="_Toc19069"/>
      <w:r>
        <w:rPr>
          <w:rFonts w:hint="eastAsia" w:asciiTheme="minorEastAsia" w:hAnsiTheme="minorEastAsia" w:eastAsiaTheme="minorEastAsia" w:cstheme="minorEastAsia"/>
          <w:b/>
          <w:color w:val="auto"/>
          <w:sz w:val="24"/>
          <w:highlight w:val="none"/>
        </w:rPr>
        <w:t>2.7 质量保证</w:t>
      </w:r>
      <w:bookmarkEnd w:id="467"/>
    </w:p>
    <w:p w14:paraId="08F7F65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2.7.1 乙方应建立和完善履行合同的内部质量保证体系，并提供相关内部规章制度给甲方，以便甲方进行监督检查；</w:t>
      </w:r>
    </w:p>
    <w:p w14:paraId="6C42531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2.7.2 乙方应保证履行合同的人员数量和素质、软件和硬件设备的配置、场地、环境和设施等满足全面履行合同的要求，并应接受甲方的监督检查。</w:t>
      </w:r>
    </w:p>
    <w:p w14:paraId="7DD695E2">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68" w:name="_Toc22267"/>
      <w:r>
        <w:rPr>
          <w:rFonts w:hint="eastAsia" w:asciiTheme="minorEastAsia" w:hAnsiTheme="minorEastAsia" w:eastAsiaTheme="minorEastAsia" w:cstheme="minorEastAsia"/>
          <w:b/>
          <w:color w:val="auto"/>
          <w:sz w:val="24"/>
          <w:highlight w:val="none"/>
        </w:rPr>
        <w:t>2.8 延迟履行</w:t>
      </w:r>
      <w:bookmarkEnd w:id="468"/>
    </w:p>
    <w:p w14:paraId="2443E4A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C761A5E">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69" w:name="_Toc10611"/>
      <w:r>
        <w:rPr>
          <w:rFonts w:hint="eastAsia" w:asciiTheme="minorEastAsia" w:hAnsiTheme="minorEastAsia" w:eastAsiaTheme="minorEastAsia" w:cstheme="minorEastAsia"/>
          <w:b/>
          <w:color w:val="auto"/>
          <w:sz w:val="24"/>
          <w:highlight w:val="none"/>
        </w:rPr>
        <w:t>2.9 合同变更</w:t>
      </w:r>
      <w:bookmarkEnd w:id="469"/>
    </w:p>
    <w:p w14:paraId="7A4D449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314BFB0">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70" w:name="_Toc21830"/>
      <w:bookmarkStart w:id="471" w:name="_Toc42"/>
      <w:bookmarkStart w:id="472" w:name="_Toc23368"/>
      <w:bookmarkStart w:id="473" w:name="_Toc26689"/>
      <w:bookmarkStart w:id="474" w:name="_Toc10663"/>
      <w:r>
        <w:rPr>
          <w:rFonts w:hint="eastAsia" w:asciiTheme="minorEastAsia" w:hAnsiTheme="minorEastAsia" w:eastAsiaTheme="minorEastAsia" w:cstheme="minorEastAsia"/>
          <w:b/>
          <w:color w:val="auto"/>
          <w:sz w:val="24"/>
          <w:highlight w:val="none"/>
        </w:rPr>
        <w:t>2.10 合同转让和分包</w:t>
      </w:r>
      <w:bookmarkEnd w:id="470"/>
      <w:bookmarkEnd w:id="471"/>
      <w:bookmarkEnd w:id="472"/>
      <w:bookmarkEnd w:id="473"/>
      <w:bookmarkEnd w:id="474"/>
    </w:p>
    <w:p w14:paraId="6277C20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合同的权利义务依法不得转让，但经甲方同意，乙方可以依法采取分包方式履行合同，即：依法可以将合同项下的部分非主体、非关键性</w:t>
      </w:r>
      <w:r>
        <w:rPr>
          <w:rFonts w:hint="eastAsia" w:asciiTheme="minorEastAsia" w:hAnsiTheme="minorEastAsia" w:eastAsiaTheme="minorEastAsia" w:cstheme="minorEastAsia"/>
          <w:color w:val="auto"/>
          <w:sz w:val="24"/>
          <w:highlight w:val="none"/>
          <w:u w:val="single"/>
        </w:rPr>
        <w:t>等保测评服务、边界通道租赁服务、公安网一机两用服务、公安网桌面云服务</w:t>
      </w:r>
      <w:r>
        <w:rPr>
          <w:rFonts w:hint="eastAsia" w:asciiTheme="minorEastAsia" w:hAnsiTheme="minorEastAsia" w:eastAsiaTheme="minorEastAsia" w:cstheme="minorEastAsia"/>
          <w:color w:val="auto"/>
          <w:sz w:val="24"/>
          <w:highlight w:val="none"/>
        </w:rPr>
        <w:t>工作分包给他人完成，接受分包的人应当具备相应的资格条件，并不得再次分包，且乙方应就分包项目向甲方负责，并与分包供应商就分包项目向甲方承担连带责任。</w:t>
      </w:r>
    </w:p>
    <w:p w14:paraId="68E3A192">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75" w:name="_Toc26633"/>
      <w:bookmarkStart w:id="476" w:name="_Toc4720"/>
      <w:bookmarkStart w:id="477" w:name="_Toc14371"/>
      <w:bookmarkStart w:id="478" w:name="_Toc32494"/>
      <w:bookmarkStart w:id="479" w:name="_Toc25571"/>
      <w:r>
        <w:rPr>
          <w:rFonts w:hint="eastAsia" w:asciiTheme="minorEastAsia" w:hAnsiTheme="minorEastAsia" w:eastAsiaTheme="minorEastAsia" w:cstheme="minorEastAsia"/>
          <w:b/>
          <w:color w:val="auto"/>
          <w:sz w:val="24"/>
          <w:highlight w:val="none"/>
        </w:rPr>
        <w:t>2.11 不可抗力</w:t>
      </w:r>
      <w:bookmarkEnd w:id="475"/>
      <w:bookmarkEnd w:id="476"/>
      <w:bookmarkEnd w:id="477"/>
      <w:bookmarkEnd w:id="478"/>
      <w:bookmarkEnd w:id="479"/>
    </w:p>
    <w:p w14:paraId="096E796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2.11.1如果任何一方遭遇法律规定的不可抗力，致使合同履行受阻时，履行合同的期限应予延长，延长的期限应相当于不可抗力所影响的时间；</w:t>
      </w:r>
    </w:p>
    <w:p w14:paraId="5A624FE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2.11.2 因不可抗力致使不能实现合同目的的，当事人可以解除合同；</w:t>
      </w:r>
    </w:p>
    <w:p w14:paraId="672E0D5D">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2.11.3 因不可抗力致使合同有变更必要的，双方当事人应在</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约定时间内以书面形式变更合同；</w:t>
      </w:r>
    </w:p>
    <w:p w14:paraId="6EA1485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2.11.4受不可抗力影响的一方在不可抗力发生后，应在</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约定时间内以书面形式通知对方当事人，并在</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约定时间内，将有关部门出具的证明文件送达对方当事人。</w:t>
      </w:r>
    </w:p>
    <w:p w14:paraId="59AEE0D4">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80" w:name="_Toc25783"/>
      <w:bookmarkStart w:id="481" w:name="_Toc3638"/>
      <w:bookmarkStart w:id="482" w:name="_Toc24465"/>
      <w:bookmarkStart w:id="483" w:name="_Toc14115"/>
      <w:bookmarkStart w:id="484" w:name="_Toc23854"/>
      <w:r>
        <w:rPr>
          <w:rFonts w:hint="eastAsia" w:asciiTheme="minorEastAsia" w:hAnsiTheme="minorEastAsia" w:eastAsiaTheme="minorEastAsia" w:cstheme="minorEastAsia"/>
          <w:b/>
          <w:color w:val="auto"/>
          <w:sz w:val="24"/>
          <w:highlight w:val="none"/>
        </w:rPr>
        <w:t>2.12 税费</w:t>
      </w:r>
      <w:bookmarkEnd w:id="480"/>
      <w:bookmarkEnd w:id="481"/>
      <w:bookmarkEnd w:id="482"/>
      <w:bookmarkEnd w:id="483"/>
      <w:bookmarkEnd w:id="484"/>
    </w:p>
    <w:p w14:paraId="1A13C0E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与合同有关的一切税费，均按照中华人民共和国法律的相关规定缴纳。</w:t>
      </w:r>
    </w:p>
    <w:p w14:paraId="302DF4F2">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85" w:name="_Toc30105"/>
      <w:bookmarkStart w:id="486" w:name="_Toc14814"/>
      <w:bookmarkStart w:id="487" w:name="_Toc25525"/>
      <w:bookmarkStart w:id="488" w:name="_Toc7315"/>
      <w:bookmarkStart w:id="489" w:name="_Toc26883"/>
      <w:r>
        <w:rPr>
          <w:rFonts w:hint="eastAsia" w:asciiTheme="minorEastAsia" w:hAnsiTheme="minorEastAsia" w:eastAsiaTheme="minorEastAsia" w:cstheme="minorEastAsia"/>
          <w:b/>
          <w:color w:val="auto"/>
          <w:sz w:val="24"/>
          <w:highlight w:val="none"/>
        </w:rPr>
        <w:t>2.13 乙方破产</w:t>
      </w:r>
      <w:bookmarkEnd w:id="485"/>
      <w:bookmarkEnd w:id="486"/>
      <w:bookmarkEnd w:id="487"/>
      <w:bookmarkEnd w:id="488"/>
      <w:bookmarkEnd w:id="489"/>
    </w:p>
    <w:p w14:paraId="1E26447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4B12B60">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90" w:name="_Toc23323"/>
      <w:bookmarkStart w:id="491" w:name="_Toc1123"/>
      <w:bookmarkStart w:id="492" w:name="_Toc2016"/>
      <w:r>
        <w:rPr>
          <w:rFonts w:hint="eastAsia" w:asciiTheme="minorEastAsia" w:hAnsiTheme="minorEastAsia" w:eastAsiaTheme="minorEastAsia" w:cstheme="minorEastAsia"/>
          <w:b/>
          <w:color w:val="auto"/>
          <w:sz w:val="24"/>
          <w:highlight w:val="none"/>
        </w:rPr>
        <w:t>2.14 合同中止、终止</w:t>
      </w:r>
      <w:bookmarkEnd w:id="490"/>
      <w:bookmarkEnd w:id="491"/>
      <w:bookmarkEnd w:id="492"/>
    </w:p>
    <w:p w14:paraId="096A87C9">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2.14.1 双方当事人不得擅自中止或者终止合同；</w:t>
      </w:r>
    </w:p>
    <w:p w14:paraId="7DBD0C1F">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C775A3E">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93" w:name="_Toc17363"/>
      <w:bookmarkStart w:id="494" w:name="_Toc14525"/>
      <w:bookmarkStart w:id="495" w:name="_Toc1969"/>
      <w:r>
        <w:rPr>
          <w:rFonts w:hint="eastAsia" w:asciiTheme="minorEastAsia" w:hAnsiTheme="minorEastAsia" w:eastAsiaTheme="minorEastAsia" w:cstheme="minorEastAsia"/>
          <w:b/>
          <w:color w:val="auto"/>
          <w:sz w:val="24"/>
          <w:highlight w:val="none"/>
        </w:rPr>
        <w:t>2.15 检验和验收</w:t>
      </w:r>
      <w:bookmarkEnd w:id="493"/>
      <w:bookmarkEnd w:id="494"/>
      <w:bookmarkEnd w:id="495"/>
    </w:p>
    <w:p w14:paraId="7F4E0E2D">
      <w:pPr>
        <w:tabs>
          <w:tab w:val="left" w:pos="360"/>
          <w:tab w:val="left" w:pos="540"/>
          <w:tab w:val="left" w:pos="1080"/>
        </w:tabs>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2.15.1 乙方按照</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的约定，定期提交服务报告，甲方按照</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的约定进行定期验收；</w:t>
      </w:r>
    </w:p>
    <w:p w14:paraId="74D5D91E">
      <w:pPr>
        <w:tabs>
          <w:tab w:val="left" w:pos="360"/>
          <w:tab w:val="left" w:pos="540"/>
          <w:tab w:val="left" w:pos="1080"/>
        </w:tabs>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3AAA96B">
      <w:pPr>
        <w:tabs>
          <w:tab w:val="left" w:pos="360"/>
          <w:tab w:val="left" w:pos="540"/>
          <w:tab w:val="left" w:pos="1080"/>
        </w:tabs>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2.15.3 检验和验收标准、程序等具体内容以及前述验收书的效力详见</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i/>
          <w:color w:val="auto"/>
          <w:sz w:val="24"/>
          <w:highlight w:val="none"/>
        </w:rPr>
        <w:t>。</w:t>
      </w:r>
    </w:p>
    <w:p w14:paraId="44204048">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496" w:name="_Toc2308"/>
      <w:bookmarkStart w:id="497" w:name="_Toc9808"/>
      <w:bookmarkStart w:id="498" w:name="_Toc12666"/>
      <w:bookmarkStart w:id="499" w:name="_Toc25198"/>
      <w:bookmarkStart w:id="500" w:name="_Toc31892"/>
      <w:r>
        <w:rPr>
          <w:rFonts w:hint="eastAsia" w:asciiTheme="minorEastAsia" w:hAnsiTheme="minorEastAsia" w:eastAsiaTheme="minorEastAsia" w:cstheme="minorEastAsia"/>
          <w:b/>
          <w:color w:val="auto"/>
          <w:sz w:val="24"/>
          <w:highlight w:val="none"/>
        </w:rPr>
        <w:t>2.16 通知和送达</w:t>
      </w:r>
      <w:bookmarkEnd w:id="496"/>
      <w:bookmarkEnd w:id="497"/>
      <w:bookmarkEnd w:id="498"/>
      <w:bookmarkEnd w:id="499"/>
      <w:bookmarkEnd w:id="500"/>
    </w:p>
    <w:p w14:paraId="64245A53">
      <w:pPr>
        <w:spacing w:line="360" w:lineRule="auto"/>
        <w:ind w:firstLine="480" w:firstLineChars="200"/>
        <w:rPr>
          <w:rFonts w:hint="eastAsia" w:asciiTheme="minorEastAsia" w:hAnsiTheme="minorEastAsia" w:eastAsiaTheme="minorEastAsia" w:cstheme="minorEastAsia"/>
          <w:color w:val="auto"/>
          <w:sz w:val="24"/>
          <w:highlight w:val="none"/>
        </w:rPr>
      </w:pPr>
      <w:bookmarkStart w:id="501" w:name="_Toc18401"/>
      <w:bookmarkStart w:id="502" w:name="_Toc27674"/>
      <w:r>
        <w:rPr>
          <w:rFonts w:hint="eastAsia" w:asciiTheme="minorEastAsia" w:hAnsiTheme="minorEastAsia" w:eastAsiaTheme="minorEastAsia" w:cstheme="minorEastAsia"/>
          <w:color w:val="auto"/>
          <w:sz w:val="24"/>
          <w:highlight w:val="none"/>
        </w:rPr>
        <w:t xml:space="preserve">2.17.1任何一方因履行合同而以合同第一部分尾部所列明的传真或电子邮件 </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发出的所有通知、文件、材料，均视为已向对方当事人送达；任何一方变更上述送达方式或者地址的，应于</w:t>
      </w:r>
      <w:r>
        <w:rPr>
          <w:rFonts w:hint="eastAsia" w:asciiTheme="minorEastAsia" w:hAnsiTheme="minorEastAsia" w:eastAsiaTheme="minorEastAsia" w:cstheme="minorEastAsia"/>
          <w:color w:val="auto"/>
          <w:sz w:val="24"/>
          <w:highlight w:val="none"/>
          <w:u w:val="single"/>
        </w:rPr>
        <w:t>3</w:t>
      </w:r>
      <w:r>
        <w:rPr>
          <w:rFonts w:hint="eastAsia" w:asciiTheme="minorEastAsia" w:hAnsiTheme="minorEastAsia" w:eastAsiaTheme="minorEastAsia" w:cstheme="minorEastAsia"/>
          <w:color w:val="auto"/>
          <w:sz w:val="24"/>
          <w:highlight w:val="none"/>
        </w:rPr>
        <w:t>个工作日内书面通知对方当事人，在对方当事人收到有关变更通知之前，变更前的约定送达方式或者地址仍视为有效。</w:t>
      </w:r>
    </w:p>
    <w:p w14:paraId="4DF44E4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1"/>
      <w:bookmarkEnd w:id="502"/>
    </w:p>
    <w:p w14:paraId="0E9B9F33">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503" w:name="_Toc5063"/>
      <w:bookmarkStart w:id="504" w:name="_Toc20808"/>
      <w:bookmarkStart w:id="505" w:name="_Toc12254"/>
      <w:bookmarkStart w:id="506" w:name="_Toc28906"/>
      <w:bookmarkStart w:id="507" w:name="_Toc27644"/>
      <w:r>
        <w:rPr>
          <w:rFonts w:hint="eastAsia" w:asciiTheme="minorEastAsia" w:hAnsiTheme="minorEastAsia" w:eastAsiaTheme="minorEastAsia" w:cstheme="minorEastAsia"/>
          <w:b/>
          <w:color w:val="auto"/>
          <w:sz w:val="24"/>
          <w:highlight w:val="none"/>
        </w:rPr>
        <w:t>2.17 合同使用的文字和适用的法律</w:t>
      </w:r>
      <w:bookmarkEnd w:id="503"/>
      <w:bookmarkEnd w:id="504"/>
      <w:bookmarkEnd w:id="505"/>
      <w:bookmarkEnd w:id="506"/>
      <w:bookmarkEnd w:id="507"/>
    </w:p>
    <w:p w14:paraId="16A1D768">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2.17.1 合同使用汉语书就、变更和解释；</w:t>
      </w:r>
    </w:p>
    <w:p w14:paraId="613B9F0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2.17.2 合同适用中华人民共和国法律。</w:t>
      </w:r>
    </w:p>
    <w:p w14:paraId="472D722B">
      <w:pPr>
        <w:spacing w:line="360" w:lineRule="auto"/>
        <w:ind w:firstLine="482" w:firstLineChars="200"/>
        <w:outlineLvl w:val="0"/>
        <w:rPr>
          <w:rFonts w:hint="eastAsia" w:asciiTheme="minorEastAsia" w:hAnsiTheme="minorEastAsia" w:eastAsiaTheme="minorEastAsia" w:cstheme="minorEastAsia"/>
          <w:b/>
          <w:color w:val="auto"/>
          <w:sz w:val="24"/>
          <w:highlight w:val="none"/>
        </w:rPr>
      </w:pPr>
      <w:bookmarkStart w:id="508" w:name="_Toc30599"/>
      <w:bookmarkStart w:id="509" w:name="_Toc18540"/>
      <w:bookmarkStart w:id="510" w:name="_Toc4355"/>
      <w:r>
        <w:rPr>
          <w:rFonts w:hint="eastAsia" w:asciiTheme="minorEastAsia" w:hAnsiTheme="minorEastAsia" w:eastAsiaTheme="minorEastAsia" w:cstheme="minorEastAsia"/>
          <w:b/>
          <w:color w:val="auto"/>
          <w:sz w:val="24"/>
          <w:highlight w:val="none"/>
        </w:rPr>
        <w:t>2.18 计量单位</w:t>
      </w:r>
      <w:bookmarkEnd w:id="508"/>
      <w:bookmarkEnd w:id="509"/>
      <w:bookmarkEnd w:id="510"/>
    </w:p>
    <w:p w14:paraId="5CE5BA8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除技术规范中另有规定外,合同的计量单位均使用国家法定计量单位。</w:t>
      </w:r>
    </w:p>
    <w:p w14:paraId="693530CE">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2.19合同份数</w:t>
      </w:r>
    </w:p>
    <w:p w14:paraId="59E81DE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合同份数按</w:t>
      </w:r>
      <w:r>
        <w:rPr>
          <w:rFonts w:hint="eastAsia" w:asciiTheme="minorEastAsia" w:hAnsiTheme="minorEastAsia" w:eastAsiaTheme="minorEastAsia" w:cstheme="minorEastAsia"/>
          <w:b/>
          <w:i/>
          <w:color w:val="auto"/>
          <w:sz w:val="24"/>
          <w:highlight w:val="none"/>
          <w:u w:val="single"/>
        </w:rPr>
        <w:t>合同专用条款</w:t>
      </w:r>
      <w:r>
        <w:rPr>
          <w:rFonts w:hint="eastAsia" w:asciiTheme="minorEastAsia" w:hAnsiTheme="minorEastAsia" w:eastAsiaTheme="minorEastAsia" w:cstheme="minorEastAsia"/>
          <w:color w:val="auto"/>
          <w:sz w:val="24"/>
          <w:highlight w:val="none"/>
        </w:rPr>
        <w:t>规定，每份均具有同等法律效力。</w:t>
      </w:r>
    </w:p>
    <w:p w14:paraId="5D040CFF">
      <w:pPr>
        <w:spacing w:line="360" w:lineRule="auto"/>
        <w:jc w:val="center"/>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highlight w:val="none"/>
        </w:rPr>
        <w:br w:type="page"/>
      </w:r>
      <w:bookmarkStart w:id="511" w:name="_Toc331685784"/>
      <w:r>
        <w:rPr>
          <w:rFonts w:hint="eastAsia" w:asciiTheme="minorEastAsia" w:hAnsiTheme="minorEastAsia" w:eastAsiaTheme="minorEastAsia" w:cstheme="minorEastAsia"/>
          <w:b/>
          <w:color w:val="auto"/>
          <w:sz w:val="24"/>
          <w:highlight w:val="none"/>
        </w:rPr>
        <w:t xml:space="preserve"> </w:t>
      </w:r>
      <w:bookmarkEnd w:id="511"/>
      <w:r>
        <w:rPr>
          <w:rFonts w:hint="eastAsia" w:asciiTheme="minorEastAsia" w:hAnsiTheme="minorEastAsia" w:eastAsiaTheme="minorEastAsia" w:cstheme="minorEastAsia"/>
          <w:b/>
          <w:color w:val="auto"/>
          <w:sz w:val="24"/>
          <w:highlight w:val="none"/>
        </w:rPr>
        <w:t>第三部分  合同专用条款</w:t>
      </w:r>
    </w:p>
    <w:p w14:paraId="3AD5F693">
      <w:pPr>
        <w:spacing w:line="360" w:lineRule="auto"/>
        <w:ind w:left="-420" w:leftChars="-200" w:right="-420" w:righ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59D7DF9C">
      <w:pPr>
        <w:spacing w:line="360" w:lineRule="auto"/>
        <w:ind w:left="-420" w:leftChars="-200" w:right="-420" w:rightChars="-200" w:firstLine="480" w:firstLineChars="200"/>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1.3.2服务工作量的计量方式为：</w:t>
      </w:r>
      <w:r>
        <w:rPr>
          <w:rFonts w:hint="eastAsia" w:asciiTheme="minorEastAsia" w:hAnsiTheme="minorEastAsia" w:eastAsiaTheme="minorEastAsia" w:cstheme="minorEastAsia"/>
          <w:color w:val="auto"/>
          <w:sz w:val="24"/>
          <w:u w:val="single"/>
        </w:rPr>
        <w:t>根据合同单价、实际维护内容及数量按实结算</w:t>
      </w:r>
    </w:p>
    <w:p w14:paraId="0C828844">
      <w:pPr>
        <w:pStyle w:val="23"/>
        <w:spacing w:line="360" w:lineRule="auto"/>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1.4.2履约保证金支付方式:</w:t>
      </w:r>
      <w:r>
        <w:rPr>
          <w:rFonts w:hint="eastAsia" w:asciiTheme="minorEastAsia" w:hAnsiTheme="minorEastAsia" w:eastAsiaTheme="minorEastAsia" w:cstheme="minorEastAsia"/>
          <w:color w:val="auto"/>
          <w:sz w:val="24"/>
          <w:lang w:val="en-US" w:eastAsia="zh-CN"/>
        </w:rPr>
        <w:t>/</w:t>
      </w:r>
    </w:p>
    <w:p w14:paraId="3387A0FD">
      <w:pPr>
        <w:spacing w:line="360" w:lineRule="auto"/>
        <w:rPr>
          <w:rFonts w:hint="eastAsia" w:asciiTheme="minorEastAsia" w:hAnsiTheme="minorEastAsia" w:eastAsiaTheme="minorEastAsia" w:cstheme="minorEastAsia"/>
          <w:color w:val="auto"/>
          <w:sz w:val="24"/>
          <w:u w:val="single"/>
          <w:lang w:eastAsia="zh-CN"/>
        </w:rPr>
      </w:pPr>
      <w:r>
        <w:rPr>
          <w:rFonts w:hint="eastAsia" w:asciiTheme="minorEastAsia" w:hAnsiTheme="minorEastAsia" w:eastAsiaTheme="minorEastAsia" w:cstheme="minorEastAsia"/>
          <w:color w:val="auto"/>
          <w:sz w:val="24"/>
        </w:rPr>
        <w:t>1.5.1预付款比例、支付方式、时间:</w:t>
      </w:r>
      <w:r>
        <w:rPr>
          <w:rFonts w:hint="eastAsia" w:asciiTheme="minorEastAsia" w:hAnsiTheme="minorEastAsia" w:eastAsiaTheme="minorEastAsia" w:cstheme="minorEastAsia"/>
          <w:color w:val="auto"/>
          <w:sz w:val="24"/>
          <w:u w:val="single"/>
        </w:rPr>
        <w:t>签订合同后5个工作日内，项目具备实施条件后，</w:t>
      </w:r>
      <w:r>
        <w:rPr>
          <w:rFonts w:hint="eastAsia" w:asciiTheme="minorEastAsia" w:hAnsiTheme="minorEastAsia" w:eastAsiaTheme="minorEastAsia" w:cstheme="minorEastAsia"/>
          <w:color w:val="auto"/>
          <w:sz w:val="24"/>
          <w:u w:val="single"/>
          <w:lang w:eastAsia="zh-CN"/>
        </w:rPr>
        <w:t>甲方</w:t>
      </w:r>
      <w:r>
        <w:rPr>
          <w:rFonts w:hint="eastAsia" w:asciiTheme="minorEastAsia" w:hAnsiTheme="minorEastAsia" w:eastAsiaTheme="minorEastAsia" w:cstheme="minorEastAsia"/>
          <w:color w:val="auto"/>
          <w:sz w:val="24"/>
          <w:u w:val="single"/>
        </w:rPr>
        <w:t>向</w:t>
      </w:r>
      <w:r>
        <w:rPr>
          <w:rFonts w:hint="eastAsia" w:asciiTheme="minorEastAsia" w:hAnsiTheme="minorEastAsia" w:eastAsiaTheme="minorEastAsia" w:cstheme="minorEastAsia"/>
          <w:color w:val="auto"/>
          <w:sz w:val="24"/>
          <w:u w:val="single"/>
          <w:lang w:eastAsia="zh-CN"/>
        </w:rPr>
        <w:t>乙方</w:t>
      </w:r>
      <w:r>
        <w:rPr>
          <w:rFonts w:hint="eastAsia" w:asciiTheme="minorEastAsia" w:hAnsiTheme="minorEastAsia" w:eastAsiaTheme="minorEastAsia" w:cstheme="minorEastAsia"/>
          <w:color w:val="auto"/>
          <w:sz w:val="24"/>
          <w:u w:val="single"/>
        </w:rPr>
        <w:t>支付合同总价的40%</w:t>
      </w:r>
      <w:r>
        <w:rPr>
          <w:rFonts w:hint="eastAsia" w:asciiTheme="minorEastAsia" w:hAnsiTheme="minorEastAsia" w:eastAsiaTheme="minorEastAsia" w:cstheme="minorEastAsia"/>
          <w:color w:val="auto"/>
          <w:sz w:val="24"/>
          <w:u w:val="single"/>
          <w:lang w:eastAsia="zh-CN"/>
        </w:rPr>
        <w:t>。</w:t>
      </w:r>
    </w:p>
    <w:p w14:paraId="0ABB76A2">
      <w:pPr>
        <w:spacing w:line="360" w:lineRule="auto"/>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1.5.2预付款的扣回方式：</w:t>
      </w:r>
      <w:r>
        <w:rPr>
          <w:rFonts w:hint="eastAsia" w:asciiTheme="minorEastAsia" w:hAnsiTheme="minorEastAsia" w:eastAsiaTheme="minorEastAsia" w:cstheme="minorEastAsia"/>
          <w:color w:val="auto"/>
          <w:sz w:val="24"/>
          <w:u w:val="single"/>
        </w:rPr>
        <w:t>预付款不扣回，包含在第二期合同款支付内。</w:t>
      </w:r>
    </w:p>
    <w:p w14:paraId="73DB10C2">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1.6.2资金支付的方式、时间和条件：</w:t>
      </w:r>
    </w:p>
    <w:p w14:paraId="38CF11D2">
      <w:pPr>
        <w:pStyle w:val="23"/>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u w:val="single"/>
          <w:lang w:eastAsia="zh-CN"/>
        </w:rPr>
      </w:pPr>
      <w:r>
        <w:rPr>
          <w:rFonts w:hint="eastAsia" w:asciiTheme="minorEastAsia" w:hAnsiTheme="minorEastAsia" w:eastAsiaTheme="minorEastAsia" w:cstheme="minorEastAsia"/>
          <w:color w:val="auto"/>
          <w:u w:val="single"/>
          <w:lang w:eastAsia="zh-CN"/>
        </w:rPr>
        <w:t>第一期付款:签订合同后5个工作日内，项目具备实施条件后，甲方向乙方支付合同总价的40%。</w:t>
      </w:r>
    </w:p>
    <w:p w14:paraId="662449D3">
      <w:pPr>
        <w:pStyle w:val="23"/>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u w:val="single"/>
          <w:lang w:eastAsia="zh-CN"/>
        </w:rPr>
      </w:pPr>
      <w:r>
        <w:rPr>
          <w:rFonts w:hint="eastAsia" w:asciiTheme="minorEastAsia" w:hAnsiTheme="minorEastAsia" w:eastAsiaTheme="minorEastAsia" w:cstheme="minorEastAsia"/>
          <w:color w:val="auto"/>
          <w:u w:val="single"/>
          <w:lang w:eastAsia="zh-CN"/>
        </w:rPr>
        <w:t>第二期付款：服务至2025年11月30日，经验收合格后,凭双方签字盖章的验收意见、验收小组签字的验收报告、月度考核表、验收资料等材料，最多支付至230万元（含甲方已向乙方支付的第一期合同价款）；</w:t>
      </w:r>
    </w:p>
    <w:p w14:paraId="637254BC">
      <w:pPr>
        <w:pStyle w:val="23"/>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u w:val="single"/>
          <w:lang w:eastAsia="zh-CN"/>
        </w:rPr>
      </w:pPr>
      <w:r>
        <w:rPr>
          <w:rFonts w:hint="eastAsia" w:asciiTheme="minorEastAsia" w:hAnsiTheme="minorEastAsia" w:eastAsiaTheme="minorEastAsia" w:cstheme="minorEastAsia"/>
          <w:color w:val="auto"/>
          <w:u w:val="single"/>
          <w:lang w:eastAsia="zh-CN"/>
        </w:rPr>
        <w:t>第三期付款：至服务期结束，经验收合格后，凭双方签字盖章的验收意见、验收小组签字的验收报告、月度考核表、验收公示截图、验收资料等材料，经甲方对服务报告质量及数量审核无误后，根据合同单价、实际维护内容及数量按实结算剩余应付的合同款项，同时扣除乙方应向甲方支付的违约金。</w:t>
      </w:r>
    </w:p>
    <w:p w14:paraId="4AD6771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u w:val="single"/>
          <w:lang w:val="zh-CN"/>
        </w:rPr>
      </w:pPr>
      <w:r>
        <w:rPr>
          <w:rFonts w:hint="eastAsia" w:asciiTheme="minorEastAsia" w:hAnsiTheme="minorEastAsia" w:eastAsiaTheme="minorEastAsia" w:cstheme="minorEastAsia"/>
          <w:color w:val="auto"/>
          <w:sz w:val="24"/>
          <w:u w:val="single"/>
          <w:lang w:val="zh-CN"/>
        </w:rPr>
        <w:t>双方确认，甲方按前款结算并向乙方支付的款项总额不超过合同总价。</w:t>
      </w:r>
    </w:p>
    <w:p w14:paraId="46BCC20F">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u w:val="single"/>
          <w:lang w:val="zh-CN"/>
        </w:rPr>
      </w:pPr>
      <w:r>
        <w:rPr>
          <w:rFonts w:hint="eastAsia" w:asciiTheme="minorEastAsia" w:hAnsiTheme="minorEastAsia" w:eastAsiaTheme="minorEastAsia" w:cstheme="minorEastAsia"/>
          <w:color w:val="auto"/>
          <w:sz w:val="24"/>
          <w:u w:val="single"/>
          <w:lang w:val="zh-CN"/>
        </w:rPr>
        <w:t>前述甲方按</w:t>
      </w:r>
      <w:r>
        <w:rPr>
          <w:rFonts w:hint="eastAsia" w:asciiTheme="minorEastAsia" w:hAnsiTheme="minorEastAsia" w:eastAsiaTheme="minorEastAsia" w:cstheme="minorEastAsia"/>
          <w:color w:val="auto"/>
          <w:sz w:val="24"/>
          <w:u w:val="single"/>
        </w:rPr>
        <w:t>合同单价、实际维护内容及数量</w:t>
      </w:r>
      <w:r>
        <w:rPr>
          <w:rFonts w:hint="eastAsia" w:asciiTheme="minorEastAsia" w:hAnsiTheme="minorEastAsia" w:eastAsiaTheme="minorEastAsia" w:cstheme="minorEastAsia"/>
          <w:color w:val="auto"/>
          <w:sz w:val="24"/>
          <w:u w:val="single"/>
          <w:lang w:val="zh-CN"/>
        </w:rPr>
        <w:t>与乙方进行结算付款的方式不影响乙方承担其因未全面履行本项目义务而产生的相应违约金。</w:t>
      </w:r>
    </w:p>
    <w:p w14:paraId="0752FF26">
      <w:pPr>
        <w:spacing w:line="360" w:lineRule="auto"/>
        <w:rPr>
          <w:rFonts w:hint="eastAsia" w:asciiTheme="minorEastAsia" w:hAnsiTheme="minorEastAsia" w:eastAsiaTheme="minorEastAsia" w:cstheme="minorEastAsia"/>
          <w:color w:val="auto"/>
          <w:sz w:val="24"/>
          <w:u w:val="single"/>
          <w:lang w:val="zh-CN"/>
        </w:rPr>
      </w:pPr>
      <w:r>
        <w:rPr>
          <w:rFonts w:hint="eastAsia" w:asciiTheme="minorEastAsia" w:hAnsiTheme="minorEastAsia" w:eastAsiaTheme="minorEastAsia" w:cstheme="minorEastAsia"/>
          <w:color w:val="auto"/>
          <w:sz w:val="24"/>
          <w:lang w:val="zh-CN"/>
        </w:rPr>
        <w:t>1.7.1服务实施的时间：</w:t>
      </w:r>
      <w:r>
        <w:rPr>
          <w:rFonts w:hint="eastAsia" w:asciiTheme="minorEastAsia" w:hAnsiTheme="minorEastAsia" w:eastAsiaTheme="minorEastAsia" w:cstheme="minorEastAsia"/>
          <w:color w:val="auto"/>
          <w:sz w:val="24"/>
          <w:u w:val="single"/>
        </w:rPr>
        <w:t>2025年6月1日至2026年5月31日</w:t>
      </w:r>
      <w:r>
        <w:rPr>
          <w:rFonts w:hint="eastAsia" w:asciiTheme="minorEastAsia" w:hAnsiTheme="minorEastAsia" w:eastAsiaTheme="minorEastAsia" w:cstheme="minorEastAsia"/>
          <w:color w:val="auto"/>
          <w:sz w:val="24"/>
          <w:u w:val="single"/>
          <w:lang w:val="zh-CN"/>
        </w:rPr>
        <w:t>。</w:t>
      </w:r>
    </w:p>
    <w:p w14:paraId="38FBC7DA">
      <w:pPr>
        <w:spacing w:line="360" w:lineRule="auto"/>
        <w:rPr>
          <w:rFonts w:hint="eastAsia" w:asciiTheme="minorEastAsia" w:hAnsiTheme="minorEastAsia" w:eastAsiaTheme="minorEastAsia" w:cstheme="minorEastAsia"/>
          <w:color w:val="auto"/>
          <w:sz w:val="24"/>
          <w:u w:val="single"/>
          <w:lang w:val="zh-CN"/>
        </w:rPr>
      </w:pPr>
      <w:r>
        <w:rPr>
          <w:rFonts w:hint="eastAsia" w:asciiTheme="minorEastAsia" w:hAnsiTheme="minorEastAsia" w:eastAsiaTheme="minorEastAsia" w:cstheme="minorEastAsia"/>
          <w:color w:val="auto"/>
          <w:sz w:val="24"/>
          <w:lang w:val="zh-CN"/>
        </w:rPr>
        <w:t>1.7.2服务实施的地点：</w:t>
      </w:r>
      <w:r>
        <w:rPr>
          <w:rFonts w:hint="eastAsia" w:asciiTheme="minorEastAsia" w:hAnsiTheme="minorEastAsia" w:eastAsiaTheme="minorEastAsia" w:cstheme="minorEastAsia"/>
          <w:color w:val="auto"/>
          <w:sz w:val="24"/>
          <w:u w:val="single"/>
        </w:rPr>
        <w:t>杭州市公安局。</w:t>
      </w:r>
    </w:p>
    <w:p w14:paraId="3F3B30AA">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1.7.3服务实施的方式：</w:t>
      </w:r>
      <w:r>
        <w:rPr>
          <w:rFonts w:hint="eastAsia" w:asciiTheme="minorEastAsia" w:hAnsiTheme="minorEastAsia" w:eastAsiaTheme="minorEastAsia" w:cstheme="minorEastAsia"/>
          <w:color w:val="auto"/>
          <w:sz w:val="24"/>
          <w:u w:val="single"/>
        </w:rPr>
        <w:t>服务期内，乙方派服务人员现场实施。</w:t>
      </w:r>
    </w:p>
    <w:p w14:paraId="2C20C1BE">
      <w:pPr>
        <w:spacing w:line="360" w:lineRule="auto"/>
        <w:outlineLvl w:val="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1.8.7违约责任：</w:t>
      </w:r>
    </w:p>
    <w:p w14:paraId="1B7AFAB3">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（1）</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应完全按照</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招标文件的要求和</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投标文件及相关文件承诺完成本项目，因</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自身财务、技术、人力等原因导致项目风险的，应承担全部责任。</w:t>
      </w:r>
    </w:p>
    <w:p w14:paraId="27A49B78">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（2）</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有权依据有关法律法规、政府管理的相关职能规定，对本项目进行监督和检查，有权要求</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按照监督检查情况制定相应措施并加以整改。</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不因行使该监督和检查权而承担任何责任，也不因此减轻或免除</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根据合同约定或相关法律法规规定应承担的任何义务或责任。</w:t>
      </w:r>
    </w:p>
    <w:p w14:paraId="7564EF05">
      <w:pPr>
        <w:spacing w:line="360" w:lineRule="auto"/>
        <w:ind w:firstLine="480" w:firstLineChars="200"/>
        <w:jc w:val="left"/>
        <w:rPr>
          <w:rFonts w:hint="eastAsia" w:asciiTheme="minorEastAsia" w:hAnsiTheme="minorEastAsia" w:eastAsiaTheme="minorEastAsia" w:cstheme="minorEastAsia"/>
          <w:iCs/>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3</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iCs/>
          <w:color w:val="auto"/>
          <w:sz w:val="24"/>
          <w:szCs w:val="24"/>
          <w:u w:val="single"/>
        </w:rPr>
        <w:t>除不可抗力外，如果</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没有按照本合同约定的期限、地点和方式提供服务，那么</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可要求</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支付违约金，违约金按每迟延提供服务一日的应提供而未提供服务价格的</w:t>
      </w:r>
      <w:r>
        <w:rPr>
          <w:rFonts w:hint="eastAsia" w:asciiTheme="minorEastAsia" w:hAnsiTheme="minorEastAsia" w:eastAsiaTheme="minorEastAsia" w:cstheme="minorEastAsia"/>
          <w:iCs/>
          <w:color w:val="auto"/>
          <w:sz w:val="24"/>
          <w:szCs w:val="24"/>
          <w:u w:val="single"/>
          <w:lang w:val="en-US" w:eastAsia="zh-CN"/>
        </w:rPr>
        <w:t>0.05</w:t>
      </w:r>
      <w:r>
        <w:rPr>
          <w:rFonts w:hint="eastAsia" w:asciiTheme="minorEastAsia" w:hAnsiTheme="minorEastAsia" w:eastAsiaTheme="minorEastAsia" w:cstheme="minorEastAsia"/>
          <w:iCs/>
          <w:color w:val="auto"/>
          <w:sz w:val="24"/>
          <w:szCs w:val="24"/>
          <w:u w:val="single"/>
        </w:rPr>
        <w:t>%计算，最高限额为本合同总价的20%；迟延提供服务的违约金计算数额达到前述最高限额之日起，</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有权在要求</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支付违约金的同时，书面通知</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解除本合同，并有权对</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追究一切责任。</w:t>
      </w:r>
    </w:p>
    <w:p w14:paraId="31834E0D">
      <w:pPr>
        <w:pStyle w:val="5"/>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4</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iCs/>
          <w:color w:val="auto"/>
          <w:sz w:val="24"/>
          <w:szCs w:val="24"/>
          <w:u w:val="single"/>
        </w:rPr>
        <w:t>除不可抗力外，如果</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没有按照本合同约定的付款方式付款，那么</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可要求</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支付违约金，违约金按每迟延付款一日的应付而未付款的0.05%计算，最高限额为本合同总价的20%；迟延付款的违约金计算数额达到前述最高限额之日起，</w:t>
      </w:r>
      <w:r>
        <w:rPr>
          <w:rFonts w:hint="eastAsia" w:asciiTheme="minorEastAsia" w:hAnsiTheme="minorEastAsia" w:eastAsiaTheme="minorEastAsia" w:cstheme="minorEastAsia"/>
          <w:iCs/>
          <w:color w:val="auto"/>
          <w:sz w:val="24"/>
          <w:szCs w:val="24"/>
          <w:u w:val="single"/>
          <w:lang w:eastAsia="zh-CN"/>
        </w:rPr>
        <w:t>乙方</w:t>
      </w:r>
      <w:r>
        <w:rPr>
          <w:rFonts w:hint="eastAsia" w:asciiTheme="minorEastAsia" w:hAnsiTheme="minorEastAsia" w:eastAsiaTheme="minorEastAsia" w:cstheme="minorEastAsia"/>
          <w:iCs/>
          <w:color w:val="auto"/>
          <w:sz w:val="24"/>
          <w:szCs w:val="24"/>
          <w:u w:val="single"/>
        </w:rPr>
        <w:t>有权在要求</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支付违约金的同时，书面通知</w:t>
      </w:r>
      <w:r>
        <w:rPr>
          <w:rFonts w:hint="eastAsia" w:asciiTheme="minorEastAsia" w:hAnsiTheme="minorEastAsia" w:eastAsiaTheme="minorEastAsia" w:cstheme="minorEastAsia"/>
          <w:iCs/>
          <w:color w:val="auto"/>
          <w:sz w:val="24"/>
          <w:szCs w:val="24"/>
          <w:u w:val="single"/>
          <w:lang w:eastAsia="zh-CN"/>
        </w:rPr>
        <w:t>甲方</w:t>
      </w:r>
      <w:r>
        <w:rPr>
          <w:rFonts w:hint="eastAsia" w:asciiTheme="minorEastAsia" w:hAnsiTheme="minorEastAsia" w:eastAsiaTheme="minorEastAsia" w:cstheme="minorEastAsia"/>
          <w:iCs/>
          <w:color w:val="auto"/>
          <w:sz w:val="24"/>
          <w:szCs w:val="24"/>
          <w:u w:val="single"/>
        </w:rPr>
        <w:t>解除本合同。</w:t>
      </w:r>
    </w:p>
    <w:p w14:paraId="10C73474">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5</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擅自将本合同的全部或部分事务转由第三人（</w:t>
      </w:r>
      <w:r>
        <w:rPr>
          <w:rFonts w:hint="eastAsia" w:asciiTheme="minorEastAsia" w:hAnsiTheme="minorEastAsia" w:eastAsiaTheme="minorEastAsia" w:cstheme="minorEastAsia"/>
          <w:color w:val="auto"/>
          <w:sz w:val="24"/>
          <w:szCs w:val="24"/>
          <w:u w:val="single"/>
          <w:lang w:eastAsia="zh-CN"/>
        </w:rPr>
        <w:t>甲方书面同意的</w:t>
      </w:r>
      <w:r>
        <w:rPr>
          <w:rFonts w:hint="eastAsia" w:asciiTheme="minorEastAsia" w:hAnsiTheme="minorEastAsia" w:eastAsiaTheme="minorEastAsia" w:cstheme="minorEastAsia"/>
          <w:color w:val="auto"/>
          <w:sz w:val="24"/>
          <w:szCs w:val="24"/>
          <w:u w:val="single"/>
        </w:rPr>
        <w:t>分包人除外）承担，</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可解除本合同，且</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应按合同总价的30％向</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支付违约金。如发生损失的，</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还应赔偿</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损失。</w:t>
      </w:r>
    </w:p>
    <w:p w14:paraId="4C32A65A">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6</w:t>
      </w:r>
      <w:r>
        <w:rPr>
          <w:rFonts w:hint="eastAsia" w:asciiTheme="minorEastAsia" w:hAnsiTheme="minorEastAsia" w:eastAsiaTheme="minorEastAsia" w:cstheme="minorEastAsia"/>
          <w:color w:val="auto"/>
          <w:sz w:val="24"/>
          <w:szCs w:val="24"/>
          <w:u w:val="single"/>
        </w:rPr>
        <w:t>）服务期间，</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每月对</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实施考核，如有违约的，根据考核条款进行处置，直至解除合同。</w:t>
      </w:r>
    </w:p>
    <w:p w14:paraId="37E5139E">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7</w:t>
      </w:r>
      <w:r>
        <w:rPr>
          <w:rFonts w:hint="eastAsia" w:asciiTheme="minorEastAsia" w:hAnsiTheme="minorEastAsia" w:eastAsiaTheme="minorEastAsia" w:cstheme="minorEastAsia"/>
          <w:color w:val="auto"/>
          <w:sz w:val="24"/>
          <w:szCs w:val="24"/>
          <w:u w:val="single"/>
        </w:rPr>
        <w:t>）本项目履约过程中，</w:t>
      </w:r>
      <w:r>
        <w:rPr>
          <w:rFonts w:hint="eastAsia" w:asciiTheme="minorEastAsia" w:hAnsiTheme="minorEastAsia" w:eastAsiaTheme="minorEastAsia" w:cstheme="minorEastAsia"/>
          <w:color w:val="auto"/>
          <w:sz w:val="24"/>
          <w:szCs w:val="24"/>
          <w:u w:val="single"/>
          <w:lang w:val="en-US" w:eastAsia="zh-CN"/>
        </w:rPr>
        <w:t>中小企业合同金额未达到</w:t>
      </w:r>
      <w:r>
        <w:rPr>
          <w:rFonts w:hint="eastAsia" w:asciiTheme="minorEastAsia" w:hAnsiTheme="minorEastAsia" w:eastAsiaTheme="minorEastAsia" w:cstheme="minorEastAsia"/>
          <w:color w:val="auto"/>
          <w:sz w:val="24"/>
          <w:szCs w:val="24"/>
          <w:u w:val="single"/>
        </w:rPr>
        <w:t>合同总价的</w:t>
      </w:r>
      <w:r>
        <w:rPr>
          <w:rFonts w:hint="eastAsia" w:asciiTheme="minorEastAsia" w:hAnsiTheme="minorEastAsia" w:eastAsiaTheme="minorEastAsia" w:cstheme="minorEastAsia"/>
          <w:color w:val="auto"/>
          <w:sz w:val="24"/>
          <w:szCs w:val="24"/>
          <w:u w:val="single"/>
          <w:lang w:val="en-US" w:eastAsia="zh-CN"/>
        </w:rPr>
        <w:t>100</w:t>
      </w:r>
      <w:r>
        <w:rPr>
          <w:rFonts w:hint="eastAsia" w:asciiTheme="minorEastAsia" w:hAnsiTheme="minorEastAsia" w:eastAsiaTheme="minorEastAsia" w:cstheme="minorEastAsia"/>
          <w:color w:val="auto"/>
          <w:sz w:val="24"/>
          <w:szCs w:val="24"/>
          <w:u w:val="single"/>
        </w:rPr>
        <w:t>%、小微企业</w:t>
      </w:r>
      <w:r>
        <w:rPr>
          <w:rFonts w:hint="eastAsia" w:asciiTheme="minorEastAsia" w:hAnsiTheme="minorEastAsia" w:eastAsiaTheme="minorEastAsia" w:cstheme="minorEastAsia"/>
          <w:color w:val="auto"/>
          <w:sz w:val="24"/>
          <w:szCs w:val="24"/>
          <w:u w:val="single"/>
          <w:lang w:val="en-US" w:eastAsia="zh-CN"/>
        </w:rPr>
        <w:t>合同金额未</w:t>
      </w:r>
      <w:r>
        <w:rPr>
          <w:rFonts w:hint="eastAsia" w:asciiTheme="minorEastAsia" w:hAnsiTheme="minorEastAsia" w:eastAsiaTheme="minorEastAsia" w:cstheme="minorEastAsia"/>
          <w:color w:val="auto"/>
          <w:sz w:val="24"/>
          <w:szCs w:val="24"/>
          <w:u w:val="single"/>
        </w:rPr>
        <w:t>达到合同总价的28%，</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有权无条件终止合同,并报送本级政府采购监管部门，提前列入失信行为记录名单，追究相关责任，且</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应向</w:t>
      </w:r>
      <w:r>
        <w:rPr>
          <w:rFonts w:hint="eastAsia" w:asciiTheme="minorEastAsia" w:hAnsiTheme="minorEastAsia" w:eastAsiaTheme="minorEastAsia" w:cstheme="minorEastAsia"/>
          <w:color w:val="auto"/>
          <w:sz w:val="24"/>
          <w:szCs w:val="24"/>
          <w:u w:val="single"/>
          <w:lang w:eastAsia="zh-CN"/>
        </w:rPr>
        <w:t>甲方</w:t>
      </w:r>
      <w:r>
        <w:rPr>
          <w:rFonts w:hint="eastAsia" w:asciiTheme="minorEastAsia" w:hAnsiTheme="minorEastAsia" w:eastAsiaTheme="minorEastAsia" w:cstheme="minorEastAsia"/>
          <w:color w:val="auto"/>
          <w:sz w:val="24"/>
          <w:szCs w:val="24"/>
          <w:u w:val="single"/>
        </w:rPr>
        <w:t>支付合同总价30%的违约金。</w:t>
      </w:r>
    </w:p>
    <w:p w14:paraId="3A331C30">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lang w:val="en-US" w:eastAsia="zh-CN"/>
        </w:rPr>
        <w:t>（8）乙方发生违反相关保密规定、未按网络安全履行责任和义务的,每发生一次扣除违约金10000元/次外，甲方将</w:t>
      </w:r>
      <w:r>
        <w:rPr>
          <w:rFonts w:hint="eastAsia" w:asciiTheme="minorEastAsia" w:hAnsiTheme="minorEastAsia" w:eastAsiaTheme="minorEastAsia" w:cstheme="minorEastAsia"/>
          <w:color w:val="auto"/>
          <w:sz w:val="24"/>
          <w:szCs w:val="24"/>
          <w:u w:val="single"/>
        </w:rPr>
        <w:t>追究</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一切法律责任。</w:t>
      </w:r>
    </w:p>
    <w:p w14:paraId="47061AC8">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9</w:t>
      </w:r>
      <w:r>
        <w:rPr>
          <w:rFonts w:hint="eastAsia" w:asciiTheme="minorEastAsia" w:hAnsiTheme="minorEastAsia" w:eastAsiaTheme="minorEastAsia" w:cstheme="minorEastAsia"/>
          <w:color w:val="auto"/>
          <w:sz w:val="24"/>
          <w:szCs w:val="24"/>
          <w:u w:val="single"/>
        </w:rPr>
        <w:t>）因</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工作过错造成的安全管理事故，</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负全部责任及相关费用。</w:t>
      </w:r>
    </w:p>
    <w:p w14:paraId="1E7F79A8">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（1</w:t>
      </w:r>
      <w:r>
        <w:rPr>
          <w:rFonts w:hint="eastAsia" w:asciiTheme="minorEastAsia" w:hAnsiTheme="minorEastAsia" w:eastAsiaTheme="minorEastAsia" w:cstheme="minorEastAsia"/>
          <w:color w:val="auto"/>
          <w:sz w:val="24"/>
          <w:szCs w:val="24"/>
          <w:u w:val="single"/>
          <w:lang w:val="en-US" w:eastAsia="zh-CN"/>
        </w:rPr>
        <w:t>0</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所有人员的事故由</w:t>
      </w:r>
      <w:r>
        <w:rPr>
          <w:rFonts w:hint="eastAsia" w:asciiTheme="minorEastAsia" w:hAnsiTheme="minorEastAsia" w:eastAsiaTheme="minorEastAsia" w:cstheme="minorEastAsia"/>
          <w:color w:val="auto"/>
          <w:sz w:val="24"/>
          <w:szCs w:val="24"/>
          <w:u w:val="single"/>
          <w:lang w:eastAsia="zh-CN"/>
        </w:rPr>
        <w:t>乙方</w:t>
      </w:r>
      <w:r>
        <w:rPr>
          <w:rFonts w:hint="eastAsia" w:asciiTheme="minorEastAsia" w:hAnsiTheme="minorEastAsia" w:eastAsiaTheme="minorEastAsia" w:cstheme="minorEastAsia"/>
          <w:color w:val="auto"/>
          <w:sz w:val="24"/>
          <w:szCs w:val="24"/>
          <w:u w:val="single"/>
        </w:rPr>
        <w:t>自行全权负责。</w:t>
      </w:r>
    </w:p>
    <w:p w14:paraId="6CE709F2">
      <w:pPr>
        <w:spacing w:line="360" w:lineRule="auto"/>
        <w:ind w:firstLine="480" w:firstLineChars="200"/>
        <w:outlineLvl w:val="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u w:val="single"/>
        </w:rPr>
        <w:t>（1</w:t>
      </w:r>
      <w:r>
        <w:rPr>
          <w:rFonts w:hint="eastAsia" w:asciiTheme="minorEastAsia" w:hAnsiTheme="minorEastAsia" w:eastAsiaTheme="minorEastAsia" w:cstheme="minorEastAsia"/>
          <w:color w:val="auto"/>
          <w:sz w:val="24"/>
          <w:szCs w:val="24"/>
          <w:u w:val="single"/>
          <w:lang w:val="en-US" w:eastAsia="zh-CN"/>
        </w:rPr>
        <w:t>1</w:t>
      </w:r>
      <w:r>
        <w:rPr>
          <w:rFonts w:hint="eastAsia" w:asciiTheme="minorEastAsia" w:hAnsiTheme="minorEastAsia" w:eastAsiaTheme="minorEastAsia" w:cstheme="minorEastAsia"/>
          <w:color w:val="auto"/>
          <w:sz w:val="24"/>
          <w:szCs w:val="24"/>
          <w:u w:val="single"/>
        </w:rPr>
        <w:t>）违约金在结算合同尾款时一次性扣除。</w:t>
      </w:r>
    </w:p>
    <w:p w14:paraId="72A7A459">
      <w:pPr>
        <w:snapToGrid w:val="0"/>
        <w:spacing w:line="360" w:lineRule="auto"/>
        <w:ind w:firstLine="482" w:firstLineChars="200"/>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1.9合同争议的解决</w:t>
      </w:r>
    </w:p>
    <w:p w14:paraId="212580FD">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本合同履行过程中发生的任何争议，双方当事人均可通过和解或者调解解决；不愿和解、调解或者和解、调解不成的，可以选择以下第</w:t>
      </w:r>
      <w:r>
        <w:rPr>
          <w:rFonts w:hint="eastAsia" w:asciiTheme="minorEastAsia" w:hAnsiTheme="minorEastAsia" w:eastAsiaTheme="minorEastAsia" w:cstheme="minorEastAsia"/>
          <w:color w:val="auto"/>
          <w:sz w:val="24"/>
          <w:u w:val="single"/>
        </w:rPr>
        <w:t xml:space="preserve"> 1.9.2条</w:t>
      </w:r>
      <w:r>
        <w:rPr>
          <w:rFonts w:hint="eastAsia" w:asciiTheme="minorEastAsia" w:hAnsiTheme="minorEastAsia" w:eastAsiaTheme="minorEastAsia" w:cstheme="minorEastAsia"/>
          <w:color w:val="auto"/>
          <w:sz w:val="24"/>
        </w:rPr>
        <w:t>款规定的方式解决：</w:t>
      </w:r>
    </w:p>
    <w:p w14:paraId="1AAA1DB1">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1.9.1 将争议提交仲裁委员会依申请仲裁时其现行有效的仲裁规则裁决；</w:t>
      </w:r>
    </w:p>
    <w:p w14:paraId="463B6CE2">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1.9.2 向甲方所在地人民法院起诉。</w:t>
      </w:r>
    </w:p>
    <w:p w14:paraId="6682973A">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2.3.2合同涉及技术成果的归属和收益的分成办法的：</w:t>
      </w:r>
      <w:r>
        <w:rPr>
          <w:rFonts w:hint="eastAsia" w:asciiTheme="minorEastAsia" w:hAnsiTheme="minorEastAsia" w:eastAsiaTheme="minorEastAsia" w:cstheme="minorEastAsia"/>
          <w:color w:val="auto"/>
          <w:sz w:val="24"/>
          <w:u w:val="single"/>
        </w:rPr>
        <w:t xml:space="preserve"> 无  </w:t>
      </w:r>
      <w:r>
        <w:rPr>
          <w:rFonts w:hint="eastAsia" w:asciiTheme="minorEastAsia" w:hAnsiTheme="minorEastAsia" w:eastAsiaTheme="minorEastAsia" w:cstheme="minorEastAsia"/>
          <w:color w:val="auto"/>
          <w:sz w:val="24"/>
        </w:rPr>
        <w:t>。</w:t>
      </w:r>
    </w:p>
    <w:p w14:paraId="4B12E7AE">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2.5</w:t>
      </w:r>
      <w:r>
        <w:rPr>
          <w:rFonts w:hint="eastAsia" w:asciiTheme="minorEastAsia" w:hAnsiTheme="minorEastAsia" w:eastAsiaTheme="minorEastAsia" w:cstheme="minorEastAsia"/>
          <w:b/>
          <w:color w:val="auto"/>
          <w:sz w:val="24"/>
        </w:rPr>
        <w:t>结算方式和付款条件：见1.6.2条款。</w:t>
      </w:r>
    </w:p>
    <w:p w14:paraId="47F9B8B1">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2.11.3因不可抗力致使合同有变更必要的，双方当事人应在</w:t>
      </w:r>
      <w:r>
        <w:rPr>
          <w:rFonts w:hint="eastAsia" w:asciiTheme="minorEastAsia" w:hAnsiTheme="minorEastAsia" w:eastAsiaTheme="minorEastAsia" w:cstheme="minorEastAsia"/>
          <w:b/>
          <w:i/>
          <w:color w:val="auto"/>
          <w:sz w:val="24"/>
          <w:u w:val="single"/>
        </w:rPr>
        <w:t>15个工作日</w:t>
      </w:r>
      <w:r>
        <w:rPr>
          <w:rFonts w:hint="eastAsia" w:asciiTheme="minorEastAsia" w:hAnsiTheme="minorEastAsia" w:eastAsiaTheme="minorEastAsia" w:cstheme="minorEastAsia"/>
          <w:color w:val="auto"/>
          <w:sz w:val="24"/>
        </w:rPr>
        <w:t>内以书面形式变更合同；</w:t>
      </w:r>
    </w:p>
    <w:p w14:paraId="360FA263">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2.11.4受不可抗力影响的一方在不可抗力发生后，应在</w:t>
      </w:r>
      <w:r>
        <w:rPr>
          <w:rFonts w:hint="eastAsia" w:asciiTheme="minorEastAsia" w:hAnsiTheme="minorEastAsia" w:eastAsiaTheme="minorEastAsia" w:cstheme="minorEastAsia"/>
          <w:b/>
          <w:i/>
          <w:color w:val="auto"/>
          <w:sz w:val="24"/>
          <w:u w:val="single"/>
        </w:rPr>
        <w:t>7个工作日</w:t>
      </w:r>
      <w:r>
        <w:rPr>
          <w:rFonts w:hint="eastAsia" w:asciiTheme="minorEastAsia" w:hAnsiTheme="minorEastAsia" w:eastAsiaTheme="minorEastAsia" w:cstheme="minorEastAsia"/>
          <w:color w:val="auto"/>
          <w:sz w:val="24"/>
        </w:rPr>
        <w:t>内以书面形式通知对方当事人，并在</w:t>
      </w:r>
      <w:r>
        <w:rPr>
          <w:rFonts w:hint="eastAsia" w:asciiTheme="minorEastAsia" w:hAnsiTheme="minorEastAsia" w:eastAsiaTheme="minorEastAsia" w:cstheme="minorEastAsia"/>
          <w:b/>
          <w:i/>
          <w:color w:val="auto"/>
          <w:sz w:val="24"/>
          <w:u w:val="single"/>
        </w:rPr>
        <w:t>10个工作日</w:t>
      </w:r>
      <w:r>
        <w:rPr>
          <w:rFonts w:hint="eastAsia" w:asciiTheme="minorEastAsia" w:hAnsiTheme="minorEastAsia" w:eastAsiaTheme="minorEastAsia" w:cstheme="minorEastAsia"/>
          <w:color w:val="auto"/>
          <w:sz w:val="24"/>
        </w:rPr>
        <w:t>内，将有关部门出具的证明文件送达对方当事人。</w:t>
      </w:r>
    </w:p>
    <w:p w14:paraId="3D1979EC">
      <w:pPr>
        <w:spacing w:line="360" w:lineRule="auto"/>
        <w:ind w:firstLine="480" w:firstLineChars="200"/>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2.15.1履约验收时间：</w:t>
      </w:r>
      <w:r>
        <w:rPr>
          <w:rFonts w:hint="eastAsia" w:asciiTheme="minorEastAsia" w:hAnsiTheme="minorEastAsia" w:eastAsiaTheme="minorEastAsia" w:cstheme="minorEastAsia"/>
          <w:color w:val="auto"/>
          <w:sz w:val="24"/>
          <w:u w:val="single"/>
        </w:rPr>
        <w:t>本项目分期验收，第一期初验验收：服务期至2025年11月30日</w:t>
      </w:r>
      <w:r>
        <w:rPr>
          <w:rFonts w:hint="eastAsia" w:asciiTheme="minorEastAsia" w:hAnsiTheme="minorEastAsia" w:eastAsiaTheme="minorEastAsia" w:cstheme="minorEastAsia"/>
          <w:color w:val="auto"/>
          <w:sz w:val="24"/>
          <w:u w:val="single"/>
          <w:lang w:eastAsia="zh-CN"/>
        </w:rPr>
        <w:t>后</w:t>
      </w:r>
      <w:r>
        <w:rPr>
          <w:rFonts w:hint="eastAsia" w:asciiTheme="minorEastAsia" w:hAnsiTheme="minorEastAsia" w:eastAsiaTheme="minorEastAsia" w:cstheme="minorEastAsia"/>
          <w:color w:val="auto"/>
          <w:sz w:val="24"/>
          <w:u w:val="single"/>
        </w:rPr>
        <w:t>，第二期终验验收：服务期结束后。</w:t>
      </w:r>
    </w:p>
    <w:p w14:paraId="0B719E73">
      <w:pPr>
        <w:snapToGri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2.15.3检验和验收标准、程序</w:t>
      </w:r>
    </w:p>
    <w:p w14:paraId="6BFDFC58">
      <w:pPr>
        <w:snapToGri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按照《杭州市政府采购履约验收暂行办法》（杭财采监[2019]10号）规定组织对</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履约的验收。验收方成员应当在验收书上签字，并承担相应的法律责任。如果发现与合同中要求不符，</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须承担由此发生的一切损失和费用，并接受相应的处理。</w:t>
      </w:r>
    </w:p>
    <w:p w14:paraId="7A155F37">
      <w:pPr>
        <w:tabs>
          <w:tab w:val="left" w:pos="904"/>
        </w:tabs>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2、严格按照采购合同开展履约验收。</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委托第三方机构组织验收，成立验收小组（验收小组由5人组成：其中</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1名，专家4名由采购代理机构从</w:t>
      </w:r>
      <w:r>
        <w:rPr>
          <w:rFonts w:hint="eastAsia" w:asciiTheme="minorEastAsia" w:hAnsiTheme="minorEastAsia" w:eastAsiaTheme="minorEastAsia" w:cstheme="minorEastAsia"/>
          <w:color w:val="auto"/>
          <w:sz w:val="24"/>
          <w:lang w:eastAsia="zh-CN"/>
        </w:rPr>
        <w:t>乐采云</w:t>
      </w:r>
      <w:r>
        <w:rPr>
          <w:rFonts w:hint="eastAsia" w:asciiTheme="minorEastAsia" w:hAnsiTheme="minorEastAsia" w:eastAsiaTheme="minorEastAsia" w:cstheme="minorEastAsia"/>
          <w:color w:val="auto"/>
          <w:sz w:val="24"/>
        </w:rPr>
        <w:t>平台专家库中随机抽取产生），按照采购合同的约定对</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履约情况进行验收，验收时，按照采购合同的约定对每一项技术、服务、安全标准的履约情况进行确认，出具验收报告并经验收小组全体成员签字。</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根据验收报告形成验收意见并经</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与</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签字盖章。验收结果与采购合同约定的资金支付条件挂钩。履约验收的各项资料应当存档备查。</w:t>
      </w:r>
    </w:p>
    <w:p w14:paraId="0BCC6E57">
      <w:pPr>
        <w:tabs>
          <w:tab w:val="left" w:pos="904"/>
        </w:tabs>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本项目为信息化运维项目，根据《杭州市公安局信息化项目管理办法》第27条规定,信息化运维项目服务期满后,项目单位应向市公安局科信局提交《信息化运维项目验收表》及验收所需相应材料,由市公安局科信局按照杭州市政府采购履约验收相关管理办法的程序,结合市局相关内控制度组织开展验收。</w:t>
      </w:r>
    </w:p>
    <w:p w14:paraId="73C7CF79">
      <w:pPr>
        <w:snapToGri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4、验收合格的项目，</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将根据采购合同的约定及时向</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支付采购资金。验收不合格的项目，</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将依法及时处理。采购合同的履行、违约责任和解决争议的方式等适用《中华人民共和国民法典》。</w:t>
      </w:r>
    </w:p>
    <w:p w14:paraId="4520745F">
      <w:pPr>
        <w:spacing w:line="360" w:lineRule="auto"/>
        <w:ind w:firstLine="480" w:firstLineChars="200"/>
        <w:jc w:val="left"/>
        <w:outlineLvl w:val="1"/>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5、验收产生的费用首次验收费用由</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承担，如首次验收不合格，后续验收费用由</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支付。</w:t>
      </w:r>
    </w:p>
    <w:p w14:paraId="40809EC8">
      <w:pPr>
        <w:tabs>
          <w:tab w:val="left" w:pos="904"/>
        </w:tabs>
        <w:snapToGri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6、验收内容及资料要求：</w:t>
      </w:r>
    </w:p>
    <w:p w14:paraId="241D1468">
      <w:pPr>
        <w:tabs>
          <w:tab w:val="left" w:pos="904"/>
        </w:tabs>
        <w:snapToGri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6.1验收内容</w:t>
      </w:r>
    </w:p>
    <w:tbl>
      <w:tblPr>
        <w:tblStyle w:val="62"/>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418"/>
        <w:gridCol w:w="6426"/>
      </w:tblGrid>
      <w:tr w14:paraId="0D830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noWrap/>
            <w:vAlign w:val="center"/>
          </w:tcPr>
          <w:p w14:paraId="344BB9F3">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序号</w:t>
            </w:r>
          </w:p>
        </w:tc>
        <w:tc>
          <w:tcPr>
            <w:tcW w:w="1418" w:type="dxa"/>
            <w:noWrap/>
            <w:vAlign w:val="center"/>
          </w:tcPr>
          <w:p w14:paraId="2FB00300">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验收内容</w:t>
            </w:r>
          </w:p>
        </w:tc>
        <w:tc>
          <w:tcPr>
            <w:tcW w:w="6426" w:type="dxa"/>
            <w:vAlign w:val="center"/>
          </w:tcPr>
          <w:p w14:paraId="1532048E">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 xml:space="preserve"> 验收标准</w:t>
            </w:r>
          </w:p>
        </w:tc>
      </w:tr>
      <w:tr w14:paraId="0E35A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673" w:type="dxa"/>
            <w:noWrap/>
            <w:vAlign w:val="center"/>
          </w:tcPr>
          <w:p w14:paraId="7F4F5E43">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1</w:t>
            </w:r>
          </w:p>
        </w:tc>
        <w:tc>
          <w:tcPr>
            <w:tcW w:w="1418" w:type="dxa"/>
            <w:noWrap/>
            <w:vAlign w:val="center"/>
          </w:tcPr>
          <w:p w14:paraId="77A2231E">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响应程度</w:t>
            </w:r>
          </w:p>
        </w:tc>
        <w:tc>
          <w:tcPr>
            <w:tcW w:w="6426" w:type="dxa"/>
            <w:vAlign w:val="center"/>
          </w:tcPr>
          <w:p w14:paraId="3D3FA8C8">
            <w:pPr>
              <w:widowControl/>
              <w:spacing w:line="360" w:lineRule="auto"/>
              <w:jc w:val="left"/>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等保测评服务”、“数据库审计服务”、“政务网云日志审计服务”、“政务网态势感知服务”、“SaaS化安全服务”、“公安网安全风险感知服务”、“公安网桌面云服务”、“公安网一机两用服务”、“视频网终端杀毒服务”、“系统安全检测”、“网络安全检查”、“</w:t>
            </w:r>
            <w:r>
              <w:rPr>
                <w:rFonts w:hint="eastAsia" w:asciiTheme="minorEastAsia" w:hAnsiTheme="minorEastAsia" w:eastAsiaTheme="minorEastAsia" w:cstheme="minorEastAsia"/>
                <w:color w:val="auto"/>
                <w:sz w:val="24"/>
                <w:lang w:eastAsia="zh-Hans"/>
              </w:rPr>
              <w:t>重保</w:t>
            </w:r>
            <w:r>
              <w:rPr>
                <w:rFonts w:hint="eastAsia" w:asciiTheme="minorEastAsia" w:hAnsiTheme="minorEastAsia" w:eastAsiaTheme="minorEastAsia" w:cstheme="minorEastAsia"/>
                <w:color w:val="auto"/>
                <w:kern w:val="0"/>
                <w:sz w:val="24"/>
              </w:rPr>
              <w:t>”、“应急响应”、“边界通道租赁服务”十四部分维护内容的</w:t>
            </w:r>
            <w:r>
              <w:rPr>
                <w:rFonts w:hint="eastAsia" w:asciiTheme="minorEastAsia" w:hAnsiTheme="minorEastAsia" w:eastAsiaTheme="minorEastAsia" w:cstheme="minorEastAsia"/>
                <w:color w:val="auto"/>
                <w:sz w:val="24"/>
              </w:rPr>
              <w:t>具体合同与招标文件要求</w:t>
            </w:r>
            <w:r>
              <w:rPr>
                <w:rFonts w:hint="eastAsia" w:asciiTheme="minorEastAsia" w:hAnsiTheme="minorEastAsia" w:eastAsiaTheme="minorEastAsia" w:cstheme="minorEastAsia"/>
                <w:color w:val="auto"/>
                <w:kern w:val="0"/>
                <w:sz w:val="24"/>
              </w:rPr>
              <w:t>响应程度。</w:t>
            </w:r>
          </w:p>
        </w:tc>
      </w:tr>
      <w:tr w14:paraId="113FE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673" w:type="dxa"/>
            <w:vAlign w:val="center"/>
          </w:tcPr>
          <w:p w14:paraId="5E6E2656">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2</w:t>
            </w:r>
          </w:p>
        </w:tc>
        <w:tc>
          <w:tcPr>
            <w:tcW w:w="1418" w:type="dxa"/>
            <w:vAlign w:val="center"/>
          </w:tcPr>
          <w:p w14:paraId="5951F31A">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人员情况</w:t>
            </w:r>
          </w:p>
        </w:tc>
        <w:tc>
          <w:tcPr>
            <w:tcW w:w="6426" w:type="dxa"/>
            <w:vAlign w:val="center"/>
          </w:tcPr>
          <w:p w14:paraId="5F7E65CC">
            <w:pPr>
              <w:widowControl/>
              <w:spacing w:line="360" w:lineRule="auto"/>
              <w:jc w:val="left"/>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lang w:eastAsia="zh-CN"/>
              </w:rPr>
              <w:t>所有服务人员</w:t>
            </w:r>
            <w:r>
              <w:rPr>
                <w:rFonts w:hint="eastAsia" w:asciiTheme="minorEastAsia" w:hAnsiTheme="minorEastAsia" w:eastAsiaTheme="minorEastAsia" w:cstheme="minorEastAsia"/>
                <w:color w:val="auto"/>
                <w:kern w:val="0"/>
                <w:sz w:val="24"/>
              </w:rPr>
              <w:t>的数量、技术水平专业达到采购要求</w:t>
            </w:r>
          </w:p>
        </w:tc>
      </w:tr>
      <w:tr w14:paraId="3635A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73" w:type="dxa"/>
            <w:vAlign w:val="center"/>
          </w:tcPr>
          <w:p w14:paraId="75A45E28">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3</w:t>
            </w:r>
          </w:p>
        </w:tc>
        <w:tc>
          <w:tcPr>
            <w:tcW w:w="1418" w:type="dxa"/>
            <w:vAlign w:val="center"/>
          </w:tcPr>
          <w:p w14:paraId="45C03F24">
            <w:pPr>
              <w:widowControl/>
              <w:spacing w:line="360" w:lineRule="auto"/>
              <w:jc w:val="center"/>
              <w:rPr>
                <w:rFonts w:hint="eastAsia" w:asciiTheme="minorEastAsia" w:hAnsiTheme="minorEastAsia" w:eastAsiaTheme="minorEastAsia" w:cstheme="minorEastAsia"/>
                <w:bCs/>
                <w:color w:val="auto"/>
                <w:kern w:val="0"/>
                <w:sz w:val="24"/>
              </w:rPr>
            </w:pPr>
            <w:r>
              <w:rPr>
                <w:rFonts w:hint="eastAsia" w:asciiTheme="minorEastAsia" w:hAnsiTheme="minorEastAsia" w:eastAsiaTheme="minorEastAsia" w:cstheme="minorEastAsia"/>
                <w:bCs/>
                <w:color w:val="auto"/>
                <w:kern w:val="0"/>
                <w:sz w:val="24"/>
              </w:rPr>
              <w:t>响应时间情况</w:t>
            </w:r>
          </w:p>
        </w:tc>
        <w:tc>
          <w:tcPr>
            <w:tcW w:w="6426" w:type="dxa"/>
            <w:vAlign w:val="center"/>
          </w:tcPr>
          <w:p w14:paraId="1479E489">
            <w:pPr>
              <w:widowControl/>
              <w:spacing w:line="360" w:lineRule="auto"/>
              <w:jc w:val="left"/>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故障响应时间按照要求实施响应。</w:t>
            </w:r>
          </w:p>
        </w:tc>
      </w:tr>
      <w:tr w14:paraId="20DFC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73" w:type="dxa"/>
            <w:vAlign w:val="center"/>
          </w:tcPr>
          <w:p w14:paraId="7262DA14">
            <w:pPr>
              <w:widowControl/>
              <w:spacing w:line="360" w:lineRule="auto"/>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4</w:t>
            </w:r>
          </w:p>
        </w:tc>
        <w:tc>
          <w:tcPr>
            <w:tcW w:w="1418" w:type="dxa"/>
            <w:vAlign w:val="center"/>
          </w:tcPr>
          <w:p w14:paraId="38B192C8">
            <w:pPr>
              <w:widowControl/>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运维资料</w:t>
            </w:r>
          </w:p>
          <w:p w14:paraId="41256D49">
            <w:pPr>
              <w:widowControl/>
              <w:spacing w:line="360" w:lineRule="auto"/>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color w:val="auto"/>
                <w:kern w:val="0"/>
                <w:sz w:val="24"/>
                <w:szCs w:val="24"/>
              </w:rPr>
              <w:t>报告提供情况</w:t>
            </w:r>
          </w:p>
        </w:tc>
        <w:tc>
          <w:tcPr>
            <w:tcW w:w="6426" w:type="dxa"/>
            <w:vAlign w:val="center"/>
          </w:tcPr>
          <w:p w14:paraId="44D6E4F9">
            <w:pPr>
              <w:pStyle w:val="5"/>
              <w:spacing w:line="360" w:lineRule="auto"/>
              <w:ind w:firstLine="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Hans"/>
              </w:rPr>
              <w:t>整体测评实施方案、</w:t>
            </w:r>
            <w:r>
              <w:rPr>
                <w:rFonts w:hint="eastAsia" w:asciiTheme="minorEastAsia" w:hAnsiTheme="minorEastAsia" w:eastAsiaTheme="minorEastAsia" w:cstheme="minorEastAsia"/>
                <w:color w:val="auto"/>
                <w:sz w:val="24"/>
                <w:szCs w:val="24"/>
              </w:rPr>
              <w:t>等级保护测评报告、等级保护整改建议书、数据库审计运维总结报告、</w:t>
            </w:r>
            <w:r>
              <w:rPr>
                <w:rFonts w:hint="eastAsia" w:asciiTheme="minorEastAsia" w:hAnsiTheme="minorEastAsia" w:eastAsiaTheme="minorEastAsia" w:cstheme="minorEastAsia"/>
                <w:color w:val="auto"/>
                <w:sz w:val="24"/>
                <w:szCs w:val="24"/>
                <w:lang w:eastAsia="zh-Hans"/>
              </w:rPr>
              <w:t>网络安全巡检服务报告</w:t>
            </w:r>
            <w:r>
              <w:rPr>
                <w:rFonts w:hint="eastAsia" w:asciiTheme="minorEastAsia" w:hAnsiTheme="minorEastAsia" w:eastAsiaTheme="minorEastAsia" w:cstheme="minorEastAsia"/>
                <w:color w:val="auto"/>
                <w:sz w:val="24"/>
                <w:szCs w:val="24"/>
                <w:lang w:eastAsia="zh-CN"/>
              </w:rPr>
              <w:t>（按季度）</w:t>
            </w:r>
            <w:r>
              <w:rPr>
                <w:rFonts w:hint="eastAsia" w:asciiTheme="minorEastAsia" w:hAnsiTheme="minorEastAsia" w:eastAsiaTheme="minorEastAsia" w:cstheme="minorEastAsia"/>
                <w:color w:val="auto"/>
                <w:sz w:val="24"/>
                <w:szCs w:val="24"/>
                <w:lang w:eastAsia="zh-Hans"/>
              </w:rPr>
              <w:t>、</w:t>
            </w:r>
            <w:r>
              <w:rPr>
                <w:rFonts w:hint="eastAsia" w:asciiTheme="minorEastAsia" w:hAnsiTheme="minorEastAsia" w:eastAsiaTheme="minorEastAsia" w:cstheme="minorEastAsia"/>
                <w:color w:val="auto"/>
                <w:sz w:val="24"/>
                <w:szCs w:val="24"/>
              </w:rPr>
              <w:t>日志审计运维总结报告、政务网</w:t>
            </w:r>
            <w:r>
              <w:rPr>
                <w:rFonts w:hint="eastAsia" w:asciiTheme="minorEastAsia" w:hAnsiTheme="minorEastAsia" w:eastAsiaTheme="minorEastAsia" w:cstheme="minorEastAsia"/>
                <w:color w:val="auto"/>
                <w:sz w:val="24"/>
                <w:szCs w:val="24"/>
              </w:rPr>
              <w:t>安全分析报告</w:t>
            </w:r>
            <w:r>
              <w:rPr>
                <w:rFonts w:hint="eastAsia" w:asciiTheme="minorEastAsia" w:hAnsiTheme="minorEastAsia" w:eastAsiaTheme="minorEastAsia" w:cstheme="minorEastAsia"/>
                <w:color w:val="auto"/>
                <w:sz w:val="24"/>
                <w:szCs w:val="24"/>
                <w:lang w:eastAsia="zh-CN"/>
              </w:rPr>
              <w:t>（按季度）</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rPr>
              <w:t>政务网业务系统安全分析报</w:t>
            </w:r>
            <w:r>
              <w:rPr>
                <w:rFonts w:hint="eastAsia" w:asciiTheme="minorEastAsia" w:hAnsiTheme="minorEastAsia" w:eastAsiaTheme="minorEastAsia" w:cstheme="minorEastAsia"/>
                <w:color w:val="auto"/>
                <w:sz w:val="24"/>
                <w:szCs w:val="24"/>
              </w:rPr>
              <w:t>告</w:t>
            </w:r>
            <w:r>
              <w:rPr>
                <w:rFonts w:hint="eastAsia" w:asciiTheme="minorEastAsia" w:hAnsiTheme="minorEastAsia" w:eastAsiaTheme="minorEastAsia" w:cstheme="minorEastAsia"/>
                <w:color w:val="auto"/>
                <w:sz w:val="24"/>
                <w:szCs w:val="24"/>
                <w:lang w:eastAsia="zh-CN"/>
              </w:rPr>
              <w:t>（按月度）</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rPr>
              <w:t>公安网安全风险感知服务分析报告、桌面云月度服务报告</w:t>
            </w:r>
            <w:r>
              <w:rPr>
                <w:rFonts w:hint="eastAsia" w:asciiTheme="minorEastAsia" w:hAnsiTheme="minorEastAsia" w:eastAsiaTheme="minorEastAsia" w:cstheme="minorEastAsia"/>
                <w:color w:val="auto"/>
                <w:sz w:val="24"/>
                <w:szCs w:val="24"/>
                <w:lang w:eastAsia="zh-CN"/>
              </w:rPr>
              <w:t>（按月度）</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Hans"/>
              </w:rPr>
              <w:t>一机两用巡检服务报告</w:t>
            </w:r>
            <w:r>
              <w:rPr>
                <w:rFonts w:hint="eastAsia" w:asciiTheme="minorEastAsia" w:hAnsiTheme="minorEastAsia" w:eastAsiaTheme="minorEastAsia" w:cstheme="minorEastAsia"/>
                <w:color w:val="auto"/>
                <w:sz w:val="24"/>
                <w:szCs w:val="24"/>
                <w:lang w:eastAsia="zh-CN"/>
              </w:rPr>
              <w:t>（按月度）</w:t>
            </w:r>
            <w:r>
              <w:rPr>
                <w:rFonts w:hint="eastAsia" w:asciiTheme="minorEastAsia" w:hAnsiTheme="minorEastAsia" w:eastAsiaTheme="minorEastAsia" w:cstheme="minorEastAsia"/>
                <w:color w:val="auto"/>
                <w:sz w:val="24"/>
                <w:szCs w:val="24"/>
              </w:rPr>
              <w:t>、一机两用年度维保总结报告</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终端杀毒服务月度报告</w:t>
            </w:r>
            <w:r>
              <w:rPr>
                <w:rFonts w:hint="eastAsia" w:asciiTheme="minorEastAsia" w:hAnsiTheme="minorEastAsia" w:eastAsiaTheme="minorEastAsia" w:cstheme="minorEastAsia"/>
                <w:color w:val="auto"/>
                <w:sz w:val="24"/>
                <w:szCs w:val="24"/>
                <w:lang w:eastAsia="zh-CN"/>
              </w:rPr>
              <w:t>（按月度）</w:t>
            </w:r>
            <w:r>
              <w:rPr>
                <w:rFonts w:hint="eastAsia" w:asciiTheme="minorEastAsia" w:hAnsiTheme="minorEastAsia" w:eastAsiaTheme="minorEastAsia" w:cstheme="minorEastAsia"/>
                <w:color w:val="auto"/>
                <w:sz w:val="24"/>
                <w:szCs w:val="24"/>
              </w:rPr>
              <w:t>、系统安全</w:t>
            </w:r>
            <w:r>
              <w:rPr>
                <w:rFonts w:hint="eastAsia" w:asciiTheme="minorEastAsia" w:hAnsiTheme="minorEastAsia" w:eastAsiaTheme="minorEastAsia" w:cstheme="minorEastAsia"/>
                <w:color w:val="auto"/>
                <w:sz w:val="24"/>
                <w:szCs w:val="24"/>
                <w:lang w:eastAsia="zh-Hans"/>
              </w:rPr>
              <w:t>检测总结</w:t>
            </w:r>
            <w:r>
              <w:rPr>
                <w:rFonts w:hint="eastAsia" w:asciiTheme="minorEastAsia" w:hAnsiTheme="minorEastAsia" w:eastAsiaTheme="minorEastAsia" w:cstheme="minorEastAsia"/>
                <w:color w:val="auto"/>
                <w:sz w:val="24"/>
                <w:szCs w:val="24"/>
              </w:rPr>
              <w:t>报告、网络安全检查总结报告、重大活动安全保障总结报告、应急响应报告、边界通道服务总结报告等资料。</w:t>
            </w:r>
          </w:p>
        </w:tc>
      </w:tr>
      <w:tr w14:paraId="57BEE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3AA4FF5E">
            <w:pPr>
              <w:widowControl/>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5</w:t>
            </w:r>
          </w:p>
        </w:tc>
        <w:tc>
          <w:tcPr>
            <w:tcW w:w="1418" w:type="dxa"/>
            <w:vAlign w:val="center"/>
          </w:tcPr>
          <w:p w14:paraId="55F3B31A">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保密管理</w:t>
            </w:r>
          </w:p>
        </w:tc>
        <w:tc>
          <w:tcPr>
            <w:tcW w:w="6426" w:type="dxa"/>
            <w:vAlign w:val="center"/>
          </w:tcPr>
          <w:p w14:paraId="496E6A46">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eastAsia="zh-CN"/>
              </w:rPr>
              <w:t>乙方</w:t>
            </w:r>
            <w:r>
              <w:rPr>
                <w:rFonts w:hint="eastAsia" w:asciiTheme="minorEastAsia" w:hAnsiTheme="minorEastAsia" w:eastAsiaTheme="minorEastAsia" w:cstheme="minorEastAsia"/>
                <w:bCs/>
                <w:color w:val="auto"/>
                <w:sz w:val="24"/>
                <w:szCs w:val="24"/>
              </w:rPr>
              <w:t>签订保密协议，</w:t>
            </w:r>
            <w:r>
              <w:rPr>
                <w:rFonts w:hint="eastAsia" w:asciiTheme="minorEastAsia" w:hAnsiTheme="minorEastAsia" w:eastAsiaTheme="minorEastAsia" w:cstheme="minorEastAsia"/>
                <w:bCs/>
                <w:color w:val="auto"/>
                <w:sz w:val="24"/>
                <w:szCs w:val="24"/>
                <w:lang w:val="zh-CN"/>
              </w:rPr>
              <w:t>遵守具体安全管理内容，履行安全保密义务和责任</w:t>
            </w:r>
            <w:r>
              <w:rPr>
                <w:rFonts w:hint="eastAsia" w:asciiTheme="minorEastAsia" w:hAnsiTheme="minorEastAsia" w:eastAsiaTheme="minorEastAsia" w:cstheme="minorEastAsia"/>
                <w:bCs/>
                <w:color w:val="auto"/>
                <w:sz w:val="24"/>
                <w:szCs w:val="24"/>
              </w:rPr>
              <w:t>，未发生重大数据丢失和泄漏问题。</w:t>
            </w:r>
          </w:p>
        </w:tc>
      </w:tr>
      <w:tr w14:paraId="46705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197F3A99">
            <w:pPr>
              <w:widowControl/>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6</w:t>
            </w:r>
          </w:p>
        </w:tc>
        <w:tc>
          <w:tcPr>
            <w:tcW w:w="1418" w:type="dxa"/>
            <w:vAlign w:val="center"/>
          </w:tcPr>
          <w:p w14:paraId="44D781F3">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网络安全责任和义务</w:t>
            </w:r>
          </w:p>
        </w:tc>
        <w:tc>
          <w:tcPr>
            <w:tcW w:w="6426" w:type="dxa"/>
            <w:vAlign w:val="center"/>
          </w:tcPr>
          <w:p w14:paraId="06097F59">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网络安全责任和义务达到合同要求。</w:t>
            </w:r>
          </w:p>
        </w:tc>
      </w:tr>
      <w:tr w14:paraId="4A2A8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6722AC6D">
            <w:pPr>
              <w:widowControl/>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7</w:t>
            </w:r>
          </w:p>
        </w:tc>
        <w:tc>
          <w:tcPr>
            <w:tcW w:w="1418" w:type="dxa"/>
            <w:vAlign w:val="center"/>
          </w:tcPr>
          <w:p w14:paraId="2E1E6615">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中小、小微企业预留份额</w:t>
            </w:r>
          </w:p>
        </w:tc>
        <w:tc>
          <w:tcPr>
            <w:tcW w:w="6426" w:type="dxa"/>
            <w:vAlign w:val="center"/>
          </w:tcPr>
          <w:p w14:paraId="09B05777">
            <w:pPr>
              <w:widowControl/>
              <w:spacing w:line="360" w:lineRule="auto"/>
              <w:jc w:val="left"/>
              <w:outlineLvl w:val="3"/>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中小、小微企业预留份额达到合同要求。</w:t>
            </w:r>
          </w:p>
        </w:tc>
      </w:tr>
      <w:tr w14:paraId="0142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73" w:type="dxa"/>
            <w:noWrap/>
            <w:vAlign w:val="center"/>
          </w:tcPr>
          <w:p w14:paraId="1D30B93B">
            <w:pPr>
              <w:widowControl/>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8</w:t>
            </w:r>
          </w:p>
        </w:tc>
        <w:tc>
          <w:tcPr>
            <w:tcW w:w="1418" w:type="dxa"/>
            <w:vAlign w:val="center"/>
          </w:tcPr>
          <w:p w14:paraId="5FA5A7BE">
            <w:pPr>
              <w:widowControl/>
              <w:spacing w:line="360" w:lineRule="auto"/>
              <w:jc w:val="center"/>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其他工作</w:t>
            </w:r>
          </w:p>
        </w:tc>
        <w:tc>
          <w:tcPr>
            <w:tcW w:w="6426" w:type="dxa"/>
            <w:vAlign w:val="center"/>
          </w:tcPr>
          <w:p w14:paraId="3B0B04FA">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履行项目采购文件、投标文件、合同条款中涉及的其他承诺的情况。 </w:t>
            </w:r>
          </w:p>
        </w:tc>
      </w:tr>
    </w:tbl>
    <w:p w14:paraId="111491BD">
      <w:pPr>
        <w:pStyle w:val="85"/>
        <w:spacing w:line="360" w:lineRule="auto"/>
        <w:ind w:firstLine="0"/>
        <w:rPr>
          <w:rFonts w:hint="eastAsia" w:asciiTheme="minorEastAsia" w:hAnsiTheme="minorEastAsia" w:eastAsiaTheme="minorEastAsia" w:cstheme="minorEastAsia"/>
          <w:color w:val="auto"/>
          <w:sz w:val="24"/>
          <w:szCs w:val="24"/>
        </w:rPr>
      </w:pPr>
    </w:p>
    <w:p w14:paraId="131B5B66">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6.2验收资料清单如下：</w:t>
      </w:r>
    </w:p>
    <w:p w14:paraId="50C15C86">
      <w:pPr>
        <w:tabs>
          <w:tab w:val="left" w:pos="904"/>
        </w:tabs>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验收资料要求包括（不限于）以下内容：</w:t>
      </w:r>
    </w:p>
    <w:p w14:paraId="3133940C">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（1）</w:t>
      </w:r>
      <w:r>
        <w:rPr>
          <w:rFonts w:hint="eastAsia" w:asciiTheme="minorEastAsia" w:hAnsiTheme="minorEastAsia" w:eastAsiaTheme="minorEastAsia" w:cstheme="minorEastAsia"/>
          <w:color w:val="auto"/>
          <w:sz w:val="24"/>
          <w:szCs w:val="24"/>
        </w:rPr>
        <w:t>采购文件</w:t>
      </w:r>
    </w:p>
    <w:p w14:paraId="53513245">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（2）</w:t>
      </w:r>
      <w:r>
        <w:rPr>
          <w:rFonts w:hint="eastAsia" w:asciiTheme="minorEastAsia" w:hAnsiTheme="minorEastAsia" w:eastAsiaTheme="minorEastAsia" w:cstheme="minorEastAsia"/>
          <w:color w:val="auto"/>
          <w:sz w:val="24"/>
          <w:szCs w:val="24"/>
        </w:rPr>
        <w:t>投标文件</w:t>
      </w:r>
    </w:p>
    <w:p w14:paraId="3D0BC91C">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（3）</w:t>
      </w:r>
      <w:r>
        <w:rPr>
          <w:rFonts w:hint="eastAsia" w:asciiTheme="minorEastAsia" w:hAnsiTheme="minorEastAsia" w:eastAsiaTheme="minorEastAsia" w:cstheme="minorEastAsia"/>
          <w:color w:val="auto"/>
          <w:sz w:val="24"/>
          <w:szCs w:val="24"/>
        </w:rPr>
        <w:t>采购合同</w:t>
      </w:r>
    </w:p>
    <w:p w14:paraId="2F8530E9">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（4）</w:t>
      </w:r>
      <w:r>
        <w:rPr>
          <w:rFonts w:hint="eastAsia" w:asciiTheme="minorEastAsia" w:hAnsiTheme="minorEastAsia" w:eastAsiaTheme="minorEastAsia" w:cstheme="minorEastAsia"/>
          <w:color w:val="auto"/>
          <w:sz w:val="24"/>
          <w:szCs w:val="24"/>
        </w:rPr>
        <w:t>考核表：（考核表由</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经办人、审核人、</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经办人签字盖章确认）。</w:t>
      </w:r>
    </w:p>
    <w:p w14:paraId="294B281D">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（5）</w:t>
      </w:r>
      <w:r>
        <w:rPr>
          <w:rFonts w:hint="eastAsia" w:asciiTheme="minorEastAsia" w:hAnsiTheme="minorEastAsia" w:eastAsiaTheme="minorEastAsia" w:cstheme="minorEastAsia"/>
          <w:color w:val="auto"/>
          <w:sz w:val="24"/>
          <w:szCs w:val="24"/>
        </w:rPr>
        <w:t>人员清单及其他材料：</w:t>
      </w:r>
      <w:r>
        <w:rPr>
          <w:rFonts w:hint="eastAsia" w:asciiTheme="minorEastAsia" w:hAnsiTheme="minorEastAsia" w:eastAsiaTheme="minorEastAsia" w:cstheme="minorEastAsia"/>
          <w:color w:val="auto"/>
          <w:sz w:val="24"/>
          <w:szCs w:val="24"/>
          <w:lang w:eastAsia="zh-Hans"/>
        </w:rPr>
        <w:t>驻点</w:t>
      </w:r>
      <w:r>
        <w:rPr>
          <w:rFonts w:hint="eastAsia" w:asciiTheme="minorEastAsia" w:hAnsiTheme="minorEastAsia" w:eastAsiaTheme="minorEastAsia" w:cstheme="minorEastAsia"/>
          <w:color w:val="auto"/>
          <w:sz w:val="24"/>
          <w:szCs w:val="24"/>
        </w:rPr>
        <w:t>人员及团队人员明细清单、</w:t>
      </w:r>
      <w:r>
        <w:rPr>
          <w:rFonts w:hint="eastAsia" w:asciiTheme="minorEastAsia" w:hAnsiTheme="minorEastAsia" w:eastAsiaTheme="minorEastAsia" w:cstheme="minorEastAsia"/>
          <w:color w:val="auto"/>
          <w:sz w:val="24"/>
          <w:szCs w:val="24"/>
          <w:lang w:eastAsia="zh-CN"/>
        </w:rPr>
        <w:t>驻点人员每月社保缴纳证明、驻点人员每日考勤签到记录、</w:t>
      </w:r>
      <w:r>
        <w:rPr>
          <w:rFonts w:hint="eastAsia" w:asciiTheme="minorEastAsia" w:hAnsiTheme="minorEastAsia" w:eastAsiaTheme="minorEastAsia" w:cstheme="minorEastAsia"/>
          <w:color w:val="auto"/>
          <w:sz w:val="24"/>
          <w:szCs w:val="24"/>
        </w:rPr>
        <w:t>相关人员资历证明、</w:t>
      </w:r>
      <w:r>
        <w:rPr>
          <w:rFonts w:hint="eastAsia" w:asciiTheme="minorEastAsia" w:hAnsiTheme="minorEastAsia" w:eastAsiaTheme="minorEastAsia" w:cstheme="minorEastAsia"/>
          <w:color w:val="auto"/>
          <w:sz w:val="24"/>
          <w:szCs w:val="24"/>
        </w:rPr>
        <w:t>相关人员资质证书、</w:t>
      </w:r>
      <w:r>
        <w:rPr>
          <w:rFonts w:hint="eastAsia" w:asciiTheme="minorEastAsia" w:hAnsiTheme="minorEastAsia" w:eastAsiaTheme="minorEastAsia" w:cstheme="minorEastAsia"/>
          <w:color w:val="auto"/>
          <w:sz w:val="24"/>
          <w:szCs w:val="24"/>
          <w:lang w:eastAsia="zh-Hans"/>
        </w:rPr>
        <w:t>人员变更审批单（如有）</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Hans"/>
        </w:rPr>
        <w:t>整体测评实施方案、等级保护测评报告、等级保护整改建议书、数据库审计运维总结报告、网络安全巡检服务报告（按季度）、日志审计运维总结报告、政务网安全分析报告（按季度）、政务网业务系统安全分析报告（按月度）、公安网安全风险感知服务分析报告、桌面云月度服务报告（按月度）、一机两用巡检服务报告（按月度）、</w:t>
      </w:r>
      <w:r>
        <w:rPr>
          <w:rFonts w:hint="eastAsia" w:asciiTheme="minorEastAsia" w:hAnsiTheme="minorEastAsia" w:eastAsiaTheme="minorEastAsia" w:cstheme="minorEastAsia"/>
          <w:color w:val="auto"/>
          <w:sz w:val="24"/>
          <w:szCs w:val="24"/>
        </w:rPr>
        <w:t>一机两用年度维保总结报告</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eastAsia="zh-Hans"/>
        </w:rPr>
        <w:t>终端杀毒服务月度报告（按月度）、系统安全检测总结报告、网络安全检查总结报告、重大活动安全保障总结报告、应急响应报告、边界通道服务总结报告</w:t>
      </w:r>
      <w:r>
        <w:rPr>
          <w:rFonts w:hint="eastAsia" w:asciiTheme="minorEastAsia" w:hAnsiTheme="minorEastAsia" w:eastAsiaTheme="minorEastAsia" w:cstheme="minorEastAsia"/>
          <w:color w:val="auto"/>
          <w:sz w:val="24"/>
          <w:szCs w:val="24"/>
        </w:rPr>
        <w:t>；</w:t>
      </w:r>
    </w:p>
    <w:p w14:paraId="11B4CE7A">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（6）</w:t>
      </w:r>
      <w:r>
        <w:rPr>
          <w:rFonts w:hint="eastAsia" w:asciiTheme="minorEastAsia" w:hAnsiTheme="minorEastAsia" w:eastAsiaTheme="minorEastAsia" w:cstheme="minorEastAsia"/>
          <w:color w:val="auto"/>
          <w:sz w:val="24"/>
          <w:szCs w:val="24"/>
        </w:rPr>
        <w:t>月度安全工作专题报告；</w:t>
      </w:r>
    </w:p>
    <w:p w14:paraId="561CD559">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（7）</w:t>
      </w:r>
      <w:r>
        <w:rPr>
          <w:rFonts w:hint="eastAsia" w:asciiTheme="minorEastAsia" w:hAnsiTheme="minorEastAsia" w:eastAsiaTheme="minorEastAsia" w:cstheme="minorEastAsia"/>
          <w:color w:val="auto"/>
          <w:sz w:val="24"/>
          <w:szCs w:val="24"/>
        </w:rPr>
        <w:t>日常保密教育资料、单位保密协议、个人保密承诺书；</w:t>
      </w:r>
    </w:p>
    <w:p w14:paraId="1B869A73">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（8）</w:t>
      </w:r>
      <w:r>
        <w:rPr>
          <w:rFonts w:hint="eastAsia" w:asciiTheme="minorEastAsia" w:hAnsiTheme="minorEastAsia" w:eastAsiaTheme="minorEastAsia" w:cstheme="minorEastAsia"/>
          <w:color w:val="auto"/>
          <w:sz w:val="24"/>
          <w:szCs w:val="24"/>
        </w:rPr>
        <w:t>网络安全保障方案、网络安全事件应急预案、网络安全风险书面报告（如有）、网络安全重大事项书面报告（如有）；</w:t>
      </w:r>
    </w:p>
    <w:p w14:paraId="72625064">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（9）</w:t>
      </w:r>
      <w:r>
        <w:rPr>
          <w:rFonts w:hint="eastAsia" w:asciiTheme="minorEastAsia" w:hAnsiTheme="minorEastAsia" w:eastAsiaTheme="minorEastAsia" w:cstheme="minorEastAsia"/>
          <w:color w:val="auto"/>
          <w:sz w:val="24"/>
          <w:szCs w:val="24"/>
        </w:rPr>
        <w:t>中小企业佐证材料、小微企业佐证材料；</w:t>
      </w:r>
    </w:p>
    <w:p w14:paraId="37570F4E">
      <w:pPr>
        <w:pStyle w:val="5"/>
        <w:numPr>
          <w:ilvl w:val="0"/>
          <w:numId w:val="0"/>
        </w:numPr>
        <w:snapToGrid w:val="0"/>
        <w:spacing w:line="360" w:lineRule="auto"/>
        <w:ind w:left="1140" w:leftChars="200" w:hanging="720" w:firstLineChars="0"/>
        <w:rPr>
          <w:rFonts w:hint="eastAsia" w:asciiTheme="minorEastAsia" w:hAnsiTheme="minorEastAsia" w:eastAsiaTheme="minorEastAsia" w:cstheme="minorEastAsia"/>
          <w:color w:val="auto"/>
          <w:sz w:val="24"/>
          <w:szCs w:val="24"/>
        </w:rPr>
      </w:pPr>
      <w:r>
        <w:rPr>
          <w:rFonts w:hint="default" w:asciiTheme="minorEastAsia" w:hAnsiTheme="minorEastAsia" w:eastAsiaTheme="minorEastAsia" w:cstheme="minorEastAsia"/>
          <w:snapToGrid w:val="0"/>
          <w:color w:val="auto"/>
          <w:kern w:val="28"/>
          <w:sz w:val="24"/>
          <w:szCs w:val="24"/>
          <w:lang w:val="en-US" w:eastAsia="zh-CN" w:bidi="ar-SA"/>
        </w:rPr>
        <w:t>（10）</w:t>
      </w:r>
      <w:r>
        <w:rPr>
          <w:rFonts w:hint="eastAsia" w:asciiTheme="minorEastAsia" w:hAnsiTheme="minorEastAsia" w:eastAsiaTheme="minorEastAsia" w:cstheme="minorEastAsia"/>
          <w:color w:val="auto"/>
          <w:sz w:val="24"/>
          <w:szCs w:val="24"/>
        </w:rPr>
        <w:t>分包协议（如有）；</w:t>
      </w:r>
    </w:p>
    <w:p w14:paraId="344A7D30">
      <w:pPr>
        <w:pStyle w:val="5"/>
        <w:widowControl w:val="0"/>
        <w:snapToGrid w:val="0"/>
        <w:spacing w:line="360" w:lineRule="auto"/>
        <w:ind w:left="420" w:leftChars="200" w:firstLine="6"/>
        <w:jc w:val="both"/>
        <w:rPr>
          <w:rFonts w:hint="eastAsia" w:asciiTheme="minorEastAsia" w:hAnsiTheme="minorEastAsia" w:eastAsiaTheme="minorEastAsia" w:cstheme="minorEastAsia"/>
          <w:color w:val="auto"/>
          <w:kern w:val="2"/>
        </w:rPr>
      </w:pPr>
      <w:r>
        <w:rPr>
          <w:rFonts w:hint="eastAsia" w:asciiTheme="minorEastAsia" w:hAnsiTheme="minorEastAsia" w:eastAsiaTheme="minorEastAsia" w:cstheme="minorEastAsia"/>
          <w:color w:val="auto"/>
          <w:kern w:val="2"/>
          <w:sz w:val="24"/>
          <w:szCs w:val="24"/>
        </w:rPr>
        <w:t>（11）其他需提供的相关材料。</w:t>
      </w:r>
    </w:p>
    <w:p w14:paraId="10CB9542">
      <w:pPr>
        <w:spacing w:line="360" w:lineRule="auto"/>
        <w:ind w:firstLine="482" w:firstLineChars="200"/>
        <w:rPr>
          <w:rFonts w:hint="eastAsia" w:asciiTheme="minorEastAsia" w:hAnsiTheme="minorEastAsia" w:eastAsiaTheme="minorEastAsia" w:cstheme="minorEastAsia"/>
          <w:b/>
          <w:bCs/>
          <w:color w:val="auto"/>
          <w:sz w:val="24"/>
          <w:u w:val="single"/>
          <w:lang w:val="en-US" w:eastAsia="zh-CN"/>
        </w:rPr>
      </w:pPr>
      <w:r>
        <w:rPr>
          <w:rFonts w:hint="eastAsia" w:asciiTheme="minorEastAsia" w:hAnsiTheme="minorEastAsia" w:eastAsiaTheme="minorEastAsia" w:cstheme="minorEastAsia"/>
          <w:b/>
          <w:bCs/>
          <w:color w:val="auto"/>
          <w:sz w:val="24"/>
          <w:u w:val="single"/>
          <w:lang w:val="en-US" w:eastAsia="zh-CN"/>
        </w:rPr>
        <w:t>3.1、服务要求</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0"/>
        <w:gridCol w:w="7776"/>
      </w:tblGrid>
      <w:tr w14:paraId="2A1A0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5000" w:type="pct"/>
            <w:gridSpan w:val="2"/>
          </w:tcPr>
          <w:p w14:paraId="2030F984">
            <w:pPr>
              <w:pStyle w:val="57"/>
              <w:tabs>
                <w:tab w:val="left" w:pos="432"/>
              </w:tabs>
              <w:adjustRightInd w:val="0"/>
              <w:spacing w:before="0" w:beforeAutospacing="0" w:after="0" w:afterAutospacing="0" w:line="360" w:lineRule="auto"/>
              <w:ind w:left="433" w:leftChars="202" w:hanging="9" w:hangingChars="4"/>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1、等保测评服务：针对</w:t>
            </w:r>
            <w:r>
              <w:rPr>
                <w:rFonts w:hint="eastAsia" w:asciiTheme="minorEastAsia" w:hAnsiTheme="minorEastAsia" w:eastAsiaTheme="minorEastAsia" w:cstheme="minorEastAsia"/>
                <w:color w:val="auto"/>
                <w:lang w:eastAsia="zh-CN"/>
              </w:rPr>
              <w:t>甲方</w:t>
            </w:r>
            <w:r>
              <w:rPr>
                <w:rFonts w:hint="eastAsia" w:asciiTheme="minorEastAsia" w:hAnsiTheme="minorEastAsia" w:eastAsiaTheme="minorEastAsia" w:cstheme="minorEastAsia"/>
                <w:color w:val="auto"/>
              </w:rPr>
              <w:t>的重要信息系统提供等保测评服务。</w:t>
            </w:r>
          </w:p>
        </w:tc>
      </w:tr>
      <w:tr w14:paraId="6F779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3" w:type="pct"/>
          </w:tcPr>
          <w:p w14:paraId="5DD5612A">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服务内容</w:t>
            </w:r>
          </w:p>
        </w:tc>
        <w:tc>
          <w:tcPr>
            <w:tcW w:w="4186" w:type="pct"/>
          </w:tcPr>
          <w:p w14:paraId="48C84E62">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1、对于测评结论符合等保要求的，出具测评报告及整改建议书。</w:t>
            </w:r>
          </w:p>
          <w:p w14:paraId="42DD5324">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2、对于测评结论不符合等保要求的，出具差距分析报告及整改建议书。</w:t>
            </w:r>
          </w:p>
          <w:p w14:paraId="4CAAFD06">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3、本项目服务期内测评系统数量不少于23个。</w:t>
            </w:r>
          </w:p>
        </w:tc>
      </w:tr>
      <w:tr w14:paraId="0D1ED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3" w:type="pct"/>
          </w:tcPr>
          <w:p w14:paraId="045252B3">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服务要求</w:t>
            </w:r>
          </w:p>
        </w:tc>
        <w:tc>
          <w:tcPr>
            <w:tcW w:w="4186" w:type="pct"/>
          </w:tcPr>
          <w:p w14:paraId="38976D64">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1、测评依据：须根据国家标准GB/T 22239-2019：《信息安全技术网络安全等级保护基本要求》要求选取安全基础指标开展检测工作，并出具符合国家相关规范要求的测评报告。</w:t>
            </w:r>
          </w:p>
          <w:p w14:paraId="0061E3A7">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2、实施方案：</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对具体测评系统详细了解的基础上，编制针对性的等级保护测评整体实施方案，包括项目概述、等保测评范围和内容、项目实施流程、测试过程中需使用测试设备清单、时间安排、阶段性文档提交等。</w:t>
            </w:r>
          </w:p>
          <w:p w14:paraId="4F5CB56E">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3、运行环境：安全测评需要的运行环境（如场地、网络环境等）由</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提供，</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应详细描述需要的运行环境的具体要求。</w:t>
            </w:r>
          </w:p>
          <w:p w14:paraId="09EAF586">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4、项目实施流程：</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应具有等保工具箱、商用密码检测工具、软件测试工具、代码审计工具。本次等级保护测评实施过程中所使用到的工具软件由</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推荐，需经</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确认后由</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提供并在测评中使用。</w:t>
            </w:r>
          </w:p>
        </w:tc>
      </w:tr>
      <w:tr w14:paraId="1BBF5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3" w:type="pct"/>
          </w:tcPr>
          <w:p w14:paraId="049C93C8">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交付物</w:t>
            </w:r>
          </w:p>
        </w:tc>
        <w:tc>
          <w:tcPr>
            <w:tcW w:w="4186" w:type="pct"/>
          </w:tcPr>
          <w:p w14:paraId="0F67D1B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《信息系统安全等级保护备案表》（初次测评系统）</w:t>
            </w:r>
          </w:p>
          <w:p w14:paraId="5618C1BA">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《信息系统安全等级保护定级报告》（初次测评系统）</w:t>
            </w:r>
          </w:p>
          <w:p w14:paraId="6CE3E657">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《整体测评实施方案》</w:t>
            </w:r>
          </w:p>
          <w:p w14:paraId="1210CD55">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《等级保护测评报告》</w:t>
            </w:r>
          </w:p>
          <w:p w14:paraId="51196EB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《等级保护整改建议书》</w:t>
            </w:r>
          </w:p>
        </w:tc>
      </w:tr>
      <w:tr w14:paraId="553BB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5000" w:type="pct"/>
            <w:gridSpan w:val="2"/>
          </w:tcPr>
          <w:p w14:paraId="01D27023">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2、数据库审计服务：</w:t>
            </w:r>
            <w:r>
              <w:rPr>
                <w:rFonts w:hint="eastAsia" w:asciiTheme="minorEastAsia" w:hAnsiTheme="minorEastAsia" w:eastAsiaTheme="minorEastAsia" w:cstheme="minorEastAsia"/>
                <w:color w:val="auto"/>
                <w:sz w:val="24"/>
              </w:rPr>
              <w:t>针对杭州市公安局的政务外网、视频专网和公安网提供数据库审计服务，满足等级保护的合规性需求，同时配合相关人工服务对数据库审计内容进行处理，发现存在的问题及时研判、预警、处理，建立完备安全保障机制。对杭州公安各类安全违规事件进行实时监测、实时预警，协助</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及时、有效开展整改，切实降低各类安全风险，有效减少部、省、市上级网络安全管理职能部门的各类安全事件通报。配合相关人工服务进行日常运维。</w:t>
            </w:r>
          </w:p>
        </w:tc>
      </w:tr>
      <w:tr w14:paraId="0B049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3" w:type="pct"/>
          </w:tcPr>
          <w:p w14:paraId="7CCBA085">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服务内容</w:t>
            </w:r>
          </w:p>
        </w:tc>
        <w:tc>
          <w:tcPr>
            <w:tcW w:w="4186" w:type="pct"/>
          </w:tcPr>
          <w:p w14:paraId="2BEBD907">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因服务要求，数据库审计服务需提供数据库审计设备。政务网不少于1套（不限制支持的数据库实例个数）、视频专网不少于4台、公安网不少于6台。</w:t>
            </w:r>
          </w:p>
        </w:tc>
      </w:tr>
      <w:tr w14:paraId="3AD38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813" w:type="pct"/>
          </w:tcPr>
          <w:p w14:paraId="4226AA91">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服务要求</w:t>
            </w:r>
          </w:p>
        </w:tc>
        <w:tc>
          <w:tcPr>
            <w:tcW w:w="4186" w:type="pct"/>
          </w:tcPr>
          <w:p w14:paraId="3D685633">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一、该服务需要提供以下的服务要求支持：</w:t>
            </w:r>
          </w:p>
          <w:p w14:paraId="3EE42BF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1、模块支持：数据库审计、风险漏洞扫描、状态监控、敏感数据扫描等功能。</w:t>
            </w:r>
          </w:p>
          <w:p w14:paraId="2B97AAC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2、数据库类型支持：国际主流数据库： Oracle、MySQL、SQLserver、DB2、Sybase、Informix、Teradata、PostgreSQL、Access、cache等；国产数据库：达梦、南大通用、人大金仓、神通、瀚高等；非关系型数据库：Hive、Hbase、MongoDB等。</w:t>
            </w:r>
          </w:p>
          <w:p w14:paraId="2DBC8B6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3、攻击识别防御：支持对数据库SQL注入、缓冲区溢出等高危行为的识别防御。能够实时地监控所有到数据库的连接信息、操作数、违规数等。管理员可以断开指定的连接。</w:t>
            </w:r>
          </w:p>
          <w:p w14:paraId="04E88818">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4、操作告警记录：对数据库高危操作、误操作等风险操作进行及时告警。对访问数据库的行为进行记录。</w:t>
            </w:r>
          </w:p>
          <w:p w14:paraId="025BBCE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5、数据库审计策略：设备必须自带默认策略(如全审计、攻击特征)，支持自定义策略和规则，方便灵活配置审计规则。能支持不同数据库审计服务进行统一的策略制定、修改。</w:t>
            </w:r>
          </w:p>
          <w:p w14:paraId="2CF7A2E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6、事件识别：支持以操作类型、时间、IP地址、用户名、主机名、终端名、数据库操作类型、数据库表、影响的行、字符串、认证结果、响应时间等作为事件识别规则。</w:t>
            </w:r>
          </w:p>
          <w:p w14:paraId="44F9EC8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7、人工监测：通过网络安全服务专家人工监测分析的手段，对指定数据库执行5x8安全审计，对危险等级较高的威胁情报需在系统预警1小时内完成人工分析验证以甄别误报。</w:t>
            </w:r>
          </w:p>
          <w:p w14:paraId="3ACA7F13">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8、资源优化调整：按照</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管理需要，对杭州公安网络安全管理相关策略及配置进行修改或协调资源组织进行修改调整，确保与上级单位安全事件监测策略的一致性及安全事件监测的全面性。对设备及平台的底层日志与数据库日志进行分析，配合开发工程师对平台资源占用及运行稳定进行调整优化，确保各类网络安全设备及平台的正常运行。</w:t>
            </w:r>
          </w:p>
          <w:p w14:paraId="69B96B9A">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二、</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对系统提供服务：</w:t>
            </w:r>
          </w:p>
          <w:p w14:paraId="75D136E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1、定期巡检：协助</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每季度至少一次对各类网络安全设备开展或督促组织巡检，对故障设备及软件平台开展运维响应，找到问题源头、联系厂商协调资源，实时排除各类故障、隐患。</w:t>
            </w:r>
          </w:p>
          <w:p w14:paraId="13FA23A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2、资产梳理：配合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开展网络安全资产管理，实时掌握各类网络安全相关信息，确保各类网络安全管理制度落到实处。</w:t>
            </w:r>
          </w:p>
          <w:p w14:paraId="79086975">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3、技术支持：对</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及各区县公安信息网安全管理平台中质量不合规的问题数据提供清理服务，每日查看并清理系统中的问题数据，对全市各区县、部门警种的安全管理技术问题提供远程技术支持，配合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为全市公安网络安全体系建设完善提供各类技术支持。</w:t>
            </w:r>
          </w:p>
          <w:p w14:paraId="4E80482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4、数据库审计服务能力须符合GB 42250-2022《信息安全技术 网络安全专用产品安全技术要求》。</w:t>
            </w:r>
          </w:p>
        </w:tc>
      </w:tr>
      <w:tr w14:paraId="04962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F15B82F">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交付物</w:t>
            </w:r>
          </w:p>
        </w:tc>
        <w:tc>
          <w:tcPr>
            <w:tcW w:w="4186" w:type="pct"/>
          </w:tcPr>
          <w:p w14:paraId="0FE6CCA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《数据库审计运维总结报告》</w:t>
            </w:r>
          </w:p>
          <w:p w14:paraId="34B8FF35">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《网络安全巡检服务报告》（按季度提供）</w:t>
            </w:r>
          </w:p>
        </w:tc>
      </w:tr>
      <w:tr w14:paraId="7CBE2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0DC5F632">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3、政务网云日志审计服务：</w:t>
            </w:r>
            <w:r>
              <w:rPr>
                <w:rFonts w:hint="eastAsia" w:asciiTheme="minorEastAsia" w:hAnsiTheme="minorEastAsia" w:eastAsiaTheme="minorEastAsia" w:cstheme="minorEastAsia"/>
                <w:color w:val="auto"/>
                <w:sz w:val="24"/>
              </w:rPr>
              <w:t>针对杭州市公安局的政务网提供日志审计服务。对网络设备、安全设备、主机和应用系统日志进行全面的标准化处理，及时发现各种安全威胁、异常行为事件，为管理人员提供全局的视角，提供全维度、跨设备、细粒度的关联分析，提供真正可信赖的事件追责依据和业务运行的深度安全，确保业务的不间断运营安全。</w:t>
            </w:r>
          </w:p>
        </w:tc>
      </w:tr>
      <w:tr w14:paraId="587E6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4BEC2E9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vAlign w:val="center"/>
          </w:tcPr>
          <w:p w14:paraId="7FC96F7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因服务要求，政务网云日志审计服务需提供政务网云日志审计设备。提供不少于1套政务网日志审计（支持500个日志源授权）。</w:t>
            </w:r>
          </w:p>
        </w:tc>
      </w:tr>
      <w:tr w14:paraId="39D29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34217F4C">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1C4C503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1、管理设备授权可扩展：可提供授权扩展支持。</w:t>
            </w:r>
          </w:p>
          <w:p w14:paraId="299152A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2、大数据联调功能：支持kafka日志接收转发、大数据安全域同步、APT沙箱报告转发等功能。Kafka收发支持SSL加密。</w:t>
            </w:r>
          </w:p>
          <w:p w14:paraId="706B78B2">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3、日志代理：以Agent的方式提取日志并收集，能对Agent进行统一管控，包括卸载、升级、启动及停止操作，支持将日志收集策略统一分发。</w:t>
            </w:r>
          </w:p>
          <w:p w14:paraId="2B16321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4、日志采集能力：可通过接收协议限制日志接收速率，包括Http接收、syslog接收、SNMPtrap接收、TCP接收、WMI接收、aliyun接收。</w:t>
            </w:r>
          </w:p>
          <w:p w14:paraId="4D5B564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日志解析能力：支持对收集的5000+设备类型日志进行解析（标准化、归一化），解析维度多达200+，解析规则可以根据客户要求定制免费扩展。支持解析规则性能以界面列表形式显示，可了解解析耗时、解析成功或失败次数等信息。</w:t>
            </w:r>
          </w:p>
          <w:p w14:paraId="3E6106F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安全评估模型能力：评估模型基于设备故障、认证登录、攻击威胁、可用性、系统脆弱性等纬度加权平均计算总体安全指数。安全评估模型可以显示总体评分、历史评分趋势。安全评估模型各项指标可钻取具体的评分扣分事件。</w:t>
            </w:r>
          </w:p>
          <w:p w14:paraId="779292E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7、应用性能监控：通过在目标主机上安装Agent程序，支持监测目标主机的CPU利用率、内存使用率、磁盘使用率、磁盘使用情况、流量等信息。</w:t>
            </w:r>
          </w:p>
          <w:p w14:paraId="7C219872">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8、自定义资产拓扑：支持按照实际的用户环境进行编辑发布并可以和资产进行绑定，拓扑可以显示资产采集的事件数量被采集资产的状态等信息。</w:t>
            </w:r>
          </w:p>
          <w:p w14:paraId="13604AA0">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9、资产调研：配合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进行各个日志审计接入资产调研，统计资产数量，实时掌握接入资产的状态。</w:t>
            </w:r>
          </w:p>
          <w:p w14:paraId="16A4AA1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10、政务网云日志审计服务能力须符合《信息安全技术日志分析产品安全技术要求 GA/T 911-201</w:t>
            </w:r>
            <w:r>
              <w:rPr>
                <w:rFonts w:hint="eastAsia" w:asciiTheme="minorEastAsia" w:hAnsiTheme="minorEastAsia" w:eastAsiaTheme="minorEastAsia" w:cstheme="minorEastAsia"/>
                <w:color w:val="auto"/>
                <w:sz w:val="24"/>
                <w:lang w:val="en-US" w:eastAsia="zh-CN"/>
              </w:rPr>
              <w:t>9</w:t>
            </w:r>
            <w:r>
              <w:rPr>
                <w:rFonts w:hint="eastAsia" w:asciiTheme="minorEastAsia" w:hAnsiTheme="minorEastAsia" w:eastAsiaTheme="minorEastAsia" w:cstheme="minorEastAsia"/>
                <w:color w:val="auto"/>
                <w:sz w:val="24"/>
              </w:rPr>
              <w:t>》(</w:t>
            </w:r>
            <w:r>
              <w:rPr>
                <w:rFonts w:hint="eastAsia" w:asciiTheme="minorEastAsia" w:hAnsiTheme="minorEastAsia" w:eastAsiaTheme="minorEastAsia" w:cstheme="minorEastAsia"/>
                <w:color w:val="auto"/>
                <w:sz w:val="24"/>
                <w:lang w:eastAsia="zh-CN"/>
              </w:rPr>
              <w:t>增强级</w:t>
            </w:r>
            <w:r>
              <w:rPr>
                <w:rFonts w:hint="eastAsia" w:asciiTheme="minorEastAsia" w:hAnsiTheme="minorEastAsia" w:eastAsiaTheme="minorEastAsia" w:cstheme="minorEastAsia"/>
                <w:color w:val="auto"/>
                <w:sz w:val="24"/>
              </w:rPr>
              <w:t>)要求。</w:t>
            </w:r>
          </w:p>
        </w:tc>
      </w:tr>
      <w:tr w14:paraId="06C28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0ED1EF3A">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57F41A9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《日志审计运维总结报告》</w:t>
            </w:r>
          </w:p>
        </w:tc>
      </w:tr>
      <w:tr w14:paraId="22B74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5000" w:type="pct"/>
            <w:gridSpan w:val="2"/>
          </w:tcPr>
          <w:p w14:paraId="46F6882F">
            <w:pPr>
              <w:adjustRightInd w:val="0"/>
              <w:spacing w:line="360" w:lineRule="auto"/>
              <w:ind w:firstLine="241" w:firstLineChars="1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rPr>
              <w:t>4、政务网态势感知服务：</w:t>
            </w:r>
            <w:r>
              <w:rPr>
                <w:rFonts w:hint="eastAsia" w:asciiTheme="minorEastAsia" w:hAnsiTheme="minorEastAsia" w:eastAsiaTheme="minorEastAsia" w:cstheme="minorEastAsia"/>
                <w:color w:val="auto"/>
                <w:sz w:val="24"/>
              </w:rPr>
              <w:t>针对杭州市公安局的政务网业务系统，集成超大规模存查、大数据实时智能分析、行为分析、多维态势安全视图、安全联动闭环等安全模块。具备异构数据集成、核心数据安全分析、办公应用安全威胁挖掘等前沿大数据智能安全威胁挖掘分析与预警管控能力，提供全局态势感知和业务不间断稳定运行安全保障。</w:t>
            </w:r>
          </w:p>
        </w:tc>
      </w:tr>
      <w:tr w14:paraId="05D3B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0B895D22">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63385DB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因服务要求，政务网态势感知服务需提供态势感知系统。提供1套政务网态势感知。</w:t>
            </w:r>
          </w:p>
        </w:tc>
      </w:tr>
      <w:tr w14:paraId="2C9F1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334F3E48">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7318A95B">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支持安全态势的可视化呈现，以大屏的方式从攻击事件、资产安全、追踪溯源、运行监测、重保方案等多个维度进行可视化展示，并可根据“组织架构”筛选大屏展示数据范围，支持自定义大屏轮播时间和大屏轮播顺序。</w:t>
            </w:r>
          </w:p>
          <w:p w14:paraId="5201B731">
            <w:pPr>
              <w:widowControl/>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告警监控支持查看告警的基本信息、受害者、攻击者、处置响应、举证全文信息，其中受害者和攻击者支持查看响应ATT&amp;CK矩阵视图，ATT&amp;CK矩阵视图展示支持中文或英文的语言切换，布局支持侧面或下拉两种方式、并支持选择全部技术或子技术的展示等；处置响应支持处置响应闭环出来，可看到处置动作、告警调优、处置结果，及处置记录的全过程记录。</w:t>
            </w:r>
          </w:p>
          <w:p w14:paraId="5DFB06F9">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3、平台内置包括规则模型、关联模型、统计模型、情报模型、AI模型等安全分析模型，用户根据实际需求对上述模型进行添加、编辑、删除、复制等。</w:t>
            </w:r>
          </w:p>
          <w:p w14:paraId="2B59672B">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安全分析模型支持自定义新增，新添加的模型可选择适用的作用域，如全局通用、单选机构，如选择单选机构即选择应用的组织架构，可通过字段映射、静态值、模板、表达式等多种方式自定义分析模型的告警名称、威胁等级、告警类型、攻击链、可选字段、告警描述、处置建议等内容。</w:t>
            </w:r>
          </w:p>
          <w:p w14:paraId="478892E1">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5、支持在告警详情中展示数据血缘关系，包括数据来源、原始日志、规则模型及原始告警，支持原始日志和规则模型的一键跳转，分别查看原始日志数据和相应的模型规则。</w:t>
            </w:r>
          </w:p>
          <w:p w14:paraId="06E02120">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支持主机感染勒索病毒、网站被植入webshell、主机感染挖矿木马、主机感染恶意程序、主机被高危漏洞攻陷、主机被外部远控、内网横向攻击、内网横向探测、主机对外扫描、主机对外攻击、主机被爆破成功、发现APT攻击事件等10种以上的内置安全分析场景，针对分析场景支持至少3个任意字段聚合变量检索。</w:t>
            </w:r>
          </w:p>
          <w:p w14:paraId="300CA689">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7、支持通过任务看板查看自动响应任务的数量、任务状态占比、任务趋势；以时间轴方式展示任务进行状态，并可查看每个阶段任务运行的详细信息。</w:t>
            </w:r>
          </w:p>
          <w:p w14:paraId="1ACB884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平台具有统一的安全运营门户，作为重点关注功能的统一入口，如集成态势感知、Sherlock网络星空、通报预警、联动策略、运行监测等多个功能模块，实现平台功能的快速跳转；支持用户配置个人专属的统一门户，可配置项包括门户名称、菜单名称、应用图标等，且菜单内容支持自定义编辑，可链接平台以外的域名地址。</w:t>
            </w:r>
          </w:p>
        </w:tc>
      </w:tr>
      <w:tr w14:paraId="212D0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0A4578AA">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1848B0C4">
            <w:pPr>
              <w:adjustRightInd w:val="0"/>
              <w:spacing w:line="360" w:lineRule="auto"/>
              <w:ind w:firstLine="240" w:firstLineChars="1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w:t>
            </w:r>
            <w:r>
              <w:rPr>
                <w:rFonts w:hint="eastAsia" w:asciiTheme="minorEastAsia" w:hAnsiTheme="minorEastAsia" w:eastAsiaTheme="minorEastAsia" w:cstheme="minorEastAsia"/>
                <w:color w:val="auto"/>
                <w:sz w:val="24"/>
              </w:rPr>
              <w:t>政务网</w:t>
            </w:r>
            <w:r>
              <w:rPr>
                <w:rFonts w:hint="eastAsia" w:asciiTheme="minorEastAsia" w:hAnsiTheme="minorEastAsia" w:eastAsiaTheme="minorEastAsia" w:cstheme="minorEastAsia"/>
                <w:color w:val="auto"/>
                <w:sz w:val="24"/>
              </w:rPr>
              <w:t>安全分析报告》</w:t>
            </w:r>
            <w:r>
              <w:rPr>
                <w:rFonts w:hint="eastAsia" w:asciiTheme="minorEastAsia" w:hAnsiTheme="minorEastAsia" w:eastAsiaTheme="minorEastAsia" w:cstheme="minorEastAsia"/>
                <w:color w:val="auto"/>
                <w:sz w:val="24"/>
              </w:rPr>
              <w:t>（按季度提供）</w:t>
            </w:r>
          </w:p>
        </w:tc>
      </w:tr>
      <w:tr w14:paraId="03251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2763C489">
            <w:pPr>
              <w:adjustRightInd w:val="0"/>
              <w:spacing w:line="360" w:lineRule="auto"/>
              <w:ind w:firstLine="482" w:firstLineChars="200"/>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bCs/>
                <w:color w:val="auto"/>
                <w:sz w:val="24"/>
              </w:rPr>
              <w:t>5、SaaS化安全服务：</w:t>
            </w:r>
            <w:r>
              <w:rPr>
                <w:rFonts w:hint="eastAsia" w:asciiTheme="minorEastAsia" w:hAnsiTheme="minorEastAsia" w:eastAsiaTheme="minorEastAsia" w:cstheme="minorEastAsia"/>
                <w:color w:val="auto"/>
                <w:sz w:val="24"/>
              </w:rPr>
              <w:t>针对杭州市公安局的政务网业务系统，提供SaaS化安全服务，快速发现业务系统的安全漏洞和安全隐患。SaaS化安全服务采用零部署云防护方案，具备DDoS清洗和云WAF功能；事后采用大数据分析形成可视化报告和统计分析报表；云监测服务实时准确的监测网站服务质量、安全事件、安全漏洞等多个维度的数据。</w:t>
            </w:r>
          </w:p>
        </w:tc>
      </w:tr>
      <w:tr w14:paraId="503D7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50963035">
            <w:pPr>
              <w:adjustRightInd w:val="0"/>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lang w:eastAsia="zh-Hans"/>
              </w:rPr>
              <w:t>服务内容</w:t>
            </w:r>
          </w:p>
        </w:tc>
        <w:tc>
          <w:tcPr>
            <w:tcW w:w="4186" w:type="pct"/>
          </w:tcPr>
          <w:p w14:paraId="7AB3F453">
            <w:pPr>
              <w:adjustRightInd w:val="0"/>
              <w:spacing w:line="360" w:lineRule="auto"/>
              <w:ind w:firstLine="480" w:firstLineChars="200"/>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rPr>
              <w:t>提供不超过10个主域名的云防护服务（每个主域名+10个子域名）；提供不超过10个主域名的云监测服务。</w:t>
            </w:r>
          </w:p>
        </w:tc>
      </w:tr>
      <w:tr w14:paraId="5479E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5F09170">
            <w:pPr>
              <w:adjustRightInd w:val="0"/>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lang w:eastAsia="zh-Hans"/>
              </w:rPr>
              <w:t>服务要求</w:t>
            </w:r>
          </w:p>
        </w:tc>
        <w:tc>
          <w:tcPr>
            <w:tcW w:w="4186" w:type="pct"/>
          </w:tcPr>
          <w:p w14:paraId="50FEDE07">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一、云防护服务要求：</w:t>
            </w:r>
          </w:p>
          <w:p w14:paraId="1F1E3178">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1、系统基于云化SaaS架构，无需消耗虚拟机资源或本地物理资源，通过云端服务平台完成站点管理，为用户提供云防护服务。</w:t>
            </w:r>
          </w:p>
          <w:p w14:paraId="4F2A7E99">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2、支持检查提交的报文是否符合HTTP协议框架，如异常的请求方法、特殊字符、重点字段的缺失、超长报文造成的溢出攻击以及对高危文件的访问等。</w:t>
            </w:r>
          </w:p>
          <w:p w14:paraId="08038D86">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3、支持流量监测的功能，基于用户的访问记录，实时检查被访问页面的安全状况，能够发现更深层次的暗链、Webshell等安全事件。</w:t>
            </w:r>
          </w:p>
          <w:p w14:paraId="032BE224">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4、日志采集能力：可通过接收协议限制日志接收速率，包括Http接收、syslog接收、SNMPtrap接收、TCP接收、WMI接收、aliyun接收。</w:t>
            </w:r>
          </w:p>
          <w:p w14:paraId="18A8A1E0">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5、支持提供攻击防护安全策略，支持对命令注入（包括SQL注入、SQL盲注、代码注入等）、跨站脚本、SSI指令、路径穿越、远程文件包含、WebShell防护。</w:t>
            </w:r>
          </w:p>
          <w:p w14:paraId="3DBACF12">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6、支持通过微信公众号查看网站整体防护态势，包含受攻击域名排行、攻击类型排行、攻击IP排行、攻击区域分布等状态信息。</w:t>
            </w:r>
          </w:p>
          <w:p w14:paraId="58CFBD14">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具有云端7*24远程安全专家服务能力，提供7*24小时安全值守和应急响应服务。提供策略优化、配置调整、规则更新、问题处理、技术咨询安全事件通告等常规技术支持服务，实时监测感知持续性攻击、0day攻击等事件，并及时响应和对抗，同时在重大节会期间提供更高级别的安全响应服务。</w:t>
            </w:r>
          </w:p>
          <w:p w14:paraId="7E2A593C">
            <w:pPr>
              <w:spacing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二、云监测服务要求</w:t>
            </w:r>
          </w:p>
          <w:p w14:paraId="1B2C9AE4">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1、全国范围内具备至少20个云监测服务节点。</w:t>
            </w:r>
          </w:p>
          <w:p w14:paraId="59FAE8D3">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2、支持大规模漏洞扫描服务能力，云端扫描引擎支持横向扩容，单个扫描任务扫描网站数量可达一万个以上。</w:t>
            </w:r>
          </w:p>
          <w:p w14:paraId="3E1E38A1">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3、支持按需提供周期性的网站安全云监测服务报告，报告应能对网站安全运行状况、漏洞情况、安全事件情况进行分析，并提供相应的修复建议以指导用户完成问题处置。</w:t>
            </w:r>
          </w:p>
          <w:p w14:paraId="06FADAFD">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4、支持通过微信公众号实时了解用户名下站点的安全状态，展示漏洞威胁、安全事件和网站可用性相关监测数据。</w:t>
            </w:r>
          </w:p>
          <w:p w14:paraId="54F0E74A">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5、支持通过短信、邮件方式向用户推送相关告警，告警类型包括网站服务质量不佳、安全事件告警、漏洞威胁告警。</w:t>
            </w:r>
          </w:p>
        </w:tc>
      </w:tr>
      <w:tr w14:paraId="1306A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4C6F46E">
            <w:pPr>
              <w:adjustRightInd w:val="0"/>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lang w:eastAsia="zh-Hans"/>
              </w:rPr>
              <w:t>交付物</w:t>
            </w:r>
          </w:p>
        </w:tc>
        <w:tc>
          <w:tcPr>
            <w:tcW w:w="4186" w:type="pct"/>
          </w:tcPr>
          <w:p w14:paraId="2CF1BEBD">
            <w:pPr>
              <w:adjustRightInd w:val="0"/>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 xml:space="preserve">  </w:t>
            </w:r>
            <w:r>
              <w:rPr>
                <w:rFonts w:hint="eastAsia" w:asciiTheme="minorEastAsia" w:hAnsiTheme="minorEastAsia" w:eastAsiaTheme="minorEastAsia" w:cstheme="minorEastAsia"/>
                <w:color w:val="auto"/>
                <w:sz w:val="24"/>
              </w:rPr>
              <w:t>《政务网业务系统安全分析报</w:t>
            </w:r>
            <w:r>
              <w:rPr>
                <w:rFonts w:hint="eastAsia" w:asciiTheme="minorEastAsia" w:hAnsiTheme="minorEastAsia" w:eastAsiaTheme="minorEastAsia" w:cstheme="minorEastAsia"/>
                <w:color w:val="auto"/>
                <w:sz w:val="24"/>
              </w:rPr>
              <w:t>告》（按月度提供）</w:t>
            </w:r>
          </w:p>
        </w:tc>
      </w:tr>
      <w:tr w14:paraId="080F1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66F644B9">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6、公安网安全风险感知服务：</w:t>
            </w:r>
            <w:r>
              <w:rPr>
                <w:rFonts w:hint="eastAsia" w:asciiTheme="minorEastAsia" w:hAnsiTheme="minorEastAsia" w:eastAsiaTheme="minorEastAsia" w:cstheme="minorEastAsia"/>
                <w:color w:val="auto"/>
                <w:sz w:val="24"/>
              </w:rPr>
              <w:t>用于强化杭州市公安局公安网安全风险感知能力。提供针对公安网的资产感知、安全基线、漏洞发现、弱口令检测、全流量威胁识别、大知攻击识别、主机安全监测与加固、白名单策略、主机层攻击链可视服务。通过网络流量镜像的方式进行采集并还原，提供流量资源进行分析。</w:t>
            </w:r>
          </w:p>
        </w:tc>
      </w:tr>
      <w:tr w14:paraId="004B3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1CC43BA7">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7C80456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提供不少于8次的安全风险感知服务支持</w:t>
            </w:r>
          </w:p>
        </w:tc>
      </w:tr>
      <w:tr w14:paraId="6A273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3A51B97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1A8A84B8">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该服务需要提供以下的服务要求支持：</w:t>
            </w:r>
          </w:p>
          <w:p w14:paraId="41E759C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1、网络协议还原：对常见协议识别并还原网络流量，用于取证分析、威胁发现，支持：http、dns、smtp、pop3、imap、webmail、DB2、Oracle、MySQL、sql server、Sybase、SMB、FTP、SNMP、telnet、nfs等。</w:t>
            </w:r>
          </w:p>
          <w:p w14:paraId="3E6DACB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文件协议还原:对流量中出现文件传输行为进行发现和还原，并记录文件MD5发送至分析设备，如可执行文件（EXE、DLL、OCX、SYS、COM、apk等）、压缩格式文件（RAR、ZIP、GZ、7Z等）、文档类型文件（word、excel、pdf、rtf、ppt等）。</w:t>
            </w:r>
          </w:p>
          <w:p w14:paraId="4CBF3947">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3、数据库协议还原：对常见数据库协议的识别或还原：DB2、Oracle、SQL Server、MySQL、PostgreSQL等协议。</w:t>
            </w:r>
          </w:p>
          <w:p w14:paraId="550B2C8A">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4、会话流量还原：对TCP/UDP会话记录、异常流量会话记录、web访问记录、域名解析、SQL访问记录、邮件行为、登录情况、文件传输、FTP控制通道、SSL加密协商、telnet行为、IM通信等行为描述。</w:t>
            </w:r>
          </w:p>
          <w:p w14:paraId="655B5BC8">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5、自定义协议还原：支持自定义协议和端口，满足特殊场景下的流量抓取。</w:t>
            </w:r>
          </w:p>
          <w:p w14:paraId="41FC0F95">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6、攻击检测支持：支持暴力破解检测、Web攻击检测、网络攻击检测</w:t>
            </w:r>
          </w:p>
          <w:p w14:paraId="68F4B48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7、攻击态势：提供全网攻击发现服务，并以态势大屏展现，包括整体网络风险指数、告警总数、攻击次数、攻击IP数、攻击源国家/地区TOP5、攻击态势，并支持自动翻转的攻击全景地图展示。</w:t>
            </w:r>
          </w:p>
          <w:p w14:paraId="1AB1D21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8、告警分析：对告警进行深度行为分析，行为包括DNS解析行为、TCP/UDP交互行为、WEB访问行为、传输文件行为。</w:t>
            </w:r>
          </w:p>
          <w:p w14:paraId="125A60D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9、威胁分析：对告警从威胁情报、应用安全、系统安全和设备安全的业务场景维度进行二次分析。应用安全的细分维度包括：WEB安全、数据库安全、邮件安全、中间件安全。系统安全的细分维度包括：主机爆破、弱口令、未授权行为、挖矿行为。</w:t>
            </w:r>
          </w:p>
          <w:p w14:paraId="608B242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10、脆弱性分析：对全网脆弱性问题进行发现，为保证服务效果，服务厂商需拥有全国性的漏洞响应平台</w:t>
            </w:r>
            <w:r>
              <w:rPr>
                <w:rFonts w:hint="eastAsia" w:asciiTheme="minorEastAsia" w:hAnsiTheme="minorEastAsia" w:eastAsiaTheme="minorEastAsia" w:cstheme="minorEastAsia"/>
                <w:color w:val="auto"/>
                <w:sz w:val="24"/>
                <w:lang w:eastAsia="zh-CN"/>
              </w:rPr>
              <w:t>并已</w:t>
            </w:r>
            <w:r>
              <w:rPr>
                <w:rFonts w:hint="eastAsia" w:asciiTheme="minorEastAsia" w:hAnsiTheme="minorEastAsia" w:eastAsiaTheme="minorEastAsia" w:cstheme="minorEastAsia"/>
                <w:color w:val="auto"/>
                <w:sz w:val="24"/>
              </w:rPr>
              <w:t>累计发现10万个以上漏洞。</w:t>
            </w:r>
          </w:p>
          <w:p w14:paraId="31CE19E7">
            <w:pPr>
              <w:pStyle w:val="24"/>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产品应以可视化方式提供指定时间段内：被监测网络中的特定主机与其他主机之间的相关联的已知、未知威胁事件与异常网络行为；被监测网络中指定威胁事件影响的主机以及相关联的其他威胁事件与异常网络行为；被监测网络中异常网络行为相关的主机和威胁事件；产品应可以采用智能化和自动化方式将多个相关联和类似的攻击时间进行归并。</w:t>
            </w:r>
          </w:p>
        </w:tc>
      </w:tr>
      <w:tr w14:paraId="64585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35B23EB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1F8A03F8">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  《公安网安全风险感知服务分析报告》（按实际需求提供）</w:t>
            </w:r>
          </w:p>
          <w:p w14:paraId="2AA3F8B8">
            <w:pPr>
              <w:adjustRightInd w:val="0"/>
              <w:spacing w:line="360" w:lineRule="auto"/>
              <w:ind w:firstLine="480" w:firstLineChars="200"/>
              <w:rPr>
                <w:rFonts w:hint="eastAsia" w:asciiTheme="minorEastAsia" w:hAnsiTheme="minorEastAsia" w:eastAsiaTheme="minorEastAsia" w:cstheme="minorEastAsia"/>
                <w:color w:val="auto"/>
                <w:sz w:val="24"/>
              </w:rPr>
            </w:pPr>
          </w:p>
        </w:tc>
      </w:tr>
      <w:tr w14:paraId="325E9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4B2D9282">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7、公安网桌面云服务：</w:t>
            </w:r>
            <w:r>
              <w:rPr>
                <w:rFonts w:hint="eastAsia" w:asciiTheme="minorEastAsia" w:hAnsiTheme="minorEastAsia" w:eastAsiaTheme="minorEastAsia" w:cstheme="minorEastAsia"/>
                <w:color w:val="auto"/>
                <w:sz w:val="24"/>
              </w:rPr>
              <w:t>为保障杭州市公安局公安网访问过程安全可靠，有效防范数据泄露事件发生。通过桌面云技术提供公安日常办公，合作企业人员运维，需要实现分散部署、统一管理、提高运维效率，并通过数据不落地和多维度安全机制，保障访问过程安全可靠。通过超融合技术实现服务器的计算资源、存储资源、网络、安全的虚拟化，并通过容器技术承载本地公安业务系统和数据库，并提供业务网络主页微服务，实现业务系统的安全稳定。</w:t>
            </w:r>
          </w:p>
        </w:tc>
      </w:tr>
      <w:tr w14:paraId="10B48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7AF0BC71">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1873731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因服务要求，公安网桌面云服务需提供瘦终端设备和桌面云授权。</w:t>
            </w:r>
          </w:p>
          <w:p w14:paraId="0B3FF47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1、提供不低于300点云桌面授权，提供</w:t>
            </w:r>
            <w:r>
              <w:rPr>
                <w:rFonts w:hint="eastAsia" w:asciiTheme="minorEastAsia" w:hAnsiTheme="minorEastAsia" w:eastAsiaTheme="minorEastAsia" w:cstheme="minorEastAsia"/>
                <w:color w:val="auto"/>
                <w:sz w:val="24"/>
                <w:lang w:eastAsia="zh-CN"/>
              </w:rPr>
              <w:t>不低于</w:t>
            </w:r>
            <w:r>
              <w:rPr>
                <w:rFonts w:hint="eastAsia" w:asciiTheme="minorEastAsia" w:hAnsiTheme="minorEastAsia" w:eastAsiaTheme="minorEastAsia" w:cstheme="minorEastAsia"/>
                <w:color w:val="auto"/>
                <w:sz w:val="24"/>
                <w:lang w:val="en-US" w:eastAsia="zh-CN"/>
              </w:rPr>
              <w:t>35台</w:t>
            </w:r>
            <w:r>
              <w:rPr>
                <w:rFonts w:hint="eastAsia" w:asciiTheme="minorEastAsia" w:hAnsiTheme="minorEastAsia" w:eastAsiaTheme="minorEastAsia" w:cstheme="minorEastAsia"/>
                <w:color w:val="auto"/>
                <w:sz w:val="24"/>
              </w:rPr>
              <w:t>瘦终端支持。</w:t>
            </w:r>
          </w:p>
          <w:p w14:paraId="59FD17F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2、平均每个人员使用的资源不低于2核8G内存和300G磁盘空间。</w:t>
            </w:r>
          </w:p>
        </w:tc>
      </w:tr>
      <w:tr w14:paraId="42DBC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B242244">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7E5C203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该服务需要提供以下的服务要求支持：</w:t>
            </w:r>
          </w:p>
          <w:p w14:paraId="415C632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1、VDI授权类型：每用户授权支持发布个性化桌面、共享式桌面、虚拟应用3种资源类型。</w:t>
            </w:r>
          </w:p>
          <w:p w14:paraId="2FD5318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公安办公软件兼容：可适配杭州市公安局公安日常办公软件，支持公安数据证书，流畅打开公安业务系统，并且可进行视频监控流畅的调阅。要求支持两种以上的Linux虚拟桌面操作系统，其中要包含国产Linux操作系统；为满足日后需求，要求适配银河麒麟操作系统。</w:t>
            </w:r>
          </w:p>
          <w:p w14:paraId="286B5330">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3、自助快照恢复：当用户自己误操作导致云桌面卡慢、蓝屏、死机或者中病毒的时候，用户通过导航条按钮，可以自助进行系统盘快照还原操作。</w:t>
            </w:r>
          </w:p>
          <w:p w14:paraId="69A3479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4、云桌面连接可靠性：客户端连接虚拟桌面无需依赖虚拟机IP，在虚拟机网卡被禁用或被更改IP的情况下，云桌面业务不会中断，可防止因误操作而导致连接中断。</w:t>
            </w:r>
          </w:p>
          <w:p w14:paraId="38A14DC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5、身份认证:多认证方式随需组合，包括账号密码、usb-key认证、短信认证、硬件特征绑定、动态口令等。</w:t>
            </w:r>
          </w:p>
          <w:p w14:paraId="05A217B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文件导出内容审计：开启文件安全导出后，虚拟机通过剪切板、PC设备和USB设备外发文件的操作将被禁止，用户可以使用虚拟机内部的文件导出工具实现文件外发，所有外发的文件内容都可以加密备份到数据中心，以备后续审计使用，可疑的导出行为会产生告警。</w:t>
            </w:r>
          </w:p>
          <w:p w14:paraId="304E2D8A">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7、内置应用管控技术：管理组件实现全方位云桌面管控，可通过黑名单或白名单实现对禁止指定应用、进程的运行或只允许白名单内的应用、进程运行。</w:t>
            </w:r>
          </w:p>
          <w:p w14:paraId="0D2D3F8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8、资产调研分配：配合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进行桌面云资产调研和分配，每周针对桌面云至少开展一次巡检服务，实时掌握桌面云使用情况。</w:t>
            </w:r>
          </w:p>
        </w:tc>
      </w:tr>
      <w:tr w14:paraId="4BBF1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645EF2E">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44DEDCB7">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《桌面云月度服务报告》（按月度提供）</w:t>
            </w:r>
          </w:p>
        </w:tc>
      </w:tr>
      <w:tr w14:paraId="2269B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5000" w:type="pct"/>
            <w:gridSpan w:val="2"/>
          </w:tcPr>
          <w:p w14:paraId="29FFC3C1">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8、公安网一机两用服务：</w:t>
            </w:r>
            <w:r>
              <w:rPr>
                <w:rFonts w:hint="eastAsia" w:asciiTheme="minorEastAsia" w:hAnsiTheme="minorEastAsia" w:eastAsiaTheme="minorEastAsia" w:cstheme="minorEastAsia"/>
                <w:color w:val="auto"/>
                <w:sz w:val="24"/>
              </w:rPr>
              <w:t>针对杭州市公安局</w:t>
            </w:r>
            <w:r>
              <w:rPr>
                <w:rFonts w:hint="eastAsia" w:asciiTheme="minorEastAsia" w:hAnsiTheme="minorEastAsia" w:eastAsiaTheme="minorEastAsia" w:cstheme="minorEastAsia"/>
                <w:color w:val="auto"/>
                <w:sz w:val="24"/>
                <w:lang w:eastAsia="zh-Hans"/>
              </w:rPr>
              <w:t>“一机两用”监控系统</w:t>
            </w:r>
            <w:r>
              <w:rPr>
                <w:rFonts w:hint="eastAsia" w:asciiTheme="minorEastAsia" w:hAnsiTheme="minorEastAsia" w:eastAsiaTheme="minorEastAsia" w:cstheme="minorEastAsia"/>
                <w:color w:val="auto"/>
                <w:sz w:val="24"/>
              </w:rPr>
              <w:t>的稳定运行提供对应保障服务。提供对服务器漏洞扫描的准确性确认、对</w:t>
            </w:r>
            <w:r>
              <w:rPr>
                <w:rFonts w:hint="eastAsia" w:asciiTheme="minorEastAsia" w:hAnsiTheme="minorEastAsia" w:eastAsiaTheme="minorEastAsia" w:cstheme="minorEastAsia"/>
                <w:color w:val="auto"/>
                <w:sz w:val="24"/>
                <w:lang w:eastAsia="zh-Hans"/>
              </w:rPr>
              <w:t>监控系统补丁下载率、防病毒软件覆盖率</w:t>
            </w:r>
            <w:r>
              <w:rPr>
                <w:rFonts w:hint="eastAsia" w:asciiTheme="minorEastAsia" w:hAnsiTheme="minorEastAsia" w:eastAsiaTheme="minorEastAsia" w:cstheme="minorEastAsia"/>
                <w:color w:val="auto"/>
                <w:sz w:val="24"/>
              </w:rPr>
              <w:t>等数据的统计。</w:t>
            </w:r>
          </w:p>
        </w:tc>
      </w:tr>
      <w:tr w14:paraId="18641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3DF0E44F">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7542C06F">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1、定期巡检服务，为杭州市公安局“一机两用”监控系统提供每月一次的巡检服务。</w:t>
            </w:r>
          </w:p>
          <w:p w14:paraId="1390ECD3">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2、技术支持服务，每月10日至20日使用专用工具对服务器列表进行清理，确保每月服务器漏洞扫描工作的准确性；每月20日至下月10日，使用专用工具对杭州市公安局“一机两用”监控系统注册率、“一机两用”监控系统补丁下载率、防病毒软件覆盖率等数据进行清理。</w:t>
            </w:r>
          </w:p>
        </w:tc>
      </w:tr>
      <w:tr w14:paraId="3A801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28E2CD1F">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6B2F931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产品升级服务:及时为</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“一机两用”监控系统进行版本维护、升级，并为现场升级提供建议方案，协助做好产品的升级工作。</w:t>
            </w:r>
          </w:p>
        </w:tc>
      </w:tr>
      <w:tr w14:paraId="61CC7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813" w:type="pct"/>
          </w:tcPr>
          <w:p w14:paraId="621698D3">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交付物</w:t>
            </w:r>
          </w:p>
        </w:tc>
        <w:tc>
          <w:tcPr>
            <w:tcW w:w="4186" w:type="pct"/>
          </w:tcPr>
          <w:p w14:paraId="72103C38">
            <w:pPr>
              <w:pStyle w:val="23"/>
              <w:adjustRightInd w:val="0"/>
              <w:spacing w:line="360" w:lineRule="auto"/>
              <w:ind w:left="0"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《一机两用巡检服务报告》（按月度提供）</w:t>
            </w:r>
          </w:p>
          <w:p w14:paraId="6B55339C">
            <w:pPr>
              <w:pStyle w:val="23"/>
              <w:spacing w:line="360" w:lineRule="auto"/>
              <w:ind w:left="0" w:firstLine="480" w:firstLineChars="200"/>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《一机两用</w:t>
            </w:r>
            <w:r>
              <w:rPr>
                <w:rFonts w:hint="eastAsia" w:asciiTheme="minorEastAsia" w:hAnsiTheme="minorEastAsia" w:eastAsiaTheme="minorEastAsia" w:cstheme="minorEastAsia"/>
                <w:color w:val="auto"/>
                <w:sz w:val="24"/>
                <w:lang w:val="en-US" w:eastAsia="zh-CN"/>
              </w:rPr>
              <w:t>年度维保总结</w:t>
            </w:r>
            <w:r>
              <w:rPr>
                <w:rFonts w:hint="eastAsia" w:asciiTheme="minorEastAsia" w:hAnsiTheme="minorEastAsia" w:eastAsiaTheme="minorEastAsia" w:cstheme="minorEastAsia"/>
                <w:color w:val="auto"/>
                <w:sz w:val="24"/>
              </w:rPr>
              <w:t>报告》</w:t>
            </w:r>
          </w:p>
        </w:tc>
      </w:tr>
      <w:tr w14:paraId="56E3B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3A72AD16">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9、视频网终端杀毒服务：</w:t>
            </w:r>
            <w:r>
              <w:rPr>
                <w:rFonts w:hint="eastAsia" w:asciiTheme="minorEastAsia" w:hAnsiTheme="minorEastAsia" w:eastAsiaTheme="minorEastAsia" w:cstheme="minorEastAsia"/>
                <w:color w:val="auto"/>
                <w:sz w:val="24"/>
              </w:rPr>
              <w:t>针对杭州市公安局视频专网终端进行病毒、木马、恶意软件等进行查杀，提供主动防御、补丁管理功能。</w:t>
            </w:r>
          </w:p>
        </w:tc>
      </w:tr>
      <w:tr w14:paraId="5DBC5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038A7F08">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26CCF1F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因服务要求，视频网终端杀毒服务需提供PC终端和服务器授权。</w:t>
            </w:r>
          </w:p>
          <w:p w14:paraId="00F9CCEC">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提供不少于1500点PC终端和250点服务器授权。</w:t>
            </w:r>
          </w:p>
        </w:tc>
      </w:tr>
      <w:tr w14:paraId="43A44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4984EA41">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539C49E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该服务需要提供以下的服务要求支持：</w:t>
            </w:r>
          </w:p>
          <w:p w14:paraId="27CD4A3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1、国产化杀毒：针对中标麒麟/银河麒麟/普华/深度操作系统进行病毒查杀。</w:t>
            </w:r>
          </w:p>
          <w:p w14:paraId="1496CC95">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终端资产梳理统计：对终端PC信息进行收集，包括终端的硬件、软件、操作系统、网络、进程等信息。对接入视频网的PC终端进行统计，统计子网地址段地址使用率，显示地址段范围、大小、网关、已用数、可用数、已安装终端等信息。实时掌握终端杀毒软件的部署状态和运行情况。</w:t>
            </w:r>
          </w:p>
          <w:p w14:paraId="2950979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3、病毒库更新：采用杀毒工具支持与浙江省公安厅杀毒软件级联，实时同步病毒库以及杀毒策略。</w:t>
            </w:r>
          </w:p>
          <w:p w14:paraId="3A151E7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4、病毒查杀：要求通过多种杀毒引擎进行查杀，对恶意代码进行有效检测和识别，对已知、未知病毒、病毒变种提供全面检测、拦截和清除能力。</w:t>
            </w:r>
          </w:p>
          <w:p w14:paraId="3F37C6E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5、终端立体防护：对PC终端提供立体防护服务，包含浏览器防护，系统防护，入口防护和隔离防护。</w:t>
            </w:r>
          </w:p>
          <w:p w14:paraId="164B1393">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文件系统防护和访问控制：对所有文件或者程序及文档进行实时监控，提供对终端操作系统之间东西流量访问控制服务，包括基于数据包流向（任意/流入/流出）、协议（TCP/UDP/ICMP/TCP+UDP）、端口和IP的访问控制。</w:t>
            </w:r>
          </w:p>
          <w:p w14:paraId="7999862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7、攻击拦截：能够实时检测和拦截攻击行为，包括改写系统关键文件、修改注册表关键键值、感染移动存储介质。支持U盘等移动磁盘设备和电脑硬盘间文件传输检测；支持局域网共享文件传输检测。</w:t>
            </w:r>
          </w:p>
          <w:p w14:paraId="6F1B8DE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8、黑白名单扫描：支持文件、目录和数字签名自定义黑白名单的方式来管理全网终端的文件。</w:t>
            </w:r>
          </w:p>
          <w:p w14:paraId="37DC6783">
            <w:pPr>
              <w:pStyle w:val="24"/>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9、控制中心支持级联管理，可支持与浙江省公安厅视频专网终端防病毒控制中心级联。</w:t>
            </w:r>
          </w:p>
          <w:p w14:paraId="3C26E63E">
            <w:pPr>
              <w:pStyle w:val="24"/>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10、对敲诈者病毒提供专有的防护功能。</w:t>
            </w:r>
          </w:p>
          <w:p w14:paraId="2B397ADA">
            <w:pPr>
              <w:pStyle w:val="24"/>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11、支持按CVE编号查询漏洞，支持按KB号查询漏洞，管理员可快速关注高危漏洞，查看漏洞修复情况，如果还有未修复的终端则可立即下发修复任务</w:t>
            </w:r>
          </w:p>
          <w:p w14:paraId="3112C33C">
            <w:pPr>
              <w:pStyle w:val="24"/>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12、简化补丁运维工作，支持补丁灰度发布，支持设置对特定分组优先进行补丁分发，自定义测试一段时间后再全网升级，实现补丁自动化运维。</w:t>
            </w:r>
          </w:p>
        </w:tc>
      </w:tr>
      <w:tr w14:paraId="2C08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47F81E1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3D92359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《终端杀毒服务月度报告》（按月度提供）</w:t>
            </w:r>
          </w:p>
        </w:tc>
      </w:tr>
      <w:tr w14:paraId="35EC2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012F40A7">
            <w:pPr>
              <w:adjustRightInd w:val="0"/>
              <w:spacing w:line="360" w:lineRule="auto"/>
              <w:ind w:firstLine="482"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b/>
                <w:color w:val="auto"/>
                <w:sz w:val="24"/>
              </w:rPr>
              <w:t>10、系统安全检测：</w:t>
            </w:r>
            <w:r>
              <w:rPr>
                <w:rFonts w:hint="eastAsia" w:asciiTheme="minorEastAsia" w:hAnsiTheme="minorEastAsia" w:eastAsiaTheme="minorEastAsia" w:cstheme="minorEastAsia"/>
                <w:color w:val="auto"/>
                <w:sz w:val="24"/>
              </w:rPr>
              <w:t>针对公安信息系统开展安全性测试和整体安全评估。模拟黑客使用的工具、分析方法对信息系统、网站等进行非破坏性质的攻击性测试，由工程师进行深入的手工测试和分析，识别工具弱点扫描无法发现的问题，发现存在的安全漏洞，输出测试报告，针对性提出加固建议，作为漏洞修复和加固整改的参考依据。</w:t>
            </w:r>
          </w:p>
        </w:tc>
      </w:tr>
      <w:tr w14:paraId="2CD2A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13" w:type="pct"/>
          </w:tcPr>
          <w:p w14:paraId="0B88688D">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3E77BEEA">
            <w:pPr>
              <w:adjustRightInd w:val="0"/>
              <w:spacing w:line="360" w:lineRule="auto"/>
              <w:ind w:firstLine="601"/>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不少于4次系统安全检测。</w:t>
            </w:r>
          </w:p>
        </w:tc>
      </w:tr>
      <w:tr w14:paraId="20434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2062D05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223F8270">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安全架构评估：首先对公安信息系统进行系统分析，分析其网络架构，软件体系以及程序部署等，然后再对新上线系统做系统安全分析，在这之后对系统进行安全建模，明确系统可能来自的各个潜在威胁，之后剖析系统，确认有哪些攻击界面，依次进行安全测试。</w:t>
            </w:r>
          </w:p>
          <w:p w14:paraId="6B4C9F8A">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2、系统漏洞扫描：采用漏洞扫描工具对服务范围内各种软硬件设备进行网络层、系统层、数据库、应用层面的扫描与分析，并对具体漏洞提出解决方案。</w:t>
            </w:r>
          </w:p>
          <w:p w14:paraId="70255492">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3、安全配置检查：根据既定的检查规范及方法，采用人工检查用表（checklist）、脚本程序或基线扫描工具对信息系统中的主机系统、数据库与网络设备的脆弱性进行分析。</w:t>
            </w:r>
          </w:p>
          <w:p w14:paraId="1329E49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4、应用安全扫描：采用web应用漏洞扫描工具，通过定制的扫描规则，形成安全扫描策略文档，对指定网站进行自动化安全扫描，人工验证扫描结果输出安全扫描报告及修复建议。</w:t>
            </w:r>
          </w:p>
          <w:p w14:paraId="55262EA8">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5、渗透测试：模拟黑客的攻击方法对系统和网络进行非破坏性质的攻击性测试，通过侵入系统，获取系统控制权并将入侵的过程和细节生成报告进行提交，由此检验系统所存在的安全威胁和风险，并能及时提醒安全管理员完善安全策略。</w:t>
            </w:r>
          </w:p>
        </w:tc>
      </w:tr>
      <w:tr w14:paraId="04CAE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13" w:type="pct"/>
          </w:tcPr>
          <w:p w14:paraId="0B343865">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4EF4D4B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《系统安全检测总结报告》（按实际需求提供）</w:t>
            </w:r>
          </w:p>
        </w:tc>
      </w:tr>
      <w:tr w14:paraId="13A8E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6F90DE80">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rPr>
              <w:t>11、网络安全检查：</w:t>
            </w:r>
            <w:r>
              <w:rPr>
                <w:rFonts w:hint="eastAsia" w:asciiTheme="minorEastAsia" w:hAnsiTheme="minorEastAsia" w:eastAsiaTheme="minorEastAsia" w:cstheme="minorEastAsia"/>
                <w:color w:val="auto"/>
                <w:sz w:val="24"/>
              </w:rPr>
              <w:t>在上级网络安全监管部门对杭州市局范围内开展网络安全检查、护网行动等工作前，配合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从安全技术、管理和运营等多个维度着手针对全市各警种、区县分局的公安业务系统开展安全检查、协助整改，完善网络安全保障措施。</w:t>
            </w:r>
          </w:p>
        </w:tc>
      </w:tr>
      <w:tr w14:paraId="72C04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813" w:type="pct"/>
          </w:tcPr>
          <w:p w14:paraId="57DD08E1">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7B0D9A34">
            <w:pPr>
              <w:adjustRightInd w:val="0"/>
              <w:spacing w:line="360" w:lineRule="auto"/>
              <w:ind w:firstLine="601"/>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kern w:val="0"/>
                <w:sz w:val="24"/>
              </w:rPr>
              <w:t>不少于3次网络安全检查。</w:t>
            </w:r>
          </w:p>
        </w:tc>
      </w:tr>
      <w:tr w14:paraId="09E22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60C9EB7D">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服务要求</w:t>
            </w:r>
          </w:p>
        </w:tc>
        <w:tc>
          <w:tcPr>
            <w:tcW w:w="4186" w:type="pct"/>
          </w:tcPr>
          <w:p w14:paraId="2AD654A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1、在上级部门开展网络安全检查前，能够配合</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先行开展安全检查，协助整改完成；</w:t>
            </w:r>
          </w:p>
          <w:p w14:paraId="27BFF7D7">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2、在上级部门开展检查期间提供技术支撑配合、值守保障等；</w:t>
            </w:r>
          </w:p>
        </w:tc>
      </w:tr>
      <w:tr w14:paraId="36B1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3" w:type="pct"/>
          </w:tcPr>
          <w:p w14:paraId="42780D04">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55434054">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《网络安全检查总结报告》（按实际需求提供）</w:t>
            </w:r>
          </w:p>
        </w:tc>
      </w:tr>
      <w:tr w14:paraId="00D4C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6A73C99E">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rPr>
              <w:t>12、重保</w:t>
            </w:r>
            <w:r>
              <w:rPr>
                <w:rFonts w:hint="eastAsia" w:asciiTheme="minorEastAsia" w:hAnsiTheme="minorEastAsia" w:eastAsiaTheme="minorEastAsia" w:cstheme="minorEastAsia"/>
                <w:color w:val="auto"/>
                <w:sz w:val="24"/>
              </w:rPr>
              <w:t>：在重大活动时期，除驻点人员外，需另派遣不少于1名专业工程师驻场值守，对杭州市公安局重要系统进行安全保障。</w:t>
            </w:r>
          </w:p>
        </w:tc>
      </w:tr>
      <w:tr w14:paraId="6006C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12EE47B1">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0D683CD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不少于2次重大活动安全保障。</w:t>
            </w:r>
          </w:p>
        </w:tc>
      </w:tr>
      <w:tr w14:paraId="6B7F5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3A27887C">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20B28DDD">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针对杭州市公安局重要IT系统资产、包括主机、网络、应用等系统运行维护场景，在项目实施过程中，针对</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信息安全建设需求，提供相关安全值守，值守工作内容包含但不限于以下内容：信息安全通告、信息安全咨询、对外服务检查、web站点渗透测试、安全漏洞扫描、主机安全检查、业务系统安全监测、安全值守、安全日志分析、应急响应等。针对重大活动安全保障，要求5分钟内电话响应。</w:t>
            </w:r>
          </w:p>
        </w:tc>
      </w:tr>
      <w:tr w14:paraId="78473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7795149E">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54F17C99">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《重大活动安全保障总结报告》（按实际需求提供）</w:t>
            </w:r>
          </w:p>
        </w:tc>
      </w:tr>
      <w:tr w14:paraId="34ED3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5000" w:type="pct"/>
            <w:gridSpan w:val="2"/>
          </w:tcPr>
          <w:p w14:paraId="1AA7E551">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rPr>
              <w:t>13、应急响应</w:t>
            </w:r>
            <w:r>
              <w:rPr>
                <w:rFonts w:hint="eastAsia" w:asciiTheme="minorEastAsia" w:hAnsiTheme="minorEastAsia" w:eastAsiaTheme="minorEastAsia" w:cstheme="minorEastAsia"/>
                <w:b/>
                <w:color w:val="auto"/>
                <w:sz w:val="24"/>
              </w:rPr>
              <w:t>：</w:t>
            </w:r>
            <w:r>
              <w:rPr>
                <w:rFonts w:hint="eastAsia" w:asciiTheme="minorEastAsia" w:hAnsiTheme="minorEastAsia" w:eastAsiaTheme="minorEastAsia" w:cstheme="minorEastAsia"/>
                <w:color w:val="auto"/>
                <w:sz w:val="24"/>
              </w:rPr>
              <w:t>发生或可能发生安全事件时，</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应快速响应并到达现场，协助进行安全事件处理，直到安全事件排除。</w:t>
            </w:r>
          </w:p>
        </w:tc>
      </w:tr>
      <w:tr w14:paraId="3F4F4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813" w:type="pct"/>
          </w:tcPr>
          <w:p w14:paraId="603D2009">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65D6F1A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1、在服务期内，发生或可能发生安全事件时，</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应快速响应并到达现场，协助进行安全事件处理，直到安全事件排除。对于影响业务的安全设备故障，在进行故障处理时，应先考虑业务恢复，然后再彻底解决故障。如</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工程师不能在时限内解决问题，则应调动安全专家协助解决。</w:t>
            </w:r>
          </w:p>
          <w:p w14:paraId="3FCD9C42">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2、按需提供应急响应服务，不少于5次。</w:t>
            </w:r>
          </w:p>
        </w:tc>
      </w:tr>
      <w:tr w14:paraId="00489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48801CE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0888677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1、紧急安全事件应急响应（</w:t>
            </w:r>
            <w:r>
              <w:rPr>
                <w:rFonts w:hint="eastAsia" w:asciiTheme="minorEastAsia" w:hAnsiTheme="minorEastAsia" w:eastAsiaTheme="minorEastAsia" w:cstheme="minorEastAsia"/>
                <w:color w:val="auto"/>
                <w:sz w:val="24"/>
              </w:rPr>
              <w:t>网站被篡改或被攻击，网站被仿冒；某个业务全部瘫痪，重要数据丢失或被篡改，核心网络流量严重异常或瘫痪等）。</w:t>
            </w:r>
            <w:r>
              <w:rPr>
                <w:rFonts w:hint="eastAsia" w:asciiTheme="minorEastAsia" w:hAnsiTheme="minorEastAsia" w:eastAsiaTheme="minorEastAsia" w:cstheme="minorEastAsia"/>
                <w:color w:val="auto"/>
                <w:sz w:val="24"/>
                <w:lang w:eastAsia="zh-Hans"/>
              </w:rPr>
              <w:t>接到电话通知后，必须</w:t>
            </w:r>
            <w:r>
              <w:rPr>
                <w:rFonts w:hint="eastAsia" w:asciiTheme="minorEastAsia" w:hAnsiTheme="minorEastAsia" w:eastAsiaTheme="minorEastAsia" w:cstheme="minorEastAsia"/>
                <w:color w:val="auto"/>
                <w:sz w:val="24"/>
              </w:rPr>
              <w:t>15</w:t>
            </w:r>
            <w:r>
              <w:rPr>
                <w:rFonts w:hint="eastAsia" w:asciiTheme="minorEastAsia" w:hAnsiTheme="minorEastAsia" w:eastAsiaTheme="minorEastAsia" w:cstheme="minorEastAsia"/>
                <w:color w:val="auto"/>
                <w:sz w:val="24"/>
                <w:lang w:eastAsia="zh-Hans"/>
              </w:rPr>
              <w:t>分钟内做出响应，1小时内到达现场。如1小时内无法解决问题，30分钟内</w:t>
            </w:r>
            <w:r>
              <w:rPr>
                <w:rFonts w:hint="eastAsia" w:asciiTheme="minorEastAsia" w:hAnsiTheme="minorEastAsia" w:eastAsiaTheme="minorEastAsia" w:cstheme="minorEastAsia"/>
                <w:color w:val="auto"/>
                <w:sz w:val="24"/>
              </w:rPr>
              <w:t>调动安全专家</w:t>
            </w:r>
            <w:r>
              <w:rPr>
                <w:rFonts w:hint="eastAsia" w:asciiTheme="minorEastAsia" w:hAnsiTheme="minorEastAsia" w:eastAsiaTheme="minorEastAsia" w:cstheme="minorEastAsia"/>
                <w:color w:val="auto"/>
                <w:sz w:val="24"/>
                <w:lang w:eastAsia="zh-Hans"/>
              </w:rPr>
              <w:t>协助解决</w:t>
            </w:r>
            <w:r>
              <w:rPr>
                <w:rFonts w:hint="eastAsia" w:asciiTheme="minorEastAsia" w:hAnsiTheme="minorEastAsia" w:eastAsiaTheme="minorEastAsia" w:cstheme="minorEastAsia"/>
                <w:color w:val="auto"/>
                <w:sz w:val="24"/>
              </w:rPr>
              <w:t>。</w:t>
            </w:r>
          </w:p>
          <w:p w14:paraId="21CFCF4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2、严重安全事件应急响应（</w:t>
            </w:r>
            <w:r>
              <w:rPr>
                <w:rFonts w:hint="eastAsia" w:asciiTheme="minorEastAsia" w:hAnsiTheme="minorEastAsia" w:eastAsiaTheme="minorEastAsia" w:cstheme="minorEastAsia"/>
                <w:color w:val="auto"/>
                <w:sz w:val="24"/>
              </w:rPr>
              <w:t>某个业务部分不可用，某个区域出现流量严重异常或瘫痪，安全设备硬件故障造成网络中断，网站访问速度严重变慢等）。</w:t>
            </w:r>
            <w:r>
              <w:rPr>
                <w:rFonts w:hint="eastAsia" w:asciiTheme="minorEastAsia" w:hAnsiTheme="minorEastAsia" w:eastAsiaTheme="minorEastAsia" w:cstheme="minorEastAsia"/>
                <w:color w:val="auto"/>
                <w:sz w:val="24"/>
                <w:lang w:eastAsia="zh-Hans"/>
              </w:rPr>
              <w:t>接到电话通知后，必须</w:t>
            </w:r>
            <w:r>
              <w:rPr>
                <w:rFonts w:hint="eastAsia" w:asciiTheme="minorEastAsia" w:hAnsiTheme="minorEastAsia" w:eastAsiaTheme="minorEastAsia" w:cstheme="minorEastAsia"/>
                <w:color w:val="auto"/>
                <w:sz w:val="24"/>
              </w:rPr>
              <w:t>15</w:t>
            </w:r>
            <w:r>
              <w:rPr>
                <w:rFonts w:hint="eastAsia" w:asciiTheme="minorEastAsia" w:hAnsiTheme="minorEastAsia" w:eastAsiaTheme="minorEastAsia" w:cstheme="minorEastAsia"/>
                <w:color w:val="auto"/>
                <w:sz w:val="24"/>
                <w:lang w:eastAsia="zh-Hans"/>
              </w:rPr>
              <w:t>分钟内做出响应，2小时内到达现场。如2小时内无法解决问题，1小时内</w:t>
            </w:r>
            <w:r>
              <w:rPr>
                <w:rFonts w:hint="eastAsia" w:asciiTheme="minorEastAsia" w:hAnsiTheme="minorEastAsia" w:eastAsiaTheme="minorEastAsia" w:cstheme="minorEastAsia"/>
                <w:color w:val="auto"/>
                <w:sz w:val="24"/>
              </w:rPr>
              <w:t>调动安全专家</w:t>
            </w:r>
            <w:r>
              <w:rPr>
                <w:rFonts w:hint="eastAsia" w:asciiTheme="minorEastAsia" w:hAnsiTheme="minorEastAsia" w:eastAsiaTheme="minorEastAsia" w:cstheme="minorEastAsia"/>
                <w:color w:val="auto"/>
                <w:sz w:val="24"/>
                <w:lang w:eastAsia="zh-Hans"/>
              </w:rPr>
              <w:t>协助解决</w:t>
            </w:r>
            <w:r>
              <w:rPr>
                <w:rFonts w:hint="eastAsia" w:asciiTheme="minorEastAsia" w:hAnsiTheme="minorEastAsia" w:eastAsiaTheme="minorEastAsia" w:cstheme="minorEastAsia"/>
                <w:color w:val="auto"/>
                <w:sz w:val="24"/>
              </w:rPr>
              <w:t>。</w:t>
            </w:r>
          </w:p>
          <w:p w14:paraId="7510303D">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3、一般安全事件应急响应（</w:t>
            </w:r>
            <w:r>
              <w:rPr>
                <w:rFonts w:hint="eastAsia" w:asciiTheme="minorEastAsia" w:hAnsiTheme="minorEastAsia" w:eastAsiaTheme="minorEastAsia" w:cstheme="minorEastAsia"/>
                <w:color w:val="auto"/>
                <w:sz w:val="24"/>
              </w:rPr>
              <w:t>业务使用存在异常，某个区域出现流量异常，发现安全漏洞隐患未进行修补的，病毒事件以及其他一般事件）。</w:t>
            </w:r>
            <w:r>
              <w:rPr>
                <w:rFonts w:hint="eastAsia" w:asciiTheme="minorEastAsia" w:hAnsiTheme="minorEastAsia" w:eastAsiaTheme="minorEastAsia" w:cstheme="minorEastAsia"/>
                <w:color w:val="auto"/>
                <w:sz w:val="24"/>
                <w:lang w:eastAsia="zh-Hans"/>
              </w:rPr>
              <w:t>接到电话通知后，必须</w:t>
            </w:r>
            <w:r>
              <w:rPr>
                <w:rFonts w:hint="eastAsia" w:asciiTheme="minorEastAsia" w:hAnsiTheme="minorEastAsia" w:eastAsiaTheme="minorEastAsia" w:cstheme="minorEastAsia"/>
                <w:color w:val="auto"/>
                <w:sz w:val="24"/>
              </w:rPr>
              <w:t>30</w:t>
            </w:r>
            <w:r>
              <w:rPr>
                <w:rFonts w:hint="eastAsia" w:asciiTheme="minorEastAsia" w:hAnsiTheme="minorEastAsia" w:eastAsiaTheme="minorEastAsia" w:cstheme="minorEastAsia"/>
                <w:color w:val="auto"/>
                <w:sz w:val="24"/>
                <w:lang w:eastAsia="zh-Hans"/>
              </w:rPr>
              <w:t>分钟内做出响应，4小时内到达现场。如4小时内无法解决问题，2小时内</w:t>
            </w:r>
            <w:r>
              <w:rPr>
                <w:rFonts w:hint="eastAsia" w:asciiTheme="minorEastAsia" w:hAnsiTheme="minorEastAsia" w:eastAsiaTheme="minorEastAsia" w:cstheme="minorEastAsia"/>
                <w:color w:val="auto"/>
                <w:sz w:val="24"/>
              </w:rPr>
              <w:t>调动安全专家</w:t>
            </w:r>
            <w:r>
              <w:rPr>
                <w:rFonts w:hint="eastAsia" w:asciiTheme="minorEastAsia" w:hAnsiTheme="minorEastAsia" w:eastAsiaTheme="minorEastAsia" w:cstheme="minorEastAsia"/>
                <w:color w:val="auto"/>
                <w:sz w:val="24"/>
                <w:lang w:eastAsia="zh-Hans"/>
              </w:rPr>
              <w:t>协助解决</w:t>
            </w:r>
            <w:r>
              <w:rPr>
                <w:rFonts w:hint="eastAsia" w:asciiTheme="minorEastAsia" w:hAnsiTheme="minorEastAsia" w:eastAsiaTheme="minorEastAsia" w:cstheme="minorEastAsia"/>
                <w:color w:val="auto"/>
                <w:sz w:val="24"/>
              </w:rPr>
              <w:t>。</w:t>
            </w:r>
          </w:p>
        </w:tc>
      </w:tr>
      <w:tr w14:paraId="284E8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813" w:type="pct"/>
          </w:tcPr>
          <w:p w14:paraId="4C88C928">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08A81C1C">
            <w:pPr>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《应急响应报告》（按实际需求提供）</w:t>
            </w:r>
          </w:p>
          <w:p w14:paraId="18D69E37">
            <w:pPr>
              <w:adjustRightInd w:val="0"/>
              <w:spacing w:line="360" w:lineRule="auto"/>
              <w:rPr>
                <w:rFonts w:hint="eastAsia" w:asciiTheme="minorEastAsia" w:hAnsiTheme="minorEastAsia" w:eastAsiaTheme="minorEastAsia" w:cstheme="minorEastAsia"/>
                <w:color w:val="auto"/>
                <w:sz w:val="24"/>
                <w:lang w:eastAsia="zh-Hans"/>
              </w:rPr>
            </w:pPr>
          </w:p>
        </w:tc>
      </w:tr>
      <w:tr w14:paraId="7A7DC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5000" w:type="pct"/>
            <w:gridSpan w:val="2"/>
          </w:tcPr>
          <w:p w14:paraId="740B45CC">
            <w:pPr>
              <w:adjustRightInd w:val="0"/>
              <w:spacing w:line="360" w:lineRule="auto"/>
              <w:ind w:firstLine="482"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14、边界通道租赁服务：</w:t>
            </w:r>
            <w:r>
              <w:rPr>
                <w:rFonts w:hint="eastAsia" w:asciiTheme="minorEastAsia" w:hAnsiTheme="minorEastAsia" w:eastAsiaTheme="minorEastAsia" w:cstheme="minorEastAsia"/>
                <w:color w:val="auto"/>
                <w:sz w:val="24"/>
              </w:rPr>
              <w:t>数据交换前置服务器集群、双单向光闸池和数据交换后置服务器集群，组成3条边界通道，每条边界通道包括数据交换前置服务器、数据交换后置服务器。</w:t>
            </w:r>
          </w:p>
        </w:tc>
      </w:tr>
      <w:tr w14:paraId="1E961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229CA0C2">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服务内容</w:t>
            </w:r>
          </w:p>
        </w:tc>
        <w:tc>
          <w:tcPr>
            <w:tcW w:w="4186" w:type="pct"/>
          </w:tcPr>
          <w:p w14:paraId="5CFB01C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因服务要求，边界通道租赁服务需提供通道。</w:t>
            </w:r>
          </w:p>
          <w:p w14:paraId="67925E23">
            <w:pPr>
              <w:adjustRightInd w:val="0"/>
              <w:spacing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共3条通道，每条都为（2+4+2）池化架构或其他架构来确保两侧交换系统及进出各单向2光闸的冗余能力，包含外侧防火墙。</w:t>
            </w:r>
          </w:p>
        </w:tc>
      </w:tr>
      <w:tr w14:paraId="49AA7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3CB34D49">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服务要求</w:t>
            </w:r>
          </w:p>
        </w:tc>
        <w:tc>
          <w:tcPr>
            <w:tcW w:w="4186" w:type="pct"/>
          </w:tcPr>
          <w:p w14:paraId="5F2961B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该服务需要提供以下的服务要求支持：</w:t>
            </w:r>
          </w:p>
          <w:p w14:paraId="2A220D1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1、服务性能：吞吐量≥8Gbps；数据库同步速率（1KB）≥12000条/秒；FTP文件同步速率（40KB）≥2600个/秒；消息同步速率（1KB）≥7000个/秒；传输时延≤50ms。 </w:t>
            </w:r>
          </w:p>
          <w:p w14:paraId="5378487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2、技术架构：支持集群化扩展，无需独立集群管理节点，具备集群节点并行交换、负载均衡和容灾切换功能。 </w:t>
            </w:r>
          </w:p>
          <w:p w14:paraId="02232B29">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3、部署模式：交换前置和交换后置支持非对称部署。 </w:t>
            </w:r>
          </w:p>
          <w:p w14:paraId="0B179021">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4、数据库同步：支持异构数据库异构同步、多对一同步、一对多同步、全量同步、增量同步、定时任务同步、自定义主键同步方式等功能。 </w:t>
            </w:r>
          </w:p>
          <w:p w14:paraId="5F1F9A6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5、文件共享交换：支持FTP、SFTP、SMB、NFS，支持文件断点续传，支持大文件（GB级）同步。 </w:t>
            </w:r>
          </w:p>
          <w:p w14:paraId="17CB36F8">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6、文件同步：支持文件目录双向同步、镜像同步、源端删除同步、更新同步、累加同步、文件同步重名等同步策略。 </w:t>
            </w:r>
          </w:p>
          <w:p w14:paraId="7F286A7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7、API交换：支持通过鉴权方式对服务调用方进行身份认证，认证凭证包括数字证书、口令密码、动态令牌、Token等。 </w:t>
            </w:r>
          </w:p>
          <w:p w14:paraId="2E42AE3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8、API接口认证：Http Basic认证、Soap头认证、JWT认证、HMAC 签名认证等功能。 </w:t>
            </w:r>
          </w:p>
          <w:p w14:paraId="795DB36D">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9、敏感数据脱敏：支持对数据库表中身份证号码、手机号码、地址等敏感或隐私信息的字段进行数据脱敏。 </w:t>
            </w:r>
          </w:p>
          <w:p w14:paraId="7EE46C5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10、服务认证：支持对服务提供注册、编目、查询、变更、注销等功能。 </w:t>
            </w:r>
          </w:p>
          <w:p w14:paraId="2E65F13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11、签名验签：支持签名验证，确保交换数据的真实性、完整性和不可抵赖性；支持对无签名或签名验证不通过的数据进行拦截丢弃，并进行日志报警。 </w:t>
            </w:r>
          </w:p>
          <w:p w14:paraId="6AF795D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12、文本文件内容过滤：支持对文本文件基于安全策略进行内容过滤，对含有敏感信息的文件进行拦截丢弃，并进行日志报警。 </w:t>
            </w:r>
          </w:p>
          <w:p w14:paraId="7FF62832">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13、数据流量管控：支持对数据流量进行监测，以规则或统计基线判定异常并实施控制。</w:t>
            </w:r>
          </w:p>
        </w:tc>
      </w:tr>
      <w:tr w14:paraId="3E8F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813" w:type="pct"/>
          </w:tcPr>
          <w:p w14:paraId="6F1082FB">
            <w:pPr>
              <w:adjustRightIn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交付物</w:t>
            </w:r>
          </w:p>
        </w:tc>
        <w:tc>
          <w:tcPr>
            <w:tcW w:w="4186" w:type="pct"/>
          </w:tcPr>
          <w:p w14:paraId="03D7F64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《边界通道服务总结报告》</w:t>
            </w:r>
          </w:p>
        </w:tc>
      </w:tr>
    </w:tbl>
    <w:p w14:paraId="13905228">
      <w:pPr>
        <w:adjustRightInd w:val="0"/>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lang w:val="en-US" w:eastAsia="zh-CN"/>
        </w:rPr>
        <w:t>3.2</w:t>
      </w:r>
      <w:r>
        <w:rPr>
          <w:rFonts w:hint="eastAsia" w:asciiTheme="minorEastAsia" w:hAnsiTheme="minorEastAsia" w:eastAsiaTheme="minorEastAsia" w:cstheme="minorEastAsia"/>
          <w:b/>
          <w:color w:val="auto"/>
          <w:sz w:val="24"/>
        </w:rPr>
        <w:t>、总体要求</w:t>
      </w:r>
    </w:p>
    <w:p w14:paraId="032BECD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（1）本项目中服务涉及多张公安业务网络，不同服务内容对应不同技术要求，均应当满足各服务内容中对应的服务要求。</w:t>
      </w:r>
    </w:p>
    <w:p w14:paraId="64778C6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（2）系统安全检测服务中使用的工具软件必须为正版产品。</w:t>
      </w:r>
    </w:p>
    <w:p w14:paraId="6DA1BF5E">
      <w:pPr>
        <w:adjustRightInd w:val="0"/>
        <w:spacing w:line="360" w:lineRule="auto"/>
        <w:ind w:firstLine="480" w:firstLineChars="200"/>
        <w:rPr>
          <w:rFonts w:hint="eastAsia" w:asciiTheme="minorEastAsia" w:hAnsiTheme="minorEastAsia" w:eastAsiaTheme="minorEastAsia" w:cstheme="minorEastAsia"/>
          <w:color w:val="auto"/>
          <w:sz w:val="24"/>
          <w:highlight w:val="green"/>
        </w:rPr>
      </w:pPr>
      <w:r>
        <w:rPr>
          <w:rFonts w:hint="eastAsia" w:asciiTheme="minorEastAsia" w:hAnsiTheme="minorEastAsia" w:eastAsiaTheme="minorEastAsia" w:cstheme="minorEastAsia"/>
          <w:color w:val="auto"/>
          <w:sz w:val="24"/>
        </w:rPr>
        <w:t>（3）网络安全检查过程中进行的渗透测试，在渗透测试之前必须要先提供相应的技术方案与</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技术人员充分沟通,不能影响各项业务的正常进行，对一些可能引发事故的测试项要在</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可控制的情况下以单独授权的方式进行。</w:t>
      </w:r>
    </w:p>
    <w:p w14:paraId="41D52F2C">
      <w:pPr>
        <w:adjustRightInd w:val="0"/>
        <w:spacing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（4）实施过程中应尽可能小的影响系统和网络的正常运行,做好备份和应急措施,不能对</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应用系统的正常运行产生影响,包括系统性能明显下降、网络拥塞、服务中断等,如无法避免出现这些情况应先停止项目实施,并向</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书面详细描述。</w:t>
      </w:r>
    </w:p>
    <w:p w14:paraId="5BA035C6">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（5）服务期内提供7*24小时的技术支持（包括电话咨询与现场服务）。</w:t>
      </w:r>
      <w:r>
        <w:rPr>
          <w:rFonts w:hint="eastAsia" w:asciiTheme="minorEastAsia" w:hAnsiTheme="minorEastAsia" w:eastAsiaTheme="minorEastAsia" w:cstheme="minorEastAsia"/>
          <w:color w:val="auto"/>
          <w:sz w:val="24"/>
          <w:lang w:eastAsia="zh-Hans"/>
        </w:rPr>
        <w:t>在服务期内，发生或可能发生应急事件时，</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应快速响应并到达现场，协助进行应急事件处理，直到应急事件排除。对于影响服务的故障，在进行故障处理时，应先考虑服务恢复，再彻底解决故障。如</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工程师不能在时限内解决问题，则应调动专家协助解决。</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在接到应急电话后，须在应急响应服务规定的时限内响应。</w:t>
      </w:r>
    </w:p>
    <w:p w14:paraId="01F8C8F4">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需协助</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完成安全检查工作。</w:t>
      </w:r>
    </w:p>
    <w:p w14:paraId="50E00C7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应在完成服务后五个工作日内提交相关报告，所有报告均以纸质版提交（需经</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经办人、审核人、</w:t>
      </w:r>
      <w:r>
        <w:rPr>
          <w:rFonts w:hint="eastAsia" w:asciiTheme="minorEastAsia" w:hAnsiTheme="minorEastAsia" w:eastAsiaTheme="minorEastAsia" w:cstheme="minorEastAsia"/>
          <w:color w:val="auto"/>
          <w:sz w:val="24"/>
          <w:lang w:val="en-US" w:eastAsia="zh-CN"/>
        </w:rPr>
        <w:t>乙方</w:t>
      </w:r>
      <w:r>
        <w:rPr>
          <w:rFonts w:hint="eastAsia" w:asciiTheme="minorEastAsia" w:hAnsiTheme="minorEastAsia" w:eastAsiaTheme="minorEastAsia" w:cstheme="minorEastAsia"/>
          <w:color w:val="auto"/>
          <w:sz w:val="24"/>
        </w:rPr>
        <w:t>签字并加盖公章）。</w:t>
      </w:r>
    </w:p>
    <w:p w14:paraId="795AE7E5">
      <w:pPr>
        <w:adjustRightInd w:val="0"/>
        <w:spacing w:line="360" w:lineRule="auto"/>
        <w:ind w:firstLine="420" w:firstLineChars="175"/>
        <w:jc w:val="left"/>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（8）</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应针对本项目建立</w:t>
      </w:r>
      <w:r>
        <w:rPr>
          <w:rFonts w:hint="eastAsia" w:asciiTheme="minorEastAsia" w:hAnsiTheme="minorEastAsia" w:eastAsiaTheme="minorEastAsia" w:cstheme="minorEastAsia"/>
          <w:color w:val="auto"/>
          <w:sz w:val="24"/>
        </w:rPr>
        <w:t>健</w:t>
      </w:r>
      <w:r>
        <w:rPr>
          <w:rFonts w:hint="eastAsia" w:asciiTheme="minorEastAsia" w:hAnsiTheme="minorEastAsia" w:eastAsiaTheme="minorEastAsia" w:cstheme="minorEastAsia"/>
          <w:color w:val="auto"/>
          <w:sz w:val="24"/>
          <w:lang w:eastAsia="zh-Hans"/>
        </w:rPr>
        <w:t>全相应的管理制度，包括日常管理规章制度、内部岗位责任制度（包括各岗位职责等）、管理运作制度、考核制度（包括考核机制、激励机制、监督机制等）等。</w:t>
      </w:r>
    </w:p>
    <w:p w14:paraId="7D978D9A">
      <w:pPr>
        <w:pStyle w:val="24"/>
        <w:adjustRightIn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（9）</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应针对本项目建立紧急事件处理应急方案，包括建立运行服务保障应急预案、对可能遇到的问题具有相应的应对措施，在服务期间巡检、故障处理的组织和联系机制等。</w:t>
      </w:r>
    </w:p>
    <w:p w14:paraId="04F86569">
      <w:pPr>
        <w:adjustRightInd w:val="0"/>
        <w:spacing w:before="124" w:after="124" w:line="360" w:lineRule="auto"/>
        <w:rPr>
          <w:rFonts w:hint="eastAsia" w:asciiTheme="minorEastAsia" w:hAnsiTheme="minorEastAsia" w:eastAsiaTheme="minorEastAsia" w:cstheme="minorEastAsia"/>
          <w:b/>
          <w:bCs/>
          <w:color w:val="auto"/>
          <w:sz w:val="24"/>
        </w:rPr>
      </w:pPr>
      <w:r>
        <w:rPr>
          <w:rFonts w:hint="eastAsia" w:asciiTheme="minorEastAsia" w:hAnsiTheme="minorEastAsia" w:eastAsiaTheme="minorEastAsia" w:cstheme="minorEastAsia"/>
          <w:color w:val="auto"/>
          <w:sz w:val="24"/>
          <w:shd w:val="clear" w:color="auto" w:fill="FFFFFF" w:themeFill="background1"/>
          <w:lang w:val="en-US" w:eastAsia="zh-CN"/>
        </w:rPr>
        <w:t>3.3</w:t>
      </w:r>
      <w:r>
        <w:rPr>
          <w:rFonts w:hint="eastAsia" w:asciiTheme="minorEastAsia" w:hAnsiTheme="minorEastAsia" w:eastAsiaTheme="minorEastAsia" w:cstheme="minorEastAsia"/>
          <w:color w:val="auto"/>
          <w:sz w:val="24"/>
          <w:shd w:val="clear" w:color="auto" w:fill="FFFFFF" w:themeFill="background1"/>
        </w:rPr>
        <w:t>、</w:t>
      </w:r>
      <w:r>
        <w:rPr>
          <w:rFonts w:hint="eastAsia" w:asciiTheme="minorEastAsia" w:hAnsiTheme="minorEastAsia" w:eastAsiaTheme="minorEastAsia" w:cstheme="minorEastAsia"/>
          <w:b/>
          <w:bCs/>
          <w:color w:val="auto"/>
          <w:sz w:val="24"/>
        </w:rPr>
        <w:t>人员要求</w:t>
      </w:r>
    </w:p>
    <w:p w14:paraId="15411E22">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须为本项目组织项目小组，保障各项服务内容的顺利开展。</w:t>
      </w:r>
    </w:p>
    <w:p w14:paraId="264E630E">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提供不少于2名驻点人员提供</w:t>
      </w:r>
      <w:r>
        <w:rPr>
          <w:rFonts w:hint="eastAsia" w:asciiTheme="minorEastAsia" w:hAnsiTheme="minorEastAsia" w:eastAsiaTheme="minorEastAsia" w:cstheme="minorEastAsia"/>
          <w:color w:val="auto"/>
          <w:sz w:val="24"/>
          <w:lang w:eastAsia="zh-Hans"/>
        </w:rPr>
        <w:t>安全</w:t>
      </w:r>
      <w:r>
        <w:rPr>
          <w:rFonts w:hint="eastAsia" w:asciiTheme="minorEastAsia" w:hAnsiTheme="minorEastAsia" w:eastAsiaTheme="minorEastAsia" w:cstheme="minorEastAsia"/>
          <w:color w:val="auto"/>
          <w:sz w:val="24"/>
        </w:rPr>
        <w:t>服务。</w:t>
      </w:r>
    </w:p>
    <w:p w14:paraId="258B44C4">
      <w:pPr>
        <w:adjustRightInd w:val="0"/>
        <w:spacing w:before="124" w:after="124" w:line="360" w:lineRule="auto"/>
        <w:rPr>
          <w:rFonts w:hint="eastAsia" w:asciiTheme="minorEastAsia" w:hAnsiTheme="minorEastAsia" w:eastAsiaTheme="minorEastAsia" w:cstheme="minorEastAsia"/>
          <w:b/>
          <w:bCs/>
          <w:color w:val="auto"/>
          <w:sz w:val="24"/>
        </w:rPr>
      </w:pPr>
      <w:r>
        <w:rPr>
          <w:rFonts w:hint="eastAsia" w:asciiTheme="minorEastAsia" w:hAnsiTheme="minorEastAsia" w:eastAsiaTheme="minorEastAsia" w:cstheme="minorEastAsia"/>
          <w:b/>
          <w:bCs/>
          <w:color w:val="auto"/>
          <w:sz w:val="24"/>
          <w:lang w:val="en-US" w:eastAsia="zh-CN"/>
        </w:rPr>
        <w:t>3.3</w:t>
      </w:r>
      <w:r>
        <w:rPr>
          <w:rFonts w:hint="eastAsia" w:asciiTheme="minorEastAsia" w:hAnsiTheme="minorEastAsia" w:eastAsiaTheme="minorEastAsia" w:cstheme="minorEastAsia"/>
          <w:b/>
          <w:bCs/>
          <w:color w:val="auto"/>
          <w:sz w:val="24"/>
        </w:rPr>
        <w:t>.1项目组人员要求</w:t>
      </w:r>
    </w:p>
    <w:p w14:paraId="5664E4C6">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（1）按照实际工作需求</w:t>
      </w:r>
      <w:r>
        <w:rPr>
          <w:rFonts w:hint="eastAsia" w:asciiTheme="minorEastAsia" w:hAnsiTheme="minorEastAsia" w:eastAsiaTheme="minorEastAsia" w:cstheme="minorEastAsia"/>
          <w:color w:val="auto"/>
          <w:sz w:val="24"/>
        </w:rPr>
        <w:t>为本项目配备项目小组，并明确人员分工职责（须包含一名项目负责人）。</w:t>
      </w:r>
    </w:p>
    <w:p w14:paraId="315805B8">
      <w:pPr>
        <w:pStyle w:val="24"/>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Hans"/>
        </w:rPr>
        <w:t>（2）人员服务时间：项目负责人、服务团队人员提供7*24小时</w:t>
      </w:r>
      <w:r>
        <w:rPr>
          <w:rFonts w:hint="eastAsia" w:asciiTheme="minorEastAsia" w:hAnsiTheme="minorEastAsia" w:eastAsiaTheme="minorEastAsia" w:cstheme="minorEastAsia"/>
          <w:color w:val="auto"/>
          <w:sz w:val="24"/>
          <w:szCs w:val="24"/>
        </w:rPr>
        <w:t>响应</w:t>
      </w:r>
      <w:r>
        <w:rPr>
          <w:rFonts w:hint="eastAsia" w:asciiTheme="minorEastAsia" w:hAnsiTheme="minorEastAsia" w:eastAsiaTheme="minorEastAsia" w:cstheme="minorEastAsia"/>
          <w:color w:val="auto"/>
          <w:sz w:val="24"/>
          <w:szCs w:val="24"/>
          <w:lang w:eastAsia="zh-Hans"/>
        </w:rPr>
        <w:t>服务</w:t>
      </w:r>
      <w:r>
        <w:rPr>
          <w:rFonts w:hint="eastAsia" w:asciiTheme="minorEastAsia" w:hAnsiTheme="minorEastAsia" w:eastAsiaTheme="minorEastAsia" w:cstheme="minorEastAsia"/>
          <w:color w:val="auto"/>
          <w:sz w:val="24"/>
          <w:szCs w:val="24"/>
        </w:rPr>
        <w:t>，接到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通知后，应在半小时内响应，如需提供现场服务，需在2小时内到达</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指定地点。</w:t>
      </w:r>
    </w:p>
    <w:p w14:paraId="2F665E4B">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（3）人员配备标准：</w:t>
      </w:r>
      <w:r>
        <w:rPr>
          <w:rFonts w:hint="eastAsia" w:asciiTheme="minorEastAsia" w:hAnsiTheme="minorEastAsia" w:eastAsiaTheme="minorEastAsia" w:cstheme="minorEastAsia"/>
          <w:color w:val="auto"/>
          <w:sz w:val="24"/>
        </w:rPr>
        <w:t>除2名驻点人员外，项目组人员中须配备</w:t>
      </w:r>
      <w:r>
        <w:rPr>
          <w:rFonts w:hint="eastAsia" w:asciiTheme="minorEastAsia" w:hAnsiTheme="minorEastAsia" w:eastAsiaTheme="minorEastAsia" w:cstheme="minorEastAsia"/>
          <w:color w:val="auto"/>
          <w:sz w:val="24"/>
          <w:lang w:eastAsia="zh-Hans"/>
        </w:rPr>
        <w:t>至少2名人员具有</w:t>
      </w:r>
      <w:r>
        <w:rPr>
          <w:rFonts w:hint="eastAsia" w:asciiTheme="minorEastAsia" w:hAnsiTheme="minorEastAsia" w:eastAsiaTheme="minorEastAsia" w:cstheme="minorEastAsia"/>
          <w:color w:val="auto"/>
          <w:sz w:val="24"/>
        </w:rPr>
        <w:t>信息安全工程师</w:t>
      </w:r>
      <w:r>
        <w:rPr>
          <w:rFonts w:hint="eastAsia" w:asciiTheme="minorEastAsia" w:hAnsiTheme="minorEastAsia" w:eastAsiaTheme="minorEastAsia" w:cstheme="minorEastAsia"/>
          <w:color w:val="auto"/>
          <w:sz w:val="24"/>
          <w:lang w:eastAsia="zh-Hans"/>
        </w:rPr>
        <w:t>（国家人力资源和社会保障部、工业和信息化部共同颁发）</w:t>
      </w:r>
      <w:r>
        <w:rPr>
          <w:rFonts w:hint="eastAsia" w:asciiTheme="minorEastAsia" w:hAnsiTheme="minorEastAsia" w:eastAsiaTheme="minorEastAsia" w:cstheme="minorEastAsia"/>
          <w:color w:val="auto"/>
          <w:sz w:val="24"/>
        </w:rPr>
        <w:t>或</w:t>
      </w:r>
      <w:r>
        <w:rPr>
          <w:rFonts w:hint="eastAsia" w:asciiTheme="minorEastAsia" w:hAnsiTheme="minorEastAsia" w:eastAsiaTheme="minorEastAsia" w:cstheme="minorEastAsia"/>
          <w:color w:val="auto"/>
          <w:sz w:val="24"/>
          <w:lang w:eastAsia="zh-Hans"/>
        </w:rPr>
        <w:t>系统集成项目管理工程师（国家人力资源和社会保障部、工业和信息化部共同颁发）。</w:t>
      </w:r>
    </w:p>
    <w:p w14:paraId="73DD3BC1">
      <w:pPr>
        <w:adjustRightInd w:val="0"/>
        <w:spacing w:before="124" w:after="124"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（4）工作职责：项目负责人主要负责本次项目的实施以及</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lang w:eastAsia="zh-Hans"/>
        </w:rPr>
        <w:t>的对接工作。项目团队人员应有明确的岗位分配，各岗位有专人负责，需提供人员配置表，保障工作顺利有序进行。</w:t>
      </w:r>
    </w:p>
    <w:p w14:paraId="75AAE305">
      <w:pPr>
        <w:pStyle w:val="24"/>
        <w:spacing w:line="360" w:lineRule="auto"/>
        <w:rPr>
          <w:rFonts w:hint="eastAsia" w:asciiTheme="minorEastAsia" w:hAnsiTheme="minorEastAsia" w:eastAsiaTheme="minorEastAsia" w:cstheme="minorEastAsia"/>
          <w:b/>
          <w:bCs/>
          <w:color w:val="auto"/>
          <w:sz w:val="24"/>
          <w:szCs w:val="24"/>
          <w:lang w:eastAsia="zh-Hans"/>
        </w:rPr>
      </w:pPr>
      <w:r>
        <w:rPr>
          <w:rFonts w:hint="eastAsia" w:asciiTheme="minorEastAsia" w:hAnsiTheme="minorEastAsia" w:eastAsiaTheme="minorEastAsia" w:cstheme="minorEastAsia"/>
          <w:b/>
          <w:bCs/>
          <w:color w:val="auto"/>
          <w:sz w:val="24"/>
          <w:szCs w:val="24"/>
          <w:lang w:val="en-US" w:eastAsia="zh-CN"/>
        </w:rPr>
        <w:t>3.3</w:t>
      </w:r>
      <w:r>
        <w:rPr>
          <w:rFonts w:hint="eastAsia" w:asciiTheme="minorEastAsia" w:hAnsiTheme="minorEastAsia" w:eastAsiaTheme="minorEastAsia" w:cstheme="minorEastAsia"/>
          <w:b/>
          <w:bCs/>
          <w:color w:val="auto"/>
          <w:sz w:val="24"/>
          <w:szCs w:val="24"/>
          <w:lang w:eastAsia="zh-Hans"/>
        </w:rPr>
        <w:t>.</w:t>
      </w:r>
      <w:r>
        <w:rPr>
          <w:rFonts w:hint="eastAsia" w:asciiTheme="minorEastAsia" w:hAnsiTheme="minorEastAsia" w:eastAsiaTheme="minorEastAsia" w:cstheme="minorEastAsia"/>
          <w:b/>
          <w:bCs/>
          <w:color w:val="auto"/>
          <w:sz w:val="24"/>
          <w:szCs w:val="24"/>
        </w:rPr>
        <w:t>2</w:t>
      </w:r>
      <w:r>
        <w:rPr>
          <w:rFonts w:hint="eastAsia" w:asciiTheme="minorEastAsia" w:hAnsiTheme="minorEastAsia" w:eastAsiaTheme="minorEastAsia" w:cstheme="minorEastAsia"/>
          <w:b/>
          <w:bCs/>
          <w:color w:val="auto"/>
          <w:sz w:val="24"/>
          <w:szCs w:val="24"/>
          <w:lang w:eastAsia="zh-Hans"/>
        </w:rPr>
        <w:t>驻点人员要求</w:t>
      </w:r>
    </w:p>
    <w:p w14:paraId="5E9EDC07">
      <w:pPr>
        <w:adjustRightInd w:val="0"/>
        <w:spacing w:line="360" w:lineRule="auto"/>
        <w:ind w:firstLine="240" w:firstLineChars="1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rPr>
        <w:t>（1）提供2名全日制专科以上计算机专业学历，具有</w:t>
      </w:r>
      <w:r>
        <w:rPr>
          <w:rFonts w:hint="eastAsia" w:asciiTheme="minorEastAsia" w:hAnsiTheme="minorEastAsia" w:eastAsiaTheme="minorEastAsia" w:cstheme="minorEastAsia"/>
          <w:color w:val="auto"/>
          <w:sz w:val="24"/>
          <w:lang w:eastAsia="zh-CN"/>
        </w:rPr>
        <w:t>类似</w:t>
      </w:r>
      <w:r>
        <w:rPr>
          <w:rFonts w:hint="eastAsia" w:asciiTheme="minorEastAsia" w:hAnsiTheme="minorEastAsia" w:eastAsiaTheme="minorEastAsia" w:cstheme="minorEastAsia"/>
          <w:color w:val="auto"/>
          <w:sz w:val="24"/>
        </w:rPr>
        <w:t>网络安全工作经验，</w:t>
      </w:r>
      <w:r>
        <w:rPr>
          <w:rFonts w:hint="eastAsia" w:asciiTheme="minorEastAsia" w:hAnsiTheme="minorEastAsia" w:eastAsiaTheme="minorEastAsia" w:cstheme="minorEastAsia"/>
          <w:color w:val="auto"/>
          <w:sz w:val="24"/>
          <w:lang w:eastAsia="zh-Hans"/>
        </w:rPr>
        <w:t>年龄55周岁（含）以下，</w:t>
      </w:r>
      <w:r>
        <w:rPr>
          <w:rFonts w:hint="eastAsia" w:asciiTheme="minorEastAsia" w:hAnsiTheme="minorEastAsia" w:eastAsiaTheme="minorEastAsia" w:cstheme="minorEastAsia"/>
          <w:color w:val="auto"/>
          <w:sz w:val="24"/>
        </w:rPr>
        <w:t>提供5*8小时现场驻点服务（</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提供办公工位）。</w:t>
      </w:r>
      <w:r>
        <w:rPr>
          <w:rFonts w:hint="eastAsia" w:asciiTheme="minorEastAsia" w:hAnsiTheme="minorEastAsia" w:eastAsiaTheme="minorEastAsia" w:cstheme="minorEastAsia"/>
          <w:color w:val="auto"/>
          <w:sz w:val="24"/>
          <w:lang w:eastAsia="zh-Hans"/>
        </w:rPr>
        <w:t>至少</w:t>
      </w:r>
      <w:r>
        <w:rPr>
          <w:rFonts w:hint="eastAsia" w:asciiTheme="minorEastAsia" w:hAnsiTheme="minorEastAsia" w:eastAsiaTheme="minorEastAsia" w:cstheme="minorEastAsia"/>
          <w:color w:val="auto"/>
          <w:sz w:val="24"/>
        </w:rPr>
        <w:t>1名</w:t>
      </w:r>
      <w:r>
        <w:rPr>
          <w:rFonts w:hint="eastAsia" w:asciiTheme="minorEastAsia" w:hAnsiTheme="minorEastAsia" w:eastAsiaTheme="minorEastAsia" w:cstheme="minorEastAsia"/>
          <w:color w:val="auto"/>
          <w:sz w:val="24"/>
          <w:lang w:eastAsia="zh-Hans"/>
        </w:rPr>
        <w:t>需具备以下能力：</w:t>
      </w:r>
    </w:p>
    <w:p w14:paraId="059A95C9">
      <w:pPr>
        <w:adjustRightInd w:val="0"/>
        <w:spacing w:line="360" w:lineRule="auto"/>
        <w:ind w:firstLine="480" w:firstLineChars="200"/>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①熟练掌握各类安全技术，具有开展安全咨询和安全服务的经验；</w:t>
      </w:r>
    </w:p>
    <w:p w14:paraId="514B86F0">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②了解网络信息安全相关技能，如传统网络安全、网络攻防。</w:t>
      </w:r>
    </w:p>
    <w:p w14:paraId="1CDB579F">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③具有编写网络规划方案能力熟悉网络安全解决方案能力。</w:t>
      </w:r>
    </w:p>
    <w:p w14:paraId="4C5A356C">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④具备文档、汇报材料编写能力。</w:t>
      </w:r>
    </w:p>
    <w:p w14:paraId="0DA32A7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⑤熟练掌握主流安全设备的运行维护操作。</w:t>
      </w:r>
    </w:p>
    <w:p w14:paraId="5216781B">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⑥信息安全工程师</w:t>
      </w:r>
      <w:r>
        <w:rPr>
          <w:rFonts w:hint="eastAsia" w:asciiTheme="minorEastAsia" w:hAnsiTheme="minorEastAsia" w:eastAsiaTheme="minorEastAsia" w:cstheme="minorEastAsia"/>
          <w:color w:val="auto"/>
          <w:sz w:val="24"/>
          <w:lang w:eastAsia="zh-Hans"/>
        </w:rPr>
        <w:t>（国家人力资源和社会保障部、工业和信息化部共同颁发）</w:t>
      </w:r>
      <w:r>
        <w:rPr>
          <w:rFonts w:hint="eastAsia" w:asciiTheme="minorEastAsia" w:hAnsiTheme="minorEastAsia" w:eastAsiaTheme="minorEastAsia" w:cstheme="minorEastAsia"/>
          <w:color w:val="auto"/>
          <w:sz w:val="24"/>
        </w:rPr>
        <w:t>或</w:t>
      </w:r>
      <w:r>
        <w:rPr>
          <w:rFonts w:hint="eastAsia" w:asciiTheme="minorEastAsia" w:hAnsiTheme="minorEastAsia" w:eastAsiaTheme="minorEastAsia" w:cstheme="minorEastAsia"/>
          <w:color w:val="auto"/>
          <w:sz w:val="24"/>
          <w:lang w:eastAsia="zh-Hans"/>
        </w:rPr>
        <w:t>系统集成项目管理工程师（国家人力资源和社会保障部、工业和信息化部共同颁发）</w:t>
      </w:r>
      <w:r>
        <w:rPr>
          <w:rFonts w:hint="eastAsia" w:asciiTheme="minorEastAsia" w:hAnsiTheme="minorEastAsia" w:eastAsiaTheme="minorEastAsia" w:cstheme="minorEastAsia"/>
          <w:color w:val="auto"/>
          <w:sz w:val="24"/>
        </w:rPr>
        <w:t>。</w:t>
      </w:r>
    </w:p>
    <w:p w14:paraId="7206F24F">
      <w:pPr>
        <w:adjustRightInd w:val="0"/>
        <w:spacing w:line="360" w:lineRule="auto"/>
        <w:ind w:firstLine="240" w:firstLineChars="1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（2）驻点人员服务内容</w:t>
      </w:r>
    </w:p>
    <w:p w14:paraId="0A79C44A">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1.负责安全监控、监测系统的日常运行状态巡查。</w:t>
      </w:r>
    </w:p>
    <w:p w14:paraId="79070893">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2.负责</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lang w:eastAsia="zh-Hans"/>
        </w:rPr>
        <w:t>的资产梳理。</w:t>
      </w:r>
    </w:p>
    <w:p w14:paraId="45DC9323">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3.负责日常安全事件、安全威胁的响应处理。</w:t>
      </w:r>
    </w:p>
    <w:p w14:paraId="34BB8784">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4.负责定期对安全设备（系统）日志进行分析、处理，并提交报告。</w:t>
      </w:r>
    </w:p>
    <w:p w14:paraId="579F646E">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5.提供新增服务器杀毒软件安装、策略优化、安全加固</w:t>
      </w:r>
      <w:r>
        <w:rPr>
          <w:rFonts w:hint="eastAsia" w:asciiTheme="minorEastAsia" w:hAnsiTheme="minorEastAsia" w:eastAsiaTheme="minorEastAsia" w:cstheme="minorEastAsia"/>
          <w:color w:val="auto"/>
          <w:sz w:val="24"/>
          <w:lang w:eastAsia="zh-CN"/>
        </w:rPr>
        <w:t>等</w:t>
      </w:r>
      <w:r>
        <w:rPr>
          <w:rFonts w:hint="eastAsia" w:asciiTheme="minorEastAsia" w:hAnsiTheme="minorEastAsia" w:eastAsiaTheme="minorEastAsia" w:cstheme="minorEastAsia"/>
          <w:color w:val="auto"/>
          <w:sz w:val="24"/>
          <w:lang w:eastAsia="zh-Hans"/>
        </w:rPr>
        <w:t>服务。</w:t>
      </w:r>
    </w:p>
    <w:p w14:paraId="67F1658C">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6.</w:t>
      </w:r>
      <w:r>
        <w:rPr>
          <w:rFonts w:hint="eastAsia" w:asciiTheme="minorEastAsia" w:hAnsiTheme="minorEastAsia" w:eastAsiaTheme="minorEastAsia" w:cstheme="minorEastAsia"/>
          <w:color w:val="auto"/>
          <w:sz w:val="24"/>
        </w:rPr>
        <w:t>月</w:t>
      </w:r>
      <w:r>
        <w:rPr>
          <w:rFonts w:hint="eastAsia" w:asciiTheme="minorEastAsia" w:hAnsiTheme="minorEastAsia" w:eastAsiaTheme="minorEastAsia" w:cstheme="minorEastAsia"/>
          <w:color w:val="auto"/>
          <w:sz w:val="24"/>
          <w:lang w:eastAsia="zh-Hans"/>
        </w:rPr>
        <w:t>度编制并提交安全工作专题报告。</w:t>
      </w:r>
    </w:p>
    <w:p w14:paraId="147EC9EE">
      <w:pPr>
        <w:adjustRightInd w:val="0"/>
        <w:spacing w:before="124" w:after="124" w:line="360" w:lineRule="auto"/>
        <w:ind w:firstLine="480" w:firstLineChars="200"/>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7.用户安排的其他网络与信息安全相关工作。</w:t>
      </w:r>
    </w:p>
    <w:p w14:paraId="7585F3F0">
      <w:pPr>
        <w:adjustRightInd w:val="0"/>
        <w:spacing w:before="124" w:after="124" w:line="360" w:lineRule="auto"/>
        <w:ind w:firstLine="480" w:firstLineChars="200"/>
        <w:rPr>
          <w:rFonts w:hint="eastAsia" w:asciiTheme="minorEastAsia" w:hAnsiTheme="minorEastAsia" w:eastAsiaTheme="minorEastAsia" w:cstheme="minorEastAsia"/>
          <w:color w:val="auto"/>
          <w:lang w:eastAsia="zh-Hans"/>
        </w:rPr>
      </w:pPr>
      <w:r>
        <w:rPr>
          <w:rFonts w:hint="eastAsia" w:asciiTheme="minorEastAsia" w:hAnsiTheme="minorEastAsia" w:eastAsiaTheme="minorEastAsia" w:cstheme="minorEastAsia"/>
          <w:color w:val="auto"/>
          <w:sz w:val="24"/>
          <w:lang w:val="en-US" w:eastAsia="zh-CN"/>
        </w:rPr>
        <w:t>8</w:t>
      </w:r>
      <w:r>
        <w:rPr>
          <w:rFonts w:hint="eastAsia" w:asciiTheme="minorEastAsia" w:hAnsiTheme="minorEastAsia" w:eastAsiaTheme="minorEastAsia" w:cstheme="minorEastAsia"/>
          <w:color w:val="auto"/>
          <w:sz w:val="24"/>
          <w:lang w:eastAsia="zh-Hans"/>
        </w:rPr>
        <w:t>.</w:t>
      </w:r>
      <w:r>
        <w:rPr>
          <w:rFonts w:hint="eastAsia" w:asciiTheme="minorEastAsia" w:hAnsiTheme="minorEastAsia" w:eastAsiaTheme="minorEastAsia" w:cstheme="minorEastAsia"/>
          <w:color w:val="auto"/>
          <w:sz w:val="24"/>
          <w:lang w:eastAsia="zh-CN"/>
        </w:rPr>
        <w:t>遵守甲方各项规章制度并接受甲方监督</w:t>
      </w:r>
      <w:r>
        <w:rPr>
          <w:rFonts w:hint="eastAsia" w:asciiTheme="minorEastAsia" w:hAnsiTheme="minorEastAsia" w:eastAsiaTheme="minorEastAsia" w:cstheme="minorEastAsia"/>
          <w:color w:val="auto"/>
          <w:sz w:val="24"/>
          <w:lang w:eastAsia="zh-Hans"/>
        </w:rPr>
        <w:t>。</w:t>
      </w:r>
    </w:p>
    <w:p w14:paraId="602F8B85">
      <w:pPr>
        <w:adjustRightInd w:val="0"/>
        <w:spacing w:before="124" w:after="124"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lang w:val="en-US" w:eastAsia="zh-CN"/>
        </w:rPr>
        <w:t>3.3</w:t>
      </w:r>
      <w:r>
        <w:rPr>
          <w:rFonts w:hint="eastAsia" w:asciiTheme="minorEastAsia" w:hAnsiTheme="minorEastAsia" w:eastAsiaTheme="minorEastAsia" w:cstheme="minorEastAsia"/>
          <w:b/>
          <w:bCs/>
          <w:color w:val="auto"/>
          <w:sz w:val="24"/>
        </w:rPr>
        <w:t>.3驻点人员变动</w:t>
      </w:r>
    </w:p>
    <w:p w14:paraId="178E5C16">
      <w:pPr>
        <w:pStyle w:val="24"/>
        <w:adjustRightInd w:val="0"/>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派出驻点人员必须达到</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lang w:eastAsia="zh-Hans"/>
        </w:rPr>
        <w:t>服务</w:t>
      </w:r>
      <w:r>
        <w:rPr>
          <w:rFonts w:hint="eastAsia" w:asciiTheme="minorEastAsia" w:hAnsiTheme="minorEastAsia" w:eastAsiaTheme="minorEastAsia" w:cstheme="minorEastAsia"/>
          <w:color w:val="auto"/>
          <w:sz w:val="24"/>
        </w:rPr>
        <w:t>要求，经过</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认可方可上岗（需提供资质证明材料、</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和拟派人员共同出具保证能在本项目服务期间为本项目服务的承诺函）。</w:t>
      </w:r>
    </w:p>
    <w:p w14:paraId="1EB51FB4">
      <w:pPr>
        <w:adjustRightInd w:val="0"/>
        <w:spacing w:before="124" w:after="124"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驻点人员应相对稳定，人员变动需提前1个月征求</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意见并经</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书面同意，</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应在其人员变动后4小时响应，24小时内保证更换人员到位，且更换人员资历不低于投标时人员资历，并确保任何时候无人员缺位现象发生。</w:t>
      </w:r>
    </w:p>
    <w:p w14:paraId="71309C44">
      <w:pPr>
        <w:autoSpaceDE w:val="0"/>
        <w:autoSpaceDN w:val="0"/>
        <w:adjustRightInd w:val="0"/>
        <w:spacing w:line="360" w:lineRule="auto"/>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3</w:t>
      </w:r>
      <w:r>
        <w:rPr>
          <w:rFonts w:hint="eastAsia" w:asciiTheme="minorEastAsia" w:hAnsiTheme="minorEastAsia" w:eastAsiaTheme="minorEastAsia" w:cstheme="minorEastAsia"/>
          <w:b/>
          <w:color w:val="auto"/>
          <w:sz w:val="24"/>
          <w:lang w:eastAsia="zh-CN"/>
        </w:rPr>
        <w:t>.</w:t>
      </w:r>
      <w:r>
        <w:rPr>
          <w:rFonts w:hint="eastAsia" w:asciiTheme="minorEastAsia" w:hAnsiTheme="minorEastAsia" w:eastAsiaTheme="minorEastAsia" w:cstheme="minorEastAsia"/>
          <w:b/>
          <w:color w:val="auto"/>
          <w:sz w:val="24"/>
          <w:lang w:val="en-US" w:eastAsia="zh-CN"/>
        </w:rPr>
        <w:t>4</w:t>
      </w:r>
      <w:r>
        <w:rPr>
          <w:rFonts w:hint="eastAsia" w:asciiTheme="minorEastAsia" w:hAnsiTheme="minorEastAsia" w:eastAsiaTheme="minorEastAsia" w:cstheme="minorEastAsia"/>
          <w:b/>
          <w:color w:val="auto"/>
          <w:sz w:val="24"/>
        </w:rPr>
        <w:t>、保密要求</w:t>
      </w:r>
    </w:p>
    <w:p w14:paraId="07597FF6">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对</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及工作人员开展常态化安全保密教育，组织签订安全保密承诺书，明确具体安全管理内容、安全保密义务和责任；</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及工作人员违反保密安全管理要求，构成违法犯罪的，</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将及时报送本级政府采购和市场监督管理部门，提请列入政府采购严重违法失信行为记录名单、市场监督管理严重失信名单，并追究相关责任。</w:t>
      </w:r>
    </w:p>
    <w:p w14:paraId="475D90A5">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严格按照</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规定使用、存储、处理文档资料和数据。合同终止时，应当交还全部资料和数据。</w:t>
      </w:r>
    </w:p>
    <w:p w14:paraId="62FFD7B2">
      <w:pPr>
        <w:adjustRightInd w:val="0"/>
        <w:spacing w:line="360" w:lineRule="auto"/>
        <w:ind w:firstLine="480" w:firstLineChars="20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需与</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签署保密协议，</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对在项目实施期间所获得的</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的情报和资料有保密义务（包括但不限于合同履行期内），泄漏秘密应承担责任。如有违反，按合同的违约条款向</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支付违约金，造成</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损失的应予赔偿，涉嫌犯罪的依法追究刑事责任。</w:t>
      </w:r>
    </w:p>
    <w:p w14:paraId="5B51855E">
      <w:pPr>
        <w:adjustRightInd w:val="0"/>
        <w:spacing w:line="360" w:lineRule="auto"/>
        <w:ind w:firstLine="480" w:firstLineChars="200"/>
        <w:jc w:val="left"/>
        <w:rPr>
          <w:rFonts w:hint="eastAsia" w:asciiTheme="minorEastAsia" w:hAnsiTheme="minorEastAsia" w:eastAsiaTheme="minorEastAsia" w:cstheme="minorEastAsia"/>
          <w:color w:val="auto"/>
          <w:sz w:val="24"/>
          <w:lang w:eastAsia="zh-CN"/>
        </w:rPr>
      </w:pPr>
      <w:r>
        <w:rPr>
          <w:rFonts w:hint="eastAsia" w:asciiTheme="minorEastAsia" w:hAnsiTheme="minorEastAsia" w:eastAsiaTheme="minorEastAsia" w:cstheme="minorEastAsia"/>
          <w:color w:val="auto"/>
          <w:sz w:val="24"/>
        </w:rPr>
        <w:t>若项目涉及分包的，</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须按照以上保密要求，与分包供应商签订单位保密协议、个人保密承诺书、开展日常保密教育等措施，确保分包供应商严格落实各项保密规定。</w:t>
      </w:r>
    </w:p>
    <w:p w14:paraId="32B70436">
      <w:pPr>
        <w:adjustRightInd w:val="0"/>
        <w:spacing w:line="360" w:lineRule="auto"/>
        <w:jc w:val="left"/>
        <w:outlineLvl w:val="1"/>
        <w:rPr>
          <w:rFonts w:hint="eastAsia" w:asciiTheme="minorEastAsia" w:hAnsiTheme="minorEastAsia" w:eastAsiaTheme="minorEastAsia" w:cstheme="minorEastAsia"/>
          <w:b/>
          <w:color w:val="auto"/>
          <w:sz w:val="24"/>
          <w:lang w:val="en-US" w:eastAsia="zh-CN"/>
        </w:rPr>
      </w:pPr>
      <w:r>
        <w:rPr>
          <w:rFonts w:hint="eastAsia" w:asciiTheme="minorEastAsia" w:hAnsiTheme="minorEastAsia" w:eastAsiaTheme="minorEastAsia" w:cstheme="minorEastAsia"/>
          <w:b/>
          <w:color w:val="auto"/>
          <w:sz w:val="24"/>
          <w:lang w:val="en-US" w:eastAsia="zh-CN"/>
        </w:rPr>
        <w:t>3.5</w:t>
      </w:r>
      <w:r>
        <w:rPr>
          <w:rFonts w:hint="eastAsia" w:asciiTheme="minorEastAsia" w:hAnsiTheme="minorEastAsia" w:eastAsiaTheme="minorEastAsia" w:cstheme="minorEastAsia"/>
          <w:b/>
          <w:color w:val="auto"/>
          <w:sz w:val="24"/>
        </w:rPr>
        <w:t>、</w:t>
      </w:r>
      <w:r>
        <w:rPr>
          <w:rFonts w:hint="eastAsia" w:asciiTheme="minorEastAsia" w:hAnsiTheme="minorEastAsia" w:eastAsiaTheme="minorEastAsia" w:cstheme="minorEastAsia"/>
          <w:b/>
          <w:color w:val="auto"/>
          <w:sz w:val="24"/>
          <w:lang w:eastAsia="zh-CN"/>
        </w:rPr>
        <w:t>乙方</w:t>
      </w:r>
      <w:r>
        <w:rPr>
          <w:rFonts w:hint="eastAsia" w:asciiTheme="minorEastAsia" w:hAnsiTheme="minorEastAsia" w:eastAsiaTheme="minorEastAsia" w:cstheme="minorEastAsia"/>
          <w:b/>
          <w:color w:val="auto"/>
          <w:sz w:val="24"/>
        </w:rPr>
        <w:t>网络安全责任和义务：</w:t>
      </w:r>
    </w:p>
    <w:p w14:paraId="2DCB0837">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1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①</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bidi="ar"/>
        </w:rPr>
        <w:t>明确</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法定代表人为合作事项网络安全第一责任人，具体承担合作事项的部门主要负责人为直接责任人。</w:t>
      </w:r>
    </w:p>
    <w:p w14:paraId="3B9275CB">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t>②不得转包合同任务。</w:t>
      </w:r>
    </w:p>
    <w:p w14:paraId="1C58583E">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t>③</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应制订与合作事项相关的网络安全保障方案和网络安全事件应急预案。</w:t>
      </w:r>
    </w:p>
    <w:p w14:paraId="55F43982">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4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④</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发现网络安全漏洞、缺陷或者其他严重网络安全风险，应及时向</w:t>
      </w:r>
      <w:r>
        <w:rPr>
          <w:rFonts w:hint="eastAsia" w:asciiTheme="minorEastAsia" w:hAnsiTheme="minorEastAsia" w:eastAsiaTheme="minorEastAsia" w:cstheme="minorEastAsia"/>
          <w:color w:val="auto"/>
          <w:sz w:val="24"/>
          <w:lang w:eastAsia="zh-CN" w:bidi="ar"/>
        </w:rPr>
        <w:t>甲方</w:t>
      </w:r>
      <w:r>
        <w:rPr>
          <w:rFonts w:hint="eastAsia" w:asciiTheme="minorEastAsia" w:hAnsiTheme="minorEastAsia" w:eastAsiaTheme="minorEastAsia" w:cstheme="minorEastAsia"/>
          <w:color w:val="auto"/>
          <w:sz w:val="24"/>
          <w:lang w:bidi="ar"/>
        </w:rPr>
        <w:t>报告。</w:t>
      </w:r>
    </w:p>
    <w:p w14:paraId="70E581A8">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5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⑤</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bidi="ar"/>
        </w:rPr>
        <w:t>处理合作事项的信息平台应当优先采用安全可信的硬件和软件产品。</w:t>
      </w:r>
    </w:p>
    <w:p w14:paraId="6EAF3704">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6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⑥</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bidi="ar"/>
        </w:rPr>
        <w:t>发生可能影响合作事项的网络安全重大事项，包括负责人及重要工作人员变更、业务转型、合并重组和投资并购等，</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应提前向</w:t>
      </w:r>
      <w:r>
        <w:rPr>
          <w:rFonts w:hint="eastAsia" w:asciiTheme="minorEastAsia" w:hAnsiTheme="minorEastAsia" w:eastAsiaTheme="minorEastAsia" w:cstheme="minorEastAsia"/>
          <w:color w:val="auto"/>
          <w:sz w:val="24"/>
          <w:lang w:eastAsia="zh-CN" w:bidi="ar"/>
        </w:rPr>
        <w:t>甲方</w:t>
      </w:r>
      <w:r>
        <w:rPr>
          <w:rFonts w:hint="eastAsia" w:asciiTheme="minorEastAsia" w:hAnsiTheme="minorEastAsia" w:eastAsiaTheme="minorEastAsia" w:cstheme="minorEastAsia"/>
          <w:color w:val="auto"/>
          <w:sz w:val="24"/>
          <w:lang w:bidi="ar"/>
        </w:rPr>
        <w:t>报告。</w:t>
      </w:r>
    </w:p>
    <w:p w14:paraId="441CF0F5">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7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⑦</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bidi="ar"/>
        </w:rPr>
        <w:t>采用社会公共网络平台实施合作事项时，严禁涉及国家秘密和警务工作秘密。</w:t>
      </w:r>
    </w:p>
    <w:p w14:paraId="37312C28">
      <w:pPr>
        <w:widowControl/>
        <w:adjustRightInd w:val="0"/>
        <w:spacing w:line="360" w:lineRule="auto"/>
        <w:ind w:firstLine="480" w:firstLineChars="200"/>
        <w:jc w:val="left"/>
        <w:outlineLvl w:val="1"/>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bidi="ar"/>
        </w:rPr>
        <w:fldChar w:fldCharType="begin"/>
      </w:r>
      <w:r>
        <w:rPr>
          <w:rFonts w:hint="eastAsia" w:asciiTheme="minorEastAsia" w:hAnsiTheme="minorEastAsia" w:eastAsiaTheme="minorEastAsia" w:cstheme="minorEastAsia"/>
          <w:color w:val="auto"/>
          <w:sz w:val="24"/>
          <w:lang w:bidi="ar"/>
        </w:rPr>
        <w:instrText xml:space="preserve"> = 8 \* GB3 \* MERGEFORMAT </w:instrText>
      </w:r>
      <w:r>
        <w:rPr>
          <w:rFonts w:hint="eastAsia" w:asciiTheme="minorEastAsia" w:hAnsiTheme="minorEastAsia" w:eastAsiaTheme="minorEastAsia" w:cstheme="minorEastAsia"/>
          <w:color w:val="auto"/>
          <w:sz w:val="24"/>
          <w:lang w:bidi="ar"/>
        </w:rPr>
        <w:fldChar w:fldCharType="separate"/>
      </w:r>
      <w:r>
        <w:rPr>
          <w:rFonts w:hint="eastAsia" w:asciiTheme="minorEastAsia" w:hAnsiTheme="minorEastAsia" w:eastAsiaTheme="minorEastAsia" w:cstheme="minorEastAsia"/>
          <w:color w:val="auto"/>
          <w:sz w:val="24"/>
          <w:lang w:bidi="ar"/>
        </w:rPr>
        <w:t>⑧</w:t>
      </w:r>
      <w:r>
        <w:rPr>
          <w:rFonts w:hint="eastAsia" w:asciiTheme="minorEastAsia" w:hAnsiTheme="minorEastAsia" w:eastAsiaTheme="minorEastAsia" w:cstheme="minorEastAsia"/>
          <w:color w:val="auto"/>
          <w:sz w:val="24"/>
          <w:lang w:bidi="ar"/>
        </w:rPr>
        <w:fldChar w:fldCharType="end"/>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应每年向</w:t>
      </w:r>
      <w:r>
        <w:rPr>
          <w:rFonts w:hint="eastAsia" w:asciiTheme="minorEastAsia" w:hAnsiTheme="minorEastAsia" w:eastAsiaTheme="minorEastAsia" w:cstheme="minorEastAsia"/>
          <w:color w:val="auto"/>
          <w:sz w:val="24"/>
          <w:lang w:eastAsia="zh-CN" w:bidi="ar"/>
        </w:rPr>
        <w:t>甲方</w:t>
      </w:r>
      <w:r>
        <w:rPr>
          <w:rFonts w:hint="eastAsia" w:asciiTheme="minorEastAsia" w:hAnsiTheme="minorEastAsia" w:eastAsiaTheme="minorEastAsia" w:cstheme="minorEastAsia"/>
          <w:color w:val="auto"/>
          <w:sz w:val="24"/>
          <w:lang w:bidi="ar"/>
        </w:rPr>
        <w:t>提交网络安全报告。</w:t>
      </w:r>
    </w:p>
    <w:p w14:paraId="1610A0CC">
      <w:pPr>
        <w:adjustRightInd w:val="0"/>
        <w:spacing w:line="360" w:lineRule="auto"/>
        <w:ind w:firstLine="480" w:firstLineChars="200"/>
        <w:jc w:val="left"/>
        <w:outlineLvl w:val="1"/>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bidi="ar"/>
        </w:rPr>
        <w:t>⑨其他应当落实的网络安全责任和义务</w:t>
      </w:r>
      <w:r>
        <w:rPr>
          <w:rFonts w:hint="eastAsia" w:asciiTheme="minorEastAsia" w:hAnsiTheme="minorEastAsia" w:eastAsiaTheme="minorEastAsia" w:cstheme="minorEastAsia"/>
          <w:color w:val="auto"/>
          <w:sz w:val="24"/>
        </w:rPr>
        <w:t>。</w:t>
      </w:r>
    </w:p>
    <w:p w14:paraId="0F4B992A">
      <w:pPr>
        <w:widowControl/>
        <w:adjustRightInd w:val="0"/>
        <w:spacing w:line="360" w:lineRule="auto"/>
        <w:jc w:val="left"/>
        <w:outlineLvl w:val="1"/>
        <w:rPr>
          <w:rFonts w:hint="eastAsia" w:asciiTheme="minorEastAsia" w:hAnsiTheme="minorEastAsia" w:eastAsiaTheme="minorEastAsia" w:cstheme="minorEastAsia"/>
          <w:b/>
          <w:bCs/>
          <w:color w:val="auto"/>
          <w:sz w:val="24"/>
          <w:lang w:bidi="ar"/>
        </w:rPr>
      </w:pPr>
      <w:r>
        <w:rPr>
          <w:rFonts w:hint="eastAsia" w:asciiTheme="minorEastAsia" w:hAnsiTheme="minorEastAsia" w:eastAsiaTheme="minorEastAsia" w:cstheme="minorEastAsia"/>
          <w:b/>
          <w:bCs/>
          <w:color w:val="auto"/>
          <w:sz w:val="24"/>
          <w:lang w:val="en-US" w:eastAsia="zh-CN" w:bidi="ar"/>
        </w:rPr>
        <w:t>3.6</w:t>
      </w:r>
      <w:r>
        <w:rPr>
          <w:rFonts w:hint="eastAsia" w:asciiTheme="minorEastAsia" w:hAnsiTheme="minorEastAsia" w:eastAsiaTheme="minorEastAsia" w:cstheme="minorEastAsia"/>
          <w:b/>
          <w:bCs/>
          <w:color w:val="auto"/>
          <w:sz w:val="24"/>
          <w:lang w:bidi="ar"/>
        </w:rPr>
        <w:t>、知识产权：</w:t>
      </w:r>
    </w:p>
    <w:p w14:paraId="4E2B7106">
      <w:pPr>
        <w:autoSpaceDE w:val="0"/>
        <w:autoSpaceDN w:val="0"/>
        <w:spacing w:line="360" w:lineRule="auto"/>
        <w:ind w:firstLine="480" w:firstLineChars="200"/>
        <w:rPr>
          <w:rFonts w:hint="eastAsia" w:asciiTheme="minorEastAsia" w:hAnsiTheme="minorEastAsia" w:eastAsiaTheme="minorEastAsia" w:cstheme="minorEastAsia"/>
          <w:color w:val="auto"/>
          <w:sz w:val="24"/>
          <w:lang w:bidi="ar"/>
        </w:rPr>
      </w:pP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应保证用户在使用投标标的物或其任何一部分时不受任何第三方提出的侵犯其著作权、商标权、专利权等知识产权方面的起诉；如果任何第三方提出侵权指控，那么</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须与该第三方交涉并承担由此发生的一切责任、费用和赔偿；</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已获取的知识产权归</w:t>
      </w:r>
      <w:r>
        <w:rPr>
          <w:rFonts w:hint="eastAsia" w:asciiTheme="minorEastAsia" w:hAnsiTheme="minorEastAsia" w:eastAsiaTheme="minorEastAsia" w:cstheme="minorEastAsia"/>
          <w:color w:val="auto"/>
          <w:sz w:val="24"/>
          <w:lang w:eastAsia="zh-CN" w:bidi="ar"/>
        </w:rPr>
        <w:t>乙方</w:t>
      </w:r>
      <w:r>
        <w:rPr>
          <w:rFonts w:hint="eastAsia" w:asciiTheme="minorEastAsia" w:hAnsiTheme="minorEastAsia" w:eastAsiaTheme="minorEastAsia" w:cstheme="minorEastAsia"/>
          <w:color w:val="auto"/>
          <w:sz w:val="24"/>
          <w:lang w:bidi="ar"/>
        </w:rPr>
        <w:t>所有，若涉及定制化部分的知识产权均归属于</w:t>
      </w:r>
      <w:r>
        <w:rPr>
          <w:rFonts w:hint="eastAsia" w:asciiTheme="minorEastAsia" w:hAnsiTheme="minorEastAsia" w:eastAsiaTheme="minorEastAsia" w:cstheme="minorEastAsia"/>
          <w:color w:val="auto"/>
          <w:sz w:val="24"/>
          <w:lang w:eastAsia="zh-CN" w:bidi="ar"/>
        </w:rPr>
        <w:t>甲方</w:t>
      </w:r>
      <w:r>
        <w:rPr>
          <w:rFonts w:hint="eastAsia" w:asciiTheme="minorEastAsia" w:hAnsiTheme="minorEastAsia" w:eastAsiaTheme="minorEastAsia" w:cstheme="minorEastAsia"/>
          <w:color w:val="auto"/>
          <w:sz w:val="24"/>
          <w:lang w:bidi="ar"/>
        </w:rPr>
        <w:t>。</w:t>
      </w:r>
    </w:p>
    <w:p w14:paraId="1B80107D">
      <w:pPr>
        <w:widowControl/>
        <w:adjustRightInd w:val="0"/>
        <w:spacing w:line="360" w:lineRule="auto"/>
        <w:jc w:val="left"/>
        <w:outlineLvl w:val="1"/>
        <w:rPr>
          <w:rFonts w:hint="eastAsia" w:asciiTheme="minorEastAsia" w:hAnsiTheme="minorEastAsia" w:eastAsiaTheme="minorEastAsia" w:cstheme="minorEastAsia"/>
          <w:b/>
          <w:bCs/>
          <w:color w:val="auto"/>
          <w:sz w:val="24"/>
          <w:lang w:val="en-US" w:eastAsia="zh-CN" w:bidi="ar"/>
        </w:rPr>
      </w:pPr>
      <w:r>
        <w:rPr>
          <w:rFonts w:hint="eastAsia" w:asciiTheme="minorEastAsia" w:hAnsiTheme="minorEastAsia" w:eastAsiaTheme="minorEastAsia" w:cstheme="minorEastAsia"/>
          <w:b/>
          <w:bCs/>
          <w:color w:val="auto"/>
          <w:sz w:val="24"/>
          <w:lang w:val="en-US" w:eastAsia="zh-CN" w:bidi="ar"/>
        </w:rPr>
        <w:t>3.7、</w:t>
      </w:r>
      <w:r>
        <w:rPr>
          <w:rFonts w:hint="eastAsia" w:asciiTheme="minorEastAsia" w:hAnsiTheme="minorEastAsia" w:eastAsiaTheme="minorEastAsia" w:cstheme="minorEastAsia"/>
          <w:b w:val="0"/>
          <w:bCs w:val="0"/>
          <w:color w:val="auto"/>
          <w:sz w:val="24"/>
          <w:lang w:val="en-US" w:eastAsia="zh-CN" w:bidi="ar"/>
        </w:rPr>
        <w:t>乙方及所派人员的伤亡事故和因乙方或乙方工作人员工作过错造成的安全管理事故，乙方自行负全部责任及相关费用。</w:t>
      </w:r>
    </w:p>
    <w:p w14:paraId="7D2234D0">
      <w:pPr>
        <w:spacing w:line="360" w:lineRule="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br w:type="page"/>
      </w:r>
    </w:p>
    <w:p w14:paraId="5CEB8012">
      <w:pPr>
        <w:snapToGrid w:val="0"/>
        <w:spacing w:line="360" w:lineRule="auto"/>
        <w:outlineLvl w:val="2"/>
        <w:rPr>
          <w:rFonts w:hint="eastAsia" w:asciiTheme="minorEastAsia" w:hAnsiTheme="minorEastAsia" w:eastAsiaTheme="minorEastAsia" w:cstheme="minorEastAsia"/>
          <w:b/>
          <w:snapToGrid w:val="0"/>
          <w:color w:val="auto"/>
          <w:kern w:val="0"/>
          <w:sz w:val="24"/>
        </w:rPr>
      </w:pPr>
      <w:r>
        <w:rPr>
          <w:rFonts w:hint="eastAsia" w:asciiTheme="minorEastAsia" w:hAnsiTheme="minorEastAsia" w:eastAsiaTheme="minorEastAsia" w:cstheme="minorEastAsia"/>
          <w:b/>
          <w:snapToGrid w:val="0"/>
          <w:color w:val="auto"/>
          <w:kern w:val="0"/>
          <w:sz w:val="24"/>
          <w:lang w:val="en-US" w:eastAsia="zh-CN"/>
        </w:rPr>
        <w:t>附件一：</w:t>
      </w:r>
      <w:r>
        <w:rPr>
          <w:rFonts w:hint="eastAsia" w:asciiTheme="minorEastAsia" w:hAnsiTheme="minorEastAsia" w:eastAsiaTheme="minorEastAsia" w:cstheme="minorEastAsia"/>
          <w:b/>
          <w:snapToGrid w:val="0"/>
          <w:color w:val="auto"/>
          <w:kern w:val="0"/>
          <w:sz w:val="24"/>
        </w:rPr>
        <w:t>项目人员清单</w:t>
      </w:r>
    </w:p>
    <w:tbl>
      <w:tblPr>
        <w:tblStyle w:val="62"/>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246"/>
        <w:gridCol w:w="1314"/>
        <w:gridCol w:w="1431"/>
        <w:gridCol w:w="1430"/>
        <w:gridCol w:w="1430"/>
        <w:gridCol w:w="1430"/>
      </w:tblGrid>
      <w:tr w14:paraId="1487E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535" w:type="dxa"/>
            <w:vAlign w:val="center"/>
          </w:tcPr>
          <w:p w14:paraId="6FDD4396">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序号</w:t>
            </w:r>
          </w:p>
        </w:tc>
        <w:tc>
          <w:tcPr>
            <w:tcW w:w="1246" w:type="dxa"/>
            <w:vAlign w:val="center"/>
          </w:tcPr>
          <w:p w14:paraId="22629528">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姓名</w:t>
            </w:r>
          </w:p>
        </w:tc>
        <w:tc>
          <w:tcPr>
            <w:tcW w:w="1314" w:type="dxa"/>
            <w:vAlign w:val="center"/>
          </w:tcPr>
          <w:p w14:paraId="1BF4C6A3">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联系方式</w:t>
            </w:r>
          </w:p>
        </w:tc>
        <w:tc>
          <w:tcPr>
            <w:tcW w:w="1431" w:type="dxa"/>
            <w:vAlign w:val="center"/>
          </w:tcPr>
          <w:p w14:paraId="255DAD3B">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身份证号码</w:t>
            </w:r>
          </w:p>
        </w:tc>
        <w:tc>
          <w:tcPr>
            <w:tcW w:w="1430" w:type="dxa"/>
            <w:vAlign w:val="center"/>
          </w:tcPr>
          <w:p w14:paraId="51D55FAD">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人员资质证书</w:t>
            </w:r>
          </w:p>
        </w:tc>
        <w:tc>
          <w:tcPr>
            <w:tcW w:w="1430" w:type="dxa"/>
            <w:vAlign w:val="center"/>
          </w:tcPr>
          <w:p w14:paraId="2E7403D4">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本项目承担的岗位</w:t>
            </w:r>
          </w:p>
        </w:tc>
        <w:tc>
          <w:tcPr>
            <w:tcW w:w="1430" w:type="dxa"/>
            <w:vAlign w:val="center"/>
          </w:tcPr>
          <w:p w14:paraId="5CD3A230">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驻点情况</w:t>
            </w:r>
          </w:p>
        </w:tc>
      </w:tr>
      <w:tr w14:paraId="65863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22E43143">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1246" w:type="dxa"/>
            <w:vAlign w:val="center"/>
          </w:tcPr>
          <w:p w14:paraId="6E41D67C">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29A0F5FD">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0385E2CF">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60275FCB">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7273DF43">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31410858">
            <w:pPr>
              <w:spacing w:line="360" w:lineRule="auto"/>
              <w:jc w:val="center"/>
              <w:rPr>
                <w:rFonts w:hint="eastAsia" w:asciiTheme="minorEastAsia" w:hAnsiTheme="minorEastAsia" w:eastAsiaTheme="minorEastAsia" w:cstheme="minorEastAsia"/>
                <w:color w:val="auto"/>
                <w:sz w:val="24"/>
              </w:rPr>
            </w:pPr>
          </w:p>
        </w:tc>
      </w:tr>
      <w:tr w14:paraId="1884D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20753054">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p>
        </w:tc>
        <w:tc>
          <w:tcPr>
            <w:tcW w:w="1246" w:type="dxa"/>
            <w:vAlign w:val="center"/>
          </w:tcPr>
          <w:p w14:paraId="0AD36C87">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6338536B">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46A557BB">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697E0C58">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49888176">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6A9A91F7">
            <w:pPr>
              <w:spacing w:line="360" w:lineRule="auto"/>
              <w:jc w:val="center"/>
              <w:rPr>
                <w:rFonts w:hint="eastAsia" w:asciiTheme="minorEastAsia" w:hAnsiTheme="minorEastAsia" w:eastAsiaTheme="minorEastAsia" w:cstheme="minorEastAsia"/>
                <w:color w:val="auto"/>
                <w:kern w:val="0"/>
                <w:sz w:val="24"/>
              </w:rPr>
            </w:pPr>
          </w:p>
        </w:tc>
      </w:tr>
      <w:tr w14:paraId="5987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01AC43DD">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w:t>
            </w:r>
          </w:p>
        </w:tc>
        <w:tc>
          <w:tcPr>
            <w:tcW w:w="1246" w:type="dxa"/>
            <w:vAlign w:val="center"/>
          </w:tcPr>
          <w:p w14:paraId="39B3E87B">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623A3BD4">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72417AA9">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53970DA4">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77E9B5F8">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608B9630">
            <w:pPr>
              <w:spacing w:line="360" w:lineRule="auto"/>
              <w:jc w:val="center"/>
              <w:rPr>
                <w:rFonts w:hint="eastAsia" w:asciiTheme="minorEastAsia" w:hAnsiTheme="minorEastAsia" w:eastAsiaTheme="minorEastAsia" w:cstheme="minorEastAsia"/>
                <w:color w:val="auto"/>
                <w:kern w:val="0"/>
                <w:sz w:val="24"/>
              </w:rPr>
            </w:pPr>
          </w:p>
        </w:tc>
      </w:tr>
      <w:tr w14:paraId="03A65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70D5BEA1">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w:t>
            </w:r>
          </w:p>
        </w:tc>
        <w:tc>
          <w:tcPr>
            <w:tcW w:w="1246" w:type="dxa"/>
            <w:vAlign w:val="center"/>
          </w:tcPr>
          <w:p w14:paraId="7939666E">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399323DE">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2515123B">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79AEB0BB">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624537EF">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30C60897">
            <w:pPr>
              <w:spacing w:line="360" w:lineRule="auto"/>
              <w:jc w:val="center"/>
              <w:rPr>
                <w:rFonts w:hint="eastAsia" w:asciiTheme="minorEastAsia" w:hAnsiTheme="minorEastAsia" w:eastAsiaTheme="minorEastAsia" w:cstheme="minorEastAsia"/>
                <w:color w:val="auto"/>
                <w:kern w:val="0"/>
                <w:sz w:val="24"/>
              </w:rPr>
            </w:pPr>
          </w:p>
        </w:tc>
      </w:tr>
      <w:tr w14:paraId="39B76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118527F2">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w:t>
            </w:r>
          </w:p>
        </w:tc>
        <w:tc>
          <w:tcPr>
            <w:tcW w:w="1246" w:type="dxa"/>
            <w:vAlign w:val="center"/>
          </w:tcPr>
          <w:p w14:paraId="272A6333">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0F7C7982">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2227EA2F">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2ECA12C0">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0C3E53E0">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016FE54A">
            <w:pPr>
              <w:spacing w:line="360" w:lineRule="auto"/>
              <w:jc w:val="center"/>
              <w:rPr>
                <w:rFonts w:hint="eastAsia" w:asciiTheme="minorEastAsia" w:hAnsiTheme="minorEastAsia" w:eastAsiaTheme="minorEastAsia" w:cstheme="minorEastAsia"/>
                <w:color w:val="auto"/>
                <w:kern w:val="0"/>
                <w:sz w:val="24"/>
              </w:rPr>
            </w:pPr>
          </w:p>
        </w:tc>
      </w:tr>
    </w:tbl>
    <w:p w14:paraId="6160C581">
      <w:pPr>
        <w:spacing w:line="360" w:lineRule="auto"/>
        <w:rPr>
          <w:rFonts w:hint="eastAsia" w:asciiTheme="minorEastAsia" w:hAnsiTheme="minorEastAsia" w:eastAsiaTheme="minorEastAsia" w:cstheme="minorEastAsia"/>
          <w:color w:val="auto"/>
          <w:lang w:val="en-US" w:eastAsia="zh-CN"/>
        </w:rPr>
      </w:pPr>
    </w:p>
    <w:p w14:paraId="38637036">
      <w:pPr>
        <w:pStyle w:val="23"/>
        <w:spacing w:line="360" w:lineRule="auto"/>
        <w:rPr>
          <w:rFonts w:hint="eastAsia" w:asciiTheme="minorEastAsia" w:hAnsiTheme="minorEastAsia" w:eastAsiaTheme="minorEastAsia" w:cstheme="minorEastAsia"/>
          <w:color w:val="auto"/>
          <w:lang w:eastAsia="zh-CN"/>
        </w:rPr>
      </w:pPr>
    </w:p>
    <w:p w14:paraId="78808CD8">
      <w:pPr>
        <w:snapToGrid w:val="0"/>
        <w:spacing w:line="360" w:lineRule="auto"/>
        <w:outlineLvl w:val="2"/>
        <w:rPr>
          <w:rFonts w:hint="eastAsia" w:asciiTheme="minorEastAsia" w:hAnsiTheme="minorEastAsia" w:eastAsiaTheme="minorEastAsia" w:cstheme="minorEastAsia"/>
          <w:b/>
          <w:snapToGrid w:val="0"/>
          <w:color w:val="auto"/>
          <w:kern w:val="0"/>
          <w:sz w:val="24"/>
          <w:lang w:val="en-US" w:eastAsia="zh-CN"/>
        </w:rPr>
      </w:pPr>
      <w:r>
        <w:rPr>
          <w:rFonts w:hint="eastAsia" w:asciiTheme="minorEastAsia" w:hAnsiTheme="minorEastAsia" w:eastAsiaTheme="minorEastAsia" w:cstheme="minorEastAsia"/>
          <w:b/>
          <w:snapToGrid w:val="0"/>
          <w:color w:val="auto"/>
          <w:kern w:val="0"/>
          <w:sz w:val="24"/>
          <w:lang w:val="en-US" w:eastAsia="zh-CN"/>
        </w:rPr>
        <w:t>附件二：合同价格清单</w:t>
      </w:r>
    </w:p>
    <w:tbl>
      <w:tblPr>
        <w:tblStyle w:val="6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525"/>
        <w:gridCol w:w="1158"/>
        <w:gridCol w:w="3514"/>
        <w:gridCol w:w="649"/>
        <w:gridCol w:w="463"/>
        <w:gridCol w:w="751"/>
        <w:gridCol w:w="765"/>
        <w:gridCol w:w="1270"/>
      </w:tblGrid>
      <w:tr w14:paraId="4E7C6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296" w:type="pct"/>
            <w:shd w:val="clear" w:color="auto" w:fill="auto"/>
            <w:vAlign w:val="center"/>
          </w:tcPr>
          <w:p w14:paraId="379FAAC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643" w:type="pct"/>
            <w:shd w:val="clear" w:color="auto" w:fill="auto"/>
            <w:vAlign w:val="center"/>
          </w:tcPr>
          <w:p w14:paraId="5119310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名称</w:t>
            </w:r>
          </w:p>
        </w:tc>
        <w:tc>
          <w:tcPr>
            <w:tcW w:w="1939" w:type="pct"/>
            <w:shd w:val="clear" w:color="auto" w:fill="auto"/>
            <w:vAlign w:val="center"/>
          </w:tcPr>
          <w:p w14:paraId="43B9446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内容</w:t>
            </w:r>
          </w:p>
        </w:tc>
        <w:tc>
          <w:tcPr>
            <w:tcW w:w="364" w:type="pct"/>
            <w:shd w:val="clear" w:color="auto" w:fill="auto"/>
            <w:vAlign w:val="center"/>
          </w:tcPr>
          <w:p w14:paraId="3ED122B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w:t>
            </w:r>
          </w:p>
        </w:tc>
        <w:tc>
          <w:tcPr>
            <w:tcW w:w="261" w:type="pct"/>
            <w:shd w:val="clear" w:color="auto" w:fill="auto"/>
            <w:vAlign w:val="center"/>
          </w:tcPr>
          <w:p w14:paraId="6436D74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单位</w:t>
            </w:r>
          </w:p>
        </w:tc>
        <w:tc>
          <w:tcPr>
            <w:tcW w:w="364" w:type="pct"/>
            <w:shd w:val="clear" w:color="auto" w:fill="auto"/>
            <w:vAlign w:val="center"/>
          </w:tcPr>
          <w:p w14:paraId="222EE2A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单价（元）</w:t>
            </w:r>
          </w:p>
        </w:tc>
        <w:tc>
          <w:tcPr>
            <w:tcW w:w="427" w:type="pct"/>
            <w:shd w:val="clear" w:color="auto" w:fill="auto"/>
            <w:vAlign w:val="center"/>
          </w:tcPr>
          <w:p w14:paraId="3314985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总价（元）</w:t>
            </w:r>
          </w:p>
        </w:tc>
        <w:tc>
          <w:tcPr>
            <w:tcW w:w="702" w:type="pct"/>
            <w:shd w:val="clear" w:color="auto" w:fill="auto"/>
            <w:vAlign w:val="center"/>
          </w:tcPr>
          <w:p w14:paraId="148D396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备注（中小、小微企业提供的服务内容）</w:t>
            </w:r>
          </w:p>
        </w:tc>
      </w:tr>
      <w:tr w14:paraId="0AB28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795A42B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643" w:type="pct"/>
            <w:shd w:val="clear" w:color="auto" w:fill="auto"/>
            <w:vAlign w:val="center"/>
          </w:tcPr>
          <w:p w14:paraId="0F97433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等保测评服务</w:t>
            </w:r>
          </w:p>
        </w:tc>
        <w:tc>
          <w:tcPr>
            <w:tcW w:w="1939" w:type="pct"/>
            <w:shd w:val="clear" w:color="auto" w:fill="auto"/>
            <w:vAlign w:val="center"/>
          </w:tcPr>
          <w:p w14:paraId="4ABFD0B6">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1、对于测评结论符合等保要求的，出具测评报告及整改建议书。</w:t>
            </w:r>
          </w:p>
          <w:p w14:paraId="7A35EB75">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2、对于测评结论不符合等保要求的，出具差距分析报告及整改建议书。</w:t>
            </w:r>
          </w:p>
          <w:p w14:paraId="5FF96DF9">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3、本项目服务期内测评系统数量不少于</w:t>
            </w:r>
            <w:r>
              <w:rPr>
                <w:rFonts w:hint="eastAsia" w:asciiTheme="minorEastAsia" w:hAnsiTheme="minorEastAsia" w:eastAsiaTheme="minorEastAsia" w:cstheme="minorEastAsia"/>
                <w:color w:val="auto"/>
                <w:sz w:val="24"/>
                <w:lang w:val="en-US" w:eastAsia="zh-CN"/>
              </w:rPr>
              <w:t>23</w:t>
            </w:r>
            <w:r>
              <w:rPr>
                <w:rFonts w:hint="eastAsia" w:asciiTheme="minorEastAsia" w:hAnsiTheme="minorEastAsia" w:eastAsiaTheme="minorEastAsia" w:cstheme="minorEastAsia"/>
                <w:color w:val="auto"/>
                <w:sz w:val="24"/>
              </w:rPr>
              <w:t>个。</w:t>
            </w:r>
          </w:p>
        </w:tc>
        <w:tc>
          <w:tcPr>
            <w:tcW w:w="364" w:type="pct"/>
            <w:shd w:val="clear" w:color="auto" w:fill="auto"/>
            <w:vAlign w:val="center"/>
          </w:tcPr>
          <w:p w14:paraId="5BF76E23">
            <w:pPr>
              <w:pStyle w:val="57"/>
              <w:spacing w:before="156" w:beforeLines="50" w:beforeAutospacing="0" w:after="0" w:afterAutospacing="0" w:line="360" w:lineRule="auto"/>
              <w:jc w:val="center"/>
              <w:rPr>
                <w:rFonts w:hint="default"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23</w:t>
            </w:r>
          </w:p>
        </w:tc>
        <w:tc>
          <w:tcPr>
            <w:tcW w:w="261" w:type="pct"/>
            <w:shd w:val="clear" w:color="auto" w:fill="auto"/>
            <w:vAlign w:val="center"/>
          </w:tcPr>
          <w:p w14:paraId="75DF83E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0697B23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79F2803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1456C06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6A5B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restart"/>
            <w:shd w:val="clear" w:color="auto" w:fill="auto"/>
            <w:vAlign w:val="center"/>
          </w:tcPr>
          <w:p w14:paraId="14F4241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tc>
        <w:tc>
          <w:tcPr>
            <w:tcW w:w="643" w:type="pct"/>
            <w:vMerge w:val="restart"/>
            <w:shd w:val="clear" w:color="auto" w:fill="auto"/>
            <w:vAlign w:val="center"/>
          </w:tcPr>
          <w:p w14:paraId="2DE25EF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数据库审计服务</w:t>
            </w:r>
          </w:p>
        </w:tc>
        <w:tc>
          <w:tcPr>
            <w:tcW w:w="1939" w:type="pct"/>
            <w:shd w:val="clear" w:color="auto" w:fill="auto"/>
            <w:vAlign w:val="center"/>
          </w:tcPr>
          <w:p w14:paraId="674FDFA6">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政务网不少于</w:t>
            </w:r>
            <w:r>
              <w:rPr>
                <w:rFonts w:hint="eastAsia" w:asciiTheme="minorEastAsia" w:hAnsiTheme="minorEastAsia" w:eastAsiaTheme="minorEastAsia" w:cstheme="minorEastAsia"/>
                <w:color w:val="auto"/>
                <w:sz w:val="24"/>
                <w:lang w:val="en-US" w:eastAsia="zh-CN"/>
              </w:rPr>
              <w:t>1</w:t>
            </w:r>
            <w:r>
              <w:rPr>
                <w:rFonts w:hint="eastAsia" w:asciiTheme="minorEastAsia" w:hAnsiTheme="minorEastAsia" w:eastAsiaTheme="minorEastAsia" w:cstheme="minorEastAsia"/>
                <w:color w:val="auto"/>
                <w:sz w:val="24"/>
              </w:rPr>
              <w:t>套（不限制支持的数据库实例个数）</w:t>
            </w:r>
          </w:p>
        </w:tc>
        <w:tc>
          <w:tcPr>
            <w:tcW w:w="364" w:type="pct"/>
            <w:shd w:val="clear" w:color="auto" w:fill="auto"/>
            <w:vAlign w:val="center"/>
          </w:tcPr>
          <w:p w14:paraId="3606BD4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1</w:t>
            </w:r>
          </w:p>
        </w:tc>
        <w:tc>
          <w:tcPr>
            <w:tcW w:w="261" w:type="pct"/>
            <w:shd w:val="clear" w:color="auto" w:fill="auto"/>
            <w:vAlign w:val="center"/>
          </w:tcPr>
          <w:p w14:paraId="535BE24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0F986A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2D9140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6B54DF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6AA69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continue"/>
            <w:shd w:val="clear" w:color="auto" w:fill="auto"/>
            <w:vAlign w:val="center"/>
          </w:tcPr>
          <w:p w14:paraId="410D454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67D0FA8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23D00F19">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视频专网不少于4台</w:t>
            </w:r>
          </w:p>
        </w:tc>
        <w:tc>
          <w:tcPr>
            <w:tcW w:w="364" w:type="pct"/>
            <w:shd w:val="clear" w:color="auto" w:fill="auto"/>
            <w:vAlign w:val="center"/>
          </w:tcPr>
          <w:p w14:paraId="044C4EF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261" w:type="pct"/>
            <w:shd w:val="clear" w:color="auto" w:fill="auto"/>
            <w:vAlign w:val="center"/>
          </w:tcPr>
          <w:p w14:paraId="77A1C38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23D262D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60D2F9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3B04EC3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200C4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continue"/>
            <w:shd w:val="clear" w:color="auto" w:fill="auto"/>
            <w:vAlign w:val="center"/>
          </w:tcPr>
          <w:p w14:paraId="0CB9F55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0D1537B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3148B6CA">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公安网不少于6台</w:t>
            </w:r>
          </w:p>
        </w:tc>
        <w:tc>
          <w:tcPr>
            <w:tcW w:w="364" w:type="pct"/>
            <w:shd w:val="clear" w:color="auto" w:fill="auto"/>
            <w:vAlign w:val="center"/>
          </w:tcPr>
          <w:p w14:paraId="4B885EF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261" w:type="pct"/>
            <w:shd w:val="clear" w:color="auto" w:fill="auto"/>
            <w:vAlign w:val="center"/>
          </w:tcPr>
          <w:p w14:paraId="3A1E8A9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4F718C0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30E296E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56F13DE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2E7FC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42436A0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643" w:type="pct"/>
            <w:shd w:val="clear" w:color="auto" w:fill="auto"/>
            <w:vAlign w:val="center"/>
          </w:tcPr>
          <w:p w14:paraId="2FD57F9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政务网云日志审计服务</w:t>
            </w:r>
          </w:p>
        </w:tc>
        <w:tc>
          <w:tcPr>
            <w:tcW w:w="1939" w:type="pct"/>
            <w:shd w:val="clear" w:color="auto" w:fill="auto"/>
            <w:vAlign w:val="center"/>
          </w:tcPr>
          <w:p w14:paraId="6B9CE24E">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提供不少于</w:t>
            </w:r>
            <w:r>
              <w:rPr>
                <w:rFonts w:hint="eastAsia" w:asciiTheme="minorEastAsia" w:hAnsiTheme="minorEastAsia" w:eastAsiaTheme="minorEastAsia" w:cstheme="minorEastAsia"/>
                <w:color w:val="auto"/>
                <w:lang w:val="en-US" w:eastAsia="zh-CN"/>
              </w:rPr>
              <w:t>1</w:t>
            </w:r>
            <w:r>
              <w:rPr>
                <w:rFonts w:hint="eastAsia" w:asciiTheme="minorEastAsia" w:hAnsiTheme="minorEastAsia" w:eastAsiaTheme="minorEastAsia" w:cstheme="minorEastAsia"/>
                <w:color w:val="auto"/>
              </w:rPr>
              <w:t>套政务网日志审计（支持500个日志源授权）</w:t>
            </w:r>
          </w:p>
        </w:tc>
        <w:tc>
          <w:tcPr>
            <w:tcW w:w="364" w:type="pct"/>
            <w:shd w:val="clear" w:color="auto" w:fill="auto"/>
            <w:vAlign w:val="center"/>
          </w:tcPr>
          <w:p w14:paraId="29F9AB7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1</w:t>
            </w:r>
          </w:p>
        </w:tc>
        <w:tc>
          <w:tcPr>
            <w:tcW w:w="261" w:type="pct"/>
            <w:shd w:val="clear" w:color="auto" w:fill="auto"/>
            <w:vAlign w:val="center"/>
          </w:tcPr>
          <w:p w14:paraId="5DE9B86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167D84C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E0FCBA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14D7573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6CF5A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0F8F0FC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643" w:type="pct"/>
            <w:shd w:val="clear" w:color="auto" w:fill="auto"/>
            <w:vAlign w:val="center"/>
          </w:tcPr>
          <w:p w14:paraId="63E3E17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政务网态势感知服务</w:t>
            </w:r>
          </w:p>
        </w:tc>
        <w:tc>
          <w:tcPr>
            <w:tcW w:w="1939" w:type="pct"/>
            <w:shd w:val="clear" w:color="auto" w:fill="auto"/>
            <w:vAlign w:val="center"/>
          </w:tcPr>
          <w:p w14:paraId="2BF3379E">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提供1套政务网态势感知</w:t>
            </w:r>
          </w:p>
        </w:tc>
        <w:tc>
          <w:tcPr>
            <w:tcW w:w="364" w:type="pct"/>
            <w:shd w:val="clear" w:color="auto" w:fill="auto"/>
            <w:vAlign w:val="center"/>
          </w:tcPr>
          <w:p w14:paraId="7DD6837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261" w:type="pct"/>
            <w:shd w:val="clear" w:color="auto" w:fill="auto"/>
            <w:vAlign w:val="center"/>
          </w:tcPr>
          <w:p w14:paraId="2456F64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14EE8A1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1ABEA61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561C49D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2D57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vMerge w:val="restart"/>
            <w:shd w:val="clear" w:color="auto" w:fill="auto"/>
            <w:vAlign w:val="center"/>
          </w:tcPr>
          <w:p w14:paraId="536190B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w:t>
            </w:r>
          </w:p>
        </w:tc>
        <w:tc>
          <w:tcPr>
            <w:tcW w:w="643" w:type="pct"/>
            <w:vMerge w:val="restart"/>
            <w:shd w:val="clear" w:color="auto" w:fill="auto"/>
            <w:vAlign w:val="center"/>
          </w:tcPr>
          <w:p w14:paraId="097822D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SaaS化安全服务</w:t>
            </w:r>
          </w:p>
        </w:tc>
        <w:tc>
          <w:tcPr>
            <w:tcW w:w="1939" w:type="pct"/>
            <w:shd w:val="clear" w:color="auto" w:fill="auto"/>
            <w:vAlign w:val="center"/>
          </w:tcPr>
          <w:p w14:paraId="37DAEC7F">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提供不超过10个主域名的云防护服务（每个主域名+10个子域名）</w:t>
            </w:r>
          </w:p>
        </w:tc>
        <w:tc>
          <w:tcPr>
            <w:tcW w:w="364" w:type="pct"/>
            <w:shd w:val="clear" w:color="auto" w:fill="auto"/>
            <w:vAlign w:val="center"/>
          </w:tcPr>
          <w:p w14:paraId="4207F97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261" w:type="pct"/>
            <w:shd w:val="clear" w:color="auto" w:fill="auto"/>
            <w:vAlign w:val="center"/>
          </w:tcPr>
          <w:p w14:paraId="0038EC0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491C1DD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077F7F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274D04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7A2A0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vMerge w:val="continue"/>
            <w:shd w:val="clear" w:color="auto" w:fill="auto"/>
            <w:vAlign w:val="center"/>
          </w:tcPr>
          <w:p w14:paraId="1A573D1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15A391E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2FAE9AEC">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提供不超过10个主域名的云监测服务</w:t>
            </w:r>
          </w:p>
        </w:tc>
        <w:tc>
          <w:tcPr>
            <w:tcW w:w="364" w:type="pct"/>
            <w:shd w:val="clear" w:color="auto" w:fill="auto"/>
            <w:vAlign w:val="center"/>
          </w:tcPr>
          <w:p w14:paraId="6749DD3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261" w:type="pct"/>
            <w:shd w:val="clear" w:color="auto" w:fill="auto"/>
            <w:vAlign w:val="center"/>
          </w:tcPr>
          <w:p w14:paraId="531497F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1A853D4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526287E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51FA26A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C1AC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1" w:hRule="atLeast"/>
          <w:jc w:val="center"/>
        </w:trPr>
        <w:tc>
          <w:tcPr>
            <w:tcW w:w="296" w:type="pct"/>
            <w:shd w:val="clear" w:color="auto" w:fill="auto"/>
            <w:vAlign w:val="center"/>
          </w:tcPr>
          <w:p w14:paraId="01BFB1C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643" w:type="pct"/>
            <w:shd w:val="clear" w:color="auto" w:fill="auto"/>
            <w:vAlign w:val="center"/>
          </w:tcPr>
          <w:p w14:paraId="3FEE47B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公安网安全风险感知服务</w:t>
            </w:r>
          </w:p>
        </w:tc>
        <w:tc>
          <w:tcPr>
            <w:tcW w:w="1939" w:type="pct"/>
            <w:shd w:val="clear" w:color="auto" w:fill="auto"/>
            <w:vAlign w:val="center"/>
          </w:tcPr>
          <w:p w14:paraId="6B39EB53">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提供不少于8次的安全风险感知服务支持</w:t>
            </w:r>
          </w:p>
        </w:tc>
        <w:tc>
          <w:tcPr>
            <w:tcW w:w="364" w:type="pct"/>
            <w:shd w:val="clear" w:color="auto" w:fill="auto"/>
            <w:vAlign w:val="center"/>
          </w:tcPr>
          <w:p w14:paraId="2A15CB6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261" w:type="pct"/>
            <w:shd w:val="clear" w:color="auto" w:fill="auto"/>
            <w:vAlign w:val="center"/>
          </w:tcPr>
          <w:p w14:paraId="0F4515B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021557C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712B730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367AF81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3360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08" w:hRule="atLeast"/>
          <w:jc w:val="center"/>
        </w:trPr>
        <w:tc>
          <w:tcPr>
            <w:tcW w:w="296" w:type="pct"/>
            <w:vMerge w:val="restart"/>
            <w:shd w:val="clear" w:color="auto" w:fill="auto"/>
            <w:vAlign w:val="center"/>
          </w:tcPr>
          <w:p w14:paraId="79B14A5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w:t>
            </w:r>
          </w:p>
        </w:tc>
        <w:tc>
          <w:tcPr>
            <w:tcW w:w="643" w:type="pct"/>
            <w:vMerge w:val="restart"/>
            <w:shd w:val="clear" w:color="auto" w:fill="auto"/>
            <w:vAlign w:val="center"/>
          </w:tcPr>
          <w:p w14:paraId="73650E4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公安网桌面云服务</w:t>
            </w:r>
          </w:p>
        </w:tc>
        <w:tc>
          <w:tcPr>
            <w:tcW w:w="1939" w:type="pct"/>
            <w:shd w:val="clear" w:color="auto" w:fill="auto"/>
            <w:vAlign w:val="center"/>
          </w:tcPr>
          <w:p w14:paraId="730863A3">
            <w:pPr>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提供不低于300点云桌面授权</w:t>
            </w:r>
          </w:p>
          <w:p w14:paraId="7F814088">
            <w:pPr>
              <w:widowControl/>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（平均每个人员使用的资源不低于2核8G内存和300G磁盘空间）</w:t>
            </w:r>
          </w:p>
        </w:tc>
        <w:tc>
          <w:tcPr>
            <w:tcW w:w="364" w:type="pct"/>
            <w:shd w:val="clear" w:color="auto" w:fill="auto"/>
            <w:vAlign w:val="center"/>
          </w:tcPr>
          <w:p w14:paraId="29BD751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300</w:t>
            </w:r>
          </w:p>
        </w:tc>
        <w:tc>
          <w:tcPr>
            <w:tcW w:w="261" w:type="pct"/>
            <w:shd w:val="clear" w:color="auto" w:fill="auto"/>
            <w:vAlign w:val="center"/>
          </w:tcPr>
          <w:p w14:paraId="2B74879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2A75C90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4701A5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E790A7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AE9C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08" w:hRule="atLeast"/>
          <w:jc w:val="center"/>
        </w:trPr>
        <w:tc>
          <w:tcPr>
            <w:tcW w:w="296" w:type="pct"/>
            <w:vMerge w:val="continue"/>
            <w:shd w:val="clear" w:color="auto" w:fill="auto"/>
            <w:vAlign w:val="center"/>
          </w:tcPr>
          <w:p w14:paraId="2E46BFA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5FBD1D1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2A6BADDC">
            <w:pPr>
              <w:pStyle w:val="23"/>
              <w:spacing w:before="156" w:beforeLines="50" w:line="360" w:lineRule="auto"/>
              <w:jc w:val="left"/>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lang w:val="en-US"/>
              </w:rPr>
              <w:t>提供</w:t>
            </w:r>
            <w:r>
              <w:rPr>
                <w:rFonts w:hint="eastAsia" w:asciiTheme="minorEastAsia" w:hAnsiTheme="minorEastAsia" w:eastAsiaTheme="minorEastAsia" w:cstheme="minorEastAsia"/>
                <w:color w:val="auto"/>
                <w:szCs w:val="24"/>
              </w:rPr>
              <w:t>不低于35台瘦终端</w:t>
            </w:r>
          </w:p>
          <w:p w14:paraId="6FC8CBB3">
            <w:pPr>
              <w:pStyle w:val="23"/>
              <w:spacing w:before="156" w:beforeLines="50" w:line="360" w:lineRule="auto"/>
              <w:jc w:val="left"/>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w:t>
            </w:r>
            <w:r>
              <w:rPr>
                <w:rFonts w:hint="eastAsia" w:asciiTheme="minorEastAsia" w:hAnsiTheme="minorEastAsia" w:eastAsiaTheme="minorEastAsia" w:cstheme="minorEastAsia"/>
                <w:color w:val="auto"/>
                <w:szCs w:val="24"/>
                <w:lang w:val="en-US"/>
              </w:rPr>
              <w:t>每台终端</w:t>
            </w:r>
            <w:r>
              <w:rPr>
                <w:rFonts w:hint="eastAsia" w:asciiTheme="minorEastAsia" w:hAnsiTheme="minorEastAsia" w:eastAsiaTheme="minorEastAsia" w:cstheme="minorEastAsia"/>
                <w:color w:val="auto"/>
                <w:szCs w:val="24"/>
              </w:rPr>
              <w:t>不低于</w:t>
            </w:r>
            <w:r>
              <w:rPr>
                <w:rFonts w:hint="eastAsia" w:asciiTheme="minorEastAsia" w:hAnsiTheme="minorEastAsia" w:eastAsiaTheme="minorEastAsia" w:cstheme="minorEastAsia"/>
                <w:color w:val="auto"/>
                <w:szCs w:val="24"/>
              </w:rPr>
              <w:t>2核8G内存和300G磁盘空间）</w:t>
            </w:r>
          </w:p>
        </w:tc>
        <w:tc>
          <w:tcPr>
            <w:tcW w:w="364" w:type="pct"/>
            <w:shd w:val="clear" w:color="auto" w:fill="auto"/>
            <w:vAlign w:val="center"/>
          </w:tcPr>
          <w:p w14:paraId="3479FF7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35</w:t>
            </w:r>
          </w:p>
        </w:tc>
        <w:tc>
          <w:tcPr>
            <w:tcW w:w="261" w:type="pct"/>
            <w:shd w:val="clear" w:color="auto" w:fill="auto"/>
            <w:vAlign w:val="center"/>
          </w:tcPr>
          <w:p w14:paraId="3FC219B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542F752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7821BE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A49DB4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7BC26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7A04E8C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643" w:type="pct"/>
            <w:shd w:val="clear" w:color="auto" w:fill="auto"/>
            <w:vAlign w:val="center"/>
          </w:tcPr>
          <w:p w14:paraId="0284BBD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公安网一机两用服务</w:t>
            </w:r>
          </w:p>
        </w:tc>
        <w:tc>
          <w:tcPr>
            <w:tcW w:w="1939" w:type="pct"/>
            <w:shd w:val="clear" w:color="auto" w:fill="auto"/>
            <w:vAlign w:val="center"/>
          </w:tcPr>
          <w:p w14:paraId="033D4793">
            <w:pPr>
              <w:spacing w:before="156" w:beforeLines="50" w:line="360" w:lineRule="auto"/>
              <w:jc w:val="left"/>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1、定期巡检服务，为杭州市公安局“一机两用”监控系统提供每月一次的巡检服务。</w:t>
            </w:r>
          </w:p>
          <w:p w14:paraId="18C28528">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2、技术支持服务，每月10日至20日使用专用工具对服务器列表进行清理，确保每月服务器漏洞扫描工作的准确性；每月20日至下月10日，使用专用工具对杭州市公安局“一机两用”监控系统注册率、“一机两用”监控系统补丁下载率、防病毒软件覆盖率等数据进行清理。</w:t>
            </w:r>
          </w:p>
        </w:tc>
        <w:tc>
          <w:tcPr>
            <w:tcW w:w="364" w:type="pct"/>
            <w:shd w:val="clear" w:color="auto" w:fill="auto"/>
            <w:vAlign w:val="center"/>
          </w:tcPr>
          <w:p w14:paraId="4B82C84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261" w:type="pct"/>
            <w:shd w:val="clear" w:color="auto" w:fill="auto"/>
            <w:vAlign w:val="center"/>
          </w:tcPr>
          <w:p w14:paraId="70F789D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项</w:t>
            </w:r>
          </w:p>
        </w:tc>
        <w:tc>
          <w:tcPr>
            <w:tcW w:w="364" w:type="pct"/>
            <w:shd w:val="clear" w:color="auto" w:fill="auto"/>
            <w:vAlign w:val="center"/>
          </w:tcPr>
          <w:p w14:paraId="49A3345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9B5E90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3A25A3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2063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restart"/>
            <w:shd w:val="clear" w:color="auto" w:fill="auto"/>
            <w:vAlign w:val="center"/>
          </w:tcPr>
          <w:p w14:paraId="232F7F3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w:t>
            </w:r>
          </w:p>
          <w:p w14:paraId="3698456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restart"/>
            <w:shd w:val="clear" w:color="auto" w:fill="auto"/>
            <w:vAlign w:val="center"/>
          </w:tcPr>
          <w:p w14:paraId="6D9C3DF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视频网终端杀毒服务</w:t>
            </w:r>
          </w:p>
          <w:p w14:paraId="4480C9A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27B8D694">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提供不少于1500点PC终端</w:t>
            </w:r>
          </w:p>
        </w:tc>
        <w:tc>
          <w:tcPr>
            <w:tcW w:w="364" w:type="pct"/>
            <w:shd w:val="clear" w:color="auto" w:fill="auto"/>
            <w:vAlign w:val="center"/>
          </w:tcPr>
          <w:p w14:paraId="7F1040E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1500</w:t>
            </w:r>
          </w:p>
        </w:tc>
        <w:tc>
          <w:tcPr>
            <w:tcW w:w="261" w:type="pct"/>
            <w:shd w:val="clear" w:color="auto" w:fill="auto"/>
            <w:vAlign w:val="center"/>
          </w:tcPr>
          <w:p w14:paraId="329FD6E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1190A1E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459EE5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6492B7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1913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0" w:hRule="atLeast"/>
          <w:jc w:val="center"/>
        </w:trPr>
        <w:tc>
          <w:tcPr>
            <w:tcW w:w="296" w:type="pct"/>
            <w:vMerge w:val="continue"/>
            <w:shd w:val="clear" w:color="auto" w:fill="auto"/>
            <w:vAlign w:val="center"/>
          </w:tcPr>
          <w:p w14:paraId="511CC10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0678654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24660313">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提供不少于250点服务器授权</w:t>
            </w:r>
          </w:p>
        </w:tc>
        <w:tc>
          <w:tcPr>
            <w:tcW w:w="364" w:type="pct"/>
            <w:shd w:val="clear" w:color="auto" w:fill="auto"/>
            <w:vAlign w:val="center"/>
          </w:tcPr>
          <w:p w14:paraId="05A28D5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250</w:t>
            </w:r>
          </w:p>
        </w:tc>
        <w:tc>
          <w:tcPr>
            <w:tcW w:w="261" w:type="pct"/>
            <w:shd w:val="clear" w:color="auto" w:fill="auto"/>
            <w:vAlign w:val="center"/>
          </w:tcPr>
          <w:p w14:paraId="1B3DB9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676152C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0D0C6D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3B2520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6E20A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6722248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643" w:type="pct"/>
            <w:shd w:val="clear" w:color="auto" w:fill="auto"/>
            <w:vAlign w:val="center"/>
          </w:tcPr>
          <w:p w14:paraId="45A9261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Hans"/>
              </w:rPr>
            </w:pPr>
            <w:r>
              <w:rPr>
                <w:rFonts w:hint="eastAsia" w:asciiTheme="minorEastAsia" w:hAnsiTheme="minorEastAsia" w:eastAsiaTheme="minorEastAsia" w:cstheme="minorEastAsia"/>
                <w:color w:val="auto"/>
              </w:rPr>
              <w:t>系统安全检测</w:t>
            </w:r>
          </w:p>
        </w:tc>
        <w:tc>
          <w:tcPr>
            <w:tcW w:w="1939" w:type="pct"/>
            <w:shd w:val="clear" w:color="auto" w:fill="auto"/>
            <w:vAlign w:val="center"/>
          </w:tcPr>
          <w:p w14:paraId="49328B82">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不少于</w:t>
            </w:r>
            <w:r>
              <w:rPr>
                <w:rFonts w:hint="eastAsia" w:ascii="仿宋" w:hAnsi="仿宋" w:eastAsia="仿宋" w:cs="仿宋"/>
                <w:color w:val="auto"/>
                <w:sz w:val="24"/>
              </w:rPr>
              <w:t>4</w:t>
            </w:r>
            <w:r>
              <w:rPr>
                <w:rFonts w:hint="eastAsia" w:asciiTheme="minorEastAsia" w:hAnsiTheme="minorEastAsia" w:eastAsiaTheme="minorEastAsia" w:cstheme="minorEastAsia"/>
                <w:color w:val="auto"/>
                <w:sz w:val="24"/>
              </w:rPr>
              <w:t>次系统安全检测。</w:t>
            </w:r>
          </w:p>
        </w:tc>
        <w:tc>
          <w:tcPr>
            <w:tcW w:w="364" w:type="pct"/>
            <w:shd w:val="clear" w:color="auto" w:fill="auto"/>
            <w:vAlign w:val="center"/>
          </w:tcPr>
          <w:p w14:paraId="279AF5B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4</w:t>
            </w:r>
          </w:p>
        </w:tc>
        <w:tc>
          <w:tcPr>
            <w:tcW w:w="261" w:type="pct"/>
            <w:shd w:val="clear" w:color="auto" w:fill="auto"/>
            <w:vAlign w:val="center"/>
          </w:tcPr>
          <w:p w14:paraId="3F6491F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0B1625D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C663B5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EA67D3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73E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566283D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w:t>
            </w:r>
          </w:p>
        </w:tc>
        <w:tc>
          <w:tcPr>
            <w:tcW w:w="643" w:type="pct"/>
            <w:shd w:val="clear" w:color="auto" w:fill="auto"/>
            <w:vAlign w:val="center"/>
          </w:tcPr>
          <w:p w14:paraId="6A04E3A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网络安全检查</w:t>
            </w:r>
          </w:p>
        </w:tc>
        <w:tc>
          <w:tcPr>
            <w:tcW w:w="1939" w:type="pct"/>
            <w:shd w:val="clear" w:color="auto" w:fill="auto"/>
            <w:vAlign w:val="center"/>
          </w:tcPr>
          <w:p w14:paraId="7078C3FD">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rPr>
              <w:t>不少于3次网络安全检查。</w:t>
            </w:r>
          </w:p>
        </w:tc>
        <w:tc>
          <w:tcPr>
            <w:tcW w:w="364" w:type="pct"/>
            <w:shd w:val="clear" w:color="auto" w:fill="auto"/>
            <w:vAlign w:val="center"/>
          </w:tcPr>
          <w:p w14:paraId="35D28B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261" w:type="pct"/>
            <w:shd w:val="clear" w:color="auto" w:fill="auto"/>
            <w:vAlign w:val="center"/>
          </w:tcPr>
          <w:p w14:paraId="4FD40BE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1D66E90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00228F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412A7F6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17EB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22AA51B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12</w:t>
            </w:r>
          </w:p>
        </w:tc>
        <w:tc>
          <w:tcPr>
            <w:tcW w:w="643" w:type="pct"/>
            <w:shd w:val="clear" w:color="auto" w:fill="auto"/>
            <w:vAlign w:val="center"/>
          </w:tcPr>
          <w:p w14:paraId="090DE1C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重保</w:t>
            </w:r>
          </w:p>
        </w:tc>
        <w:tc>
          <w:tcPr>
            <w:tcW w:w="1939" w:type="pct"/>
            <w:shd w:val="clear" w:color="auto" w:fill="auto"/>
            <w:vAlign w:val="center"/>
          </w:tcPr>
          <w:p w14:paraId="21DF04E8">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不少于</w:t>
            </w:r>
            <w:r>
              <w:rPr>
                <w:rFonts w:hint="eastAsia" w:asciiTheme="minorEastAsia" w:hAnsiTheme="minorEastAsia" w:eastAsiaTheme="minorEastAsia" w:cstheme="minorEastAsia"/>
                <w:color w:val="auto"/>
                <w:sz w:val="24"/>
                <w:lang w:val="en-US" w:eastAsia="zh-CN"/>
              </w:rPr>
              <w:t>2</w:t>
            </w:r>
            <w:r>
              <w:rPr>
                <w:rFonts w:hint="eastAsia" w:asciiTheme="minorEastAsia" w:hAnsiTheme="minorEastAsia" w:eastAsiaTheme="minorEastAsia" w:cstheme="minorEastAsia"/>
                <w:color w:val="auto"/>
                <w:sz w:val="24"/>
              </w:rPr>
              <w:t>次重大活动安全保障。</w:t>
            </w:r>
          </w:p>
        </w:tc>
        <w:tc>
          <w:tcPr>
            <w:tcW w:w="364" w:type="pct"/>
            <w:shd w:val="clear" w:color="auto" w:fill="auto"/>
            <w:vAlign w:val="center"/>
          </w:tcPr>
          <w:p w14:paraId="193E7E3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2</w:t>
            </w:r>
          </w:p>
        </w:tc>
        <w:tc>
          <w:tcPr>
            <w:tcW w:w="261" w:type="pct"/>
            <w:shd w:val="clear" w:color="auto" w:fill="auto"/>
            <w:vAlign w:val="center"/>
          </w:tcPr>
          <w:p w14:paraId="76A27AE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69D281D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5F3007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5AE55F6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C096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6E4BC43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w:t>
            </w:r>
          </w:p>
        </w:tc>
        <w:tc>
          <w:tcPr>
            <w:tcW w:w="643" w:type="pct"/>
            <w:shd w:val="clear" w:color="auto" w:fill="auto"/>
            <w:vAlign w:val="center"/>
          </w:tcPr>
          <w:p w14:paraId="39A0422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应急响应</w:t>
            </w:r>
          </w:p>
        </w:tc>
        <w:tc>
          <w:tcPr>
            <w:tcW w:w="1939" w:type="pct"/>
            <w:shd w:val="clear" w:color="auto" w:fill="auto"/>
            <w:vAlign w:val="center"/>
          </w:tcPr>
          <w:p w14:paraId="0D1C73CD">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按需提供应急响应服务，不少于</w:t>
            </w:r>
            <w:r>
              <w:rPr>
                <w:rFonts w:hint="eastAsia" w:asciiTheme="minorEastAsia" w:hAnsiTheme="minorEastAsia" w:eastAsiaTheme="minorEastAsia" w:cstheme="minorEastAsia"/>
                <w:color w:val="auto"/>
                <w:lang w:val="en-US" w:eastAsia="zh-CN"/>
              </w:rPr>
              <w:t>5</w:t>
            </w:r>
            <w:r>
              <w:rPr>
                <w:rFonts w:hint="eastAsia" w:asciiTheme="minorEastAsia" w:hAnsiTheme="minorEastAsia" w:eastAsiaTheme="minorEastAsia" w:cstheme="minorEastAsia"/>
                <w:color w:val="auto"/>
              </w:rPr>
              <w:t>次。</w:t>
            </w:r>
          </w:p>
        </w:tc>
        <w:tc>
          <w:tcPr>
            <w:tcW w:w="364" w:type="pct"/>
            <w:shd w:val="clear" w:color="auto" w:fill="auto"/>
            <w:vAlign w:val="center"/>
          </w:tcPr>
          <w:p w14:paraId="4E2388B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5</w:t>
            </w:r>
          </w:p>
        </w:tc>
        <w:tc>
          <w:tcPr>
            <w:tcW w:w="261" w:type="pct"/>
            <w:shd w:val="clear" w:color="auto" w:fill="auto"/>
            <w:vAlign w:val="center"/>
          </w:tcPr>
          <w:p w14:paraId="6B5782F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1885755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3616A13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1CA85F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14E1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01" w:hRule="atLeast"/>
          <w:jc w:val="center"/>
        </w:trPr>
        <w:tc>
          <w:tcPr>
            <w:tcW w:w="296" w:type="pct"/>
            <w:shd w:val="clear" w:color="auto" w:fill="auto"/>
            <w:vAlign w:val="center"/>
          </w:tcPr>
          <w:p w14:paraId="7547F90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14</w:t>
            </w:r>
          </w:p>
        </w:tc>
        <w:tc>
          <w:tcPr>
            <w:tcW w:w="643" w:type="pct"/>
            <w:shd w:val="clear" w:color="auto" w:fill="auto"/>
            <w:vAlign w:val="center"/>
          </w:tcPr>
          <w:p w14:paraId="77A5C01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边界通道租赁服务</w:t>
            </w:r>
          </w:p>
        </w:tc>
        <w:tc>
          <w:tcPr>
            <w:tcW w:w="1939" w:type="pct"/>
            <w:shd w:val="clear" w:color="auto" w:fill="auto"/>
            <w:vAlign w:val="center"/>
          </w:tcPr>
          <w:p w14:paraId="2DA20D2C">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共3条通道，每条都为（2+4+2）池化架构或其他架构来确保两侧交换系统及进出各单向2光闸的冗余能力，包含外侧防火墙。</w:t>
            </w:r>
          </w:p>
        </w:tc>
        <w:tc>
          <w:tcPr>
            <w:tcW w:w="364" w:type="pct"/>
            <w:shd w:val="clear" w:color="auto" w:fill="auto"/>
            <w:vAlign w:val="center"/>
          </w:tcPr>
          <w:p w14:paraId="025AE24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261" w:type="pct"/>
            <w:shd w:val="clear" w:color="auto" w:fill="auto"/>
            <w:vAlign w:val="center"/>
          </w:tcPr>
          <w:p w14:paraId="60AA2F1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条</w:t>
            </w:r>
          </w:p>
        </w:tc>
        <w:tc>
          <w:tcPr>
            <w:tcW w:w="364" w:type="pct"/>
            <w:shd w:val="clear" w:color="auto" w:fill="auto"/>
            <w:vAlign w:val="center"/>
          </w:tcPr>
          <w:p w14:paraId="275371E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9FF168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4CF2EC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233CD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940" w:type="pct"/>
            <w:gridSpan w:val="2"/>
            <w:shd w:val="clear" w:color="auto" w:fill="auto"/>
            <w:vAlign w:val="center"/>
          </w:tcPr>
          <w:p w14:paraId="3E6F9C2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合同总价人民币（小写）</w:t>
            </w:r>
          </w:p>
        </w:tc>
        <w:tc>
          <w:tcPr>
            <w:tcW w:w="4059" w:type="pct"/>
            <w:gridSpan w:val="6"/>
            <w:shd w:val="clear" w:color="auto" w:fill="auto"/>
            <w:vAlign w:val="center"/>
          </w:tcPr>
          <w:p w14:paraId="2FF406BD">
            <w:pPr>
              <w:pStyle w:val="57"/>
              <w:spacing w:before="156" w:beforeLines="50" w:beforeAutospacing="0" w:after="0" w:afterAutospacing="0" w:line="360" w:lineRule="auto"/>
              <w:ind w:right="-20"/>
              <w:jc w:val="center"/>
              <w:rPr>
                <w:rFonts w:hint="eastAsia" w:asciiTheme="minorEastAsia" w:hAnsiTheme="minorEastAsia" w:eastAsiaTheme="minorEastAsia" w:cstheme="minorEastAsia"/>
                <w:color w:val="auto"/>
              </w:rPr>
            </w:pPr>
          </w:p>
        </w:tc>
      </w:tr>
      <w:tr w14:paraId="05B1F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940" w:type="pct"/>
            <w:gridSpan w:val="2"/>
            <w:shd w:val="clear" w:color="auto" w:fill="auto"/>
            <w:vAlign w:val="center"/>
          </w:tcPr>
          <w:p w14:paraId="4EAD4AA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合同总价人民币（大写）</w:t>
            </w:r>
          </w:p>
        </w:tc>
        <w:tc>
          <w:tcPr>
            <w:tcW w:w="4059" w:type="pct"/>
            <w:gridSpan w:val="6"/>
            <w:shd w:val="clear" w:color="auto" w:fill="auto"/>
            <w:vAlign w:val="center"/>
          </w:tcPr>
          <w:p w14:paraId="2756C224">
            <w:pPr>
              <w:pStyle w:val="57"/>
              <w:spacing w:before="156" w:beforeLines="50" w:beforeAutospacing="0" w:after="0" w:afterAutospacing="0" w:line="360" w:lineRule="auto"/>
              <w:ind w:right="-20"/>
              <w:jc w:val="center"/>
              <w:rPr>
                <w:rFonts w:hint="eastAsia" w:asciiTheme="minorEastAsia" w:hAnsiTheme="minorEastAsia" w:eastAsiaTheme="minorEastAsia" w:cstheme="minorEastAsia"/>
                <w:color w:val="auto"/>
              </w:rPr>
            </w:pPr>
          </w:p>
        </w:tc>
      </w:tr>
      <w:tr w14:paraId="68ABC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000" w:type="pct"/>
            <w:gridSpan w:val="8"/>
            <w:shd w:val="clear" w:color="auto" w:fill="auto"/>
            <w:vAlign w:val="center"/>
          </w:tcPr>
          <w:p w14:paraId="7107B02D">
            <w:pPr>
              <w:pStyle w:val="57"/>
              <w:spacing w:before="156" w:beforeLines="50" w:beforeAutospacing="0" w:after="0" w:afterAutospacing="0" w:line="360" w:lineRule="auto"/>
              <w:ind w:right="-2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其中：中小企业金额达到    元，占合同总价的   %</w:t>
            </w:r>
          </w:p>
        </w:tc>
      </w:tr>
      <w:tr w14:paraId="119AF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000" w:type="pct"/>
            <w:gridSpan w:val="8"/>
            <w:shd w:val="clear" w:color="auto" w:fill="auto"/>
            <w:vAlign w:val="center"/>
          </w:tcPr>
          <w:p w14:paraId="45B8F3D3">
            <w:pPr>
              <w:pStyle w:val="57"/>
              <w:spacing w:before="156" w:beforeLines="50" w:beforeAutospacing="0" w:after="0" w:afterAutospacing="0" w:line="360" w:lineRule="auto"/>
              <w:ind w:right="-2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小微企业金额达到    元，占合同总价的   %</w:t>
            </w:r>
          </w:p>
        </w:tc>
      </w:tr>
    </w:tbl>
    <w:p w14:paraId="31688989">
      <w:pPr>
        <w:bidi w:val="0"/>
        <w:rPr>
          <w:rFonts w:hint="eastAsia"/>
          <w:color w:val="auto"/>
        </w:rPr>
      </w:pPr>
    </w:p>
    <w:p w14:paraId="62716379">
      <w:pPr>
        <w:snapToGrid w:val="0"/>
        <w:spacing w:line="360" w:lineRule="auto"/>
        <w:outlineLvl w:val="2"/>
        <w:rPr>
          <w:rFonts w:hint="eastAsia" w:asciiTheme="minorEastAsia" w:hAnsiTheme="minorEastAsia" w:eastAsiaTheme="minorEastAsia" w:cstheme="minorEastAsia"/>
          <w:b/>
          <w:snapToGrid w:val="0"/>
          <w:color w:val="auto"/>
          <w:kern w:val="0"/>
          <w:sz w:val="24"/>
          <w:lang w:val="en-US" w:eastAsia="zh-CN"/>
        </w:rPr>
      </w:pPr>
      <w:r>
        <w:rPr>
          <w:rFonts w:hint="eastAsia" w:asciiTheme="minorEastAsia" w:hAnsiTheme="minorEastAsia" w:eastAsiaTheme="minorEastAsia" w:cstheme="minorEastAsia"/>
          <w:b/>
          <w:snapToGrid w:val="0"/>
          <w:color w:val="auto"/>
          <w:kern w:val="0"/>
          <w:sz w:val="24"/>
          <w:lang w:val="en-US" w:eastAsia="zh-CN"/>
        </w:rPr>
        <w:t>附件三：考核</w:t>
      </w:r>
    </w:p>
    <w:p w14:paraId="1A7B16DD">
      <w:pPr>
        <w:autoSpaceDE w:val="0"/>
        <w:autoSpaceDN w:val="0"/>
        <w:snapToGrid w:val="0"/>
        <w:spacing w:line="360" w:lineRule="auto"/>
        <w:ind w:firstLine="480" w:firstLineChars="200"/>
        <w:rPr>
          <w:rFonts w:hint="eastAsia" w:asciiTheme="minorEastAsia" w:hAnsiTheme="minorEastAsia" w:eastAsiaTheme="minorEastAsia" w:cstheme="minorEastAsia"/>
          <w:color w:val="auto"/>
          <w:sz w:val="24"/>
          <w:lang w:val="zh-CN"/>
        </w:rPr>
      </w:pPr>
      <w:r>
        <w:rPr>
          <w:rFonts w:hint="eastAsia" w:asciiTheme="minorEastAsia" w:hAnsiTheme="minorEastAsia" w:eastAsiaTheme="minorEastAsia" w:cstheme="minorEastAsia"/>
          <w:color w:val="auto"/>
          <w:sz w:val="24"/>
          <w:lang w:val="zh-CN"/>
        </w:rPr>
        <w:t>服务期内，甲方将对乙方进行</w:t>
      </w:r>
      <w:r>
        <w:rPr>
          <w:rFonts w:hint="eastAsia" w:asciiTheme="minorEastAsia" w:hAnsiTheme="minorEastAsia" w:eastAsiaTheme="minorEastAsia" w:cstheme="minorEastAsia"/>
          <w:color w:val="auto"/>
          <w:sz w:val="24"/>
        </w:rPr>
        <w:t>月度考核</w:t>
      </w:r>
      <w:r>
        <w:rPr>
          <w:rFonts w:hint="eastAsia" w:asciiTheme="minorEastAsia" w:hAnsiTheme="minorEastAsia" w:eastAsiaTheme="minorEastAsia" w:cstheme="minorEastAsia"/>
          <w:color w:val="auto"/>
          <w:sz w:val="24"/>
          <w:lang w:val="zh-CN"/>
        </w:rPr>
        <w:t>，采取100分制计分方式，每扣1分扣违约金200元。如果乙方</w:t>
      </w:r>
      <w:r>
        <w:rPr>
          <w:rFonts w:hint="eastAsia" w:asciiTheme="minorEastAsia" w:hAnsiTheme="minorEastAsia" w:eastAsiaTheme="minorEastAsia" w:cstheme="minorEastAsia"/>
          <w:color w:val="auto"/>
          <w:sz w:val="24"/>
        </w:rPr>
        <w:t>月度考核</w:t>
      </w:r>
      <w:r>
        <w:rPr>
          <w:rFonts w:hint="eastAsia" w:asciiTheme="minorEastAsia" w:hAnsiTheme="minorEastAsia" w:eastAsiaTheme="minorEastAsia" w:cstheme="minorEastAsia"/>
          <w:color w:val="auto"/>
          <w:sz w:val="24"/>
          <w:lang w:val="zh-CN"/>
        </w:rPr>
        <w:t>结果低于80分的，应递交书面整改报告。如乙方</w:t>
      </w:r>
      <w:r>
        <w:rPr>
          <w:rFonts w:hint="eastAsia" w:asciiTheme="minorEastAsia" w:hAnsiTheme="minorEastAsia" w:eastAsiaTheme="minorEastAsia" w:cstheme="minorEastAsia"/>
          <w:color w:val="auto"/>
          <w:sz w:val="24"/>
        </w:rPr>
        <w:t>月度考核</w:t>
      </w:r>
      <w:r>
        <w:rPr>
          <w:rFonts w:hint="eastAsia" w:asciiTheme="minorEastAsia" w:hAnsiTheme="minorEastAsia" w:eastAsiaTheme="minorEastAsia" w:cstheme="minorEastAsia"/>
          <w:color w:val="auto"/>
          <w:sz w:val="24"/>
          <w:lang w:val="zh-CN"/>
        </w:rPr>
        <w:t>结果低于60分、或连续两个</w:t>
      </w:r>
      <w:r>
        <w:rPr>
          <w:rFonts w:hint="eastAsia" w:asciiTheme="minorEastAsia" w:hAnsiTheme="minorEastAsia" w:eastAsiaTheme="minorEastAsia" w:cstheme="minorEastAsia"/>
          <w:color w:val="auto"/>
          <w:sz w:val="24"/>
        </w:rPr>
        <w:t>月度考核</w:t>
      </w:r>
      <w:r>
        <w:rPr>
          <w:rFonts w:hint="eastAsia" w:asciiTheme="minorEastAsia" w:hAnsiTheme="minorEastAsia" w:eastAsiaTheme="minorEastAsia" w:cstheme="minorEastAsia"/>
          <w:color w:val="auto"/>
          <w:sz w:val="24"/>
          <w:lang w:val="zh-CN"/>
        </w:rPr>
        <w:t>结果低于70分、或连续三个</w:t>
      </w:r>
      <w:r>
        <w:rPr>
          <w:rFonts w:hint="eastAsia" w:asciiTheme="minorEastAsia" w:hAnsiTheme="minorEastAsia" w:eastAsiaTheme="minorEastAsia" w:cstheme="minorEastAsia"/>
          <w:color w:val="auto"/>
          <w:sz w:val="24"/>
        </w:rPr>
        <w:t>月度考核</w:t>
      </w:r>
      <w:r>
        <w:rPr>
          <w:rFonts w:hint="eastAsia" w:asciiTheme="minorEastAsia" w:hAnsiTheme="minorEastAsia" w:eastAsiaTheme="minorEastAsia" w:cstheme="minorEastAsia"/>
          <w:color w:val="auto"/>
          <w:sz w:val="24"/>
          <w:lang w:val="zh-CN"/>
        </w:rPr>
        <w:t>结果低于80分，甲方有权通知乙方解除合同，如给甲方造成损失的有权向乙方提出索赔。</w:t>
      </w:r>
    </w:p>
    <w:p w14:paraId="08C9BB66">
      <w:pPr>
        <w:autoSpaceDE w:val="0"/>
        <w:autoSpaceDN w:val="0"/>
        <w:snapToGrid w:val="0"/>
        <w:spacing w:line="360" w:lineRule="auto"/>
        <w:ind w:firstLine="480" w:firstLineChars="200"/>
        <w:jc w:val="left"/>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lang w:val="zh-CN"/>
        </w:rPr>
        <w:t>如考核周期内重复出现相同扣分情形，累计计算扣除分值。</w:t>
      </w:r>
    </w:p>
    <w:p w14:paraId="7D9266E8">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 xml:space="preserve">月度考核表                         </w:t>
      </w:r>
    </w:p>
    <w:tbl>
      <w:tblPr>
        <w:tblStyle w:val="62"/>
        <w:tblW w:w="87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15"/>
        <w:gridCol w:w="3509"/>
        <w:gridCol w:w="1373"/>
        <w:gridCol w:w="1775"/>
      </w:tblGrid>
      <w:tr w14:paraId="34D28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32" w:type="dxa"/>
            <w:gridSpan w:val="2"/>
            <w:vAlign w:val="center"/>
          </w:tcPr>
          <w:p w14:paraId="08572FFD">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考核时间：</w:t>
            </w:r>
          </w:p>
        </w:tc>
        <w:tc>
          <w:tcPr>
            <w:tcW w:w="3509" w:type="dxa"/>
            <w:vAlign w:val="center"/>
          </w:tcPr>
          <w:p w14:paraId="7E56E7C5">
            <w:pPr>
              <w:autoSpaceDE w:val="0"/>
              <w:autoSpaceDN w:val="0"/>
              <w:snapToGrid w:val="0"/>
              <w:spacing w:line="360" w:lineRule="auto"/>
              <w:jc w:val="center"/>
              <w:rPr>
                <w:rFonts w:hint="eastAsia" w:asciiTheme="minorEastAsia" w:hAnsiTheme="minorEastAsia" w:eastAsiaTheme="minorEastAsia" w:cstheme="minorEastAsia"/>
                <w:color w:val="auto"/>
                <w:sz w:val="24"/>
              </w:rPr>
            </w:pPr>
          </w:p>
        </w:tc>
        <w:tc>
          <w:tcPr>
            <w:tcW w:w="1373" w:type="dxa"/>
            <w:vAlign w:val="center"/>
          </w:tcPr>
          <w:p w14:paraId="1B0192F3">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填表日期：</w:t>
            </w:r>
          </w:p>
        </w:tc>
        <w:tc>
          <w:tcPr>
            <w:tcW w:w="1775" w:type="dxa"/>
            <w:vAlign w:val="center"/>
          </w:tcPr>
          <w:p w14:paraId="1B263053">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color w:val="auto"/>
                <w:sz w:val="24"/>
              </w:rPr>
              <w:t>年   月   日</w:t>
            </w:r>
          </w:p>
        </w:tc>
      </w:tr>
      <w:tr w14:paraId="00733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trPr>
        <w:tc>
          <w:tcPr>
            <w:tcW w:w="2132" w:type="dxa"/>
            <w:gridSpan w:val="2"/>
            <w:vAlign w:val="center"/>
          </w:tcPr>
          <w:p w14:paraId="4C71F211">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lang w:eastAsia="zh-CN"/>
              </w:rPr>
              <w:t>乙方</w:t>
            </w:r>
            <w:r>
              <w:rPr>
                <w:rFonts w:hint="eastAsia" w:asciiTheme="minorEastAsia" w:hAnsiTheme="minorEastAsia" w:eastAsiaTheme="minorEastAsia" w:cstheme="minorEastAsia"/>
                <w:b/>
                <w:color w:val="auto"/>
                <w:sz w:val="24"/>
              </w:rPr>
              <w:t>：</w:t>
            </w:r>
          </w:p>
        </w:tc>
        <w:tc>
          <w:tcPr>
            <w:tcW w:w="6657" w:type="dxa"/>
            <w:gridSpan w:val="3"/>
            <w:vAlign w:val="center"/>
          </w:tcPr>
          <w:p w14:paraId="53EC62A7">
            <w:pPr>
              <w:autoSpaceDE w:val="0"/>
              <w:autoSpaceDN w:val="0"/>
              <w:snapToGrid w:val="0"/>
              <w:spacing w:line="360" w:lineRule="auto"/>
              <w:jc w:val="center"/>
              <w:rPr>
                <w:rFonts w:hint="eastAsia" w:asciiTheme="minorEastAsia" w:hAnsiTheme="minorEastAsia" w:eastAsiaTheme="minorEastAsia" w:cstheme="minorEastAsia"/>
                <w:color w:val="auto"/>
                <w:sz w:val="24"/>
              </w:rPr>
            </w:pPr>
          </w:p>
        </w:tc>
      </w:tr>
      <w:tr w14:paraId="6FE7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AB67D68">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序号</w:t>
            </w:r>
          </w:p>
        </w:tc>
        <w:tc>
          <w:tcPr>
            <w:tcW w:w="4824" w:type="dxa"/>
            <w:gridSpan w:val="2"/>
            <w:vAlign w:val="center"/>
          </w:tcPr>
          <w:p w14:paraId="3AED5E55">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考核内容</w:t>
            </w:r>
          </w:p>
        </w:tc>
        <w:tc>
          <w:tcPr>
            <w:tcW w:w="1373" w:type="dxa"/>
            <w:vAlign w:val="center"/>
          </w:tcPr>
          <w:p w14:paraId="39EA3D60">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扣分情况</w:t>
            </w:r>
          </w:p>
        </w:tc>
        <w:tc>
          <w:tcPr>
            <w:tcW w:w="1775" w:type="dxa"/>
            <w:vAlign w:val="center"/>
          </w:tcPr>
          <w:p w14:paraId="08AF3484">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备注</w:t>
            </w:r>
          </w:p>
        </w:tc>
      </w:tr>
      <w:tr w14:paraId="25969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641" w:type="dxa"/>
            <w:gridSpan w:val="3"/>
            <w:vAlign w:val="center"/>
          </w:tcPr>
          <w:p w14:paraId="1B485311">
            <w:pPr>
              <w:autoSpaceDE w:val="0"/>
              <w:autoSpaceDN w:val="0"/>
              <w:snapToGrid w:val="0"/>
              <w:spacing w:line="360" w:lineRule="auto"/>
              <w:jc w:val="center"/>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（一）考核扣分项</w:t>
            </w:r>
          </w:p>
        </w:tc>
        <w:tc>
          <w:tcPr>
            <w:tcW w:w="1373" w:type="dxa"/>
            <w:vAlign w:val="center"/>
          </w:tcPr>
          <w:p w14:paraId="38E8AA2D">
            <w:pPr>
              <w:autoSpaceDE w:val="0"/>
              <w:autoSpaceDN w:val="0"/>
              <w:snapToGrid w:val="0"/>
              <w:spacing w:line="360" w:lineRule="auto"/>
              <w:jc w:val="center"/>
              <w:rPr>
                <w:rFonts w:hint="eastAsia" w:asciiTheme="minorEastAsia" w:hAnsiTheme="minorEastAsia" w:eastAsiaTheme="minorEastAsia" w:cstheme="minorEastAsia"/>
                <w:b/>
                <w:color w:val="auto"/>
                <w:sz w:val="24"/>
              </w:rPr>
            </w:pPr>
          </w:p>
        </w:tc>
        <w:tc>
          <w:tcPr>
            <w:tcW w:w="1775" w:type="dxa"/>
            <w:vAlign w:val="center"/>
          </w:tcPr>
          <w:p w14:paraId="0C54A5E1">
            <w:pPr>
              <w:autoSpaceDE w:val="0"/>
              <w:autoSpaceDN w:val="0"/>
              <w:snapToGrid w:val="0"/>
              <w:spacing w:line="360" w:lineRule="auto"/>
              <w:jc w:val="center"/>
              <w:rPr>
                <w:rFonts w:hint="eastAsia" w:asciiTheme="minorEastAsia" w:hAnsiTheme="minorEastAsia" w:eastAsiaTheme="minorEastAsia" w:cstheme="minorEastAsia"/>
                <w:b/>
                <w:color w:val="auto"/>
                <w:sz w:val="24"/>
              </w:rPr>
            </w:pPr>
          </w:p>
        </w:tc>
      </w:tr>
      <w:tr w14:paraId="733BE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6E518F20">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4824" w:type="dxa"/>
            <w:gridSpan w:val="2"/>
            <w:vAlign w:val="center"/>
          </w:tcPr>
          <w:p w14:paraId="4FA3766E">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等保测评服务，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72FB2A02">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2EA2B5A4">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5DE70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34DFF3BA">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p>
        </w:tc>
        <w:tc>
          <w:tcPr>
            <w:tcW w:w="4824" w:type="dxa"/>
            <w:gridSpan w:val="2"/>
            <w:vAlign w:val="center"/>
          </w:tcPr>
          <w:p w14:paraId="7C3C5EF6">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数据库审计服务，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63FB2E22">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317F87D1">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37538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17" w:type="dxa"/>
            <w:vAlign w:val="center"/>
          </w:tcPr>
          <w:p w14:paraId="413DF103">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w:t>
            </w:r>
          </w:p>
        </w:tc>
        <w:tc>
          <w:tcPr>
            <w:tcW w:w="4824" w:type="dxa"/>
            <w:gridSpan w:val="2"/>
            <w:vAlign w:val="center"/>
          </w:tcPr>
          <w:p w14:paraId="0857D2B2">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政务网云日志审计服务，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6BFC1C65">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3FDEE403">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7CC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3E7E8DD">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w:t>
            </w:r>
          </w:p>
        </w:tc>
        <w:tc>
          <w:tcPr>
            <w:tcW w:w="4824" w:type="dxa"/>
            <w:gridSpan w:val="2"/>
            <w:vAlign w:val="center"/>
          </w:tcPr>
          <w:p w14:paraId="79F172BA">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针对政务网态势感知服务</w:t>
            </w:r>
            <w:r>
              <w:rPr>
                <w:rFonts w:hint="eastAsia" w:asciiTheme="minorEastAsia" w:hAnsiTheme="minorEastAsia" w:eastAsiaTheme="minorEastAsia" w:cstheme="minorEastAsia"/>
                <w:bCs/>
                <w:color w:val="auto"/>
                <w:sz w:val="24"/>
              </w:rPr>
              <w:t>，</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7B63795F">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CFB38C2">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6DE26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9B72889">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w:t>
            </w:r>
          </w:p>
        </w:tc>
        <w:tc>
          <w:tcPr>
            <w:tcW w:w="4824" w:type="dxa"/>
            <w:gridSpan w:val="2"/>
            <w:vAlign w:val="center"/>
          </w:tcPr>
          <w:p w14:paraId="16369AE9">
            <w:pPr>
              <w:snapToGrid w:val="0"/>
              <w:spacing w:line="360" w:lineRule="auto"/>
              <w:rPr>
                <w:rFonts w:hint="eastAsia" w:asciiTheme="minorEastAsia" w:hAnsiTheme="minorEastAsia" w:eastAsiaTheme="minorEastAsia" w:cstheme="minorEastAsia"/>
                <w:bCs/>
                <w:color w:val="auto"/>
                <w:sz w:val="24"/>
                <w:lang w:eastAsia="zh-Hans"/>
              </w:rPr>
            </w:pPr>
            <w:r>
              <w:rPr>
                <w:rFonts w:hint="eastAsia" w:asciiTheme="minorEastAsia" w:hAnsiTheme="minorEastAsia" w:eastAsiaTheme="minorEastAsia" w:cstheme="minorEastAsia"/>
                <w:bCs/>
                <w:color w:val="auto"/>
                <w:sz w:val="24"/>
                <w:lang w:eastAsia="zh-Hans"/>
              </w:rPr>
              <w:t>针对SaaS化安全服务</w:t>
            </w:r>
            <w:r>
              <w:rPr>
                <w:rFonts w:hint="eastAsia" w:asciiTheme="minorEastAsia" w:hAnsiTheme="minorEastAsia" w:eastAsiaTheme="minorEastAsia" w:cstheme="minorEastAsia"/>
                <w:bCs/>
                <w:color w:val="auto"/>
                <w:sz w:val="24"/>
              </w:rPr>
              <w:t>，</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486F7C77">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071687B6">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77A01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0D2E2B0">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w:t>
            </w:r>
          </w:p>
        </w:tc>
        <w:tc>
          <w:tcPr>
            <w:tcW w:w="4824" w:type="dxa"/>
            <w:gridSpan w:val="2"/>
            <w:vAlign w:val="center"/>
          </w:tcPr>
          <w:p w14:paraId="676073F7">
            <w:pPr>
              <w:snapToGrid w:val="0"/>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公安网安全风险感知服务，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295786A6">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672FBB7">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6242B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5397B3F">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7</w:t>
            </w:r>
          </w:p>
        </w:tc>
        <w:tc>
          <w:tcPr>
            <w:tcW w:w="4824" w:type="dxa"/>
            <w:gridSpan w:val="2"/>
            <w:vAlign w:val="center"/>
          </w:tcPr>
          <w:p w14:paraId="61872F6A">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公安网桌面云服务，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0200631C">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44B4C8D3">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31281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B7C8DC5">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8</w:t>
            </w:r>
          </w:p>
        </w:tc>
        <w:tc>
          <w:tcPr>
            <w:tcW w:w="4824" w:type="dxa"/>
            <w:gridSpan w:val="2"/>
            <w:vAlign w:val="center"/>
          </w:tcPr>
          <w:p w14:paraId="771C06C0">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公安网一机两用服务，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0B1E539E">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6CCF854A">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3DB5D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21F6DBF">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9</w:t>
            </w:r>
          </w:p>
        </w:tc>
        <w:tc>
          <w:tcPr>
            <w:tcW w:w="4824" w:type="dxa"/>
            <w:gridSpan w:val="2"/>
            <w:vAlign w:val="center"/>
          </w:tcPr>
          <w:p w14:paraId="298F971C">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视频网终端杀毒服务，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23C9DADC">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42D7084B">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5260D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1417EC6">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10</w:t>
            </w:r>
          </w:p>
        </w:tc>
        <w:tc>
          <w:tcPr>
            <w:tcW w:w="4824" w:type="dxa"/>
            <w:gridSpan w:val="2"/>
            <w:vAlign w:val="center"/>
          </w:tcPr>
          <w:p w14:paraId="262AD630">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系统安全检测服务，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7BB3DFE0">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401256AD">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76C20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7D8C130">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11</w:t>
            </w:r>
          </w:p>
        </w:tc>
        <w:tc>
          <w:tcPr>
            <w:tcW w:w="4824" w:type="dxa"/>
            <w:gridSpan w:val="2"/>
            <w:vAlign w:val="center"/>
          </w:tcPr>
          <w:p w14:paraId="6DB7A009">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网络安全检查服务，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582F12F1">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4A25425B">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C1B1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67B9ED1">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12</w:t>
            </w:r>
          </w:p>
        </w:tc>
        <w:tc>
          <w:tcPr>
            <w:tcW w:w="4824" w:type="dxa"/>
            <w:gridSpan w:val="2"/>
            <w:vAlign w:val="center"/>
          </w:tcPr>
          <w:p w14:paraId="2189F06E">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color w:val="auto"/>
                <w:sz w:val="24"/>
                <w:lang w:eastAsia="zh-Hans"/>
              </w:rPr>
              <w:t>重要时期重大活动安全保障服务</w:t>
            </w:r>
            <w:r>
              <w:rPr>
                <w:rFonts w:hint="eastAsia" w:asciiTheme="minorEastAsia" w:hAnsiTheme="minorEastAsia" w:eastAsiaTheme="minorEastAsia" w:cstheme="minorEastAsia"/>
                <w:bCs/>
                <w:color w:val="auto"/>
                <w:sz w:val="24"/>
              </w:rPr>
              <w:t>，</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4C71B878">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58FD773D">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AA00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2E1CF13">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13</w:t>
            </w:r>
          </w:p>
        </w:tc>
        <w:tc>
          <w:tcPr>
            <w:tcW w:w="4824" w:type="dxa"/>
            <w:gridSpan w:val="2"/>
            <w:vAlign w:val="center"/>
          </w:tcPr>
          <w:p w14:paraId="4446E2F1">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应急响应服务，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3EDF8750">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7CE404FE">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1F6E8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0EC2D34">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14</w:t>
            </w:r>
          </w:p>
        </w:tc>
        <w:tc>
          <w:tcPr>
            <w:tcW w:w="4824" w:type="dxa"/>
            <w:gridSpan w:val="2"/>
            <w:vAlign w:val="center"/>
          </w:tcPr>
          <w:p w14:paraId="6BCED2A1">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lang w:eastAsia="zh-Hans"/>
              </w:rPr>
              <w:t>针对</w:t>
            </w:r>
            <w:r>
              <w:rPr>
                <w:rFonts w:hint="eastAsia" w:asciiTheme="minorEastAsia" w:hAnsiTheme="minorEastAsia" w:eastAsiaTheme="minorEastAsia" w:cstheme="minorEastAsia"/>
                <w:bCs/>
                <w:color w:val="auto"/>
                <w:sz w:val="24"/>
              </w:rPr>
              <w:t>边界通道租赁服务，</w:t>
            </w:r>
            <w:r>
              <w:rPr>
                <w:rFonts w:hint="eastAsia" w:asciiTheme="minorEastAsia" w:hAnsiTheme="minorEastAsia" w:eastAsiaTheme="minorEastAsia" w:cstheme="minorEastAsia"/>
                <w:bCs/>
                <w:color w:val="auto"/>
                <w:sz w:val="24"/>
                <w:lang w:eastAsia="zh-CN"/>
              </w:rPr>
              <w:t>乙方</w:t>
            </w:r>
            <w:r>
              <w:rPr>
                <w:rFonts w:hint="eastAsia" w:asciiTheme="minorEastAsia" w:hAnsiTheme="minorEastAsia" w:eastAsiaTheme="minorEastAsia" w:cstheme="minorEastAsia"/>
                <w:bCs/>
                <w:color w:val="auto"/>
                <w:sz w:val="24"/>
                <w:lang w:eastAsia="zh-Hans"/>
              </w:rPr>
              <w:t>未按采购需求要求提供服务，每发生一次扣3分。</w:t>
            </w:r>
          </w:p>
        </w:tc>
        <w:tc>
          <w:tcPr>
            <w:tcW w:w="1373" w:type="dxa"/>
            <w:vAlign w:val="center"/>
          </w:tcPr>
          <w:p w14:paraId="41D10CCD">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6032FBC5">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1FB00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563BB48">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15</w:t>
            </w:r>
          </w:p>
        </w:tc>
        <w:tc>
          <w:tcPr>
            <w:tcW w:w="4824" w:type="dxa"/>
            <w:gridSpan w:val="2"/>
            <w:vAlign w:val="center"/>
          </w:tcPr>
          <w:p w14:paraId="70CB00F0">
            <w:pPr>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kern w:val="0"/>
                <w:sz w:val="24"/>
                <w:lang w:bidi="ar"/>
              </w:rPr>
              <w:t>人员配备要求达不到合同条款要求的，每发生一次扣5</w:t>
            </w:r>
            <w:r>
              <w:rPr>
                <w:rFonts w:hint="eastAsia" w:asciiTheme="minorEastAsia" w:hAnsiTheme="minorEastAsia" w:eastAsiaTheme="minorEastAsia" w:cstheme="minorEastAsia"/>
                <w:color w:val="auto"/>
                <w:kern w:val="0"/>
                <w:sz w:val="24"/>
                <w:lang w:eastAsia="zh-Hans" w:bidi="ar"/>
              </w:rPr>
              <w:t>分。</w:t>
            </w:r>
          </w:p>
        </w:tc>
        <w:tc>
          <w:tcPr>
            <w:tcW w:w="1373" w:type="dxa"/>
            <w:vAlign w:val="center"/>
          </w:tcPr>
          <w:p w14:paraId="77EC83D6">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CCFD9A5">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4C143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1A426D">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16</w:t>
            </w:r>
          </w:p>
        </w:tc>
        <w:tc>
          <w:tcPr>
            <w:tcW w:w="4824" w:type="dxa"/>
            <w:gridSpan w:val="2"/>
            <w:vAlign w:val="center"/>
          </w:tcPr>
          <w:p w14:paraId="1046D0EE">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在</w:t>
            </w:r>
            <w:r>
              <w:rPr>
                <w:rFonts w:hint="eastAsia" w:asciiTheme="minorEastAsia" w:hAnsiTheme="minorEastAsia" w:eastAsiaTheme="minorEastAsia" w:cstheme="minorEastAsia"/>
                <w:color w:val="auto"/>
                <w:sz w:val="24"/>
              </w:rPr>
              <w:t>服务期内</w:t>
            </w:r>
            <w:r>
              <w:rPr>
                <w:rFonts w:hint="eastAsia" w:asciiTheme="minorEastAsia" w:hAnsiTheme="minorEastAsia" w:eastAsiaTheme="minorEastAsia" w:cstheme="minorEastAsia"/>
                <w:color w:val="auto"/>
                <w:sz w:val="24"/>
                <w:lang w:eastAsia="zh-Hans"/>
              </w:rPr>
              <w:t>未</w:t>
            </w:r>
            <w:r>
              <w:rPr>
                <w:rFonts w:hint="eastAsia" w:asciiTheme="minorEastAsia" w:hAnsiTheme="minorEastAsia" w:eastAsiaTheme="minorEastAsia" w:cstheme="minorEastAsia"/>
                <w:color w:val="auto"/>
                <w:sz w:val="24"/>
              </w:rPr>
              <w:t>提供7*24小时的技术支持（包括电话咨询与现场服务）。</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在接到应急电话后，</w:t>
            </w:r>
            <w:r>
              <w:rPr>
                <w:rFonts w:hint="eastAsia" w:asciiTheme="minorEastAsia" w:hAnsiTheme="minorEastAsia" w:eastAsiaTheme="minorEastAsia" w:cstheme="minorEastAsia"/>
                <w:color w:val="auto"/>
                <w:sz w:val="24"/>
                <w:lang w:eastAsia="zh-Hans"/>
              </w:rPr>
              <w:t>未在</w:t>
            </w:r>
            <w:r>
              <w:rPr>
                <w:rFonts w:hint="eastAsia" w:asciiTheme="minorEastAsia" w:hAnsiTheme="minorEastAsia" w:eastAsiaTheme="minorEastAsia" w:cstheme="minorEastAsia"/>
                <w:color w:val="auto"/>
                <w:sz w:val="24"/>
              </w:rPr>
              <w:t>应规定时间内响应，</w:t>
            </w:r>
            <w:r>
              <w:rPr>
                <w:rFonts w:hint="eastAsia" w:asciiTheme="minorEastAsia" w:hAnsiTheme="minorEastAsia" w:eastAsiaTheme="minorEastAsia" w:cstheme="minorEastAsia"/>
                <w:bCs/>
                <w:color w:val="auto"/>
                <w:sz w:val="24"/>
                <w:lang w:eastAsia="zh-Hans"/>
              </w:rPr>
              <w:t>每发生一次扣3分</w:t>
            </w:r>
            <w:r>
              <w:rPr>
                <w:rFonts w:hint="eastAsia" w:asciiTheme="minorEastAsia" w:hAnsiTheme="minorEastAsia" w:eastAsiaTheme="minorEastAsia" w:cstheme="minorEastAsia"/>
                <w:color w:val="auto"/>
                <w:sz w:val="24"/>
              </w:rPr>
              <w:t>。</w:t>
            </w:r>
          </w:p>
        </w:tc>
        <w:tc>
          <w:tcPr>
            <w:tcW w:w="1373" w:type="dxa"/>
            <w:vAlign w:val="center"/>
          </w:tcPr>
          <w:p w14:paraId="24214CC2">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0D22EDE">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6F1A8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438FA74">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17</w:t>
            </w:r>
          </w:p>
        </w:tc>
        <w:tc>
          <w:tcPr>
            <w:tcW w:w="4824" w:type="dxa"/>
            <w:gridSpan w:val="2"/>
            <w:vAlign w:val="center"/>
          </w:tcPr>
          <w:p w14:paraId="2F4C1997">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lang w:eastAsia="zh-Hans"/>
              </w:rPr>
              <w:t>未</w:t>
            </w:r>
            <w:r>
              <w:rPr>
                <w:rFonts w:hint="eastAsia" w:asciiTheme="minorEastAsia" w:hAnsiTheme="minorEastAsia" w:eastAsiaTheme="minorEastAsia" w:cstheme="minorEastAsia"/>
                <w:color w:val="auto"/>
                <w:sz w:val="24"/>
              </w:rPr>
              <w:t>协助</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完成安全检查工作，</w:t>
            </w:r>
            <w:r>
              <w:rPr>
                <w:rFonts w:hint="eastAsia" w:asciiTheme="minorEastAsia" w:hAnsiTheme="minorEastAsia" w:eastAsiaTheme="minorEastAsia" w:cstheme="minorEastAsia"/>
                <w:bCs/>
                <w:color w:val="auto"/>
                <w:sz w:val="24"/>
                <w:lang w:eastAsia="zh-Hans"/>
              </w:rPr>
              <w:t>每发生一次扣3分</w:t>
            </w:r>
            <w:r>
              <w:rPr>
                <w:rFonts w:hint="eastAsia" w:asciiTheme="minorEastAsia" w:hAnsiTheme="minorEastAsia" w:eastAsiaTheme="minorEastAsia" w:cstheme="minorEastAsia"/>
                <w:color w:val="auto"/>
                <w:sz w:val="24"/>
              </w:rPr>
              <w:t>。</w:t>
            </w:r>
          </w:p>
        </w:tc>
        <w:tc>
          <w:tcPr>
            <w:tcW w:w="1373" w:type="dxa"/>
            <w:vAlign w:val="center"/>
          </w:tcPr>
          <w:p w14:paraId="608C1F06">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981A151">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335F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EB4DE23">
            <w:pPr>
              <w:autoSpaceDE w:val="0"/>
              <w:autoSpaceDN w:val="0"/>
              <w:snapToGrid w:val="0"/>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18</w:t>
            </w:r>
          </w:p>
        </w:tc>
        <w:tc>
          <w:tcPr>
            <w:tcW w:w="4824" w:type="dxa"/>
            <w:gridSpan w:val="2"/>
            <w:vAlign w:val="center"/>
          </w:tcPr>
          <w:p w14:paraId="6E5A60B2">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CN"/>
              </w:rPr>
              <w:t>乙方未按照要求提供文档，</w:t>
            </w:r>
            <w:r>
              <w:rPr>
                <w:rFonts w:hint="eastAsia" w:asciiTheme="minorEastAsia" w:hAnsiTheme="minorEastAsia" w:eastAsiaTheme="minorEastAsia" w:cstheme="minorEastAsia"/>
                <w:color w:val="auto"/>
                <w:sz w:val="24"/>
              </w:rPr>
              <w:t>每发</w:t>
            </w:r>
            <w:r>
              <w:rPr>
                <w:rFonts w:hint="eastAsia" w:asciiTheme="minorEastAsia" w:hAnsiTheme="minorEastAsia" w:eastAsiaTheme="minorEastAsia" w:cstheme="minorEastAsia"/>
                <w:color w:val="auto"/>
                <w:sz w:val="24"/>
                <w:lang w:eastAsia="zh-Hans"/>
              </w:rPr>
              <w:t>生一</w:t>
            </w:r>
            <w:r>
              <w:rPr>
                <w:rFonts w:hint="eastAsia" w:asciiTheme="minorEastAsia" w:hAnsiTheme="minorEastAsia" w:eastAsiaTheme="minorEastAsia" w:cstheme="minorEastAsia"/>
                <w:color w:val="auto"/>
                <w:sz w:val="24"/>
              </w:rPr>
              <w:t>次扣5分。</w:t>
            </w:r>
          </w:p>
        </w:tc>
        <w:tc>
          <w:tcPr>
            <w:tcW w:w="1373" w:type="dxa"/>
            <w:vAlign w:val="center"/>
          </w:tcPr>
          <w:p w14:paraId="3E4DBB23">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416CD21E">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F4B6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EA06013">
            <w:pPr>
              <w:autoSpaceDE w:val="0"/>
              <w:autoSpaceDN w:val="0"/>
              <w:snapToGrid w:val="0"/>
              <w:spacing w:line="360" w:lineRule="auto"/>
              <w:jc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t>19</w:t>
            </w:r>
          </w:p>
        </w:tc>
        <w:tc>
          <w:tcPr>
            <w:tcW w:w="4824" w:type="dxa"/>
            <w:gridSpan w:val="2"/>
            <w:vAlign w:val="center"/>
          </w:tcPr>
          <w:p w14:paraId="51086B56">
            <w:pPr>
              <w:snapToGrid w:val="0"/>
              <w:spacing w:line="360" w:lineRule="auto"/>
              <w:rPr>
                <w:rFonts w:hint="eastAsia" w:asciiTheme="minorEastAsia" w:hAnsiTheme="minorEastAsia" w:eastAsiaTheme="minorEastAsia" w:cstheme="minorEastAsia"/>
                <w:color w:val="auto"/>
                <w:sz w:val="24"/>
                <w:lang w:eastAsia="zh-CN"/>
              </w:rPr>
            </w:pPr>
            <w:r>
              <w:rPr>
                <w:rFonts w:hint="eastAsia" w:asciiTheme="minorEastAsia" w:hAnsiTheme="minorEastAsia" w:eastAsiaTheme="minorEastAsia" w:cstheme="minorEastAsia"/>
                <w:color w:val="auto"/>
                <w:sz w:val="24"/>
                <w:lang w:eastAsia="zh-CN"/>
              </w:rPr>
              <w:t>乙方及驻点工作人员未按要求遵守甲方规章制度，</w:t>
            </w:r>
            <w:r>
              <w:rPr>
                <w:rFonts w:hint="eastAsia" w:asciiTheme="minorEastAsia" w:hAnsiTheme="minorEastAsia" w:eastAsiaTheme="minorEastAsia" w:cstheme="minorEastAsia"/>
                <w:color w:val="auto"/>
                <w:sz w:val="24"/>
              </w:rPr>
              <w:t>每发</w:t>
            </w:r>
            <w:r>
              <w:rPr>
                <w:rFonts w:hint="eastAsia" w:asciiTheme="minorEastAsia" w:hAnsiTheme="minorEastAsia" w:eastAsiaTheme="minorEastAsia" w:cstheme="minorEastAsia"/>
                <w:color w:val="auto"/>
                <w:sz w:val="24"/>
                <w:lang w:eastAsia="zh-Hans"/>
              </w:rPr>
              <w:t>生一</w:t>
            </w:r>
            <w:r>
              <w:rPr>
                <w:rFonts w:hint="eastAsia" w:asciiTheme="minorEastAsia" w:hAnsiTheme="minorEastAsia" w:eastAsiaTheme="minorEastAsia" w:cstheme="minorEastAsia"/>
                <w:color w:val="auto"/>
                <w:sz w:val="24"/>
              </w:rPr>
              <w:t>次扣5分。</w:t>
            </w:r>
          </w:p>
        </w:tc>
        <w:tc>
          <w:tcPr>
            <w:tcW w:w="1373" w:type="dxa"/>
            <w:vAlign w:val="center"/>
          </w:tcPr>
          <w:p w14:paraId="0547C2DE">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17530D4B">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60EB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B39766F">
            <w:pPr>
              <w:autoSpaceDE w:val="0"/>
              <w:autoSpaceDN w:val="0"/>
              <w:snapToGrid w:val="0"/>
              <w:spacing w:line="360" w:lineRule="auto"/>
              <w:jc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t>20</w:t>
            </w:r>
          </w:p>
        </w:tc>
        <w:tc>
          <w:tcPr>
            <w:tcW w:w="4824" w:type="dxa"/>
            <w:gridSpan w:val="2"/>
            <w:vAlign w:val="center"/>
          </w:tcPr>
          <w:p w14:paraId="07031204">
            <w:pPr>
              <w:snapToGrid w:val="0"/>
              <w:spacing w:line="360" w:lineRule="auto"/>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kern w:val="0"/>
                <w:sz w:val="24"/>
                <w:lang w:bidi="ar"/>
              </w:rPr>
              <w:t>发生违反相关保密规定、未按网络安全履行责任和义务的,每发生一次扣除违约金10000元/次外，</w:t>
            </w:r>
            <w:r>
              <w:rPr>
                <w:rFonts w:hint="eastAsia" w:asciiTheme="minorEastAsia" w:hAnsiTheme="minorEastAsia" w:eastAsiaTheme="minorEastAsia" w:cstheme="minorEastAsia"/>
                <w:color w:val="auto"/>
                <w:kern w:val="0"/>
                <w:sz w:val="24"/>
                <w:lang w:eastAsia="zh-CN" w:bidi="ar"/>
              </w:rPr>
              <w:t>甲方</w:t>
            </w:r>
            <w:r>
              <w:rPr>
                <w:rFonts w:hint="eastAsia" w:asciiTheme="minorEastAsia" w:hAnsiTheme="minorEastAsia" w:eastAsiaTheme="minorEastAsia" w:cstheme="minorEastAsia"/>
                <w:color w:val="auto"/>
                <w:kern w:val="0"/>
                <w:sz w:val="24"/>
                <w:lang w:bidi="ar"/>
              </w:rPr>
              <w:t>将追究</w:t>
            </w:r>
            <w:r>
              <w:rPr>
                <w:rFonts w:hint="eastAsia" w:asciiTheme="minorEastAsia" w:hAnsiTheme="minorEastAsia" w:eastAsiaTheme="minorEastAsia" w:cstheme="minorEastAsia"/>
                <w:color w:val="auto"/>
                <w:kern w:val="0"/>
                <w:sz w:val="24"/>
                <w:lang w:eastAsia="zh-CN" w:bidi="ar"/>
              </w:rPr>
              <w:t>乙方</w:t>
            </w:r>
            <w:r>
              <w:rPr>
                <w:rFonts w:hint="eastAsia" w:asciiTheme="minorEastAsia" w:hAnsiTheme="minorEastAsia" w:eastAsiaTheme="minorEastAsia" w:cstheme="minorEastAsia"/>
                <w:color w:val="auto"/>
                <w:kern w:val="0"/>
                <w:sz w:val="24"/>
                <w:lang w:bidi="ar"/>
              </w:rPr>
              <w:t>一切法律责任。</w:t>
            </w:r>
          </w:p>
        </w:tc>
        <w:tc>
          <w:tcPr>
            <w:tcW w:w="1373" w:type="dxa"/>
            <w:vAlign w:val="center"/>
          </w:tcPr>
          <w:p w14:paraId="4420E17B">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2670FC35">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216C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7B2AE23">
            <w:pPr>
              <w:autoSpaceDE w:val="0"/>
              <w:autoSpaceDN w:val="0"/>
              <w:snapToGrid w:val="0"/>
              <w:spacing w:line="360" w:lineRule="auto"/>
              <w:jc w:val="center"/>
              <w:rPr>
                <w:rFonts w:hint="eastAsia" w:asciiTheme="minorEastAsia" w:hAnsiTheme="minorEastAsia" w:eastAsiaTheme="minorEastAsia" w:cstheme="minorEastAsia"/>
                <w:color w:val="auto"/>
                <w:sz w:val="24"/>
                <w:lang w:eastAsia="zh-CN"/>
              </w:rPr>
            </w:pPr>
            <w:r>
              <w:rPr>
                <w:rFonts w:hint="eastAsia" w:asciiTheme="minorEastAsia" w:hAnsiTheme="minorEastAsia" w:eastAsiaTheme="minorEastAsia" w:cstheme="minorEastAsia"/>
                <w:color w:val="auto"/>
                <w:sz w:val="24"/>
              </w:rPr>
              <w:t>2</w:t>
            </w:r>
            <w:r>
              <w:rPr>
                <w:rFonts w:hint="eastAsia" w:asciiTheme="minorEastAsia" w:hAnsiTheme="minorEastAsia" w:eastAsiaTheme="minorEastAsia" w:cstheme="minorEastAsia"/>
                <w:color w:val="auto"/>
                <w:sz w:val="24"/>
                <w:lang w:val="en-US" w:eastAsia="zh-CN"/>
              </w:rPr>
              <w:t>1</w:t>
            </w:r>
          </w:p>
        </w:tc>
        <w:tc>
          <w:tcPr>
            <w:tcW w:w="4824" w:type="dxa"/>
            <w:gridSpan w:val="2"/>
            <w:vAlign w:val="center"/>
          </w:tcPr>
          <w:p w14:paraId="2343F212">
            <w:pPr>
              <w:snapToGrid w:val="0"/>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未按承诺预留中小企业的比例达到合同总价的</w:t>
            </w:r>
            <w:r>
              <w:rPr>
                <w:rFonts w:hint="eastAsia" w:asciiTheme="minorEastAsia" w:hAnsiTheme="minorEastAsia" w:eastAsiaTheme="minorEastAsia" w:cstheme="minorEastAsia"/>
                <w:color w:val="auto"/>
                <w:sz w:val="24"/>
                <w:lang w:val="en-US" w:eastAsia="zh-CN"/>
              </w:rPr>
              <w:t>100</w:t>
            </w:r>
            <w:r>
              <w:rPr>
                <w:rFonts w:hint="eastAsia" w:asciiTheme="minorEastAsia" w:hAnsiTheme="minorEastAsia" w:eastAsiaTheme="minorEastAsia" w:cstheme="minorEastAsia"/>
                <w:color w:val="auto"/>
                <w:sz w:val="24"/>
              </w:rPr>
              <w:t>%、小微企业的比例达到合同总价的28%，</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有权无条件终止合同,并报送本级政府采购监管部门，提前列入失信行为记录名单，追究相关责任，且</w:t>
            </w:r>
            <w:r>
              <w:rPr>
                <w:rFonts w:hint="eastAsia" w:asciiTheme="minorEastAsia" w:hAnsiTheme="minorEastAsia" w:eastAsiaTheme="minorEastAsia" w:cstheme="minorEastAsia"/>
                <w:color w:val="auto"/>
                <w:sz w:val="24"/>
                <w:lang w:eastAsia="zh-CN"/>
              </w:rPr>
              <w:t>乙方</w:t>
            </w:r>
            <w:r>
              <w:rPr>
                <w:rFonts w:hint="eastAsia" w:asciiTheme="minorEastAsia" w:hAnsiTheme="minorEastAsia" w:eastAsiaTheme="minorEastAsia" w:cstheme="minorEastAsia"/>
                <w:color w:val="auto"/>
                <w:sz w:val="24"/>
              </w:rPr>
              <w:t>应向</w:t>
            </w:r>
            <w:r>
              <w:rPr>
                <w:rFonts w:hint="eastAsia" w:asciiTheme="minorEastAsia" w:hAnsiTheme="minorEastAsia" w:eastAsiaTheme="minorEastAsia" w:cstheme="minorEastAsia"/>
                <w:color w:val="auto"/>
                <w:sz w:val="24"/>
                <w:lang w:eastAsia="zh-CN"/>
              </w:rPr>
              <w:t>甲方</w:t>
            </w:r>
            <w:r>
              <w:rPr>
                <w:rFonts w:hint="eastAsia" w:asciiTheme="minorEastAsia" w:hAnsiTheme="minorEastAsia" w:eastAsiaTheme="minorEastAsia" w:cstheme="minorEastAsia"/>
                <w:color w:val="auto"/>
                <w:sz w:val="24"/>
              </w:rPr>
              <w:t>支付合同总价30%的违约金。</w:t>
            </w:r>
          </w:p>
        </w:tc>
        <w:tc>
          <w:tcPr>
            <w:tcW w:w="1373" w:type="dxa"/>
            <w:vAlign w:val="center"/>
          </w:tcPr>
          <w:p w14:paraId="59412519">
            <w:pPr>
              <w:autoSpaceDE w:val="0"/>
              <w:autoSpaceDN w:val="0"/>
              <w:snapToGrid w:val="0"/>
              <w:spacing w:line="360" w:lineRule="auto"/>
              <w:rPr>
                <w:rFonts w:hint="eastAsia" w:asciiTheme="minorEastAsia" w:hAnsiTheme="minorEastAsia" w:eastAsiaTheme="minorEastAsia" w:cstheme="minorEastAsia"/>
                <w:color w:val="auto"/>
                <w:sz w:val="24"/>
              </w:rPr>
            </w:pPr>
          </w:p>
        </w:tc>
        <w:tc>
          <w:tcPr>
            <w:tcW w:w="1775" w:type="dxa"/>
            <w:vAlign w:val="center"/>
          </w:tcPr>
          <w:p w14:paraId="6D131DDA">
            <w:pPr>
              <w:autoSpaceDE w:val="0"/>
              <w:autoSpaceDN w:val="0"/>
              <w:snapToGrid w:val="0"/>
              <w:spacing w:line="360" w:lineRule="auto"/>
              <w:rPr>
                <w:rFonts w:hint="eastAsia" w:asciiTheme="minorEastAsia" w:hAnsiTheme="minorEastAsia" w:eastAsiaTheme="minorEastAsia" w:cstheme="minorEastAsia"/>
                <w:color w:val="auto"/>
                <w:sz w:val="24"/>
              </w:rPr>
            </w:pPr>
          </w:p>
        </w:tc>
      </w:tr>
      <w:tr w14:paraId="02A6A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blHeader/>
        </w:trPr>
        <w:tc>
          <w:tcPr>
            <w:tcW w:w="8789" w:type="dxa"/>
            <w:gridSpan w:val="5"/>
            <w:vAlign w:val="center"/>
          </w:tcPr>
          <w:p w14:paraId="5417A404">
            <w:pPr>
              <w:widowControl/>
              <w:spacing w:line="360" w:lineRule="auto"/>
              <w:jc w:val="left"/>
              <w:textAlignment w:val="center"/>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lang w:eastAsia="zh-CN"/>
              </w:rPr>
              <w:t>甲方</w:t>
            </w:r>
            <w:r>
              <w:rPr>
                <w:rFonts w:hint="eastAsia" w:asciiTheme="minorEastAsia" w:hAnsiTheme="minorEastAsia" w:eastAsiaTheme="minorEastAsia" w:cstheme="minorEastAsia"/>
                <w:color w:val="auto"/>
                <w:kern w:val="0"/>
                <w:sz w:val="24"/>
              </w:rPr>
              <w:t xml:space="preserve">项目经办人（签字）：                 </w:t>
            </w:r>
            <w:r>
              <w:rPr>
                <w:rFonts w:hint="eastAsia" w:asciiTheme="minorEastAsia" w:hAnsiTheme="minorEastAsia" w:eastAsiaTheme="minorEastAsia" w:cstheme="minorEastAsia"/>
                <w:color w:val="auto"/>
                <w:kern w:val="0"/>
                <w:sz w:val="24"/>
                <w:lang w:eastAsia="zh-CN"/>
              </w:rPr>
              <w:t>乙方</w:t>
            </w:r>
            <w:r>
              <w:rPr>
                <w:rFonts w:hint="eastAsia" w:asciiTheme="minorEastAsia" w:hAnsiTheme="minorEastAsia" w:eastAsiaTheme="minorEastAsia" w:cstheme="minorEastAsia"/>
                <w:color w:val="auto"/>
                <w:kern w:val="0"/>
                <w:sz w:val="24"/>
              </w:rPr>
              <w:t>项目负责人（签字盖章）：</w:t>
            </w:r>
          </w:p>
          <w:p w14:paraId="3AD987E1">
            <w:pPr>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0"/>
                <w:sz w:val="24"/>
                <w:lang w:eastAsia="zh-CN"/>
              </w:rPr>
              <w:t>甲方</w:t>
            </w:r>
            <w:r>
              <w:rPr>
                <w:rFonts w:hint="eastAsia" w:asciiTheme="minorEastAsia" w:hAnsiTheme="minorEastAsia" w:eastAsiaTheme="minorEastAsia" w:cstheme="minorEastAsia"/>
                <w:color w:val="auto"/>
                <w:kern w:val="0"/>
                <w:sz w:val="24"/>
              </w:rPr>
              <w:t>项目审核人（签字盖章）：                  日  期：</w:t>
            </w:r>
          </w:p>
          <w:p w14:paraId="64DA7ABC">
            <w:pPr>
              <w:widowControl/>
              <w:spacing w:line="360" w:lineRule="auto"/>
              <w:jc w:val="left"/>
              <w:textAlignment w:val="center"/>
              <w:rPr>
                <w:rFonts w:hint="eastAsia" w:asciiTheme="minorEastAsia" w:hAnsiTheme="minorEastAsia" w:eastAsiaTheme="minorEastAsia" w:cstheme="minorEastAsia"/>
                <w:color w:val="auto"/>
                <w:sz w:val="24"/>
              </w:rPr>
            </w:pPr>
          </w:p>
        </w:tc>
      </w:tr>
    </w:tbl>
    <w:p w14:paraId="23353A8C">
      <w:pPr>
        <w:spacing w:line="360" w:lineRule="auto"/>
        <w:rPr>
          <w:rFonts w:hint="eastAsia" w:asciiTheme="minorEastAsia" w:hAnsiTheme="minorEastAsia" w:eastAsiaTheme="minorEastAsia" w:cstheme="minorEastAsia"/>
          <w:color w:val="auto"/>
          <w:sz w:val="24"/>
          <w:highlight w:val="none"/>
        </w:rPr>
      </w:pPr>
    </w:p>
    <w:p w14:paraId="30901C44">
      <w:pPr>
        <w:snapToGrid w:val="0"/>
        <w:spacing w:line="360" w:lineRule="auto"/>
        <w:outlineLvl w:val="2"/>
        <w:rPr>
          <w:rFonts w:hint="eastAsia" w:asciiTheme="minorEastAsia" w:hAnsiTheme="minorEastAsia" w:eastAsiaTheme="minorEastAsia" w:cstheme="minorEastAsia"/>
          <w:b/>
          <w:snapToGrid w:val="0"/>
          <w:color w:val="auto"/>
          <w:kern w:val="0"/>
          <w:sz w:val="24"/>
        </w:rPr>
      </w:pPr>
      <w:r>
        <w:rPr>
          <w:rFonts w:hint="eastAsia" w:asciiTheme="minorEastAsia" w:hAnsiTheme="minorEastAsia" w:eastAsiaTheme="minorEastAsia" w:cstheme="minorEastAsia"/>
          <w:b/>
          <w:snapToGrid w:val="0"/>
          <w:color w:val="auto"/>
          <w:kern w:val="0"/>
          <w:sz w:val="24"/>
        </w:rPr>
        <w:t>附件</w:t>
      </w:r>
      <w:r>
        <w:rPr>
          <w:rFonts w:hint="eastAsia" w:asciiTheme="minorEastAsia" w:hAnsiTheme="minorEastAsia" w:eastAsiaTheme="minorEastAsia" w:cstheme="minorEastAsia"/>
          <w:b/>
          <w:snapToGrid w:val="0"/>
          <w:color w:val="auto"/>
          <w:kern w:val="0"/>
          <w:sz w:val="24"/>
          <w:lang w:val="en-US" w:eastAsia="zh-CN"/>
        </w:rPr>
        <w:t>四</w:t>
      </w:r>
      <w:r>
        <w:rPr>
          <w:rFonts w:hint="eastAsia" w:asciiTheme="minorEastAsia" w:hAnsiTheme="minorEastAsia" w:eastAsiaTheme="minorEastAsia" w:cstheme="minorEastAsia"/>
          <w:b/>
          <w:snapToGrid w:val="0"/>
          <w:color w:val="auto"/>
          <w:kern w:val="0"/>
          <w:sz w:val="24"/>
        </w:rPr>
        <w:t>：检测工具清单</w:t>
      </w:r>
    </w:p>
    <w:p w14:paraId="09155FCF">
      <w:pPr>
        <w:snapToGrid w:val="0"/>
        <w:spacing w:line="360" w:lineRule="auto"/>
        <w:outlineLvl w:val="2"/>
        <w:rPr>
          <w:rFonts w:hint="eastAsia" w:asciiTheme="minorEastAsia" w:hAnsiTheme="minorEastAsia" w:eastAsiaTheme="minorEastAsia" w:cstheme="minorEastAsia"/>
          <w:b/>
          <w:snapToGrid w:val="0"/>
          <w:color w:val="auto"/>
          <w:kern w:val="0"/>
          <w:sz w:val="24"/>
        </w:rPr>
      </w:pPr>
      <w:r>
        <w:rPr>
          <w:rFonts w:hint="eastAsia" w:asciiTheme="minorEastAsia" w:hAnsiTheme="minorEastAsia" w:eastAsiaTheme="minorEastAsia" w:cstheme="minorEastAsia"/>
          <w:b/>
          <w:snapToGrid w:val="0"/>
          <w:color w:val="auto"/>
          <w:kern w:val="0"/>
          <w:sz w:val="24"/>
        </w:rPr>
        <w:t>附件</w:t>
      </w:r>
      <w:r>
        <w:rPr>
          <w:rFonts w:hint="eastAsia" w:asciiTheme="minorEastAsia" w:hAnsiTheme="minorEastAsia" w:eastAsiaTheme="minorEastAsia" w:cstheme="minorEastAsia"/>
          <w:b/>
          <w:snapToGrid w:val="0"/>
          <w:color w:val="auto"/>
          <w:kern w:val="0"/>
          <w:sz w:val="24"/>
          <w:lang w:val="en-US" w:eastAsia="zh-CN"/>
        </w:rPr>
        <w:t>五</w:t>
      </w:r>
      <w:r>
        <w:rPr>
          <w:rFonts w:hint="eastAsia" w:asciiTheme="minorEastAsia" w:hAnsiTheme="minorEastAsia" w:eastAsiaTheme="minorEastAsia" w:cstheme="minorEastAsia"/>
          <w:b/>
          <w:snapToGrid w:val="0"/>
          <w:color w:val="auto"/>
          <w:kern w:val="0"/>
          <w:sz w:val="24"/>
        </w:rPr>
        <w:t>：分包协议（如有）</w:t>
      </w:r>
    </w:p>
    <w:p w14:paraId="0E433972">
      <w:pPr>
        <w:spacing w:before="124" w:after="124" w:line="360" w:lineRule="auto"/>
        <w:ind w:firstLine="480" w:firstLineChars="200"/>
        <w:rPr>
          <w:rFonts w:hint="eastAsia" w:asciiTheme="minorEastAsia" w:hAnsiTheme="minorEastAsia" w:eastAsiaTheme="minorEastAsia" w:cstheme="minorEastAsia"/>
          <w:color w:val="auto"/>
          <w:sz w:val="24"/>
        </w:rPr>
      </w:pPr>
    </w:p>
    <w:p w14:paraId="3AF797B6">
      <w:pPr>
        <w:spacing w:line="360" w:lineRule="auto"/>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581A8B11">
      <w:pPr>
        <w:spacing w:line="360" w:lineRule="auto"/>
        <w:rPr>
          <w:rFonts w:hint="eastAsia" w:asciiTheme="minorEastAsia" w:hAnsiTheme="minorEastAsia" w:eastAsiaTheme="minorEastAsia" w:cstheme="minorEastAsia"/>
          <w:color w:val="auto"/>
        </w:rPr>
      </w:pP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6"/>
      <w:r>
        <w:rPr>
          <w:rFonts w:hint="eastAsia" w:ascii="宋体" w:hAnsi="宋体" w:cs="宋体"/>
          <w:b/>
          <w:color w:val="auto"/>
          <w:sz w:val="36"/>
          <w:szCs w:val="20"/>
          <w:highlight w:val="none"/>
        </w:rPr>
        <w:t xml:space="preserve"> </w:t>
      </w:r>
      <w:bookmarkEnd w:id="397"/>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2" w:name="_Hlk101257010"/>
      <w:r>
        <w:rPr>
          <w:rFonts w:hint="eastAsia" w:ascii="宋体" w:hAnsi="宋体" w:cs="宋体"/>
          <w:color w:val="auto"/>
          <w:sz w:val="24"/>
          <w:highlight w:val="none"/>
        </w:rPr>
        <w:t>（如果有)</w:t>
      </w:r>
      <w:bookmarkEnd w:id="512"/>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w:t>
      </w:r>
      <w:r>
        <w:rPr>
          <w:rFonts w:hint="eastAsia" w:ascii="宋体" w:hAnsi="宋体" w:cs="宋体"/>
          <w:color w:val="auto"/>
          <w:sz w:val="24"/>
          <w:highlight w:val="none"/>
          <w:lang w:val="en-US" w:eastAsia="zh-CN"/>
        </w:rPr>
        <w:t>报价情况说明</w:t>
      </w:r>
      <w:r>
        <w:rPr>
          <w:rFonts w:hint="eastAsia" w:ascii="宋体" w:hAnsi="宋体" w:cs="宋体"/>
          <w:color w:val="auto"/>
          <w:sz w:val="24"/>
          <w:highlight w:val="none"/>
        </w:rPr>
        <w:t>（如果有）。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5B5569B">
      <w:pPr>
        <w:pStyle w:val="2"/>
        <w:rPr>
          <w:color w:val="auto"/>
        </w:rPr>
      </w:pPr>
    </w:p>
    <w:p w14:paraId="4B1269F8">
      <w:pPr>
        <w:snapToGrid/>
        <w:spacing w:line="240" w:lineRule="auto"/>
        <w:ind w:firstLine="2891" w:firstLineChars="900"/>
        <w:outlineLvl w:val="9"/>
        <w:rPr>
          <w:rFonts w:hint="eastAsia" w:ascii="宋体" w:hAnsi="宋体" w:eastAsia="宋体" w:cs="宋体"/>
          <w:b/>
          <w:snapToGrid/>
          <w:color w:val="auto"/>
          <w:kern w:val="0"/>
          <w:sz w:val="32"/>
          <w:szCs w:val="32"/>
          <w:highlight w:val="none"/>
        </w:rPr>
      </w:pPr>
      <w:r>
        <w:rPr>
          <w:rFonts w:hint="eastAsia" w:ascii="宋体" w:hAnsi="宋体" w:eastAsia="宋体" w:cs="宋体"/>
          <w:b/>
          <w:snapToGrid/>
          <w:color w:val="auto"/>
          <w:kern w:val="0"/>
          <w:sz w:val="32"/>
          <w:szCs w:val="32"/>
          <w:highlight w:val="none"/>
        </w:rPr>
        <w:t>项目人员清单</w:t>
      </w:r>
    </w:p>
    <w:tbl>
      <w:tblPr>
        <w:tblStyle w:val="62"/>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246"/>
        <w:gridCol w:w="1314"/>
        <w:gridCol w:w="1431"/>
        <w:gridCol w:w="1430"/>
        <w:gridCol w:w="1430"/>
        <w:gridCol w:w="1430"/>
      </w:tblGrid>
      <w:tr w14:paraId="4CA45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7" w:hRule="atLeast"/>
          <w:jc w:val="center"/>
        </w:trPr>
        <w:tc>
          <w:tcPr>
            <w:tcW w:w="535" w:type="dxa"/>
            <w:vAlign w:val="center"/>
          </w:tcPr>
          <w:p w14:paraId="0B4A1DB3">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序号</w:t>
            </w:r>
          </w:p>
        </w:tc>
        <w:tc>
          <w:tcPr>
            <w:tcW w:w="1246" w:type="dxa"/>
            <w:vAlign w:val="center"/>
          </w:tcPr>
          <w:p w14:paraId="0EB1E5AA">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姓名</w:t>
            </w:r>
          </w:p>
        </w:tc>
        <w:tc>
          <w:tcPr>
            <w:tcW w:w="1314" w:type="dxa"/>
            <w:vAlign w:val="center"/>
          </w:tcPr>
          <w:p w14:paraId="6D1F6704">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联系方式</w:t>
            </w:r>
          </w:p>
        </w:tc>
        <w:tc>
          <w:tcPr>
            <w:tcW w:w="1431" w:type="dxa"/>
            <w:vAlign w:val="center"/>
          </w:tcPr>
          <w:p w14:paraId="22161E5F">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身份证号码</w:t>
            </w:r>
          </w:p>
        </w:tc>
        <w:tc>
          <w:tcPr>
            <w:tcW w:w="1430" w:type="dxa"/>
            <w:vAlign w:val="center"/>
          </w:tcPr>
          <w:p w14:paraId="70BC0762">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人员资质证书</w:t>
            </w:r>
          </w:p>
        </w:tc>
        <w:tc>
          <w:tcPr>
            <w:tcW w:w="1430" w:type="dxa"/>
            <w:vAlign w:val="center"/>
          </w:tcPr>
          <w:p w14:paraId="70B2779D">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本项目承担的岗位</w:t>
            </w:r>
          </w:p>
        </w:tc>
        <w:tc>
          <w:tcPr>
            <w:tcW w:w="1430" w:type="dxa"/>
            <w:vAlign w:val="center"/>
          </w:tcPr>
          <w:p w14:paraId="165D87C4">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驻点情况</w:t>
            </w:r>
          </w:p>
        </w:tc>
      </w:tr>
      <w:tr w14:paraId="2ED4A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1DBE66E1">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w:t>
            </w:r>
          </w:p>
        </w:tc>
        <w:tc>
          <w:tcPr>
            <w:tcW w:w="1246" w:type="dxa"/>
            <w:vAlign w:val="center"/>
          </w:tcPr>
          <w:p w14:paraId="1F415144">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6F4C4CC0">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3D9BCF00">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4661140C">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27A4CFBD">
            <w:pPr>
              <w:spacing w:line="360" w:lineRule="auto"/>
              <w:jc w:val="center"/>
              <w:rPr>
                <w:rFonts w:hint="eastAsia" w:asciiTheme="minorEastAsia" w:hAnsiTheme="minorEastAsia" w:eastAsiaTheme="minorEastAsia" w:cstheme="minorEastAsia"/>
                <w:color w:val="auto"/>
                <w:sz w:val="24"/>
              </w:rPr>
            </w:pPr>
          </w:p>
        </w:tc>
        <w:tc>
          <w:tcPr>
            <w:tcW w:w="1430" w:type="dxa"/>
            <w:vAlign w:val="center"/>
          </w:tcPr>
          <w:p w14:paraId="62CFC841">
            <w:pPr>
              <w:spacing w:line="360" w:lineRule="auto"/>
              <w:jc w:val="center"/>
              <w:rPr>
                <w:rFonts w:hint="eastAsia" w:asciiTheme="minorEastAsia" w:hAnsiTheme="minorEastAsia" w:eastAsiaTheme="minorEastAsia" w:cstheme="minorEastAsia"/>
                <w:color w:val="auto"/>
                <w:sz w:val="24"/>
              </w:rPr>
            </w:pPr>
          </w:p>
        </w:tc>
      </w:tr>
      <w:tr w14:paraId="30D84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5102DB38">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w:t>
            </w:r>
          </w:p>
        </w:tc>
        <w:tc>
          <w:tcPr>
            <w:tcW w:w="1246" w:type="dxa"/>
            <w:vAlign w:val="center"/>
          </w:tcPr>
          <w:p w14:paraId="6B058568">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29CC47A3">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59337B3E">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39B5D4EA">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59B8917D">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439BBF4A">
            <w:pPr>
              <w:spacing w:line="360" w:lineRule="auto"/>
              <w:jc w:val="center"/>
              <w:rPr>
                <w:rFonts w:hint="eastAsia" w:asciiTheme="minorEastAsia" w:hAnsiTheme="minorEastAsia" w:eastAsiaTheme="minorEastAsia" w:cstheme="minorEastAsia"/>
                <w:color w:val="auto"/>
                <w:kern w:val="0"/>
                <w:sz w:val="24"/>
              </w:rPr>
            </w:pPr>
          </w:p>
        </w:tc>
      </w:tr>
      <w:tr w14:paraId="71079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4269F082">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w:t>
            </w:r>
          </w:p>
        </w:tc>
        <w:tc>
          <w:tcPr>
            <w:tcW w:w="1246" w:type="dxa"/>
            <w:vAlign w:val="center"/>
          </w:tcPr>
          <w:p w14:paraId="493B0C44">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693A87B3">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17511B46">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0F9678D0">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23F65190">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46F1DC7B">
            <w:pPr>
              <w:spacing w:line="360" w:lineRule="auto"/>
              <w:jc w:val="center"/>
              <w:rPr>
                <w:rFonts w:hint="eastAsia" w:asciiTheme="minorEastAsia" w:hAnsiTheme="minorEastAsia" w:eastAsiaTheme="minorEastAsia" w:cstheme="minorEastAsia"/>
                <w:color w:val="auto"/>
                <w:kern w:val="0"/>
                <w:sz w:val="24"/>
              </w:rPr>
            </w:pPr>
          </w:p>
        </w:tc>
      </w:tr>
      <w:tr w14:paraId="59460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8" w:hRule="atLeast"/>
          <w:jc w:val="center"/>
        </w:trPr>
        <w:tc>
          <w:tcPr>
            <w:tcW w:w="535" w:type="dxa"/>
            <w:vAlign w:val="center"/>
          </w:tcPr>
          <w:p w14:paraId="5CB357EB">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w:t>
            </w:r>
          </w:p>
        </w:tc>
        <w:tc>
          <w:tcPr>
            <w:tcW w:w="1246" w:type="dxa"/>
            <w:vAlign w:val="center"/>
          </w:tcPr>
          <w:p w14:paraId="0C38E5CE">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0D39F0AB">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5F7B3E41">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2F045877">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10F290BB">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58CD6A14">
            <w:pPr>
              <w:spacing w:line="360" w:lineRule="auto"/>
              <w:jc w:val="center"/>
              <w:rPr>
                <w:rFonts w:hint="eastAsia" w:asciiTheme="minorEastAsia" w:hAnsiTheme="minorEastAsia" w:eastAsiaTheme="minorEastAsia" w:cstheme="minorEastAsia"/>
                <w:color w:val="auto"/>
                <w:kern w:val="0"/>
                <w:sz w:val="24"/>
              </w:rPr>
            </w:pPr>
          </w:p>
        </w:tc>
      </w:tr>
      <w:tr w14:paraId="7C6C3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535" w:type="dxa"/>
            <w:vAlign w:val="center"/>
          </w:tcPr>
          <w:p w14:paraId="1AE4E0E4">
            <w:pPr>
              <w:spacing w:line="360" w:lineRule="auto"/>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w:t>
            </w:r>
          </w:p>
        </w:tc>
        <w:tc>
          <w:tcPr>
            <w:tcW w:w="1246" w:type="dxa"/>
            <w:vAlign w:val="center"/>
          </w:tcPr>
          <w:p w14:paraId="4FC157AF">
            <w:pPr>
              <w:spacing w:line="360" w:lineRule="auto"/>
              <w:jc w:val="center"/>
              <w:rPr>
                <w:rFonts w:hint="eastAsia" w:asciiTheme="minorEastAsia" w:hAnsiTheme="minorEastAsia" w:eastAsiaTheme="minorEastAsia" w:cstheme="minorEastAsia"/>
                <w:color w:val="auto"/>
                <w:sz w:val="24"/>
              </w:rPr>
            </w:pPr>
          </w:p>
        </w:tc>
        <w:tc>
          <w:tcPr>
            <w:tcW w:w="1314" w:type="dxa"/>
            <w:vAlign w:val="center"/>
          </w:tcPr>
          <w:p w14:paraId="67100163">
            <w:pPr>
              <w:spacing w:line="360" w:lineRule="auto"/>
              <w:jc w:val="center"/>
              <w:rPr>
                <w:rFonts w:hint="eastAsia" w:asciiTheme="minorEastAsia" w:hAnsiTheme="minorEastAsia" w:eastAsiaTheme="minorEastAsia" w:cstheme="minorEastAsia"/>
                <w:color w:val="auto"/>
                <w:sz w:val="24"/>
              </w:rPr>
            </w:pPr>
          </w:p>
        </w:tc>
        <w:tc>
          <w:tcPr>
            <w:tcW w:w="1431" w:type="dxa"/>
            <w:vAlign w:val="center"/>
          </w:tcPr>
          <w:p w14:paraId="265AC64C">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7FE1CD32">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76C366D4">
            <w:pPr>
              <w:spacing w:line="360" w:lineRule="auto"/>
              <w:jc w:val="center"/>
              <w:rPr>
                <w:rFonts w:hint="eastAsia" w:asciiTheme="minorEastAsia" w:hAnsiTheme="minorEastAsia" w:eastAsiaTheme="minorEastAsia" w:cstheme="minorEastAsia"/>
                <w:color w:val="auto"/>
                <w:kern w:val="0"/>
                <w:sz w:val="24"/>
              </w:rPr>
            </w:pPr>
          </w:p>
        </w:tc>
        <w:tc>
          <w:tcPr>
            <w:tcW w:w="1430" w:type="dxa"/>
            <w:vAlign w:val="center"/>
          </w:tcPr>
          <w:p w14:paraId="78046486">
            <w:pPr>
              <w:spacing w:line="360" w:lineRule="auto"/>
              <w:jc w:val="center"/>
              <w:rPr>
                <w:rFonts w:hint="eastAsia" w:asciiTheme="minorEastAsia" w:hAnsiTheme="minorEastAsia" w:eastAsiaTheme="minorEastAsia" w:cstheme="minorEastAsia"/>
                <w:color w:val="auto"/>
                <w:kern w:val="0"/>
                <w:sz w:val="24"/>
              </w:rPr>
            </w:pPr>
          </w:p>
        </w:tc>
      </w:tr>
    </w:tbl>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7"/>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报价情况说明</w:t>
      </w:r>
      <w:r>
        <w:rPr>
          <w:rFonts w:hint="eastAsia" w:ascii="宋体" w:hAnsi="宋体" w:cs="宋体"/>
          <w:color w:val="auto"/>
          <w:sz w:val="24"/>
          <w:highlight w:val="none"/>
        </w:rPr>
        <w:t>………………………………………………………………（页码）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杭州市公安业务网安全服务项目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849"/>
        <w:gridCol w:w="1846"/>
        <w:gridCol w:w="5560"/>
        <w:gridCol w:w="1044"/>
        <w:gridCol w:w="748"/>
        <w:gridCol w:w="1044"/>
        <w:gridCol w:w="1224"/>
        <w:gridCol w:w="2021"/>
      </w:tblGrid>
      <w:tr w14:paraId="7DDF2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296" w:type="pct"/>
            <w:shd w:val="clear" w:color="auto" w:fill="auto"/>
            <w:vAlign w:val="center"/>
          </w:tcPr>
          <w:p w14:paraId="0D4B1A1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643" w:type="pct"/>
            <w:shd w:val="clear" w:color="auto" w:fill="auto"/>
            <w:vAlign w:val="center"/>
          </w:tcPr>
          <w:p w14:paraId="719A391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名称</w:t>
            </w:r>
          </w:p>
        </w:tc>
        <w:tc>
          <w:tcPr>
            <w:tcW w:w="1939" w:type="pct"/>
            <w:shd w:val="clear" w:color="auto" w:fill="auto"/>
            <w:vAlign w:val="center"/>
          </w:tcPr>
          <w:p w14:paraId="5A83188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内容</w:t>
            </w:r>
          </w:p>
        </w:tc>
        <w:tc>
          <w:tcPr>
            <w:tcW w:w="364" w:type="pct"/>
            <w:shd w:val="clear" w:color="auto" w:fill="auto"/>
            <w:vAlign w:val="center"/>
          </w:tcPr>
          <w:p w14:paraId="25CEB71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w:t>
            </w:r>
          </w:p>
        </w:tc>
        <w:tc>
          <w:tcPr>
            <w:tcW w:w="261" w:type="pct"/>
            <w:shd w:val="clear" w:color="auto" w:fill="auto"/>
            <w:vAlign w:val="center"/>
          </w:tcPr>
          <w:p w14:paraId="5F81D9F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单位</w:t>
            </w:r>
          </w:p>
        </w:tc>
        <w:tc>
          <w:tcPr>
            <w:tcW w:w="364" w:type="pct"/>
            <w:shd w:val="clear" w:color="auto" w:fill="auto"/>
            <w:vAlign w:val="center"/>
          </w:tcPr>
          <w:p w14:paraId="64FF83E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单价（元）</w:t>
            </w:r>
          </w:p>
        </w:tc>
        <w:tc>
          <w:tcPr>
            <w:tcW w:w="427" w:type="pct"/>
            <w:shd w:val="clear" w:color="auto" w:fill="auto"/>
            <w:vAlign w:val="center"/>
          </w:tcPr>
          <w:p w14:paraId="443EA22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总价（元）</w:t>
            </w:r>
          </w:p>
        </w:tc>
        <w:tc>
          <w:tcPr>
            <w:tcW w:w="702" w:type="pct"/>
            <w:shd w:val="clear" w:color="auto" w:fill="auto"/>
            <w:vAlign w:val="center"/>
          </w:tcPr>
          <w:p w14:paraId="264BBBD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备注（中小、小微企业提供的服务内容）</w:t>
            </w:r>
          </w:p>
        </w:tc>
      </w:tr>
      <w:tr w14:paraId="2BD05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0494AF4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643" w:type="pct"/>
            <w:shd w:val="clear" w:color="auto" w:fill="auto"/>
            <w:vAlign w:val="center"/>
          </w:tcPr>
          <w:p w14:paraId="4020E54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等保测评服务</w:t>
            </w:r>
          </w:p>
        </w:tc>
        <w:tc>
          <w:tcPr>
            <w:tcW w:w="1939" w:type="pct"/>
            <w:shd w:val="clear" w:color="auto" w:fill="auto"/>
            <w:vAlign w:val="center"/>
          </w:tcPr>
          <w:p w14:paraId="76D17E51">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1、对于测评结论符合等保要求的，出具测评报告及整改建议书。</w:t>
            </w:r>
          </w:p>
          <w:p w14:paraId="2C1B2F0D">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2、对于测评结论不符合等保要求的，出具差距分析报告及整改建议书。</w:t>
            </w:r>
          </w:p>
          <w:p w14:paraId="3154BA8C">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3、本项目服务期内测评系统数量不少于</w:t>
            </w:r>
            <w:r>
              <w:rPr>
                <w:rFonts w:hint="eastAsia" w:asciiTheme="minorEastAsia" w:hAnsiTheme="minorEastAsia" w:eastAsiaTheme="minorEastAsia" w:cstheme="minorEastAsia"/>
                <w:color w:val="auto"/>
                <w:sz w:val="24"/>
                <w:lang w:val="en-US" w:eastAsia="zh-CN"/>
              </w:rPr>
              <w:t>23</w:t>
            </w:r>
            <w:r>
              <w:rPr>
                <w:rFonts w:hint="eastAsia" w:asciiTheme="minorEastAsia" w:hAnsiTheme="minorEastAsia" w:eastAsiaTheme="minorEastAsia" w:cstheme="minorEastAsia"/>
                <w:color w:val="auto"/>
                <w:sz w:val="24"/>
              </w:rPr>
              <w:t>个。</w:t>
            </w:r>
          </w:p>
        </w:tc>
        <w:tc>
          <w:tcPr>
            <w:tcW w:w="364" w:type="pct"/>
            <w:shd w:val="clear" w:color="auto" w:fill="auto"/>
            <w:vAlign w:val="center"/>
          </w:tcPr>
          <w:p w14:paraId="3AE14D18">
            <w:pPr>
              <w:pStyle w:val="57"/>
              <w:spacing w:before="156" w:beforeLines="50" w:beforeAutospacing="0" w:after="0" w:afterAutospacing="0" w:line="360" w:lineRule="auto"/>
              <w:jc w:val="center"/>
              <w:rPr>
                <w:rFonts w:hint="default"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23</w:t>
            </w:r>
          </w:p>
        </w:tc>
        <w:tc>
          <w:tcPr>
            <w:tcW w:w="261" w:type="pct"/>
            <w:shd w:val="clear" w:color="auto" w:fill="auto"/>
            <w:vAlign w:val="center"/>
          </w:tcPr>
          <w:p w14:paraId="1EC671B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4ADF6DA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1D5C1DF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197E1B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114F4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restart"/>
            <w:shd w:val="clear" w:color="auto" w:fill="auto"/>
            <w:vAlign w:val="center"/>
          </w:tcPr>
          <w:p w14:paraId="043E610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tc>
        <w:tc>
          <w:tcPr>
            <w:tcW w:w="643" w:type="pct"/>
            <w:vMerge w:val="restart"/>
            <w:shd w:val="clear" w:color="auto" w:fill="auto"/>
            <w:vAlign w:val="center"/>
          </w:tcPr>
          <w:p w14:paraId="6CC5D0F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数据库审计服务</w:t>
            </w:r>
          </w:p>
        </w:tc>
        <w:tc>
          <w:tcPr>
            <w:tcW w:w="1939" w:type="pct"/>
            <w:shd w:val="clear" w:color="auto" w:fill="auto"/>
            <w:vAlign w:val="center"/>
          </w:tcPr>
          <w:p w14:paraId="508B4132">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政务网不少于</w:t>
            </w:r>
            <w:r>
              <w:rPr>
                <w:rFonts w:hint="eastAsia" w:asciiTheme="minorEastAsia" w:hAnsiTheme="minorEastAsia" w:eastAsiaTheme="minorEastAsia" w:cstheme="minorEastAsia"/>
                <w:color w:val="auto"/>
                <w:sz w:val="24"/>
                <w:lang w:val="en-US" w:eastAsia="zh-CN"/>
              </w:rPr>
              <w:t>1</w:t>
            </w:r>
            <w:r>
              <w:rPr>
                <w:rFonts w:hint="eastAsia" w:asciiTheme="minorEastAsia" w:hAnsiTheme="minorEastAsia" w:eastAsiaTheme="minorEastAsia" w:cstheme="minorEastAsia"/>
                <w:color w:val="auto"/>
                <w:sz w:val="24"/>
              </w:rPr>
              <w:t>套（不限制支持的数据库实例个数）</w:t>
            </w:r>
          </w:p>
        </w:tc>
        <w:tc>
          <w:tcPr>
            <w:tcW w:w="364" w:type="pct"/>
            <w:shd w:val="clear" w:color="auto" w:fill="auto"/>
            <w:vAlign w:val="center"/>
          </w:tcPr>
          <w:p w14:paraId="2E8DC35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1</w:t>
            </w:r>
          </w:p>
        </w:tc>
        <w:tc>
          <w:tcPr>
            <w:tcW w:w="261" w:type="pct"/>
            <w:shd w:val="clear" w:color="auto" w:fill="auto"/>
            <w:vAlign w:val="center"/>
          </w:tcPr>
          <w:p w14:paraId="0731FE4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09ED729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7A2469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54D299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2CD69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continue"/>
            <w:shd w:val="clear" w:color="auto" w:fill="auto"/>
            <w:vAlign w:val="center"/>
          </w:tcPr>
          <w:p w14:paraId="0247D1A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67ED82D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0B7792D5">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视频专网不少于4台</w:t>
            </w:r>
          </w:p>
        </w:tc>
        <w:tc>
          <w:tcPr>
            <w:tcW w:w="364" w:type="pct"/>
            <w:shd w:val="clear" w:color="auto" w:fill="auto"/>
            <w:vAlign w:val="center"/>
          </w:tcPr>
          <w:p w14:paraId="3579A18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261" w:type="pct"/>
            <w:shd w:val="clear" w:color="auto" w:fill="auto"/>
            <w:vAlign w:val="center"/>
          </w:tcPr>
          <w:p w14:paraId="2DB17AF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087BD87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77BD04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4FC7016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F53D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continue"/>
            <w:shd w:val="clear" w:color="auto" w:fill="auto"/>
            <w:vAlign w:val="center"/>
          </w:tcPr>
          <w:p w14:paraId="36278EC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1247C48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5752D76D">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公安网不少于6台</w:t>
            </w:r>
          </w:p>
        </w:tc>
        <w:tc>
          <w:tcPr>
            <w:tcW w:w="364" w:type="pct"/>
            <w:shd w:val="clear" w:color="auto" w:fill="auto"/>
            <w:vAlign w:val="center"/>
          </w:tcPr>
          <w:p w14:paraId="4ECF904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261" w:type="pct"/>
            <w:shd w:val="clear" w:color="auto" w:fill="auto"/>
            <w:vAlign w:val="center"/>
          </w:tcPr>
          <w:p w14:paraId="081C7B4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33C6FBB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0BECBB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63682C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43B22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06F05DB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643" w:type="pct"/>
            <w:shd w:val="clear" w:color="auto" w:fill="auto"/>
            <w:vAlign w:val="center"/>
          </w:tcPr>
          <w:p w14:paraId="1952A42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政务网云日志审计服务</w:t>
            </w:r>
          </w:p>
        </w:tc>
        <w:tc>
          <w:tcPr>
            <w:tcW w:w="1939" w:type="pct"/>
            <w:shd w:val="clear" w:color="auto" w:fill="auto"/>
            <w:vAlign w:val="center"/>
          </w:tcPr>
          <w:p w14:paraId="62A055C6">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提供不少于</w:t>
            </w:r>
            <w:r>
              <w:rPr>
                <w:rFonts w:hint="eastAsia" w:asciiTheme="minorEastAsia" w:hAnsiTheme="minorEastAsia" w:eastAsiaTheme="minorEastAsia" w:cstheme="minorEastAsia"/>
                <w:color w:val="auto"/>
                <w:lang w:val="en-US" w:eastAsia="zh-CN"/>
              </w:rPr>
              <w:t>1</w:t>
            </w:r>
            <w:r>
              <w:rPr>
                <w:rFonts w:hint="eastAsia" w:asciiTheme="minorEastAsia" w:hAnsiTheme="minorEastAsia" w:eastAsiaTheme="minorEastAsia" w:cstheme="minorEastAsia"/>
                <w:color w:val="auto"/>
              </w:rPr>
              <w:t>套政务网日志审计（支持500个日志源授权）</w:t>
            </w:r>
          </w:p>
        </w:tc>
        <w:tc>
          <w:tcPr>
            <w:tcW w:w="364" w:type="pct"/>
            <w:shd w:val="clear" w:color="auto" w:fill="auto"/>
            <w:vAlign w:val="center"/>
          </w:tcPr>
          <w:p w14:paraId="466FC45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1</w:t>
            </w:r>
          </w:p>
        </w:tc>
        <w:tc>
          <w:tcPr>
            <w:tcW w:w="261" w:type="pct"/>
            <w:shd w:val="clear" w:color="auto" w:fill="auto"/>
            <w:vAlign w:val="center"/>
          </w:tcPr>
          <w:p w14:paraId="670D123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4D0F479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1C95F8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6E3797F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6AF5A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36BE129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643" w:type="pct"/>
            <w:shd w:val="clear" w:color="auto" w:fill="auto"/>
            <w:vAlign w:val="center"/>
          </w:tcPr>
          <w:p w14:paraId="0603C47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政务网态势感知服务</w:t>
            </w:r>
          </w:p>
        </w:tc>
        <w:tc>
          <w:tcPr>
            <w:tcW w:w="1939" w:type="pct"/>
            <w:shd w:val="clear" w:color="auto" w:fill="auto"/>
            <w:vAlign w:val="center"/>
          </w:tcPr>
          <w:p w14:paraId="4E01C88A">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提供1套政务网态势感知</w:t>
            </w:r>
          </w:p>
        </w:tc>
        <w:tc>
          <w:tcPr>
            <w:tcW w:w="364" w:type="pct"/>
            <w:shd w:val="clear" w:color="auto" w:fill="auto"/>
            <w:vAlign w:val="center"/>
          </w:tcPr>
          <w:p w14:paraId="06EF63D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261" w:type="pct"/>
            <w:shd w:val="clear" w:color="auto" w:fill="auto"/>
            <w:vAlign w:val="center"/>
          </w:tcPr>
          <w:p w14:paraId="3B14E37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套</w:t>
            </w:r>
          </w:p>
        </w:tc>
        <w:tc>
          <w:tcPr>
            <w:tcW w:w="364" w:type="pct"/>
            <w:shd w:val="clear" w:color="auto" w:fill="auto"/>
            <w:vAlign w:val="center"/>
          </w:tcPr>
          <w:p w14:paraId="3507634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1CC173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7F46B2C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5B0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vMerge w:val="restart"/>
            <w:shd w:val="clear" w:color="auto" w:fill="auto"/>
            <w:vAlign w:val="center"/>
          </w:tcPr>
          <w:p w14:paraId="200F0C0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w:t>
            </w:r>
          </w:p>
        </w:tc>
        <w:tc>
          <w:tcPr>
            <w:tcW w:w="643" w:type="pct"/>
            <w:vMerge w:val="restart"/>
            <w:shd w:val="clear" w:color="auto" w:fill="auto"/>
            <w:vAlign w:val="center"/>
          </w:tcPr>
          <w:p w14:paraId="0B78521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SaaS化安全服务</w:t>
            </w:r>
          </w:p>
        </w:tc>
        <w:tc>
          <w:tcPr>
            <w:tcW w:w="1939" w:type="pct"/>
            <w:shd w:val="clear" w:color="auto" w:fill="auto"/>
            <w:vAlign w:val="center"/>
          </w:tcPr>
          <w:p w14:paraId="35E48D95">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提供不超过10个主域名的云防护服务（每个主域名+10个子域名）</w:t>
            </w:r>
          </w:p>
        </w:tc>
        <w:tc>
          <w:tcPr>
            <w:tcW w:w="364" w:type="pct"/>
            <w:shd w:val="clear" w:color="auto" w:fill="auto"/>
            <w:vAlign w:val="center"/>
          </w:tcPr>
          <w:p w14:paraId="56C5150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261" w:type="pct"/>
            <w:shd w:val="clear" w:color="auto" w:fill="auto"/>
            <w:vAlign w:val="center"/>
          </w:tcPr>
          <w:p w14:paraId="1A1AD79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13D3D5D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504858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43D8ED5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68615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vMerge w:val="continue"/>
            <w:shd w:val="clear" w:color="auto" w:fill="auto"/>
            <w:vAlign w:val="center"/>
          </w:tcPr>
          <w:p w14:paraId="14FFE1A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4883FDE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37DFD0DF">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提供不超过10个主域名的云监测服务</w:t>
            </w:r>
          </w:p>
        </w:tc>
        <w:tc>
          <w:tcPr>
            <w:tcW w:w="364" w:type="pct"/>
            <w:shd w:val="clear" w:color="auto" w:fill="auto"/>
            <w:vAlign w:val="center"/>
          </w:tcPr>
          <w:p w14:paraId="1305A1C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261" w:type="pct"/>
            <w:shd w:val="clear" w:color="auto" w:fill="auto"/>
            <w:vAlign w:val="center"/>
          </w:tcPr>
          <w:p w14:paraId="683C35F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个</w:t>
            </w:r>
          </w:p>
        </w:tc>
        <w:tc>
          <w:tcPr>
            <w:tcW w:w="364" w:type="pct"/>
            <w:shd w:val="clear" w:color="auto" w:fill="auto"/>
            <w:vAlign w:val="center"/>
          </w:tcPr>
          <w:p w14:paraId="0169D8D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45531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3829D91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BE89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1" w:hRule="atLeast"/>
          <w:jc w:val="center"/>
        </w:trPr>
        <w:tc>
          <w:tcPr>
            <w:tcW w:w="296" w:type="pct"/>
            <w:shd w:val="clear" w:color="auto" w:fill="auto"/>
            <w:vAlign w:val="center"/>
          </w:tcPr>
          <w:p w14:paraId="4271235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643" w:type="pct"/>
            <w:shd w:val="clear" w:color="auto" w:fill="auto"/>
            <w:vAlign w:val="center"/>
          </w:tcPr>
          <w:p w14:paraId="7659D84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公安网安全风险感知服务</w:t>
            </w:r>
          </w:p>
        </w:tc>
        <w:tc>
          <w:tcPr>
            <w:tcW w:w="1939" w:type="pct"/>
            <w:shd w:val="clear" w:color="auto" w:fill="auto"/>
            <w:vAlign w:val="center"/>
          </w:tcPr>
          <w:p w14:paraId="4FAD93C5">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提供不少于8次的安全风险感知服务支持</w:t>
            </w:r>
          </w:p>
        </w:tc>
        <w:tc>
          <w:tcPr>
            <w:tcW w:w="364" w:type="pct"/>
            <w:shd w:val="clear" w:color="auto" w:fill="auto"/>
            <w:vAlign w:val="center"/>
          </w:tcPr>
          <w:p w14:paraId="0E65D61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261" w:type="pct"/>
            <w:shd w:val="clear" w:color="auto" w:fill="auto"/>
            <w:vAlign w:val="center"/>
          </w:tcPr>
          <w:p w14:paraId="1F0B05C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4384E50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3923470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708231F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AA8A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08" w:hRule="atLeast"/>
          <w:jc w:val="center"/>
        </w:trPr>
        <w:tc>
          <w:tcPr>
            <w:tcW w:w="296" w:type="pct"/>
            <w:vMerge w:val="restart"/>
            <w:shd w:val="clear" w:color="auto" w:fill="auto"/>
            <w:vAlign w:val="center"/>
          </w:tcPr>
          <w:p w14:paraId="6C365E9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w:t>
            </w:r>
          </w:p>
        </w:tc>
        <w:tc>
          <w:tcPr>
            <w:tcW w:w="643" w:type="pct"/>
            <w:vMerge w:val="restart"/>
            <w:shd w:val="clear" w:color="auto" w:fill="auto"/>
            <w:vAlign w:val="center"/>
          </w:tcPr>
          <w:p w14:paraId="10A53B3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公安网桌面云服务</w:t>
            </w:r>
          </w:p>
        </w:tc>
        <w:tc>
          <w:tcPr>
            <w:tcW w:w="1939" w:type="pct"/>
            <w:shd w:val="clear" w:color="auto" w:fill="auto"/>
            <w:vAlign w:val="center"/>
          </w:tcPr>
          <w:p w14:paraId="5FCD993F">
            <w:pPr>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rPr>
              <w:t>提供不低于300点云桌面授权</w:t>
            </w:r>
          </w:p>
          <w:p w14:paraId="203461AA">
            <w:pPr>
              <w:widowControl/>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（平均每个人员使用的资源不低于2核8G内存和300G磁盘空间）</w:t>
            </w:r>
          </w:p>
        </w:tc>
        <w:tc>
          <w:tcPr>
            <w:tcW w:w="364" w:type="pct"/>
            <w:shd w:val="clear" w:color="auto" w:fill="auto"/>
            <w:vAlign w:val="center"/>
          </w:tcPr>
          <w:p w14:paraId="6FDE123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300</w:t>
            </w:r>
          </w:p>
        </w:tc>
        <w:tc>
          <w:tcPr>
            <w:tcW w:w="261" w:type="pct"/>
            <w:shd w:val="clear" w:color="auto" w:fill="auto"/>
            <w:vAlign w:val="center"/>
          </w:tcPr>
          <w:p w14:paraId="7F82130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498E5C3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197696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0FD235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5A1BE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08" w:hRule="atLeast"/>
          <w:jc w:val="center"/>
        </w:trPr>
        <w:tc>
          <w:tcPr>
            <w:tcW w:w="296" w:type="pct"/>
            <w:vMerge w:val="continue"/>
            <w:shd w:val="clear" w:color="auto" w:fill="auto"/>
            <w:vAlign w:val="center"/>
          </w:tcPr>
          <w:p w14:paraId="4B1E858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24A3355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4C48C966">
            <w:pPr>
              <w:pStyle w:val="23"/>
              <w:spacing w:before="156" w:beforeLines="50" w:line="360" w:lineRule="auto"/>
              <w:jc w:val="left"/>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lang w:val="en-US"/>
              </w:rPr>
              <w:t>提供</w:t>
            </w:r>
            <w:r>
              <w:rPr>
                <w:rFonts w:hint="eastAsia" w:asciiTheme="minorEastAsia" w:hAnsiTheme="minorEastAsia" w:eastAsiaTheme="minorEastAsia" w:cstheme="minorEastAsia"/>
                <w:color w:val="auto"/>
                <w:szCs w:val="24"/>
              </w:rPr>
              <w:t>不低于35台瘦终端</w:t>
            </w:r>
          </w:p>
          <w:p w14:paraId="0C074B3E">
            <w:pPr>
              <w:pStyle w:val="23"/>
              <w:spacing w:before="156" w:beforeLines="50" w:line="360" w:lineRule="auto"/>
              <w:jc w:val="left"/>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w:t>
            </w:r>
            <w:r>
              <w:rPr>
                <w:rFonts w:hint="eastAsia" w:asciiTheme="minorEastAsia" w:hAnsiTheme="minorEastAsia" w:eastAsiaTheme="minorEastAsia" w:cstheme="minorEastAsia"/>
                <w:color w:val="auto"/>
                <w:szCs w:val="24"/>
                <w:lang w:val="en-US"/>
              </w:rPr>
              <w:t>每台终端</w:t>
            </w:r>
            <w:r>
              <w:rPr>
                <w:rFonts w:hint="eastAsia" w:asciiTheme="minorEastAsia" w:hAnsiTheme="minorEastAsia" w:eastAsiaTheme="minorEastAsia" w:cstheme="minorEastAsia"/>
                <w:color w:val="auto"/>
                <w:szCs w:val="24"/>
              </w:rPr>
              <w:t>不低于2核8G内存和300G磁盘空间）</w:t>
            </w:r>
          </w:p>
        </w:tc>
        <w:tc>
          <w:tcPr>
            <w:tcW w:w="364" w:type="pct"/>
            <w:shd w:val="clear" w:color="auto" w:fill="auto"/>
            <w:vAlign w:val="center"/>
          </w:tcPr>
          <w:p w14:paraId="7CD7E3C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35</w:t>
            </w:r>
          </w:p>
        </w:tc>
        <w:tc>
          <w:tcPr>
            <w:tcW w:w="261" w:type="pct"/>
            <w:shd w:val="clear" w:color="auto" w:fill="auto"/>
            <w:vAlign w:val="center"/>
          </w:tcPr>
          <w:p w14:paraId="25D79DA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台</w:t>
            </w:r>
          </w:p>
        </w:tc>
        <w:tc>
          <w:tcPr>
            <w:tcW w:w="364" w:type="pct"/>
            <w:shd w:val="clear" w:color="auto" w:fill="auto"/>
            <w:vAlign w:val="center"/>
          </w:tcPr>
          <w:p w14:paraId="2B217E0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43F31DA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ED0E10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7D7C1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shd w:val="clear" w:color="auto" w:fill="auto"/>
            <w:vAlign w:val="center"/>
          </w:tcPr>
          <w:p w14:paraId="21663C2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643" w:type="pct"/>
            <w:shd w:val="clear" w:color="auto" w:fill="auto"/>
            <w:vAlign w:val="center"/>
          </w:tcPr>
          <w:p w14:paraId="726E080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公安网一机两用服务</w:t>
            </w:r>
          </w:p>
        </w:tc>
        <w:tc>
          <w:tcPr>
            <w:tcW w:w="1939" w:type="pct"/>
            <w:shd w:val="clear" w:color="auto" w:fill="auto"/>
            <w:vAlign w:val="center"/>
          </w:tcPr>
          <w:p w14:paraId="205B802A">
            <w:pPr>
              <w:spacing w:before="156" w:beforeLines="50" w:line="360" w:lineRule="auto"/>
              <w:jc w:val="left"/>
              <w:rPr>
                <w:rFonts w:hint="eastAsia" w:asciiTheme="minorEastAsia" w:hAnsiTheme="minorEastAsia" w:eastAsiaTheme="minorEastAsia" w:cstheme="minorEastAsia"/>
                <w:color w:val="auto"/>
                <w:sz w:val="24"/>
                <w:lang w:eastAsia="zh-Hans"/>
              </w:rPr>
            </w:pPr>
            <w:r>
              <w:rPr>
                <w:rFonts w:hint="eastAsia" w:asciiTheme="minorEastAsia" w:hAnsiTheme="minorEastAsia" w:eastAsiaTheme="minorEastAsia" w:cstheme="minorEastAsia"/>
                <w:color w:val="auto"/>
                <w:sz w:val="24"/>
                <w:lang w:eastAsia="zh-Hans"/>
              </w:rPr>
              <w:t>1、定期巡检服务，为杭州市公安局“一机两用”监控系统提供每月一次的巡检服务。</w:t>
            </w:r>
          </w:p>
          <w:p w14:paraId="56548822">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eastAsia="zh-Hans"/>
              </w:rPr>
              <w:t>2、技术支持服务，每月10日至20日使用专用工具对服务器列表进行清理，确保每月服务器漏洞扫描工作的准确性；每月20日至下月10日，使用专用工具对杭州市公安局“一机两用”监控系统注册率、“一机两用”监控系统补丁下载率、防病毒软件覆盖率等数据进行清理。</w:t>
            </w:r>
          </w:p>
        </w:tc>
        <w:tc>
          <w:tcPr>
            <w:tcW w:w="364" w:type="pct"/>
            <w:shd w:val="clear" w:color="auto" w:fill="auto"/>
            <w:vAlign w:val="center"/>
          </w:tcPr>
          <w:p w14:paraId="591FDEC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261" w:type="pct"/>
            <w:shd w:val="clear" w:color="auto" w:fill="auto"/>
            <w:vAlign w:val="center"/>
          </w:tcPr>
          <w:p w14:paraId="6592DB9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项</w:t>
            </w:r>
          </w:p>
        </w:tc>
        <w:tc>
          <w:tcPr>
            <w:tcW w:w="364" w:type="pct"/>
            <w:shd w:val="clear" w:color="auto" w:fill="auto"/>
            <w:vAlign w:val="center"/>
          </w:tcPr>
          <w:p w14:paraId="6A06827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5A98BDF0">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63954C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08303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0" w:hRule="atLeast"/>
          <w:jc w:val="center"/>
        </w:trPr>
        <w:tc>
          <w:tcPr>
            <w:tcW w:w="296" w:type="pct"/>
            <w:vMerge w:val="restart"/>
            <w:shd w:val="clear" w:color="auto" w:fill="auto"/>
            <w:vAlign w:val="center"/>
          </w:tcPr>
          <w:p w14:paraId="5C5691F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w:t>
            </w:r>
          </w:p>
          <w:p w14:paraId="73949F1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restart"/>
            <w:shd w:val="clear" w:color="auto" w:fill="auto"/>
            <w:vAlign w:val="center"/>
          </w:tcPr>
          <w:p w14:paraId="5BA290C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视频网终端杀毒服务</w:t>
            </w:r>
          </w:p>
          <w:p w14:paraId="69A5D4D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435D631B">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提供不少于1500点PC终端</w:t>
            </w:r>
          </w:p>
        </w:tc>
        <w:tc>
          <w:tcPr>
            <w:tcW w:w="364" w:type="pct"/>
            <w:shd w:val="clear" w:color="auto" w:fill="auto"/>
            <w:vAlign w:val="center"/>
          </w:tcPr>
          <w:p w14:paraId="1D54F4F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1500</w:t>
            </w:r>
          </w:p>
        </w:tc>
        <w:tc>
          <w:tcPr>
            <w:tcW w:w="261" w:type="pct"/>
            <w:shd w:val="clear" w:color="auto" w:fill="auto"/>
            <w:vAlign w:val="center"/>
          </w:tcPr>
          <w:p w14:paraId="2106397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78EB8C5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D408C3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58FBB16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1954D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0" w:hRule="atLeast"/>
          <w:jc w:val="center"/>
        </w:trPr>
        <w:tc>
          <w:tcPr>
            <w:tcW w:w="296" w:type="pct"/>
            <w:vMerge w:val="continue"/>
            <w:shd w:val="clear" w:color="auto" w:fill="auto"/>
            <w:vAlign w:val="center"/>
          </w:tcPr>
          <w:p w14:paraId="0410372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643" w:type="pct"/>
            <w:vMerge w:val="continue"/>
            <w:shd w:val="clear" w:color="auto" w:fill="auto"/>
            <w:vAlign w:val="center"/>
          </w:tcPr>
          <w:p w14:paraId="6F2E5D8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1939" w:type="pct"/>
            <w:shd w:val="clear" w:color="auto" w:fill="auto"/>
            <w:vAlign w:val="center"/>
          </w:tcPr>
          <w:p w14:paraId="6BD1AACB">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提供不少于250点服务器授权</w:t>
            </w:r>
          </w:p>
        </w:tc>
        <w:tc>
          <w:tcPr>
            <w:tcW w:w="364" w:type="pct"/>
            <w:shd w:val="clear" w:color="auto" w:fill="auto"/>
            <w:vAlign w:val="center"/>
          </w:tcPr>
          <w:p w14:paraId="0FD6EF3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250</w:t>
            </w:r>
          </w:p>
        </w:tc>
        <w:tc>
          <w:tcPr>
            <w:tcW w:w="261" w:type="pct"/>
            <w:shd w:val="clear" w:color="auto" w:fill="auto"/>
            <w:vAlign w:val="center"/>
          </w:tcPr>
          <w:p w14:paraId="70A2A1B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点</w:t>
            </w:r>
          </w:p>
        </w:tc>
        <w:tc>
          <w:tcPr>
            <w:tcW w:w="364" w:type="pct"/>
            <w:shd w:val="clear" w:color="auto" w:fill="auto"/>
            <w:vAlign w:val="center"/>
          </w:tcPr>
          <w:p w14:paraId="77FD597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323030F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2188979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0D3A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0B710288">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643" w:type="pct"/>
            <w:shd w:val="clear" w:color="auto" w:fill="auto"/>
            <w:vAlign w:val="center"/>
          </w:tcPr>
          <w:p w14:paraId="6D5E875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Hans"/>
              </w:rPr>
            </w:pPr>
            <w:r>
              <w:rPr>
                <w:rFonts w:hint="eastAsia" w:asciiTheme="minorEastAsia" w:hAnsiTheme="minorEastAsia" w:eastAsiaTheme="minorEastAsia" w:cstheme="minorEastAsia"/>
                <w:color w:val="auto"/>
              </w:rPr>
              <w:t>系统安全检测</w:t>
            </w:r>
          </w:p>
        </w:tc>
        <w:tc>
          <w:tcPr>
            <w:tcW w:w="1939" w:type="pct"/>
            <w:shd w:val="clear" w:color="auto" w:fill="auto"/>
            <w:vAlign w:val="center"/>
          </w:tcPr>
          <w:p w14:paraId="58CCFB92">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不少于</w:t>
            </w:r>
            <w:r>
              <w:rPr>
                <w:rFonts w:hint="eastAsia" w:ascii="仿宋" w:hAnsi="仿宋" w:eastAsia="仿宋" w:cs="仿宋"/>
                <w:color w:val="auto"/>
                <w:sz w:val="24"/>
              </w:rPr>
              <w:t>4</w:t>
            </w:r>
            <w:r>
              <w:rPr>
                <w:rFonts w:hint="eastAsia" w:asciiTheme="minorEastAsia" w:hAnsiTheme="minorEastAsia" w:eastAsiaTheme="minorEastAsia" w:cstheme="minorEastAsia"/>
                <w:color w:val="auto"/>
                <w:sz w:val="24"/>
              </w:rPr>
              <w:t>次系统安全检测。</w:t>
            </w:r>
          </w:p>
        </w:tc>
        <w:tc>
          <w:tcPr>
            <w:tcW w:w="364" w:type="pct"/>
            <w:shd w:val="clear" w:color="auto" w:fill="auto"/>
            <w:vAlign w:val="center"/>
          </w:tcPr>
          <w:p w14:paraId="3863D43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4</w:t>
            </w:r>
          </w:p>
        </w:tc>
        <w:tc>
          <w:tcPr>
            <w:tcW w:w="261" w:type="pct"/>
            <w:shd w:val="clear" w:color="auto" w:fill="auto"/>
            <w:vAlign w:val="center"/>
          </w:tcPr>
          <w:p w14:paraId="7DBF8B5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350B1AD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197B4BA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3909114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DBD8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6E7C1852">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w:t>
            </w:r>
          </w:p>
        </w:tc>
        <w:tc>
          <w:tcPr>
            <w:tcW w:w="643" w:type="pct"/>
            <w:shd w:val="clear" w:color="auto" w:fill="auto"/>
            <w:vAlign w:val="center"/>
          </w:tcPr>
          <w:p w14:paraId="0B9D9C5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网络安全检查</w:t>
            </w:r>
          </w:p>
        </w:tc>
        <w:tc>
          <w:tcPr>
            <w:tcW w:w="1939" w:type="pct"/>
            <w:shd w:val="clear" w:color="auto" w:fill="auto"/>
            <w:vAlign w:val="center"/>
          </w:tcPr>
          <w:p w14:paraId="204E8970">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rPr>
              <w:t>不少于3次网络安全检查。</w:t>
            </w:r>
          </w:p>
        </w:tc>
        <w:tc>
          <w:tcPr>
            <w:tcW w:w="364" w:type="pct"/>
            <w:shd w:val="clear" w:color="auto" w:fill="auto"/>
            <w:vAlign w:val="center"/>
          </w:tcPr>
          <w:p w14:paraId="4C8287A1">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261" w:type="pct"/>
            <w:shd w:val="clear" w:color="auto" w:fill="auto"/>
            <w:vAlign w:val="center"/>
          </w:tcPr>
          <w:p w14:paraId="27CD428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2B21C8D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62F7146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44C806F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165E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7FEFB98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12</w:t>
            </w:r>
          </w:p>
        </w:tc>
        <w:tc>
          <w:tcPr>
            <w:tcW w:w="643" w:type="pct"/>
            <w:shd w:val="clear" w:color="auto" w:fill="auto"/>
            <w:vAlign w:val="center"/>
          </w:tcPr>
          <w:p w14:paraId="4255F33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重保</w:t>
            </w:r>
          </w:p>
        </w:tc>
        <w:tc>
          <w:tcPr>
            <w:tcW w:w="1939" w:type="pct"/>
            <w:shd w:val="clear" w:color="auto" w:fill="auto"/>
            <w:vAlign w:val="center"/>
          </w:tcPr>
          <w:p w14:paraId="03E2365A">
            <w:pPr>
              <w:spacing w:before="156" w:beforeLines="50" w:line="360" w:lineRule="auto"/>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不少于</w:t>
            </w:r>
            <w:r>
              <w:rPr>
                <w:rFonts w:hint="eastAsia" w:asciiTheme="minorEastAsia" w:hAnsiTheme="minorEastAsia" w:eastAsiaTheme="minorEastAsia" w:cstheme="minorEastAsia"/>
                <w:color w:val="auto"/>
                <w:sz w:val="24"/>
                <w:lang w:val="en-US" w:eastAsia="zh-CN"/>
              </w:rPr>
              <w:t>2</w:t>
            </w:r>
            <w:r>
              <w:rPr>
                <w:rFonts w:hint="eastAsia" w:asciiTheme="minorEastAsia" w:hAnsiTheme="minorEastAsia" w:eastAsiaTheme="minorEastAsia" w:cstheme="minorEastAsia"/>
                <w:color w:val="auto"/>
                <w:sz w:val="24"/>
              </w:rPr>
              <w:t>次重大活动安全保障。</w:t>
            </w:r>
          </w:p>
        </w:tc>
        <w:tc>
          <w:tcPr>
            <w:tcW w:w="364" w:type="pct"/>
            <w:shd w:val="clear" w:color="auto" w:fill="auto"/>
            <w:vAlign w:val="center"/>
          </w:tcPr>
          <w:p w14:paraId="30FABC4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val="en-US" w:eastAsia="zh-CN"/>
              </w:rPr>
              <w:t>2</w:t>
            </w:r>
          </w:p>
        </w:tc>
        <w:tc>
          <w:tcPr>
            <w:tcW w:w="261" w:type="pct"/>
            <w:shd w:val="clear" w:color="auto" w:fill="auto"/>
            <w:vAlign w:val="center"/>
          </w:tcPr>
          <w:p w14:paraId="503A735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7914058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29C6A856">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0A8094D9">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875D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0" w:hRule="atLeast"/>
          <w:jc w:val="center"/>
        </w:trPr>
        <w:tc>
          <w:tcPr>
            <w:tcW w:w="296" w:type="pct"/>
            <w:shd w:val="clear" w:color="auto" w:fill="auto"/>
            <w:vAlign w:val="center"/>
          </w:tcPr>
          <w:p w14:paraId="38B6436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w:t>
            </w:r>
          </w:p>
        </w:tc>
        <w:tc>
          <w:tcPr>
            <w:tcW w:w="643" w:type="pct"/>
            <w:shd w:val="clear" w:color="auto" w:fill="auto"/>
            <w:vAlign w:val="center"/>
          </w:tcPr>
          <w:p w14:paraId="02ADB00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应急响应</w:t>
            </w:r>
          </w:p>
        </w:tc>
        <w:tc>
          <w:tcPr>
            <w:tcW w:w="1939" w:type="pct"/>
            <w:shd w:val="clear" w:color="auto" w:fill="auto"/>
            <w:vAlign w:val="center"/>
          </w:tcPr>
          <w:p w14:paraId="0C257273">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按需提供应急响应服务，不少于</w:t>
            </w:r>
            <w:r>
              <w:rPr>
                <w:rFonts w:hint="eastAsia" w:asciiTheme="minorEastAsia" w:hAnsiTheme="minorEastAsia" w:eastAsiaTheme="minorEastAsia" w:cstheme="minorEastAsia"/>
                <w:color w:val="auto"/>
                <w:lang w:val="en-US" w:eastAsia="zh-CN"/>
              </w:rPr>
              <w:t>5</w:t>
            </w:r>
            <w:r>
              <w:rPr>
                <w:rFonts w:hint="eastAsia" w:asciiTheme="minorEastAsia" w:hAnsiTheme="minorEastAsia" w:eastAsiaTheme="minorEastAsia" w:cstheme="minorEastAsia"/>
                <w:color w:val="auto"/>
              </w:rPr>
              <w:t>次。</w:t>
            </w:r>
          </w:p>
        </w:tc>
        <w:tc>
          <w:tcPr>
            <w:tcW w:w="364" w:type="pct"/>
            <w:shd w:val="clear" w:color="auto" w:fill="auto"/>
            <w:vAlign w:val="center"/>
          </w:tcPr>
          <w:p w14:paraId="6175545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5</w:t>
            </w:r>
          </w:p>
        </w:tc>
        <w:tc>
          <w:tcPr>
            <w:tcW w:w="261" w:type="pct"/>
            <w:shd w:val="clear" w:color="auto" w:fill="auto"/>
            <w:vAlign w:val="center"/>
          </w:tcPr>
          <w:p w14:paraId="5824E42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次</w:t>
            </w:r>
          </w:p>
        </w:tc>
        <w:tc>
          <w:tcPr>
            <w:tcW w:w="364" w:type="pct"/>
            <w:shd w:val="clear" w:color="auto" w:fill="auto"/>
            <w:vAlign w:val="center"/>
          </w:tcPr>
          <w:p w14:paraId="18C6A62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0D7CEC47">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3DF0A104">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35ED6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01" w:hRule="atLeast"/>
          <w:jc w:val="center"/>
        </w:trPr>
        <w:tc>
          <w:tcPr>
            <w:tcW w:w="296" w:type="pct"/>
            <w:shd w:val="clear" w:color="auto" w:fill="auto"/>
            <w:vAlign w:val="center"/>
          </w:tcPr>
          <w:p w14:paraId="2025FF83">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14</w:t>
            </w:r>
          </w:p>
        </w:tc>
        <w:tc>
          <w:tcPr>
            <w:tcW w:w="643" w:type="pct"/>
            <w:shd w:val="clear" w:color="auto" w:fill="auto"/>
            <w:vAlign w:val="center"/>
          </w:tcPr>
          <w:p w14:paraId="3399B85D">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边界通道租赁服务</w:t>
            </w:r>
          </w:p>
        </w:tc>
        <w:tc>
          <w:tcPr>
            <w:tcW w:w="1939" w:type="pct"/>
            <w:shd w:val="clear" w:color="auto" w:fill="auto"/>
            <w:vAlign w:val="center"/>
          </w:tcPr>
          <w:p w14:paraId="28F74677">
            <w:pPr>
              <w:pStyle w:val="57"/>
              <w:spacing w:before="156" w:beforeLines="50" w:beforeAutospacing="0" w:after="0" w:afterAutospacing="0"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共3条通道，每条都为（2+4+2）池化架构或其他架构来确保两侧交换系统及进出各单向2光闸的冗余能力，包含外侧防火墙。</w:t>
            </w:r>
          </w:p>
        </w:tc>
        <w:tc>
          <w:tcPr>
            <w:tcW w:w="364" w:type="pct"/>
            <w:shd w:val="clear" w:color="auto" w:fill="auto"/>
            <w:vAlign w:val="center"/>
          </w:tcPr>
          <w:p w14:paraId="7D4F504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261" w:type="pct"/>
            <w:shd w:val="clear" w:color="auto" w:fill="auto"/>
            <w:vAlign w:val="center"/>
          </w:tcPr>
          <w:p w14:paraId="1263B8CC">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条</w:t>
            </w:r>
          </w:p>
        </w:tc>
        <w:tc>
          <w:tcPr>
            <w:tcW w:w="364" w:type="pct"/>
            <w:shd w:val="clear" w:color="auto" w:fill="auto"/>
            <w:vAlign w:val="center"/>
          </w:tcPr>
          <w:p w14:paraId="3D7EC73B">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427" w:type="pct"/>
            <w:shd w:val="clear" w:color="auto" w:fill="auto"/>
            <w:vAlign w:val="center"/>
          </w:tcPr>
          <w:p w14:paraId="1605119A">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c>
          <w:tcPr>
            <w:tcW w:w="702" w:type="pct"/>
            <w:shd w:val="clear" w:color="auto" w:fill="auto"/>
            <w:vAlign w:val="center"/>
          </w:tcPr>
          <w:p w14:paraId="79483565">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p>
        </w:tc>
      </w:tr>
      <w:tr w14:paraId="4A783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940" w:type="pct"/>
            <w:gridSpan w:val="2"/>
            <w:shd w:val="clear" w:color="auto" w:fill="auto"/>
            <w:vAlign w:val="center"/>
          </w:tcPr>
          <w:p w14:paraId="5701184F">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投标</w:t>
            </w:r>
            <w:r>
              <w:rPr>
                <w:rFonts w:hint="eastAsia" w:asciiTheme="minorEastAsia" w:hAnsiTheme="minorEastAsia" w:eastAsiaTheme="minorEastAsia" w:cstheme="minorEastAsia"/>
                <w:color w:val="auto"/>
              </w:rPr>
              <w:t>总价人民币（小写）</w:t>
            </w:r>
          </w:p>
        </w:tc>
        <w:tc>
          <w:tcPr>
            <w:tcW w:w="4059" w:type="pct"/>
            <w:gridSpan w:val="6"/>
            <w:shd w:val="clear" w:color="auto" w:fill="auto"/>
            <w:vAlign w:val="center"/>
          </w:tcPr>
          <w:p w14:paraId="310ABA7C">
            <w:pPr>
              <w:pStyle w:val="57"/>
              <w:spacing w:before="156" w:beforeLines="50" w:beforeAutospacing="0" w:after="0" w:afterAutospacing="0" w:line="360" w:lineRule="auto"/>
              <w:ind w:right="-20"/>
              <w:jc w:val="center"/>
              <w:rPr>
                <w:rFonts w:hint="eastAsia" w:asciiTheme="minorEastAsia" w:hAnsiTheme="minorEastAsia" w:eastAsiaTheme="minorEastAsia" w:cstheme="minorEastAsia"/>
                <w:color w:val="auto"/>
              </w:rPr>
            </w:pPr>
          </w:p>
        </w:tc>
      </w:tr>
      <w:tr w14:paraId="0CD8F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940" w:type="pct"/>
            <w:gridSpan w:val="2"/>
            <w:shd w:val="clear" w:color="auto" w:fill="auto"/>
            <w:vAlign w:val="center"/>
          </w:tcPr>
          <w:p w14:paraId="6CC07BDE">
            <w:pPr>
              <w:pStyle w:val="57"/>
              <w:spacing w:before="156" w:beforeLines="50" w:beforeAutospacing="0" w:after="0" w:afterAutospacing="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投标</w:t>
            </w:r>
            <w:r>
              <w:rPr>
                <w:rFonts w:hint="eastAsia" w:asciiTheme="minorEastAsia" w:hAnsiTheme="minorEastAsia" w:eastAsiaTheme="minorEastAsia" w:cstheme="minorEastAsia"/>
                <w:color w:val="auto"/>
              </w:rPr>
              <w:t>总价人民币（大写）</w:t>
            </w:r>
          </w:p>
        </w:tc>
        <w:tc>
          <w:tcPr>
            <w:tcW w:w="4059" w:type="pct"/>
            <w:gridSpan w:val="6"/>
            <w:shd w:val="clear" w:color="auto" w:fill="auto"/>
            <w:vAlign w:val="center"/>
          </w:tcPr>
          <w:p w14:paraId="7C1B0A6D">
            <w:pPr>
              <w:pStyle w:val="57"/>
              <w:spacing w:before="156" w:beforeLines="50" w:beforeAutospacing="0" w:after="0" w:afterAutospacing="0" w:line="360" w:lineRule="auto"/>
              <w:ind w:right="-20"/>
              <w:jc w:val="center"/>
              <w:rPr>
                <w:rFonts w:hint="eastAsia" w:asciiTheme="minorEastAsia" w:hAnsiTheme="minorEastAsia" w:eastAsiaTheme="minorEastAsia" w:cstheme="minorEastAsia"/>
                <w:color w:val="auto"/>
              </w:rPr>
            </w:pPr>
          </w:p>
        </w:tc>
      </w:tr>
      <w:tr w14:paraId="3BCCB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000" w:type="pct"/>
            <w:gridSpan w:val="8"/>
            <w:shd w:val="clear" w:color="auto" w:fill="auto"/>
            <w:vAlign w:val="center"/>
          </w:tcPr>
          <w:p w14:paraId="385768F7">
            <w:pPr>
              <w:pStyle w:val="57"/>
              <w:spacing w:before="156" w:beforeLines="50" w:beforeAutospacing="0" w:after="0" w:afterAutospacing="0" w:line="360" w:lineRule="auto"/>
              <w:ind w:right="-2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其中：中小企业金额达到    元，占</w:t>
            </w:r>
            <w:r>
              <w:rPr>
                <w:rFonts w:hint="eastAsia" w:asciiTheme="minorEastAsia" w:hAnsiTheme="minorEastAsia" w:eastAsiaTheme="minorEastAsia" w:cstheme="minorEastAsia"/>
                <w:color w:val="auto"/>
                <w:lang w:val="en-US" w:eastAsia="zh-CN"/>
              </w:rPr>
              <w:t>投标</w:t>
            </w:r>
            <w:r>
              <w:rPr>
                <w:rFonts w:hint="eastAsia" w:asciiTheme="minorEastAsia" w:hAnsiTheme="minorEastAsia" w:eastAsiaTheme="minorEastAsia" w:cstheme="minorEastAsia"/>
                <w:color w:val="auto"/>
              </w:rPr>
              <w:t>总价的   %</w:t>
            </w:r>
          </w:p>
        </w:tc>
      </w:tr>
      <w:tr w14:paraId="7A08E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5000" w:type="pct"/>
            <w:gridSpan w:val="8"/>
            <w:shd w:val="clear" w:color="auto" w:fill="auto"/>
            <w:vAlign w:val="center"/>
          </w:tcPr>
          <w:p w14:paraId="47E02953">
            <w:pPr>
              <w:pStyle w:val="57"/>
              <w:spacing w:before="156" w:beforeLines="50" w:beforeAutospacing="0" w:after="0" w:afterAutospacing="0" w:line="360" w:lineRule="auto"/>
              <w:ind w:right="-2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小微企业金额达到    元，占</w:t>
            </w:r>
            <w:r>
              <w:rPr>
                <w:rFonts w:hint="eastAsia" w:asciiTheme="minorEastAsia" w:hAnsiTheme="minorEastAsia" w:eastAsiaTheme="minorEastAsia" w:cstheme="minorEastAsia"/>
                <w:color w:val="auto"/>
                <w:lang w:val="en-US" w:eastAsia="zh-CN"/>
              </w:rPr>
              <w:t>投标</w:t>
            </w:r>
            <w:r>
              <w:rPr>
                <w:rFonts w:hint="eastAsia" w:asciiTheme="minorEastAsia" w:hAnsiTheme="minorEastAsia" w:eastAsiaTheme="minorEastAsia" w:cstheme="minorEastAsia"/>
                <w:color w:val="auto"/>
              </w:rPr>
              <w:t>总价的   %</w:t>
            </w: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lang w:val="en-US" w:eastAsia="zh-CN"/>
        </w:rPr>
        <w:t>报价情况说明</w:t>
      </w:r>
      <w:r>
        <w:rPr>
          <w:rFonts w:hint="eastAsia" w:ascii="宋体" w:hAnsi="宋体" w:eastAsia="宋体" w:cs="宋体"/>
          <w:color w:val="auto"/>
          <w:sz w:val="32"/>
          <w:szCs w:val="32"/>
          <w:highlight w:val="none"/>
        </w:rPr>
        <w:t>（如果有）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（如供应商报价低于项目预算50%的，应当提交本文档，详细阐述不影响产品质量或者诚信履约的具体原因。）</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3" w:name="OLE_LINK14"/>
      <w:bookmarkStart w:id="514" w:name="OLE_LINK13"/>
      <w:r>
        <w:rPr>
          <w:rFonts w:hint="eastAsia" w:ascii="宋体" w:hAnsi="宋体" w:cs="宋体"/>
          <w:b/>
          <w:color w:val="auto"/>
          <w:spacing w:val="6"/>
          <w:sz w:val="32"/>
          <w:szCs w:val="32"/>
          <w:highlight w:val="none"/>
        </w:rPr>
        <w:t>残疾人福利性单位声明函</w:t>
      </w:r>
    </w:p>
    <w:bookmarkEnd w:id="513"/>
    <w:bookmarkEnd w:id="514"/>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杭州市公安业务网安全服务项目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杭州市公安局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华诚工程咨询集团有限公司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5"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5"/>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6"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6"/>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7"/>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杭州市公安业务网安全服务项目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HCZX-ZC-[2025]0399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13DD44FF">
      <w:pPr>
        <w:spacing w:line="360" w:lineRule="auto"/>
        <w:jc w:val="left"/>
        <w:outlineLvl w:val="0"/>
        <w:rPr>
          <w:rFonts w:hint="eastAsia" w:ascii="宋体" w:hAnsi="宋体" w:cs="宋体"/>
          <w:b/>
          <w:color w:val="auto"/>
          <w:sz w:val="36"/>
          <w:szCs w:val="20"/>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杭州市公安局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杭州市公安业务网安全服务项目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4002009F" w:csb1="DFD70000"/>
  </w:font>
  <w:font w:name="Wingdings 2">
    <w:panose1 w:val="05020102010507070707"/>
    <w:charset w:val="02"/>
    <w:family w:val="roman"/>
    <w:pitch w:val="default"/>
    <w:sig w:usb0="00000000" w:usb1="00000000" w:usb2="00000000" w:usb3="00000000" w:csb0="8000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8" w:name="_Toc91899912"/>
    <w:bookmarkStart w:id="519" w:name="_Toc131845147"/>
    <w:bookmarkStart w:id="520" w:name="_Toc164085800"/>
    <w:bookmarkStart w:id="521" w:name="_Toc36110187"/>
    <w:r>
      <w:rPr>
        <w:rFonts w:hint="eastAsia" w:ascii="仿宋_GB2312" w:eastAsia="仿宋_GB2312"/>
        <w:kern w:val="0"/>
        <w:szCs w:val="21"/>
      </w:rPr>
      <w:t xml:space="preserve"> 页</w:t>
    </w:r>
    <w:bookmarkEnd w:id="518"/>
    <w:bookmarkEnd w:id="519"/>
    <w:bookmarkEnd w:id="520"/>
    <w:bookmarkEnd w:id="52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E4D667"/>
    <w:multiLevelType w:val="singleLevel"/>
    <w:tmpl w:val="A6E4D667"/>
    <w:lvl w:ilvl="0" w:tentative="0">
      <w:start w:val="1"/>
      <w:numFmt w:val="decimal"/>
      <w:suff w:val="nothing"/>
      <w:lvlText w:val="（%1）"/>
      <w:lvlJc w:val="left"/>
    </w:lvl>
  </w:abstractNum>
  <w:abstractNum w:abstractNumId="1">
    <w:nsid w:val="120FD8F0"/>
    <w:multiLevelType w:val="singleLevel"/>
    <w:tmpl w:val="120FD8F0"/>
    <w:lvl w:ilvl="0" w:tentative="0">
      <w:start w:val="1"/>
      <w:numFmt w:val="decimal"/>
      <w:suff w:val="nothing"/>
      <w:lvlText w:val="（%1）"/>
      <w:lvlJc w:val="left"/>
    </w:lvl>
  </w:abstractNum>
  <w:abstractNum w:abstractNumId="2">
    <w:nsid w:val="1F36AC32"/>
    <w:multiLevelType w:val="singleLevel"/>
    <w:tmpl w:val="1F36AC32"/>
    <w:lvl w:ilvl="0" w:tentative="0">
      <w:start w:val="2"/>
      <w:numFmt w:val="chineseCounting"/>
      <w:suff w:val="nothing"/>
      <w:lvlText w:val="（%1）"/>
      <w:lvlJc w:val="left"/>
      <w:rPr>
        <w:rFonts w:hint="eastAsia"/>
        <w:b/>
        <w:bCs/>
      </w:rPr>
    </w:lvl>
  </w:abstractNum>
  <w:abstractNum w:abstractNumId="3">
    <w:nsid w:val="25CF6DE0"/>
    <w:multiLevelType w:val="singleLevel"/>
    <w:tmpl w:val="25CF6DE0"/>
    <w:lvl w:ilvl="0" w:tentative="0">
      <w:start w:val="5"/>
      <w:numFmt w:val="chineseCounting"/>
      <w:suff w:val="nothing"/>
      <w:lvlText w:val="（%1）"/>
      <w:lvlJc w:val="left"/>
      <w:rPr>
        <w:rFonts w:hint="eastAsia"/>
      </w:rPr>
    </w:lvl>
  </w:abstractNum>
  <w:abstractNum w:abstractNumId="4">
    <w:nsid w:val="3692C496"/>
    <w:multiLevelType w:val="singleLevel"/>
    <w:tmpl w:val="3692C496"/>
    <w:lvl w:ilvl="0" w:tentative="0">
      <w:start w:val="1"/>
      <w:numFmt w:val="decimal"/>
      <w:suff w:val="nothing"/>
      <w:lvlText w:val="（%1）"/>
      <w:lvlJc w:val="left"/>
    </w:lvl>
  </w:abstractNum>
  <w:abstractNum w:abstractNumId="5">
    <w:nsid w:val="41892D21"/>
    <w:multiLevelType w:val="singleLevel"/>
    <w:tmpl w:val="41892D21"/>
    <w:lvl w:ilvl="0" w:tentative="0">
      <w:start w:val="1"/>
      <w:numFmt w:val="decimal"/>
      <w:suff w:val="nothing"/>
      <w:lvlText w:val="（%1）"/>
      <w:lvlJc w:val="left"/>
    </w:lvl>
  </w:abstractNum>
  <w:abstractNum w:abstractNumId="6">
    <w:nsid w:val="58B57EDB"/>
    <w:multiLevelType w:val="singleLevel"/>
    <w:tmpl w:val="58B57EDB"/>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00B7"/>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35E1B"/>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2F3398"/>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58923E9"/>
    <w:rsid w:val="16A8729C"/>
    <w:rsid w:val="16B33777"/>
    <w:rsid w:val="16BC70A7"/>
    <w:rsid w:val="16C6339E"/>
    <w:rsid w:val="172F2D79"/>
    <w:rsid w:val="17557BEF"/>
    <w:rsid w:val="17D349C1"/>
    <w:rsid w:val="1830729E"/>
    <w:rsid w:val="1870062C"/>
    <w:rsid w:val="18817102"/>
    <w:rsid w:val="18830A15"/>
    <w:rsid w:val="18852B28"/>
    <w:rsid w:val="188B5321"/>
    <w:rsid w:val="189C3090"/>
    <w:rsid w:val="19932372"/>
    <w:rsid w:val="19A20DD5"/>
    <w:rsid w:val="19AE03F1"/>
    <w:rsid w:val="1A071A03"/>
    <w:rsid w:val="1A1F16AE"/>
    <w:rsid w:val="1A3B5C77"/>
    <w:rsid w:val="1A984BAD"/>
    <w:rsid w:val="1AB8220E"/>
    <w:rsid w:val="1AE4166C"/>
    <w:rsid w:val="1AEB3229"/>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A979A4"/>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7411D0"/>
    <w:rsid w:val="34950E68"/>
    <w:rsid w:val="34986E94"/>
    <w:rsid w:val="349958F6"/>
    <w:rsid w:val="34AF62C9"/>
    <w:rsid w:val="34CB4388"/>
    <w:rsid w:val="34FA6E12"/>
    <w:rsid w:val="354D7158"/>
    <w:rsid w:val="358D5588"/>
    <w:rsid w:val="363A3B40"/>
    <w:rsid w:val="365302AE"/>
    <w:rsid w:val="36607A0A"/>
    <w:rsid w:val="366E227C"/>
    <w:rsid w:val="366F2E0D"/>
    <w:rsid w:val="367B6A5C"/>
    <w:rsid w:val="36A74ADA"/>
    <w:rsid w:val="36AD60D5"/>
    <w:rsid w:val="36B224F9"/>
    <w:rsid w:val="36CD1BB0"/>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4258B"/>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AE7FD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1F4F2B"/>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3F83BBD"/>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C104BC"/>
    <w:rsid w:val="58E363A9"/>
    <w:rsid w:val="595E1678"/>
    <w:rsid w:val="596D5BD4"/>
    <w:rsid w:val="597E3DD8"/>
    <w:rsid w:val="599252AD"/>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17014"/>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0FB7F7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AA0682"/>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B56784"/>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正文_0_0"/>
    <w:qFormat/>
    <w:uiPriority w:val="0"/>
    <w:rPr>
      <w:rFonts w:ascii="Calibri" w:hAnsi="Calibri"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128</Pages>
  <Words>3660</Words>
  <Characters>4121</Characters>
  <Lines>281</Lines>
  <Paragraphs>79</Paragraphs>
  <TotalTime>14</TotalTime>
  <ScaleCrop>false</ScaleCrop>
  <LinksUpToDate>false</LinksUpToDate>
  <CharactersWithSpaces>4402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李</cp:lastModifiedBy>
  <cp:lastPrinted>2025-04-17T06:57:00Z</cp:lastPrinted>
  <dcterms:modified xsi:type="dcterms:W3CDTF">2025-04-24T06:55:11Z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eyJoZGlkIjoiMjk2OTU3ZTNhNTNhZjQ1ZjdmMzAwMjUwNDE0ZmZiYWMiLCJ1c2VySWQiOiI1NjI2OTM1NzIifQ==</vt:lpwstr>
  </property>
</Properties>
</file>