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6956E29">
      <w:pPr>
        <w:pStyle w:val="2"/>
        <w:jc w:val="center"/>
        <w:rPr>
          <w:rFonts w:hAnsi="宋体"/>
          <w:b/>
          <w:bCs/>
          <w:color w:val="auto"/>
          <w:sz w:val="72"/>
          <w:szCs w:val="72"/>
          <w:highlight w:val="none"/>
        </w:rPr>
      </w:pPr>
      <w:bookmarkStart w:id="0" w:name="_Toc17774"/>
      <w:bookmarkStart w:id="1" w:name="_Toc12144"/>
      <w:bookmarkStart w:id="2" w:name="_Toc14534"/>
      <w:bookmarkStart w:id="3" w:name="_Toc22604"/>
      <w:bookmarkStart w:id="86" w:name="_GoBack"/>
    </w:p>
    <w:p w14:paraId="6E4F4762">
      <w:pPr>
        <w:pStyle w:val="2"/>
        <w:jc w:val="center"/>
        <w:rPr>
          <w:rFonts w:hint="eastAsia" w:hAnsi="宋体"/>
          <w:b/>
          <w:bCs/>
          <w:color w:val="auto"/>
          <w:sz w:val="52"/>
          <w:szCs w:val="52"/>
          <w:highlight w:val="none"/>
          <w:lang w:val="en-US" w:eastAsia="zh-CN"/>
        </w:rPr>
      </w:pPr>
    </w:p>
    <w:p w14:paraId="2500B6B9">
      <w:pPr>
        <w:pStyle w:val="2"/>
        <w:jc w:val="center"/>
        <w:rPr>
          <w:rFonts w:hint="eastAsia" w:hAnsi="宋体" w:eastAsia="宋体"/>
          <w:color w:val="auto"/>
          <w:highlight w:val="none"/>
          <w:lang w:val="en-US" w:eastAsia="zh-CN"/>
        </w:rPr>
      </w:pPr>
      <w:r>
        <w:rPr>
          <w:rFonts w:hint="eastAsia" w:hAnsi="宋体"/>
          <w:b/>
          <w:bCs/>
          <w:color w:val="auto"/>
          <w:sz w:val="52"/>
          <w:szCs w:val="52"/>
          <w:highlight w:val="none"/>
          <w:lang w:val="en-US" w:eastAsia="zh-CN"/>
        </w:rPr>
        <w:t>吉林省体育局运动员商业保险采购项目(二次）</w:t>
      </w:r>
    </w:p>
    <w:p w14:paraId="252E54C8">
      <w:pPr>
        <w:pStyle w:val="2"/>
        <w:jc w:val="both"/>
        <w:rPr>
          <w:rFonts w:hAnsi="宋体"/>
          <w:color w:val="auto"/>
          <w:highlight w:val="none"/>
        </w:rPr>
      </w:pPr>
    </w:p>
    <w:p w14:paraId="1A9641E7">
      <w:pPr>
        <w:pStyle w:val="2"/>
        <w:jc w:val="center"/>
        <w:rPr>
          <w:rFonts w:hAnsi="宋体"/>
          <w:color w:val="auto"/>
          <w:highlight w:val="none"/>
        </w:rPr>
      </w:pPr>
    </w:p>
    <w:p w14:paraId="5C1F7B89">
      <w:pPr>
        <w:pStyle w:val="2"/>
        <w:jc w:val="center"/>
        <w:rPr>
          <w:rFonts w:hAnsi="宋体"/>
          <w:b/>
          <w:bCs/>
          <w:color w:val="auto"/>
          <w:sz w:val="72"/>
          <w:szCs w:val="72"/>
          <w:highlight w:val="none"/>
        </w:rPr>
      </w:pPr>
    </w:p>
    <w:p w14:paraId="6B7F790B">
      <w:pPr>
        <w:pStyle w:val="27"/>
        <w:rPr>
          <w:color w:val="auto"/>
        </w:rPr>
      </w:pPr>
    </w:p>
    <w:p w14:paraId="5D832269">
      <w:pPr>
        <w:pStyle w:val="2"/>
        <w:jc w:val="center"/>
        <w:rPr>
          <w:rFonts w:hAnsi="宋体"/>
          <w:b/>
          <w:bCs/>
          <w:color w:val="auto"/>
          <w:sz w:val="72"/>
          <w:szCs w:val="72"/>
          <w:highlight w:val="none"/>
        </w:rPr>
      </w:pPr>
    </w:p>
    <w:p w14:paraId="294725EB">
      <w:pPr>
        <w:pStyle w:val="2"/>
        <w:jc w:val="center"/>
        <w:rPr>
          <w:rFonts w:hAnsi="宋体"/>
          <w:b/>
          <w:bCs/>
          <w:color w:val="auto"/>
          <w:sz w:val="96"/>
          <w:szCs w:val="96"/>
          <w:highlight w:val="none"/>
        </w:rPr>
      </w:pPr>
      <w:r>
        <w:rPr>
          <w:rFonts w:hint="eastAsia" w:hAnsi="宋体"/>
          <w:b/>
          <w:bCs/>
          <w:color w:val="auto"/>
          <w:sz w:val="72"/>
          <w:szCs w:val="72"/>
          <w:highlight w:val="none"/>
        </w:rPr>
        <w:t>竞争性磋商文件</w:t>
      </w:r>
    </w:p>
    <w:p w14:paraId="35F14EFB">
      <w:pPr>
        <w:pStyle w:val="2"/>
        <w:jc w:val="both"/>
        <w:rPr>
          <w:rFonts w:hAnsi="宋体"/>
          <w:color w:val="auto"/>
          <w:sz w:val="18"/>
          <w:szCs w:val="18"/>
          <w:highlight w:val="none"/>
        </w:rPr>
      </w:pPr>
    </w:p>
    <w:p w14:paraId="448655E0">
      <w:pPr>
        <w:pStyle w:val="2"/>
        <w:jc w:val="center"/>
        <w:rPr>
          <w:rFonts w:hAnsi="宋体"/>
          <w:color w:val="auto"/>
          <w:sz w:val="40"/>
          <w:szCs w:val="40"/>
          <w:highlight w:val="none"/>
        </w:rPr>
      </w:pPr>
    </w:p>
    <w:p w14:paraId="5ECF95EF">
      <w:pPr>
        <w:pStyle w:val="2"/>
        <w:jc w:val="center"/>
        <w:rPr>
          <w:rFonts w:hint="default" w:ascii="宋体" w:hAnsi="宋体" w:eastAsia="宋体" w:cs="宋体"/>
          <w:b/>
          <w:bCs/>
          <w:color w:val="auto"/>
          <w:sz w:val="28"/>
          <w:szCs w:val="28"/>
          <w:highlight w:val="none"/>
          <w:lang w:val="en-US" w:eastAsia="zh-CN"/>
        </w:rPr>
      </w:pPr>
      <w:r>
        <w:rPr>
          <w:rStyle w:val="173"/>
          <w:rFonts w:ascii="宋体" w:hAnsi="宋体" w:cs="宋体"/>
          <w:b/>
          <w:bCs/>
          <w:color w:val="auto"/>
          <w:sz w:val="36"/>
          <w:szCs w:val="36"/>
          <w:highlight w:val="none"/>
        </w:rPr>
        <w:t>项目编号：</w:t>
      </w:r>
      <w:r>
        <w:rPr>
          <w:rStyle w:val="173"/>
          <w:rFonts w:hint="eastAsia" w:ascii="宋体" w:hAnsi="宋体" w:cs="宋体"/>
          <w:b/>
          <w:bCs/>
          <w:color w:val="auto"/>
          <w:sz w:val="36"/>
          <w:szCs w:val="36"/>
          <w:highlight w:val="none"/>
          <w:lang w:eastAsia="zh-CN"/>
        </w:rPr>
        <w:t>HC-JLZB-2025-321</w:t>
      </w:r>
    </w:p>
    <w:p w14:paraId="30638A6F">
      <w:pPr>
        <w:pStyle w:val="2"/>
        <w:jc w:val="center"/>
        <w:rPr>
          <w:rFonts w:hint="default" w:hAnsi="宋体"/>
          <w:color w:val="auto"/>
          <w:sz w:val="20"/>
          <w:highlight w:val="none"/>
          <w:lang w:val="en-US"/>
        </w:rPr>
      </w:pPr>
    </w:p>
    <w:p w14:paraId="466C962F">
      <w:pPr>
        <w:pStyle w:val="2"/>
        <w:jc w:val="center"/>
        <w:rPr>
          <w:rFonts w:hAnsi="宋体"/>
          <w:color w:val="auto"/>
          <w:sz w:val="20"/>
          <w:highlight w:val="none"/>
        </w:rPr>
      </w:pPr>
    </w:p>
    <w:p w14:paraId="1B59D585">
      <w:pPr>
        <w:pStyle w:val="2"/>
        <w:jc w:val="center"/>
        <w:rPr>
          <w:rFonts w:hAnsi="宋体"/>
          <w:color w:val="auto"/>
          <w:sz w:val="20"/>
          <w:highlight w:val="none"/>
        </w:rPr>
      </w:pPr>
    </w:p>
    <w:p w14:paraId="0E8DC4CC">
      <w:pPr>
        <w:pStyle w:val="2"/>
        <w:jc w:val="center"/>
        <w:rPr>
          <w:rFonts w:hAnsi="宋体"/>
          <w:color w:val="auto"/>
          <w:sz w:val="20"/>
          <w:highlight w:val="none"/>
        </w:rPr>
      </w:pPr>
    </w:p>
    <w:p w14:paraId="2AC84C26">
      <w:pPr>
        <w:pStyle w:val="2"/>
        <w:jc w:val="center"/>
        <w:rPr>
          <w:rFonts w:hAnsi="宋体"/>
          <w:color w:val="auto"/>
          <w:sz w:val="20"/>
          <w:highlight w:val="none"/>
        </w:rPr>
      </w:pPr>
    </w:p>
    <w:p w14:paraId="6AAA9E1A">
      <w:pPr>
        <w:pStyle w:val="2"/>
        <w:jc w:val="both"/>
        <w:rPr>
          <w:rFonts w:hAnsi="宋体"/>
          <w:color w:val="auto"/>
          <w:sz w:val="20"/>
          <w:highlight w:val="none"/>
        </w:rPr>
      </w:pPr>
    </w:p>
    <w:p w14:paraId="0C70A9AF">
      <w:pPr>
        <w:pStyle w:val="2"/>
        <w:jc w:val="center"/>
        <w:rPr>
          <w:rFonts w:hAnsi="宋体"/>
          <w:color w:val="auto"/>
          <w:sz w:val="20"/>
          <w:highlight w:val="none"/>
        </w:rPr>
      </w:pPr>
    </w:p>
    <w:p w14:paraId="2D571CC7">
      <w:pPr>
        <w:pStyle w:val="2"/>
        <w:jc w:val="center"/>
        <w:rPr>
          <w:rFonts w:hAnsi="宋体"/>
          <w:color w:val="auto"/>
          <w:sz w:val="20"/>
          <w:highlight w:val="none"/>
        </w:rPr>
      </w:pPr>
    </w:p>
    <w:p w14:paraId="4B65B656">
      <w:pPr>
        <w:pStyle w:val="2"/>
        <w:jc w:val="center"/>
        <w:rPr>
          <w:rFonts w:hAnsi="宋体"/>
          <w:color w:val="auto"/>
          <w:sz w:val="20"/>
          <w:highlight w:val="none"/>
        </w:rPr>
      </w:pPr>
    </w:p>
    <w:p w14:paraId="707AE926">
      <w:pPr>
        <w:pStyle w:val="2"/>
        <w:jc w:val="both"/>
        <w:rPr>
          <w:rFonts w:hAnsi="宋体"/>
          <w:color w:val="auto"/>
          <w:sz w:val="20"/>
          <w:highlight w:val="none"/>
        </w:rPr>
      </w:pPr>
    </w:p>
    <w:p w14:paraId="76C9ACC2">
      <w:pPr>
        <w:pStyle w:val="2"/>
        <w:jc w:val="center"/>
        <w:rPr>
          <w:rFonts w:hAnsi="宋体"/>
          <w:color w:val="auto"/>
          <w:sz w:val="20"/>
          <w:highlight w:val="none"/>
        </w:rPr>
      </w:pPr>
    </w:p>
    <w:p w14:paraId="5766A32C">
      <w:pPr>
        <w:pStyle w:val="2"/>
        <w:jc w:val="both"/>
        <w:rPr>
          <w:rFonts w:hAnsi="宋体"/>
          <w:color w:val="auto"/>
          <w:sz w:val="20"/>
          <w:highlight w:val="none"/>
        </w:rPr>
      </w:pPr>
    </w:p>
    <w:p w14:paraId="36163B7B">
      <w:pPr>
        <w:pStyle w:val="2"/>
        <w:jc w:val="center"/>
        <w:rPr>
          <w:rFonts w:hAnsi="宋体"/>
          <w:color w:val="auto"/>
          <w:sz w:val="20"/>
          <w:highlight w:val="none"/>
        </w:rPr>
      </w:pPr>
    </w:p>
    <w:p w14:paraId="3FCFE86A">
      <w:pPr>
        <w:pStyle w:val="2"/>
        <w:ind w:firstLine="904" w:firstLineChars="300"/>
        <w:jc w:val="both"/>
        <w:rPr>
          <w:rFonts w:hint="eastAsia" w:hAnsi="宋体" w:eastAsia="宋体"/>
          <w:b/>
          <w:color w:val="auto"/>
          <w:sz w:val="30"/>
          <w:szCs w:val="30"/>
          <w:highlight w:val="none"/>
          <w:lang w:eastAsia="zh-CN"/>
        </w:rPr>
      </w:pPr>
      <w:r>
        <w:rPr>
          <w:rFonts w:hint="eastAsia" w:hAnsi="宋体"/>
          <w:b/>
          <w:color w:val="auto"/>
          <w:sz w:val="30"/>
          <w:szCs w:val="30"/>
          <w:highlight w:val="none"/>
        </w:rPr>
        <w:t>采    购   人：</w:t>
      </w:r>
      <w:r>
        <w:rPr>
          <w:rFonts w:hint="eastAsia" w:hAnsi="宋体"/>
          <w:b/>
          <w:color w:val="auto"/>
          <w:sz w:val="30"/>
          <w:szCs w:val="30"/>
          <w:highlight w:val="none"/>
          <w:lang w:eastAsia="zh-CN"/>
        </w:rPr>
        <w:t>吉林省体育局</w:t>
      </w:r>
    </w:p>
    <w:p w14:paraId="04B87EF8">
      <w:pPr>
        <w:pStyle w:val="2"/>
        <w:jc w:val="center"/>
        <w:rPr>
          <w:rFonts w:hAnsi="宋体"/>
          <w:b/>
          <w:bCs/>
          <w:color w:val="auto"/>
          <w:sz w:val="32"/>
          <w:szCs w:val="44"/>
          <w:highlight w:val="none"/>
        </w:rPr>
      </w:pPr>
    </w:p>
    <w:p w14:paraId="749F912C">
      <w:pPr>
        <w:pStyle w:val="2"/>
        <w:ind w:firstLine="964" w:firstLineChars="300"/>
        <w:jc w:val="both"/>
        <w:rPr>
          <w:rFonts w:hAnsi="宋体"/>
          <w:b/>
          <w:bCs/>
          <w:color w:val="auto"/>
          <w:sz w:val="32"/>
          <w:szCs w:val="44"/>
          <w:highlight w:val="none"/>
        </w:rPr>
      </w:pPr>
      <w:r>
        <w:rPr>
          <w:rFonts w:hint="eastAsia" w:hAnsi="宋体"/>
          <w:b/>
          <w:bCs/>
          <w:color w:val="auto"/>
          <w:sz w:val="32"/>
          <w:szCs w:val="44"/>
          <w:highlight w:val="none"/>
        </w:rPr>
        <w:t>采购代理机构：</w:t>
      </w:r>
      <w:r>
        <w:rPr>
          <w:rFonts w:hint="eastAsia" w:hAnsi="宋体"/>
          <w:b/>
          <w:bCs/>
          <w:color w:val="auto"/>
          <w:sz w:val="32"/>
          <w:szCs w:val="44"/>
          <w:highlight w:val="none"/>
          <w:lang w:eastAsia="zh-CN"/>
        </w:rPr>
        <w:t>华</w:t>
      </w:r>
      <w:r>
        <w:rPr>
          <w:rFonts w:hint="eastAsia" w:hAnsi="宋体"/>
          <w:b/>
          <w:bCs/>
          <w:color w:val="auto"/>
          <w:sz w:val="32"/>
          <w:szCs w:val="44"/>
          <w:highlight w:val="none"/>
          <w:lang w:val="en-US" w:eastAsia="zh-CN"/>
        </w:rPr>
        <w:t>春建设工程项目管理有限责任公司</w:t>
      </w:r>
    </w:p>
    <w:p w14:paraId="5B44352C">
      <w:pPr>
        <w:pStyle w:val="2"/>
        <w:jc w:val="center"/>
        <w:rPr>
          <w:rFonts w:hAnsi="宋体"/>
          <w:b/>
          <w:bCs/>
          <w:color w:val="auto"/>
          <w:sz w:val="32"/>
          <w:szCs w:val="44"/>
          <w:highlight w:val="none"/>
        </w:rPr>
      </w:pPr>
    </w:p>
    <w:p w14:paraId="0AC983F7">
      <w:pPr>
        <w:pStyle w:val="2"/>
        <w:jc w:val="center"/>
        <w:rPr>
          <w:rFonts w:hAnsi="宋体"/>
          <w:b/>
          <w:bCs/>
          <w:color w:val="auto"/>
          <w:sz w:val="32"/>
          <w:szCs w:val="44"/>
          <w:highlight w:val="none"/>
        </w:rPr>
      </w:pPr>
      <w:r>
        <w:rPr>
          <w:rFonts w:hint="eastAsia" w:hAnsi="宋体"/>
          <w:b/>
          <w:bCs/>
          <w:color w:val="auto"/>
          <w:spacing w:val="40"/>
          <w:sz w:val="32"/>
          <w:szCs w:val="44"/>
          <w:highlight w:val="none"/>
        </w:rPr>
        <w:t>202</w:t>
      </w:r>
      <w:r>
        <w:rPr>
          <w:rFonts w:hint="eastAsia" w:hAnsi="宋体"/>
          <w:b/>
          <w:bCs/>
          <w:color w:val="auto"/>
          <w:spacing w:val="40"/>
          <w:sz w:val="32"/>
          <w:szCs w:val="44"/>
          <w:highlight w:val="none"/>
          <w:lang w:val="en-US" w:eastAsia="zh-CN"/>
        </w:rPr>
        <w:t>5</w:t>
      </w:r>
      <w:r>
        <w:rPr>
          <w:rFonts w:hint="eastAsia" w:hAnsi="宋体"/>
          <w:b/>
          <w:bCs/>
          <w:color w:val="auto"/>
          <w:spacing w:val="40"/>
          <w:sz w:val="32"/>
          <w:szCs w:val="44"/>
          <w:highlight w:val="none"/>
        </w:rPr>
        <w:t>年</w:t>
      </w:r>
      <w:r>
        <w:rPr>
          <w:rFonts w:hint="eastAsia" w:hAnsi="宋体"/>
          <w:b/>
          <w:bCs/>
          <w:color w:val="auto"/>
          <w:spacing w:val="40"/>
          <w:sz w:val="32"/>
          <w:szCs w:val="44"/>
          <w:highlight w:val="none"/>
          <w:lang w:val="en-US" w:eastAsia="zh-CN"/>
        </w:rPr>
        <w:t>3</w:t>
      </w:r>
      <w:r>
        <w:rPr>
          <w:rFonts w:hint="eastAsia" w:hAnsi="宋体"/>
          <w:b/>
          <w:bCs/>
          <w:color w:val="auto"/>
          <w:spacing w:val="40"/>
          <w:sz w:val="32"/>
          <w:szCs w:val="44"/>
          <w:highlight w:val="none"/>
        </w:rPr>
        <w:t>月</w:t>
      </w:r>
    </w:p>
    <w:p w14:paraId="670A90E6">
      <w:pPr>
        <w:pStyle w:val="2"/>
        <w:jc w:val="both"/>
        <w:rPr>
          <w:rFonts w:hAnsi="宋体"/>
          <w:color w:val="auto"/>
          <w:highlight w:val="none"/>
        </w:rPr>
      </w:pPr>
    </w:p>
    <w:p w14:paraId="00ABBAAC">
      <w:pPr>
        <w:spacing w:line="480" w:lineRule="auto"/>
        <w:rPr>
          <w:rFonts w:ascii="宋体" w:hAnsi="宋体" w:cs="宋体"/>
          <w:b/>
          <w:bCs/>
          <w:color w:val="auto"/>
          <w:sz w:val="32"/>
          <w:szCs w:val="32"/>
          <w:highlight w:val="none"/>
        </w:rPr>
        <w:sectPr>
          <w:footerReference r:id="rId5" w:type="first"/>
          <w:headerReference r:id="rId3" w:type="default"/>
          <w:footerReference r:id="rId4" w:type="default"/>
          <w:pgSz w:w="11905" w:h="16838"/>
          <w:pgMar w:top="1417" w:right="1417" w:bottom="1417" w:left="1417" w:header="850" w:footer="737" w:gutter="0"/>
          <w:pgNumType w:start="1"/>
          <w:cols w:space="720" w:num="1"/>
          <w:docGrid w:linePitch="490" w:charSpace="0"/>
        </w:sectPr>
      </w:pPr>
    </w:p>
    <w:p w14:paraId="0EE57F50">
      <w:pPr>
        <w:spacing w:line="48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目录</w:t>
      </w:r>
    </w:p>
    <w:p w14:paraId="3E77AD43">
      <w:pPr>
        <w:pStyle w:val="164"/>
        <w:tabs>
          <w:tab w:val="right" w:leader="dot" w:pos="9071"/>
        </w:tabs>
        <w:spacing w:line="48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"_Toc29475" </w:instrText>
      </w:r>
      <w:r>
        <w:rPr>
          <w:color w:val="auto"/>
          <w:highlight w:val="none"/>
        </w:rPr>
        <w:fldChar w:fldCharType="separate"/>
      </w:r>
      <w:r>
        <w:rPr>
          <w:rFonts w:hint="eastAsia" w:ascii="宋体" w:hAnsi="宋体" w:cs="宋体"/>
          <w:b/>
          <w:bCs/>
          <w:color w:val="auto"/>
          <w:sz w:val="32"/>
          <w:szCs w:val="32"/>
          <w:highlight w:val="none"/>
        </w:rPr>
        <w:t>第一章 竞争性磋商公告</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_Toc29475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2</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256AA84A">
      <w:pPr>
        <w:pStyle w:val="164"/>
        <w:tabs>
          <w:tab w:val="right" w:leader="dot" w:pos="9071"/>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"_Toc27273" </w:instrText>
      </w:r>
      <w:r>
        <w:rPr>
          <w:color w:val="auto"/>
          <w:highlight w:val="none"/>
        </w:rPr>
        <w:fldChar w:fldCharType="separate"/>
      </w:r>
      <w:r>
        <w:rPr>
          <w:rFonts w:hint="eastAsia" w:ascii="宋体" w:hAnsi="宋体" w:cs="宋体"/>
          <w:b/>
          <w:bCs/>
          <w:color w:val="auto"/>
          <w:sz w:val="32"/>
          <w:szCs w:val="32"/>
          <w:highlight w:val="none"/>
          <w:lang w:val="zh-CN"/>
        </w:rPr>
        <w:t>第二章 供应商须知</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t>5</w:t>
      </w:r>
      <w:r>
        <w:rPr>
          <w:rFonts w:hint="eastAsia" w:ascii="宋体" w:hAnsi="宋体" w:cs="宋体"/>
          <w:b/>
          <w:bCs/>
          <w:color w:val="auto"/>
          <w:sz w:val="32"/>
          <w:szCs w:val="32"/>
          <w:highlight w:val="none"/>
        </w:rPr>
        <w:fldChar w:fldCharType="end"/>
      </w:r>
    </w:p>
    <w:p w14:paraId="30CFB502">
      <w:pPr>
        <w:pStyle w:val="164"/>
        <w:tabs>
          <w:tab w:val="right" w:leader="dot" w:pos="9071"/>
        </w:tabs>
        <w:spacing w:line="480" w:lineRule="auto"/>
        <w:rPr>
          <w:rFonts w:hint="eastAsia" w:ascii="宋体" w:hAnsi="宋体" w:eastAsia="宋体" w:cs="宋体"/>
          <w:b/>
          <w:bCs/>
          <w:color w:val="auto"/>
          <w:sz w:val="32"/>
          <w:szCs w:val="32"/>
          <w:highlight w:val="none"/>
          <w:lang w:eastAsia="zh-CN"/>
        </w:rPr>
      </w:pPr>
      <w:r>
        <w:rPr>
          <w:color w:val="auto"/>
          <w:highlight w:val="none"/>
        </w:rPr>
        <w:fldChar w:fldCharType="begin"/>
      </w:r>
      <w:r>
        <w:rPr>
          <w:color w:val="auto"/>
          <w:highlight w:val="none"/>
        </w:rPr>
        <w:instrText xml:space="preserve"> HYPERLINK \l "_Toc4512" </w:instrText>
      </w:r>
      <w:r>
        <w:rPr>
          <w:color w:val="auto"/>
          <w:highlight w:val="none"/>
        </w:rPr>
        <w:fldChar w:fldCharType="separate"/>
      </w:r>
      <w:r>
        <w:rPr>
          <w:rFonts w:hint="eastAsia" w:ascii="宋体" w:hAnsi="宋体" w:cs="宋体"/>
          <w:b/>
          <w:bCs/>
          <w:color w:val="auto"/>
          <w:sz w:val="32"/>
          <w:szCs w:val="32"/>
          <w:highlight w:val="none"/>
          <w:lang w:val="zh-CN"/>
        </w:rPr>
        <w:t>第三章 评审办法</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t>1</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lang w:val="en-US" w:eastAsia="zh-CN"/>
        </w:rPr>
        <w:t>8</w:t>
      </w:r>
    </w:p>
    <w:p w14:paraId="70AC9013">
      <w:pPr>
        <w:pStyle w:val="164"/>
        <w:tabs>
          <w:tab w:val="right" w:leader="dot" w:pos="9071"/>
        </w:tabs>
        <w:spacing w:line="480" w:lineRule="auto"/>
        <w:rPr>
          <w:rFonts w:hint="eastAsia" w:ascii="宋体" w:hAnsi="宋体" w:eastAsia="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"_Toc28830" </w:instrText>
      </w:r>
      <w:r>
        <w:rPr>
          <w:color w:val="auto"/>
          <w:highlight w:val="none"/>
        </w:rPr>
        <w:fldChar w:fldCharType="separate"/>
      </w:r>
      <w:r>
        <w:rPr>
          <w:rFonts w:hint="eastAsia" w:ascii="宋体" w:hAnsi="宋体" w:cs="宋体"/>
          <w:b/>
          <w:bCs/>
          <w:color w:val="auto"/>
          <w:sz w:val="32"/>
          <w:szCs w:val="32"/>
          <w:highlight w:val="none"/>
          <w:lang w:val="zh-CN"/>
        </w:rPr>
        <w:t>第四章</w:t>
      </w:r>
      <w:r>
        <w:rPr>
          <w:rFonts w:hint="eastAsia" w:ascii="宋体" w:hAnsi="宋体" w:cs="宋体"/>
          <w:b/>
          <w:bCs/>
          <w:color w:val="auto"/>
          <w:sz w:val="32"/>
          <w:szCs w:val="32"/>
          <w:highlight w:val="none"/>
        </w:rPr>
        <w:t xml:space="preserve"> 合同</w:t>
      </w:r>
      <w:r>
        <w:rPr>
          <w:rFonts w:hint="eastAsia" w:ascii="宋体" w:hAnsi="宋体" w:cs="宋体"/>
          <w:b/>
          <w:bCs/>
          <w:color w:val="auto"/>
          <w:sz w:val="32"/>
          <w:szCs w:val="32"/>
          <w:highlight w:val="none"/>
          <w:lang w:val="zh-CN"/>
        </w:rPr>
        <w:t>格式</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t>2</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lang w:val="en-US" w:eastAsia="zh-CN"/>
        </w:rPr>
        <w:t>3</w:t>
      </w:r>
    </w:p>
    <w:p w14:paraId="2F224FB9">
      <w:pPr>
        <w:pStyle w:val="164"/>
        <w:tabs>
          <w:tab w:val="right" w:leader="dot" w:pos="9071"/>
        </w:tabs>
        <w:spacing w:line="480" w:lineRule="auto"/>
        <w:rPr>
          <w:rFonts w:hint="eastAsia" w:ascii="宋体" w:hAnsi="宋体" w:eastAsia="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"_Toc14912" </w:instrText>
      </w:r>
      <w:r>
        <w:rPr>
          <w:color w:val="auto"/>
          <w:highlight w:val="none"/>
        </w:rPr>
        <w:fldChar w:fldCharType="separate"/>
      </w:r>
      <w:r>
        <w:rPr>
          <w:rFonts w:hint="eastAsia" w:ascii="宋体" w:hAnsi="宋体" w:cs="宋体"/>
          <w:b/>
          <w:bCs/>
          <w:color w:val="auto"/>
          <w:sz w:val="32"/>
          <w:szCs w:val="32"/>
          <w:highlight w:val="none"/>
          <w:lang w:val="zh-CN"/>
        </w:rPr>
        <w:t>第五章</w:t>
      </w:r>
      <w:r>
        <w:rPr>
          <w:rFonts w:hint="eastAsia" w:ascii="宋体" w:hAnsi="宋体" w:cs="宋体"/>
          <w:b/>
          <w:bCs/>
          <w:color w:val="auto"/>
          <w:sz w:val="32"/>
          <w:szCs w:val="32"/>
          <w:highlight w:val="none"/>
        </w:rPr>
        <w:t xml:space="preserve"> </w:t>
      </w:r>
      <w:r>
        <w:rPr>
          <w:rFonts w:hint="eastAsia" w:ascii="宋体" w:hAnsi="宋体" w:cs="宋体"/>
          <w:b/>
          <w:bCs/>
          <w:color w:val="auto"/>
          <w:sz w:val="32"/>
          <w:szCs w:val="32"/>
          <w:highlight w:val="none"/>
          <w:lang w:val="zh-CN"/>
        </w:rPr>
        <w:t>技术标准及服务需求</w:t>
      </w:r>
      <w:r>
        <w:rPr>
          <w:rFonts w:hint="eastAsia" w:ascii="宋体" w:hAnsi="宋体" w:cs="宋体"/>
          <w:b/>
          <w:bCs/>
          <w:color w:val="auto"/>
          <w:sz w:val="32"/>
          <w:szCs w:val="32"/>
          <w:highlight w:val="none"/>
        </w:rPr>
        <w:t xml:space="preserve"> </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t>2</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lang w:val="en-US" w:eastAsia="zh-CN"/>
        </w:rPr>
        <w:t>4</w:t>
      </w:r>
    </w:p>
    <w:p w14:paraId="5FE7AB19">
      <w:pPr>
        <w:pStyle w:val="164"/>
        <w:tabs>
          <w:tab w:val="right" w:leader="dot" w:pos="9071"/>
        </w:tabs>
        <w:spacing w:line="480" w:lineRule="auto"/>
        <w:rPr>
          <w:rFonts w:hint="eastAsia" w:ascii="宋体" w:hAnsi="宋体" w:eastAsia="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"_Toc7033" </w:instrText>
      </w:r>
      <w:r>
        <w:rPr>
          <w:color w:val="auto"/>
          <w:highlight w:val="none"/>
        </w:rPr>
        <w:fldChar w:fldCharType="separate"/>
      </w:r>
      <w:r>
        <w:rPr>
          <w:rFonts w:hint="eastAsia" w:ascii="宋体" w:hAnsi="宋体" w:cs="宋体"/>
          <w:b/>
          <w:bCs/>
          <w:color w:val="auto"/>
          <w:sz w:val="32"/>
          <w:szCs w:val="32"/>
          <w:highlight w:val="none"/>
          <w:lang w:val="en-GB"/>
        </w:rPr>
        <w:t xml:space="preserve">第六章 </w:t>
      </w:r>
      <w:r>
        <w:rPr>
          <w:rFonts w:hint="eastAsia" w:ascii="宋体" w:hAnsi="宋体" w:cs="宋体"/>
          <w:b/>
          <w:bCs/>
          <w:color w:val="auto"/>
          <w:sz w:val="32"/>
          <w:szCs w:val="32"/>
          <w:highlight w:val="none"/>
          <w:lang w:val="zh-CN"/>
        </w:rPr>
        <w:t>响应文件构成、要求及格式</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lang w:val="en-US" w:eastAsia="zh-CN"/>
        </w:rPr>
        <w:t>2</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lang w:val="en-US" w:eastAsia="zh-CN"/>
        </w:rPr>
        <w:t>9</w:t>
      </w:r>
    </w:p>
    <w:p w14:paraId="78E573C2">
      <w:pPr>
        <w:pStyle w:val="2"/>
        <w:spacing w:line="480" w:lineRule="auto"/>
        <w:jc w:val="both"/>
        <w:rPr>
          <w:rFonts w:hAnsi="宋体"/>
          <w:color w:val="auto"/>
          <w:highlight w:val="none"/>
        </w:rPr>
      </w:pPr>
      <w:r>
        <w:rPr>
          <w:rFonts w:hint="eastAsia" w:hAnsi="宋体"/>
          <w:b/>
          <w:bCs/>
          <w:color w:val="auto"/>
          <w:sz w:val="32"/>
          <w:szCs w:val="32"/>
          <w:highlight w:val="none"/>
        </w:rPr>
        <w:fldChar w:fldCharType="end"/>
      </w:r>
    </w:p>
    <w:p w14:paraId="769FA0DA">
      <w:pPr>
        <w:pStyle w:val="2"/>
        <w:jc w:val="both"/>
        <w:rPr>
          <w:rFonts w:hAnsi="宋体"/>
          <w:color w:val="auto"/>
          <w:highlight w:val="none"/>
        </w:rPr>
      </w:pPr>
    </w:p>
    <w:p w14:paraId="0DCA7A63">
      <w:pPr>
        <w:pStyle w:val="2"/>
        <w:jc w:val="center"/>
        <w:rPr>
          <w:rFonts w:hAnsi="宋体"/>
          <w:color w:val="auto"/>
          <w:highlight w:val="none"/>
        </w:rPr>
      </w:pPr>
    </w:p>
    <w:p w14:paraId="70D1855A">
      <w:pPr>
        <w:pStyle w:val="2"/>
        <w:jc w:val="center"/>
        <w:rPr>
          <w:rFonts w:hAnsi="宋体"/>
          <w:color w:val="auto"/>
          <w:highlight w:val="none"/>
        </w:rPr>
      </w:pPr>
    </w:p>
    <w:p w14:paraId="694ACCB7">
      <w:pPr>
        <w:pStyle w:val="2"/>
        <w:rPr>
          <w:rFonts w:hAnsi="宋体"/>
          <w:color w:val="auto"/>
          <w:highlight w:val="none"/>
        </w:rPr>
      </w:pPr>
    </w:p>
    <w:p w14:paraId="7836F4A1">
      <w:pPr>
        <w:pStyle w:val="3"/>
        <w:spacing w:after="120" w:line="500" w:lineRule="exact"/>
        <w:rPr>
          <w:rFonts w:ascii="宋体" w:hAnsi="宋体" w:cs="宋体"/>
          <w:color w:val="auto"/>
          <w:highlight w:val="none"/>
        </w:rPr>
        <w:sectPr>
          <w:footerReference r:id="rId6" w:type="default"/>
          <w:pgSz w:w="11905" w:h="16838"/>
          <w:pgMar w:top="1417" w:right="1417" w:bottom="1417" w:left="1417" w:header="850" w:footer="737" w:gutter="0"/>
          <w:pgNumType w:start="1"/>
          <w:cols w:space="720" w:num="1"/>
          <w:docGrid w:linePitch="490" w:charSpace="0"/>
        </w:sectPr>
      </w:pPr>
      <w:bookmarkStart w:id="4" w:name="_Toc29744"/>
    </w:p>
    <w:p w14:paraId="0FBBB734">
      <w:pPr>
        <w:pStyle w:val="3"/>
        <w:snapToGrid w:val="0"/>
        <w:spacing w:before="0" w:after="0" w:line="360" w:lineRule="auto"/>
        <w:ind w:firstLine="420"/>
        <w:rPr>
          <w:rFonts w:hint="eastAsia" w:hAnsi="宋体"/>
          <w:color w:val="auto"/>
          <w:kern w:val="2"/>
          <w:highlight w:val="none"/>
          <w:lang w:val="en-US" w:eastAsia="zh-CN"/>
        </w:rPr>
      </w:pPr>
      <w:bookmarkStart w:id="5" w:name="_Toc3972"/>
      <w:r>
        <w:rPr>
          <w:rFonts w:hint="eastAsia" w:ascii="宋体" w:hAnsi="宋体" w:cs="宋体"/>
          <w:color w:val="auto"/>
          <w:sz w:val="40"/>
          <w:szCs w:val="40"/>
          <w:highlight w:val="none"/>
        </w:rPr>
        <w:t xml:space="preserve">第一章 </w:t>
      </w:r>
      <w:bookmarkStart w:id="6" w:name="_Toc18919"/>
      <w:bookmarkStart w:id="7" w:name="_Toc29475"/>
      <w:bookmarkStart w:id="8" w:name="_Toc13391"/>
      <w:r>
        <w:rPr>
          <w:rFonts w:hint="eastAsia" w:ascii="宋体" w:hAnsi="宋体" w:cs="宋体"/>
          <w:color w:val="auto"/>
          <w:sz w:val="40"/>
          <w:szCs w:val="40"/>
          <w:highlight w:val="none"/>
        </w:rPr>
        <w:t>竞争性磋商公告</w:t>
      </w:r>
      <w:bookmarkEnd w:id="0"/>
      <w:bookmarkEnd w:id="1"/>
      <w:bookmarkEnd w:id="2"/>
      <w:bookmarkEnd w:id="3"/>
      <w:bookmarkEnd w:id="4"/>
      <w:bookmarkEnd w:id="5"/>
      <w:bookmarkEnd w:id="6"/>
      <w:bookmarkEnd w:id="7"/>
      <w:bookmarkEnd w:id="8"/>
      <w:r>
        <w:rPr>
          <w:rFonts w:hint="eastAsia" w:hAnsi="宋体"/>
          <w:color w:val="auto"/>
          <w:kern w:val="2"/>
          <w:highlight w:val="none"/>
          <w:lang w:val="en-US" w:eastAsia="zh-CN"/>
        </w:rPr>
        <w:t xml:space="preserve">                                     </w:t>
      </w:r>
    </w:p>
    <w:p w14:paraId="30FC277A">
      <w:pPr>
        <w:spacing w:line="360" w:lineRule="auto"/>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项目概况</w:t>
      </w:r>
    </w:p>
    <w:p w14:paraId="2289D1F4">
      <w:pPr>
        <w:spacing w:line="360" w:lineRule="auto"/>
        <w:ind w:firstLine="720" w:firstLineChars="300"/>
        <w:rPr>
          <w:rFonts w:hAnsi="宋体"/>
          <w:color w:val="auto"/>
          <w:kern w:val="2"/>
          <w:sz w:val="24"/>
          <w:szCs w:val="24"/>
          <w:highlight w:val="none"/>
          <w:lang w:val="en-US"/>
        </w:rPr>
      </w:pPr>
      <w:r>
        <w:rPr>
          <w:rFonts w:hint="eastAsia" w:ascii="宋体" w:hAnsi="宋体" w:cs="宋体"/>
          <w:color w:val="auto"/>
          <w:sz w:val="24"/>
          <w:szCs w:val="24"/>
          <w:highlight w:val="none"/>
          <w:lang w:eastAsia="zh-CN"/>
        </w:rPr>
        <w:t>吉林省体育局运动员商业保险采购项目</w:t>
      </w:r>
      <w:r>
        <w:rPr>
          <w:rFonts w:hint="eastAsia" w:ascii="宋体" w:hAnsi="宋体" w:cs="宋体"/>
          <w:color w:val="auto"/>
          <w:sz w:val="24"/>
          <w:szCs w:val="24"/>
          <w:highlight w:val="none"/>
          <w:lang w:val="en-US" w:eastAsia="zh-CN"/>
        </w:rPr>
        <w:t>（二次）</w:t>
      </w:r>
      <w:r>
        <w:rPr>
          <w:rFonts w:hint="eastAsia" w:ascii="宋体" w:hAnsi="宋体" w:cs="宋体"/>
          <w:color w:val="auto"/>
          <w:sz w:val="24"/>
          <w:szCs w:val="24"/>
          <w:highlight w:val="none"/>
        </w:rPr>
        <w:t>的潜在供应商应自行登录政府采购云平台（网址：https://www.zcygov.cn/）网上注册并下载竞争性磋商文件</w:t>
      </w:r>
      <w:r>
        <w:rPr>
          <w:rFonts w:hint="eastAsia" w:ascii="宋体" w:hAnsi="宋体" w:eastAsia="宋体" w:cs="宋体"/>
          <w:color w:val="auto"/>
          <w:sz w:val="24"/>
          <w:szCs w:val="24"/>
          <w:highlight w:val="none"/>
          <w:lang w:val="en-US" w:eastAsia="zh-CN"/>
        </w:rPr>
        <w:t>，并于</w:t>
      </w:r>
      <w:r>
        <w:rPr>
          <w:rFonts w:hint="eastAsia" w:ascii="宋体" w:hAnsi="宋体" w:cs="宋体"/>
          <w:color w:val="auto"/>
          <w:sz w:val="24"/>
          <w:szCs w:val="24"/>
          <w:highlight w:val="none"/>
          <w:lang w:val="en-US" w:eastAsia="zh-CN"/>
        </w:rPr>
        <w:t>2025年3月24日14时30分</w:t>
      </w:r>
      <w:r>
        <w:rPr>
          <w:rFonts w:hint="eastAsia" w:ascii="宋体" w:hAnsi="宋体" w:eastAsia="宋体" w:cs="宋体"/>
          <w:color w:val="auto"/>
          <w:sz w:val="24"/>
          <w:szCs w:val="24"/>
          <w:highlight w:val="none"/>
          <w:lang w:val="en-US" w:eastAsia="zh-CN"/>
        </w:rPr>
        <w:t>（北京时间）前提交响应文件。</w:t>
      </w:r>
    </w:p>
    <w:p w14:paraId="5331DC2F">
      <w:pPr>
        <w:pStyle w:val="2"/>
        <w:spacing w:line="360" w:lineRule="auto"/>
        <w:ind w:firstLine="482" w:firstLineChars="200"/>
        <w:rPr>
          <w:rFonts w:hAnsi="宋体"/>
          <w:b/>
          <w:bCs/>
          <w:color w:val="auto"/>
          <w:kern w:val="2"/>
          <w:sz w:val="24"/>
          <w:szCs w:val="24"/>
          <w:highlight w:val="none"/>
          <w:lang w:val="en-US"/>
        </w:rPr>
      </w:pPr>
      <w:r>
        <w:rPr>
          <w:rFonts w:hint="eastAsia" w:hAnsi="宋体"/>
          <w:b/>
          <w:bCs/>
          <w:color w:val="auto"/>
          <w:kern w:val="2"/>
          <w:sz w:val="24"/>
          <w:szCs w:val="24"/>
          <w:highlight w:val="none"/>
          <w:lang w:eastAsia="zh-CN"/>
        </w:rPr>
        <w:t xml:space="preserve">一、采购项目基本信息 </w:t>
      </w:r>
    </w:p>
    <w:p w14:paraId="5461AC9C">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1.项目编号：HC-JLZB-2025-</w:t>
      </w:r>
      <w:r>
        <w:rPr>
          <w:rFonts w:hint="eastAsia" w:ascii="宋体" w:hAnsi="宋体" w:cs="宋体"/>
          <w:color w:val="auto"/>
          <w:sz w:val="24"/>
          <w:szCs w:val="24"/>
          <w:highlight w:val="none"/>
          <w:lang w:val="en-US" w:eastAsia="zh-CN"/>
        </w:rPr>
        <w:t>321</w:t>
      </w:r>
      <w:r>
        <w:rPr>
          <w:rFonts w:hint="eastAsia" w:ascii="宋体" w:hAnsi="宋体" w:eastAsia="宋体" w:cs="宋体"/>
          <w:color w:val="auto"/>
          <w:sz w:val="24"/>
          <w:szCs w:val="24"/>
          <w:highlight w:val="none"/>
          <w:lang w:val="en-US" w:eastAsia="zh-CN"/>
        </w:rPr>
        <w:t>；</w:t>
      </w:r>
    </w:p>
    <w:p w14:paraId="2074B9C6">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2.采购计划编号：采购计划-[2025]-01216号；</w:t>
      </w:r>
    </w:p>
    <w:p w14:paraId="557D34EC">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3.采购项目名称：吉林省体育局运动员商业保险采购项目</w:t>
      </w:r>
      <w:r>
        <w:rPr>
          <w:rFonts w:hint="eastAsia" w:ascii="宋体" w:hAnsi="宋体" w:cs="宋体"/>
          <w:color w:val="auto"/>
          <w:sz w:val="24"/>
          <w:szCs w:val="24"/>
          <w:highlight w:val="none"/>
          <w:lang w:val="en-US" w:eastAsia="zh-CN"/>
        </w:rPr>
        <w:t>（二次）</w:t>
      </w:r>
      <w:r>
        <w:rPr>
          <w:rFonts w:hint="eastAsia" w:ascii="宋体" w:hAnsi="宋体" w:eastAsia="宋体" w:cs="宋体"/>
          <w:color w:val="auto"/>
          <w:sz w:val="24"/>
          <w:szCs w:val="24"/>
          <w:highlight w:val="none"/>
          <w:lang w:val="en-US" w:eastAsia="zh-CN"/>
        </w:rPr>
        <w:t>；</w:t>
      </w:r>
    </w:p>
    <w:p w14:paraId="268BAE10">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4.项目预算及最高限价：100万元；</w:t>
      </w:r>
    </w:p>
    <w:p w14:paraId="61C63CB9">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5.采购方式：竞争性磋商；</w:t>
      </w:r>
    </w:p>
    <w:p w14:paraId="416B809E">
      <w:pPr>
        <w:spacing w:line="360" w:lineRule="auto"/>
        <w:ind w:firstLine="720" w:firstLineChars="3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6.合同履行期限：</w:t>
      </w:r>
      <w:r>
        <w:rPr>
          <w:rFonts w:hint="eastAsia" w:ascii="宋体" w:hAnsi="宋体" w:eastAsia="宋体" w:cs="宋体"/>
          <w:color w:val="auto"/>
          <w:sz w:val="24"/>
          <w:szCs w:val="24"/>
          <w:highlight w:val="none"/>
          <w:lang w:val="zh-CN" w:eastAsia="zh-CN"/>
        </w:rPr>
        <w:t>签订合同后1年；</w:t>
      </w:r>
    </w:p>
    <w:p w14:paraId="79C0A77D">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7.采购需求：运动员商业保险采购（具体详见“技术标准及服务需求”） 。</w:t>
      </w:r>
    </w:p>
    <w:p w14:paraId="32A58DDD">
      <w:pPr>
        <w:pStyle w:val="2"/>
        <w:spacing w:line="400" w:lineRule="exact"/>
        <w:ind w:firstLine="482" w:firstLineChars="200"/>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二、申请人的资格要求</w:t>
      </w:r>
    </w:p>
    <w:p w14:paraId="644A10B7">
      <w:pPr>
        <w:pStyle w:val="2"/>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1.满足《中华人民共和国政府采购法》第二十二条规定。</w:t>
      </w:r>
    </w:p>
    <w:p w14:paraId="1E5D7AFE">
      <w:pPr>
        <w:pStyle w:val="2"/>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2.落实政府采购政策需满足的资格要求：本项目</w:t>
      </w:r>
      <w:r>
        <w:rPr>
          <w:rFonts w:hint="eastAsia" w:hAnsi="宋体" w:cs="宋体"/>
          <w:color w:val="auto"/>
          <w:kern w:val="2"/>
          <w:sz w:val="24"/>
          <w:szCs w:val="24"/>
          <w:highlight w:val="none"/>
          <w:lang w:val="en-US" w:eastAsia="zh-CN" w:bidi="ar-SA"/>
        </w:rPr>
        <w:t>不</w:t>
      </w:r>
      <w:r>
        <w:rPr>
          <w:rFonts w:hint="eastAsia" w:ascii="宋体" w:hAnsi="宋体" w:eastAsia="宋体" w:cs="宋体"/>
          <w:color w:val="auto"/>
          <w:kern w:val="2"/>
          <w:sz w:val="24"/>
          <w:szCs w:val="24"/>
          <w:highlight w:val="none"/>
          <w:lang w:val="en-US" w:eastAsia="zh-CN" w:bidi="ar-SA"/>
        </w:rPr>
        <w:t>专门面向中小企业采购项目。</w:t>
      </w:r>
    </w:p>
    <w:p w14:paraId="12B5DB76">
      <w:pPr>
        <w:pStyle w:val="2"/>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政府采购强制、优先采购节能产品政策；政府采购优先采购环保产品政策；政府采购促进中小企业发展（监狱企业、残疾人福利性单位视同小微企业）政策。 </w:t>
      </w:r>
    </w:p>
    <w:p w14:paraId="60156ECD">
      <w:pPr>
        <w:pStyle w:val="2"/>
        <w:spacing w:line="400" w:lineRule="exact"/>
        <w:ind w:firstLine="482" w:firstLineChars="20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3.本项目的特定资格要求：</w:t>
      </w:r>
    </w:p>
    <w:p w14:paraId="4C80BF43">
      <w:pPr>
        <w:keepNext w:val="0"/>
        <w:keepLines w:val="0"/>
        <w:widowControl/>
        <w:suppressLineNumbers w:val="0"/>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（1）供应商应具备在中华人民共和国境内注册的独立法人资格或其他组织，需提供年检合格的营业执照复印件。</w:t>
      </w:r>
    </w:p>
    <w:p w14:paraId="63BDD731">
      <w:pPr>
        <w:keepNext w:val="0"/>
        <w:keepLines w:val="0"/>
        <w:widowControl/>
        <w:suppressLineNumbers w:val="0"/>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（2）供应商应具备中国保险监督管理委员会颁发的《经营保险业务许可证》，具有开展意外伤害保险业务资质的保险公司。</w:t>
      </w:r>
    </w:p>
    <w:p w14:paraId="34065B39">
      <w:pPr>
        <w:pStyle w:val="2"/>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具有良好的商业信誉和健全的财务会计制度，依法缴纳税收和社会保障资金的良好记录，根据[长财采购[2022]2066号文件]关于加强政府采购信用体系建设简化供应商资格条件有关事项的通知提供资格条件承诺函(长财采购[2022]2066号)文件要求执行，提供资格条件承诺函。</w:t>
      </w:r>
    </w:p>
    <w:p w14:paraId="29272A9C">
      <w:pPr>
        <w:numPr>
          <w:ilvl w:val="0"/>
          <w:numId w:val="0"/>
        </w:numPr>
        <w:adjustRightInd w:val="0"/>
        <w:snapToGrid w:val="0"/>
        <w:spacing w:line="360" w:lineRule="auto"/>
        <w:ind w:firstLine="480" w:firstLineChars="20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信誉要求：企业信誉良好、无不良行为记录,提供“信用中国”（www.creditchina.gov.cn）未列入①失信被执行人②重大税收违法案件当事人名单③政府采购严重违法失信名单的官网截图并加盖公章；提供“中国政府采购网”（www.ccgp.gov.cn）未列入政府采购严重违法失信行为记录名单的官网截图并加盖公章；提供“中国裁判文书网”（wenshu.court.gov.cn/）上无行贿犯罪记录官网截图并加盖公章。</w:t>
      </w:r>
      <w:r>
        <w:rPr>
          <w:rFonts w:hint="eastAsia" w:ascii="宋体" w:hAnsi="宋体" w:eastAsia="宋体" w:cs="Times New Roman"/>
          <w:color w:val="auto"/>
          <w:kern w:val="0"/>
          <w:sz w:val="24"/>
          <w:szCs w:val="24"/>
          <w:highlight w:val="none"/>
          <w:lang w:val="zh-CN" w:eastAsia="zh-CN"/>
        </w:rPr>
        <w:t>（查询截止时点：本项目采购公告发布之日起到响应文件提交截止时间期间）</w:t>
      </w:r>
      <w:r>
        <w:rPr>
          <w:rFonts w:hint="eastAsia" w:ascii="宋体" w:hAnsi="宋体" w:eastAsia="宋体" w:cs="宋体"/>
          <w:color w:val="auto"/>
          <w:kern w:val="2"/>
          <w:sz w:val="24"/>
          <w:szCs w:val="24"/>
          <w:highlight w:val="none"/>
          <w:lang w:val="en-US" w:eastAsia="zh-CN" w:bidi="ar-SA"/>
        </w:rPr>
        <w:t>。</w:t>
      </w:r>
    </w:p>
    <w:p w14:paraId="661FCDE4">
      <w:pPr>
        <w:pStyle w:val="2"/>
        <w:spacing w:line="400" w:lineRule="exact"/>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szCs w:val="24"/>
          <w:highlight w:val="none"/>
        </w:rPr>
        <w:t>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r>
        <w:rPr>
          <w:rFonts w:hint="eastAsia" w:hAnsi="宋体" w:cs="宋体"/>
          <w:color w:val="auto"/>
          <w:sz w:val="24"/>
          <w:szCs w:val="24"/>
          <w:highlight w:val="none"/>
          <w:lang w:val="en-US" w:eastAsia="zh-CN"/>
        </w:rPr>
        <w:t>提供企业承诺书。</w:t>
      </w:r>
    </w:p>
    <w:p w14:paraId="5140C28A">
      <w:pPr>
        <w:pStyle w:val="2"/>
        <w:spacing w:line="400" w:lineRule="exact"/>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）本项目不接受联合体。</w:t>
      </w:r>
    </w:p>
    <w:p w14:paraId="66FF87DE">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三、获取磋商文件</w:t>
      </w:r>
    </w:p>
    <w:p w14:paraId="09FA69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日上午8：30起至202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日下午16：00止</w:t>
      </w:r>
      <w:r>
        <w:rPr>
          <w:rFonts w:hint="eastAsia" w:ascii="宋体" w:hAnsi="宋体" w:eastAsia="宋体" w:cs="宋体"/>
          <w:color w:val="auto"/>
          <w:sz w:val="24"/>
          <w:szCs w:val="24"/>
          <w:highlight w:val="none"/>
        </w:rPr>
        <w:t>。</w:t>
      </w:r>
    </w:p>
    <w:p w14:paraId="5478D91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2.方式：潜在投标人自行登录</w:t>
      </w:r>
      <w:r>
        <w:rPr>
          <w:rFonts w:hint="eastAsia" w:ascii="宋体" w:hAnsi="宋体" w:eastAsia="宋体" w:cs="宋体"/>
          <w:color w:val="auto"/>
          <w:sz w:val="24"/>
          <w:szCs w:val="24"/>
          <w:highlight w:val="none"/>
          <w:lang w:eastAsia="zh-CN"/>
        </w:rPr>
        <w:t>“政采云”平台</w:t>
      </w:r>
      <w:r>
        <w:rPr>
          <w:rFonts w:hint="eastAsia" w:ascii="宋体" w:hAnsi="宋体" w:eastAsia="宋体" w:cs="宋体"/>
          <w:color w:val="auto"/>
          <w:sz w:val="24"/>
          <w:szCs w:val="24"/>
          <w:highlight w:val="none"/>
        </w:rPr>
        <w:t>（网址：http:// www.zcygov.cn）按要求下载采购文件（操作路径：登录“政采云”平台-项目采购-获取采购文件-找到本项目-点击“申请获取采购文件”），其他途径获取的采购文件开标时一律按无效投标处理；</w:t>
      </w:r>
    </w:p>
    <w:p w14:paraId="7ADEAB8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售价：0元。</w:t>
      </w:r>
    </w:p>
    <w:p w14:paraId="02288471">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四、响应文件的递交</w:t>
      </w:r>
    </w:p>
    <w:p w14:paraId="08864BC4">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1.截止时间：</w:t>
      </w:r>
      <w:r>
        <w:rPr>
          <w:rFonts w:hint="eastAsia" w:ascii="宋体" w:hAnsi="宋体" w:cs="宋体"/>
          <w:color w:val="auto"/>
          <w:kern w:val="2"/>
          <w:sz w:val="24"/>
          <w:szCs w:val="24"/>
          <w:highlight w:val="none"/>
          <w:lang w:val="en-US" w:eastAsia="zh-CN" w:bidi="ar-SA"/>
        </w:rPr>
        <w:t>2025年</w:t>
      </w:r>
      <w:r>
        <w:rPr>
          <w:rFonts w:hint="eastAsia" w:ascii="宋体" w:hAnsi="宋体" w:cs="宋体"/>
          <w:color w:val="auto"/>
          <w:sz w:val="24"/>
          <w:szCs w:val="24"/>
          <w:highlight w:val="none"/>
          <w:lang w:val="en-US" w:eastAsia="zh-CN"/>
        </w:rPr>
        <w:t>3</w:t>
      </w:r>
      <w:r>
        <w:rPr>
          <w:rFonts w:hint="eastAsia" w:ascii="宋体" w:hAnsi="宋体" w:cs="宋体"/>
          <w:color w:val="auto"/>
          <w:kern w:val="2"/>
          <w:sz w:val="24"/>
          <w:szCs w:val="24"/>
          <w:highlight w:val="none"/>
          <w:lang w:val="en-US" w:eastAsia="zh-CN" w:bidi="ar-SA"/>
        </w:rPr>
        <w:t>月</w:t>
      </w:r>
      <w:r>
        <w:rPr>
          <w:rFonts w:hint="eastAsia" w:ascii="宋体" w:hAnsi="宋体" w:cs="宋体"/>
          <w:color w:val="auto"/>
          <w:sz w:val="24"/>
          <w:szCs w:val="24"/>
          <w:highlight w:val="none"/>
          <w:lang w:val="en-US" w:eastAsia="zh-CN"/>
        </w:rPr>
        <w:t>24</w:t>
      </w:r>
      <w:r>
        <w:rPr>
          <w:rFonts w:hint="eastAsia" w:ascii="宋体" w:hAnsi="宋体" w:cs="宋体"/>
          <w:color w:val="auto"/>
          <w:kern w:val="2"/>
          <w:sz w:val="24"/>
          <w:szCs w:val="24"/>
          <w:highlight w:val="none"/>
          <w:lang w:val="en-US" w:eastAsia="zh-CN" w:bidi="ar-SA"/>
        </w:rPr>
        <w:t>日</w:t>
      </w:r>
      <w:r>
        <w:rPr>
          <w:rFonts w:hint="eastAsia" w:ascii="宋体" w:hAnsi="宋体" w:cs="宋体"/>
          <w:color w:val="auto"/>
          <w:sz w:val="24"/>
          <w:szCs w:val="24"/>
          <w:highlight w:val="none"/>
          <w:lang w:val="en-US" w:eastAsia="zh-CN"/>
        </w:rPr>
        <w:t>14</w:t>
      </w:r>
      <w:r>
        <w:rPr>
          <w:rFonts w:hint="eastAsia" w:ascii="宋体" w:hAnsi="宋体" w:cs="宋体"/>
          <w:color w:val="auto"/>
          <w:kern w:val="2"/>
          <w:sz w:val="24"/>
          <w:szCs w:val="24"/>
          <w:highlight w:val="none"/>
          <w:lang w:val="en-US" w:eastAsia="zh-CN" w:bidi="ar-SA"/>
        </w:rPr>
        <w:t>时</w:t>
      </w:r>
      <w:r>
        <w:rPr>
          <w:rFonts w:hint="eastAsia" w:ascii="宋体" w:hAnsi="宋体" w:cs="宋体"/>
          <w:color w:val="auto"/>
          <w:sz w:val="24"/>
          <w:szCs w:val="24"/>
          <w:highlight w:val="none"/>
          <w:lang w:val="en-US" w:eastAsia="zh-CN"/>
        </w:rPr>
        <w:t>30</w:t>
      </w:r>
      <w:r>
        <w:rPr>
          <w:rFonts w:hint="eastAsia" w:ascii="宋体" w:hAnsi="宋体" w:cs="宋体"/>
          <w:color w:val="auto"/>
          <w:kern w:val="2"/>
          <w:sz w:val="24"/>
          <w:szCs w:val="24"/>
          <w:highlight w:val="none"/>
          <w:lang w:val="en-US" w:eastAsia="zh-CN" w:bidi="ar-SA"/>
        </w:rPr>
        <w:t>分</w:t>
      </w:r>
      <w:r>
        <w:rPr>
          <w:rFonts w:hint="eastAsia" w:ascii="宋体" w:hAnsi="宋体" w:eastAsia="宋体" w:cs="宋体"/>
          <w:color w:val="auto"/>
          <w:kern w:val="2"/>
          <w:sz w:val="24"/>
          <w:szCs w:val="24"/>
          <w:highlight w:val="none"/>
          <w:lang w:val="en-US" w:eastAsia="zh-CN" w:bidi="ar-SA"/>
        </w:rPr>
        <w:t>（北京时间）</w:t>
      </w:r>
    </w:p>
    <w:p w14:paraId="762D5439">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2.地点：</w:t>
      </w:r>
      <w:r>
        <w:rPr>
          <w:rFonts w:hint="eastAsia" w:ascii="宋体" w:hAnsi="宋体" w:cs="宋体"/>
          <w:color w:val="auto"/>
          <w:sz w:val="24"/>
          <w:szCs w:val="24"/>
          <w:highlight w:val="none"/>
          <w:lang w:val="en-US" w:eastAsia="zh-CN"/>
        </w:rPr>
        <w:t>长春市二道区洋浦大街6999号凯利中心AB栋</w:t>
      </w:r>
      <w:r>
        <w:rPr>
          <w:rFonts w:hint="eastAsia" w:ascii="宋体" w:hAnsi="宋体" w:eastAsia="宋体" w:cs="宋体"/>
          <w:color w:val="auto"/>
          <w:sz w:val="24"/>
          <w:szCs w:val="24"/>
          <w:highlight w:val="none"/>
          <w:lang w:val="en-US" w:eastAsia="zh-CN"/>
        </w:rPr>
        <w:t>101室</w:t>
      </w:r>
      <w:r>
        <w:rPr>
          <w:rFonts w:hint="eastAsia" w:ascii="宋体" w:hAnsi="宋体" w:cs="宋体"/>
          <w:color w:val="auto"/>
          <w:sz w:val="24"/>
          <w:szCs w:val="24"/>
          <w:highlight w:val="none"/>
          <w:lang w:val="en-US" w:eastAsia="zh-CN"/>
        </w:rPr>
        <w:t>开标四室</w:t>
      </w:r>
    </w:p>
    <w:p w14:paraId="3B683BAC">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3.响应文件提交方式：本项目为全流程电子化项目，通过“政采云”平台</w:t>
      </w:r>
    </w:p>
    <w:p w14:paraId="654BB248">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14:paraId="1D808DFD">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4.电子响应文件解密期限及方式：开启时间后30分钟内，由供应商持制作该电子响应文件的同一数字证书（CA锁）及电脑自行进行远程解密。</w:t>
      </w:r>
    </w:p>
    <w:p w14:paraId="105F66CC">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5.CA锁办理网址：请供应商自行办理CA锁，网址链接http://www.anxinca.com/kehu/zcy/kh-zcy-zsshenqing.html；办理联系方式：95763。</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xml:space="preserve">    6.收到 CA锁以后在“政采云”登陆界面，点击 CA 登录-CA 驱动下载-下载并安装政采云投标客户端和安信CA驱动，账号绑定CA后才能进行报价文件制作。</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 xml:space="preserve">    7.未进行网上注册并办理 CA 认证的响应人将无法参与本次采购活动。数字证书办理时限为3-5个工作日，响应人须自行考虑办理时间，由于响应人自身原因在开启前无法完成办理，后果自负。</w:t>
      </w:r>
    </w:p>
    <w:p w14:paraId="47DB7CAB">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14:paraId="68E9855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w:t>
      </w:r>
      <w:r>
        <w:rPr>
          <w:rFonts w:hint="eastAsia" w:ascii="宋体" w:hAnsi="宋体" w:cs="宋体"/>
          <w:color w:val="auto"/>
          <w:sz w:val="24"/>
          <w:szCs w:val="24"/>
          <w:highlight w:val="none"/>
          <w:lang w:val="en-US" w:eastAsia="zh-CN"/>
        </w:rPr>
        <w:t>2025年3月24日14</w:t>
      </w:r>
      <w:r>
        <w:rPr>
          <w:rFonts w:hint="eastAsia" w:ascii="宋体" w:hAnsi="宋体" w:cs="宋体"/>
          <w:color w:val="auto"/>
          <w:kern w:val="2"/>
          <w:sz w:val="24"/>
          <w:szCs w:val="24"/>
          <w:highlight w:val="none"/>
          <w:lang w:val="en-US" w:eastAsia="zh-CN" w:bidi="ar-SA"/>
        </w:rPr>
        <w:t>时</w:t>
      </w:r>
      <w:r>
        <w:rPr>
          <w:rFonts w:hint="eastAsia" w:ascii="宋体" w:hAnsi="宋体" w:cs="宋体"/>
          <w:color w:val="auto"/>
          <w:sz w:val="24"/>
          <w:szCs w:val="24"/>
          <w:highlight w:val="none"/>
          <w:lang w:val="en-US" w:eastAsia="zh-CN"/>
        </w:rPr>
        <w:t>30分</w:t>
      </w:r>
      <w:r>
        <w:rPr>
          <w:rFonts w:hint="eastAsia" w:ascii="宋体" w:hAnsi="宋体" w:eastAsia="宋体" w:cs="宋体"/>
          <w:color w:val="auto"/>
          <w:sz w:val="24"/>
          <w:szCs w:val="24"/>
          <w:highlight w:val="none"/>
          <w:lang w:val="en-US" w:eastAsia="zh-CN"/>
        </w:rPr>
        <w:t>（北京时间）</w:t>
      </w:r>
    </w:p>
    <w:p w14:paraId="4728393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kern w:val="2"/>
          <w:sz w:val="24"/>
          <w:szCs w:val="24"/>
          <w:highlight w:val="none"/>
          <w:lang w:val="en-US" w:eastAsia="zh-CN" w:bidi="ar-SA"/>
        </w:rPr>
        <w:t>地点</w:t>
      </w:r>
      <w:r>
        <w:rPr>
          <w:rFonts w:hint="eastAsia" w:ascii="宋体" w:hAnsi="宋体" w:cs="宋体"/>
          <w:color w:val="auto"/>
          <w:sz w:val="24"/>
          <w:szCs w:val="24"/>
          <w:highlight w:val="none"/>
          <w:lang w:val="en-US" w:eastAsia="zh-CN"/>
        </w:rPr>
        <w:t>：长春市二道区洋浦大街6999号凯利中心AB栋</w:t>
      </w:r>
      <w:r>
        <w:rPr>
          <w:rFonts w:hint="eastAsia" w:ascii="宋体" w:hAnsi="宋体" w:eastAsia="宋体" w:cs="宋体"/>
          <w:color w:val="auto"/>
          <w:sz w:val="24"/>
          <w:szCs w:val="24"/>
          <w:highlight w:val="none"/>
          <w:lang w:val="en-US" w:eastAsia="zh-CN"/>
        </w:rPr>
        <w:t>101室</w:t>
      </w:r>
      <w:r>
        <w:rPr>
          <w:rFonts w:hint="eastAsia" w:ascii="宋体" w:hAnsi="宋体" w:cs="宋体"/>
          <w:color w:val="auto"/>
          <w:sz w:val="24"/>
          <w:szCs w:val="24"/>
          <w:highlight w:val="none"/>
          <w:lang w:val="en-US" w:eastAsia="zh-CN"/>
        </w:rPr>
        <w:t>开标四室。</w:t>
      </w:r>
    </w:p>
    <w:p w14:paraId="5E161AC5">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六、公告期限</w:t>
      </w:r>
    </w:p>
    <w:p w14:paraId="3BBFDA5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自本公告发布之日起5个工作日。</w:t>
      </w:r>
    </w:p>
    <w:p w14:paraId="1121689B">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七、其他补充事宜</w:t>
      </w:r>
    </w:p>
    <w:p w14:paraId="6EB6ABD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本公告在“政采云”平台（http:// </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"http://www.zcygov.cn），同步推送到吉林省政府采购网（http:/www.ccgp-jilin.gov.cn/），并同时在长春市公共资源交易网、中国政府采购网上发布。"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www.zcygov.cn），同步推送到吉林省政府采购网，并同时在</w:t>
      </w:r>
      <w:r>
        <w:rPr>
          <w:rFonts w:hint="eastAsia" w:ascii="宋体" w:hAnsi="宋体" w:eastAsia="宋体" w:cs="宋体"/>
          <w:color w:val="auto"/>
          <w:sz w:val="24"/>
          <w:szCs w:val="24"/>
          <w:highlight w:val="none"/>
          <w:lang w:val="zh-CN" w:eastAsia="zh-CN"/>
        </w:rPr>
        <w:t>吉林省公共资源交易公共服务平台</w:t>
      </w:r>
      <w:r>
        <w:rPr>
          <w:rFonts w:hint="eastAsia" w:ascii="宋体" w:hAnsi="宋体" w:eastAsia="宋体" w:cs="宋体"/>
          <w:color w:val="auto"/>
          <w:sz w:val="24"/>
          <w:szCs w:val="24"/>
          <w:highlight w:val="none"/>
          <w:lang w:val="en-US" w:eastAsia="zh-CN"/>
        </w:rPr>
        <w:t>、中国政府采购网上发布。</w:t>
      </w:r>
      <w:r>
        <w:rPr>
          <w:rFonts w:hint="eastAsia" w:ascii="宋体" w:hAnsi="宋体" w:eastAsia="宋体" w:cs="宋体"/>
          <w:color w:val="auto"/>
          <w:sz w:val="24"/>
          <w:szCs w:val="24"/>
          <w:highlight w:val="none"/>
          <w:lang w:val="en-US" w:eastAsia="zh-CN"/>
        </w:rPr>
        <w:fldChar w:fldCharType="end"/>
      </w:r>
    </w:p>
    <w:p w14:paraId="6AE1EEE2">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八、凡对本次采购提出询问，请按以下方式联系。</w:t>
      </w:r>
    </w:p>
    <w:p w14:paraId="4D776AB6">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 购 人：吉林省体育局</w:t>
      </w:r>
    </w:p>
    <w:p w14:paraId="351FAC12">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址：吉林省长春市南关区自由大路2778号</w:t>
      </w:r>
    </w:p>
    <w:p w14:paraId="368C9EBA">
      <w:pPr>
        <w:adjustRightInd w:val="0"/>
        <w:snapToGrid w:val="0"/>
        <w:spacing w:line="360" w:lineRule="auto"/>
        <w:ind w:firstLine="480" w:firstLineChars="20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 系 人：马亚州</w:t>
      </w:r>
    </w:p>
    <w:p w14:paraId="628197DC">
      <w:pPr>
        <w:adjustRightInd w:val="0"/>
        <w:snapToGrid w:val="0"/>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联系电话：18186838653</w:t>
      </w:r>
    </w:p>
    <w:p w14:paraId="250F16CE">
      <w:pPr>
        <w:pStyle w:val="2"/>
        <w:spacing w:line="400" w:lineRule="exact"/>
        <w:ind w:firstLine="480" w:firstLineChars="200"/>
        <w:rPr>
          <w:rFonts w:hint="eastAsia" w:ascii="宋体" w:hAnsi="宋体" w:eastAsia="宋体" w:cs="宋体"/>
          <w:color w:val="auto"/>
          <w:kern w:val="2"/>
          <w:sz w:val="24"/>
          <w:szCs w:val="24"/>
          <w:highlight w:val="none"/>
          <w:lang w:val="en-US" w:eastAsia="zh-CN"/>
        </w:rPr>
      </w:pPr>
    </w:p>
    <w:p w14:paraId="3194C6C1">
      <w:pPr>
        <w:pStyle w:val="2"/>
        <w:spacing w:line="400" w:lineRule="exact"/>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采购代理机构：华春建设工程项目管理有限责任公司</w:t>
      </w:r>
    </w:p>
    <w:p w14:paraId="0F6D9626">
      <w:pPr>
        <w:pStyle w:val="2"/>
        <w:spacing w:line="400" w:lineRule="exact"/>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地 址：吉林省长春市经开区会展大街与南湖大路交汇总部基地金融第五城18栋</w:t>
      </w:r>
    </w:p>
    <w:p w14:paraId="0D05038A">
      <w:pPr>
        <w:pStyle w:val="2"/>
        <w:spacing w:line="400" w:lineRule="exact"/>
        <w:ind w:firstLine="480" w:firstLineChars="20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联系人：韩雪</w:t>
      </w:r>
    </w:p>
    <w:p w14:paraId="070884F9">
      <w:pPr>
        <w:pStyle w:val="2"/>
        <w:spacing w:line="400" w:lineRule="exact"/>
        <w:ind w:firstLine="480" w:firstLineChars="20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联系方式：15844009014</w:t>
      </w:r>
    </w:p>
    <w:p w14:paraId="407C402B">
      <w:pPr>
        <w:pStyle w:val="2"/>
        <w:spacing w:line="400" w:lineRule="exact"/>
        <w:ind w:firstLine="480" w:firstLineChars="200"/>
        <w:rPr>
          <w:rFonts w:hint="eastAsia" w:ascii="宋体" w:hAnsi="宋体" w:eastAsia="宋体" w:cs="宋体"/>
          <w:color w:val="auto"/>
          <w:kern w:val="2"/>
          <w:sz w:val="24"/>
          <w:szCs w:val="24"/>
          <w:highlight w:val="none"/>
          <w:lang w:val="en-US" w:eastAsia="zh-CN"/>
        </w:rPr>
      </w:pPr>
    </w:p>
    <w:p w14:paraId="42FC31D0">
      <w:pPr>
        <w:pStyle w:val="2"/>
        <w:spacing w:line="400" w:lineRule="exact"/>
        <w:ind w:firstLine="480" w:firstLineChars="200"/>
        <w:rPr>
          <w:rFonts w:hAnsi="宋体"/>
          <w:color w:val="auto"/>
          <w:kern w:val="2"/>
          <w:sz w:val="24"/>
          <w:szCs w:val="24"/>
          <w:highlight w:val="none"/>
          <w:lang w:val="en-US"/>
        </w:rPr>
      </w:pPr>
      <w:r>
        <w:rPr>
          <w:rFonts w:hint="eastAsia" w:hAnsi="宋体"/>
          <w:color w:val="auto"/>
          <w:kern w:val="2"/>
          <w:sz w:val="24"/>
          <w:szCs w:val="24"/>
          <w:highlight w:val="none"/>
          <w:lang w:val="en-US"/>
        </w:rPr>
        <w:t xml:space="preserve"> </w:t>
      </w:r>
    </w:p>
    <w:p w14:paraId="5F701933">
      <w:pPr>
        <w:pStyle w:val="2"/>
        <w:spacing w:line="400" w:lineRule="exact"/>
        <w:rPr>
          <w:rFonts w:hAnsi="宋体"/>
          <w:color w:val="auto"/>
          <w:kern w:val="2"/>
          <w:highlight w:val="none"/>
        </w:rPr>
      </w:pPr>
    </w:p>
    <w:p w14:paraId="2EAAE04E">
      <w:pPr>
        <w:spacing w:line="500" w:lineRule="exact"/>
        <w:jc w:val="center"/>
        <w:rPr>
          <w:rFonts w:ascii="宋体" w:hAnsi="宋体" w:cs="宋体"/>
          <w:color w:val="auto"/>
          <w:sz w:val="32"/>
          <w:szCs w:val="32"/>
          <w:highlight w:val="none"/>
          <w:lang w:val="zh-CN"/>
        </w:rPr>
      </w:pPr>
      <w:r>
        <w:rPr>
          <w:rFonts w:hint="eastAsia" w:ascii="宋体" w:hAnsi="宋体" w:cs="宋体"/>
          <w:color w:val="auto"/>
          <w:sz w:val="24"/>
          <w:szCs w:val="24"/>
          <w:highlight w:val="none"/>
        </w:rPr>
        <w:br w:type="page"/>
      </w:r>
      <w:bookmarkStart w:id="9" w:name="_Toc24146"/>
      <w:bookmarkStart w:id="10" w:name="_Toc6717"/>
      <w:bookmarkStart w:id="11" w:name="_Toc30030"/>
      <w:bookmarkStart w:id="12" w:name="_Toc27273"/>
      <w:bookmarkStart w:id="13" w:name="_Toc31541"/>
      <w:bookmarkStart w:id="14" w:name="_Toc28622"/>
      <w:bookmarkStart w:id="15" w:name="_Toc24053"/>
      <w:bookmarkStart w:id="16" w:name="_Toc32250"/>
      <w:bookmarkStart w:id="17" w:name="_Toc9075"/>
      <w:r>
        <w:rPr>
          <w:rStyle w:val="99"/>
          <w:rFonts w:hint="eastAsia" w:ascii="宋体" w:hAnsi="宋体" w:cs="宋体"/>
          <w:color w:val="auto"/>
          <w:highlight w:val="none"/>
          <w:lang w:val="zh-CN"/>
        </w:rPr>
        <w:t>第二章  供应商须知</w:t>
      </w:r>
      <w:bookmarkEnd w:id="9"/>
      <w:bookmarkEnd w:id="10"/>
      <w:bookmarkEnd w:id="11"/>
      <w:bookmarkEnd w:id="12"/>
      <w:bookmarkEnd w:id="13"/>
      <w:bookmarkEnd w:id="14"/>
      <w:bookmarkEnd w:id="15"/>
      <w:bookmarkEnd w:id="16"/>
      <w:bookmarkEnd w:id="17"/>
    </w:p>
    <w:p w14:paraId="1ECCE48D">
      <w:pPr>
        <w:autoSpaceDE w:val="0"/>
        <w:autoSpaceDN w:val="0"/>
        <w:adjustRightInd w:val="0"/>
        <w:spacing w:line="500" w:lineRule="exact"/>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供应商须知前附表</w:t>
      </w:r>
    </w:p>
    <w:tbl>
      <w:tblPr>
        <w:tblStyle w:val="48"/>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895"/>
        <w:gridCol w:w="6281"/>
      </w:tblGrid>
      <w:tr w14:paraId="254A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76FC7A1E">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序号</w:t>
            </w:r>
          </w:p>
        </w:tc>
        <w:tc>
          <w:tcPr>
            <w:tcW w:w="2895" w:type="dxa"/>
            <w:vAlign w:val="center"/>
          </w:tcPr>
          <w:p w14:paraId="55557A03">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名称</w:t>
            </w:r>
          </w:p>
        </w:tc>
        <w:tc>
          <w:tcPr>
            <w:tcW w:w="6281" w:type="dxa"/>
            <w:vAlign w:val="center"/>
          </w:tcPr>
          <w:p w14:paraId="0E003C7C">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编列内容</w:t>
            </w:r>
          </w:p>
        </w:tc>
      </w:tr>
      <w:tr w14:paraId="31B1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14:paraId="63C8DFA9">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30F72F5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采购人</w:t>
            </w:r>
          </w:p>
        </w:tc>
        <w:tc>
          <w:tcPr>
            <w:tcW w:w="6281" w:type="dxa"/>
          </w:tcPr>
          <w:p w14:paraId="5B6B06BA">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 购 人：吉林省体育局</w:t>
            </w:r>
          </w:p>
          <w:p w14:paraId="6682160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址：吉林省长春市南关区自由大路2778号</w:t>
            </w:r>
          </w:p>
          <w:p w14:paraId="74BCC2A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 系 人：马亚州</w:t>
            </w:r>
          </w:p>
          <w:p w14:paraId="3FA1DA0F">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联系电话：18186838653</w:t>
            </w:r>
          </w:p>
        </w:tc>
      </w:tr>
      <w:tr w14:paraId="11D6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14:paraId="23DF2C8C">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086CB7A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采购代理机构</w:t>
            </w:r>
          </w:p>
        </w:tc>
        <w:tc>
          <w:tcPr>
            <w:tcW w:w="6281" w:type="dxa"/>
          </w:tcPr>
          <w:p w14:paraId="3EB23D36">
            <w:pPr>
              <w:pStyle w:val="2"/>
              <w:keepNext w:val="0"/>
              <w:keepLines w:val="0"/>
              <w:suppressLineNumbers w:val="0"/>
              <w:spacing w:before="0" w:beforeAutospacing="0" w:after="0" w:afterAutospacing="0" w:line="440" w:lineRule="exact"/>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w:t>
            </w:r>
            <w:r>
              <w:rPr>
                <w:rFonts w:hint="eastAsia" w:ascii="宋体" w:hAnsi="宋体" w:eastAsia="宋体" w:cs="宋体"/>
                <w:color w:val="auto"/>
                <w:kern w:val="2"/>
                <w:sz w:val="24"/>
                <w:szCs w:val="24"/>
                <w:highlight w:val="none"/>
                <w:lang w:val="zh-CN" w:eastAsia="zh-CN"/>
              </w:rPr>
              <w:t>代理机构：华春建设工程项目管理有限责任公司</w:t>
            </w:r>
          </w:p>
          <w:p w14:paraId="0948DCC4">
            <w:pPr>
              <w:pStyle w:val="2"/>
              <w:keepNext w:val="0"/>
              <w:keepLines w:val="0"/>
              <w:suppressLineNumbers w:val="0"/>
              <w:spacing w:before="0" w:beforeAutospacing="0" w:after="0" w:afterAutospacing="0" w:line="440" w:lineRule="exact"/>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地 址：吉林省长春市经开区会展大街与南湖大路交汇总部基地金融第五城18栋</w:t>
            </w:r>
          </w:p>
          <w:p w14:paraId="773D0F7B">
            <w:pPr>
              <w:pStyle w:val="2"/>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联系人：韩雪</w:t>
            </w:r>
          </w:p>
          <w:p w14:paraId="7B2B1F8E">
            <w:pPr>
              <w:pStyle w:val="2"/>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联系方式</w:t>
            </w:r>
            <w:r>
              <w:rPr>
                <w:rFonts w:hint="eastAsia" w:ascii="宋体" w:hAnsi="宋体" w:eastAsia="宋体" w:cs="宋体"/>
                <w:color w:val="auto"/>
                <w:kern w:val="2"/>
                <w:sz w:val="24"/>
                <w:szCs w:val="24"/>
                <w:highlight w:val="none"/>
                <w:lang w:val="en-US" w:eastAsia="zh-CN"/>
              </w:rPr>
              <w:t>：15844009014</w:t>
            </w:r>
          </w:p>
        </w:tc>
      </w:tr>
      <w:tr w14:paraId="569C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642" w:type="dxa"/>
            <w:vMerge w:val="restart"/>
            <w:vAlign w:val="center"/>
          </w:tcPr>
          <w:p w14:paraId="1EF696A5">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lang w:val="zh-CN"/>
              </w:rPr>
            </w:pPr>
          </w:p>
        </w:tc>
        <w:tc>
          <w:tcPr>
            <w:tcW w:w="2895" w:type="dxa"/>
            <w:vAlign w:val="center"/>
          </w:tcPr>
          <w:p w14:paraId="1D3D8C92">
            <w:pPr>
              <w:pStyle w:val="2"/>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项目名称</w:t>
            </w:r>
          </w:p>
        </w:tc>
        <w:tc>
          <w:tcPr>
            <w:tcW w:w="6281" w:type="dxa"/>
          </w:tcPr>
          <w:p w14:paraId="28067383">
            <w:pPr>
              <w:pStyle w:val="2"/>
              <w:keepNext w:val="0"/>
              <w:keepLines w:val="0"/>
              <w:suppressLineNumbers w:val="0"/>
              <w:spacing w:before="0" w:beforeAutospacing="0" w:after="0" w:afterAutospacing="0" w:line="440" w:lineRule="exact"/>
              <w:ind w:left="0" w:right="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rPr>
              <w:t>吉林省体育局运动员商业保险采购项目</w:t>
            </w:r>
            <w:r>
              <w:rPr>
                <w:rFonts w:hint="eastAsia" w:hAnsi="宋体" w:cs="宋体"/>
                <w:color w:val="auto"/>
                <w:sz w:val="24"/>
                <w:szCs w:val="24"/>
                <w:lang w:eastAsia="zh-CN"/>
              </w:rPr>
              <w:t>（二次）</w:t>
            </w:r>
          </w:p>
        </w:tc>
      </w:tr>
      <w:tr w14:paraId="139F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642" w:type="dxa"/>
            <w:vMerge w:val="continue"/>
            <w:vAlign w:val="center"/>
          </w:tcPr>
          <w:p w14:paraId="5769F19B">
            <w:pPr>
              <w:keepNext w:val="0"/>
              <w:keepLines w:val="0"/>
              <w:suppressLineNumbers w:val="0"/>
              <w:autoSpaceDE w:val="0"/>
              <w:autoSpaceDN w:val="0"/>
              <w:adjustRightInd w:val="0"/>
              <w:spacing w:before="0" w:beforeAutospacing="0" w:after="0" w:afterAutospacing="0" w:line="360" w:lineRule="exact"/>
              <w:ind w:left="0" w:right="0" w:firstLineChars="0"/>
              <w:jc w:val="center"/>
              <w:rPr>
                <w:rFonts w:hint="default" w:ascii="宋体" w:hAnsi="宋体" w:cs="宋体"/>
                <w:bCs/>
                <w:color w:val="auto"/>
                <w:sz w:val="24"/>
                <w:szCs w:val="24"/>
                <w:highlight w:val="none"/>
                <w:lang w:val="zh-CN"/>
              </w:rPr>
            </w:pPr>
          </w:p>
        </w:tc>
        <w:tc>
          <w:tcPr>
            <w:tcW w:w="2895" w:type="dxa"/>
            <w:vAlign w:val="center"/>
          </w:tcPr>
          <w:p w14:paraId="4E3C1898">
            <w:pPr>
              <w:pStyle w:val="2"/>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项目编号</w:t>
            </w:r>
          </w:p>
        </w:tc>
        <w:tc>
          <w:tcPr>
            <w:tcW w:w="6281" w:type="dxa"/>
          </w:tcPr>
          <w:p w14:paraId="7425B9EE">
            <w:pPr>
              <w:pStyle w:val="2"/>
              <w:keepNext w:val="0"/>
              <w:keepLines w:val="0"/>
              <w:suppressLineNumbers w:val="0"/>
              <w:spacing w:before="0" w:beforeAutospacing="0" w:after="0" w:afterAutospacing="0" w:line="440" w:lineRule="exact"/>
              <w:ind w:left="0" w:right="0"/>
              <w:jc w:val="both"/>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HC-JLZB-2025-</w:t>
            </w:r>
            <w:r>
              <w:rPr>
                <w:rFonts w:hint="eastAsia" w:hAnsi="宋体" w:cs="宋体"/>
                <w:color w:val="auto"/>
                <w:sz w:val="24"/>
                <w:szCs w:val="24"/>
                <w:highlight w:val="none"/>
                <w:lang w:val="en-US" w:eastAsia="zh-CN"/>
              </w:rPr>
              <w:t>321</w:t>
            </w:r>
          </w:p>
        </w:tc>
      </w:tr>
      <w:tr w14:paraId="0286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642" w:type="dxa"/>
            <w:vMerge w:val="continue"/>
            <w:vAlign w:val="center"/>
          </w:tcPr>
          <w:p w14:paraId="4F540B58">
            <w:pPr>
              <w:keepNext w:val="0"/>
              <w:keepLines w:val="0"/>
              <w:suppressLineNumbers w:val="0"/>
              <w:autoSpaceDE w:val="0"/>
              <w:autoSpaceDN w:val="0"/>
              <w:adjustRightInd w:val="0"/>
              <w:spacing w:before="0" w:beforeAutospacing="0" w:after="0" w:afterAutospacing="0" w:line="360" w:lineRule="exact"/>
              <w:ind w:left="0" w:right="0" w:firstLineChars="0"/>
              <w:jc w:val="center"/>
              <w:rPr>
                <w:rFonts w:hint="default" w:ascii="宋体" w:hAnsi="宋体" w:cs="宋体"/>
                <w:bCs/>
                <w:color w:val="auto"/>
                <w:sz w:val="24"/>
                <w:szCs w:val="24"/>
                <w:highlight w:val="none"/>
                <w:lang w:val="zh-CN"/>
              </w:rPr>
            </w:pPr>
          </w:p>
        </w:tc>
        <w:tc>
          <w:tcPr>
            <w:tcW w:w="2895" w:type="dxa"/>
            <w:vAlign w:val="center"/>
          </w:tcPr>
          <w:p w14:paraId="282A5090">
            <w:pPr>
              <w:pStyle w:val="2"/>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sz w:val="24"/>
                <w:szCs w:val="24"/>
                <w:highlight w:val="none"/>
                <w:lang w:val="en-US" w:eastAsia="zh-CN"/>
              </w:rPr>
              <w:t>采购计划编号</w:t>
            </w:r>
          </w:p>
        </w:tc>
        <w:tc>
          <w:tcPr>
            <w:tcW w:w="6281" w:type="dxa"/>
          </w:tcPr>
          <w:p w14:paraId="79AC31DB">
            <w:pPr>
              <w:pStyle w:val="2"/>
              <w:keepNext w:val="0"/>
              <w:keepLines w:val="0"/>
              <w:suppressLineNumbers w:val="0"/>
              <w:spacing w:before="0" w:beforeAutospacing="0" w:after="0" w:afterAutospacing="0" w:line="440" w:lineRule="exact"/>
              <w:ind w:left="0" w:right="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采购计划-[2025]-01216号</w:t>
            </w:r>
          </w:p>
        </w:tc>
      </w:tr>
      <w:tr w14:paraId="3EE5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27863D9D">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lang w:val="zh-CN"/>
              </w:rPr>
            </w:pPr>
          </w:p>
        </w:tc>
        <w:tc>
          <w:tcPr>
            <w:tcW w:w="2895" w:type="dxa"/>
            <w:vAlign w:val="center"/>
          </w:tcPr>
          <w:p w14:paraId="001D4D41">
            <w:pPr>
              <w:pStyle w:val="2"/>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服务地点</w:t>
            </w:r>
          </w:p>
        </w:tc>
        <w:tc>
          <w:tcPr>
            <w:tcW w:w="6281" w:type="dxa"/>
          </w:tcPr>
          <w:p w14:paraId="5D8274A4">
            <w:pPr>
              <w:pStyle w:val="2"/>
              <w:keepNext w:val="0"/>
              <w:keepLines w:val="0"/>
              <w:suppressLineNumbers w:val="0"/>
              <w:spacing w:before="0" w:beforeAutospacing="0" w:after="0" w:afterAutospacing="0" w:line="440" w:lineRule="exact"/>
              <w:ind w:left="0" w:right="0"/>
              <w:jc w:val="both"/>
              <w:rPr>
                <w:rFonts w:hint="default" w:ascii="宋体" w:hAnsi="宋体" w:eastAsia="宋体" w:cs="宋体"/>
                <w:color w:val="auto"/>
                <w:kern w:val="2"/>
                <w:sz w:val="24"/>
                <w:szCs w:val="24"/>
                <w:highlight w:val="none"/>
                <w:lang w:val="en-US" w:eastAsia="zh-CN"/>
              </w:rPr>
            </w:pPr>
            <w:r>
              <w:rPr>
                <w:rFonts w:hint="eastAsia" w:ascii="宋体" w:hAnsi="宋体" w:eastAsia="宋体" w:cs="宋体"/>
                <w:bCs/>
                <w:color w:val="auto"/>
                <w:sz w:val="24"/>
                <w:szCs w:val="24"/>
                <w:lang w:val="zh-CN"/>
              </w:rPr>
              <w:t>吉林省体育局指定地点</w:t>
            </w:r>
          </w:p>
        </w:tc>
      </w:tr>
      <w:tr w14:paraId="65B2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42" w:type="dxa"/>
            <w:vAlign w:val="center"/>
          </w:tcPr>
          <w:p w14:paraId="55795967">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lang w:val="zh-CN"/>
              </w:rPr>
            </w:pPr>
          </w:p>
        </w:tc>
        <w:tc>
          <w:tcPr>
            <w:tcW w:w="2895" w:type="dxa"/>
            <w:vAlign w:val="center"/>
          </w:tcPr>
          <w:p w14:paraId="1EA465C6">
            <w:pPr>
              <w:pStyle w:val="2"/>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资金来源</w:t>
            </w:r>
          </w:p>
        </w:tc>
        <w:tc>
          <w:tcPr>
            <w:tcW w:w="6281" w:type="dxa"/>
          </w:tcPr>
          <w:p w14:paraId="3E406439">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公共财政预算资金</w:t>
            </w:r>
          </w:p>
        </w:tc>
      </w:tr>
      <w:tr w14:paraId="4948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42" w:type="dxa"/>
            <w:vAlign w:val="center"/>
          </w:tcPr>
          <w:p w14:paraId="10AD9555">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lang w:val="zh-CN"/>
              </w:rPr>
            </w:pPr>
          </w:p>
        </w:tc>
        <w:tc>
          <w:tcPr>
            <w:tcW w:w="2895" w:type="dxa"/>
            <w:vAlign w:val="center"/>
          </w:tcPr>
          <w:p w14:paraId="42B4BD56">
            <w:pPr>
              <w:pStyle w:val="2"/>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资金落实情况</w:t>
            </w:r>
          </w:p>
        </w:tc>
        <w:tc>
          <w:tcPr>
            <w:tcW w:w="6281" w:type="dxa"/>
          </w:tcPr>
          <w:p w14:paraId="77BC48A3">
            <w:pPr>
              <w:pStyle w:val="2"/>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已落实</w:t>
            </w:r>
          </w:p>
        </w:tc>
      </w:tr>
      <w:tr w14:paraId="1432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39790072">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lang w:val="zh-CN"/>
              </w:rPr>
            </w:pPr>
          </w:p>
        </w:tc>
        <w:tc>
          <w:tcPr>
            <w:tcW w:w="2895" w:type="dxa"/>
            <w:vAlign w:val="center"/>
          </w:tcPr>
          <w:p w14:paraId="0E7E9AD0">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服务内容</w:t>
            </w:r>
          </w:p>
        </w:tc>
        <w:tc>
          <w:tcPr>
            <w:tcW w:w="6281" w:type="dxa"/>
          </w:tcPr>
          <w:p w14:paraId="29B9D253">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运动员商业保险采购（具体详见“技术标准及服务需求”）</w:t>
            </w:r>
          </w:p>
        </w:tc>
      </w:tr>
      <w:tr w14:paraId="0E37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3D81F978">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076CB5BA">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zh-CN" w:eastAsia="zh-CN"/>
              </w:rPr>
              <w:t>磋商报价</w:t>
            </w:r>
          </w:p>
        </w:tc>
        <w:tc>
          <w:tcPr>
            <w:tcW w:w="6281" w:type="dxa"/>
          </w:tcPr>
          <w:p w14:paraId="77461CEC">
            <w:pPr>
              <w:pStyle w:val="2"/>
              <w:keepNext w:val="0"/>
              <w:keepLines w:val="0"/>
              <w:suppressLineNumbers w:val="0"/>
              <w:spacing w:before="0" w:beforeAutospacing="0" w:after="0" w:afterAutospacing="0" w:line="440" w:lineRule="exact"/>
              <w:ind w:left="0" w:right="0"/>
              <w:rPr>
                <w:rFonts w:hint="default" w:ascii="宋体" w:hAnsi="宋体" w:eastAsia="宋体" w:cs="宋体"/>
                <w:b/>
                <w:bCs/>
                <w:color w:val="auto"/>
                <w:kern w:val="2"/>
                <w:sz w:val="24"/>
                <w:szCs w:val="24"/>
                <w:highlight w:val="none"/>
                <w:lang w:val="zh-CN" w:eastAsia="zh-CN"/>
              </w:rPr>
            </w:pPr>
            <w:r>
              <w:rPr>
                <w:rFonts w:hint="eastAsia" w:ascii="宋体" w:hAnsi="宋体" w:eastAsia="宋体" w:cs="宋体"/>
                <w:b/>
                <w:bCs/>
                <w:color w:val="auto"/>
                <w:kern w:val="2"/>
                <w:sz w:val="24"/>
                <w:szCs w:val="24"/>
                <w:highlight w:val="none"/>
                <w:lang w:val="zh-CN" w:eastAsia="zh-CN"/>
              </w:rPr>
              <w:t>本项目最高限价为：</w:t>
            </w:r>
            <w:r>
              <w:rPr>
                <w:rFonts w:hint="eastAsia" w:hAnsi="宋体" w:cs="宋体"/>
                <w:b/>
                <w:bCs/>
                <w:color w:val="auto"/>
                <w:kern w:val="2"/>
                <w:sz w:val="24"/>
                <w:szCs w:val="24"/>
                <w:highlight w:val="none"/>
                <w:lang w:val="en-US" w:eastAsia="zh-CN"/>
              </w:rPr>
              <w:t>100</w:t>
            </w:r>
            <w:r>
              <w:rPr>
                <w:rFonts w:hint="eastAsia" w:ascii="宋体" w:hAnsi="宋体" w:eastAsia="宋体" w:cs="宋体"/>
                <w:b/>
                <w:bCs/>
                <w:color w:val="auto"/>
                <w:kern w:val="2"/>
                <w:sz w:val="24"/>
                <w:szCs w:val="24"/>
                <w:highlight w:val="none"/>
                <w:lang w:val="en-US" w:eastAsia="zh-CN"/>
              </w:rPr>
              <w:t>万元</w:t>
            </w:r>
            <w:r>
              <w:rPr>
                <w:rFonts w:hint="eastAsia" w:hAnsi="宋体" w:cs="宋体"/>
                <w:b/>
                <w:bCs/>
                <w:color w:val="auto"/>
                <w:kern w:val="2"/>
                <w:sz w:val="24"/>
                <w:szCs w:val="24"/>
                <w:highlight w:val="none"/>
                <w:lang w:val="en-US" w:eastAsia="zh-CN"/>
              </w:rPr>
              <w:t>。</w:t>
            </w:r>
          </w:p>
          <w:p w14:paraId="63040CB2">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zh-CN" w:eastAsia="zh-CN"/>
              </w:rPr>
            </w:pPr>
            <w:r>
              <w:rPr>
                <w:rFonts w:hint="eastAsia" w:ascii="宋体" w:hAnsi="宋体" w:eastAsia="宋体" w:cs="宋体"/>
                <w:b/>
                <w:bCs/>
                <w:color w:val="auto"/>
                <w:kern w:val="2"/>
                <w:sz w:val="24"/>
                <w:szCs w:val="24"/>
                <w:highlight w:val="none"/>
                <w:lang w:val="zh-CN" w:eastAsia="zh-CN"/>
              </w:rPr>
              <w:t>超过预算</w:t>
            </w:r>
            <w:r>
              <w:rPr>
                <w:rFonts w:hint="eastAsia" w:ascii="宋体" w:hAnsi="宋体" w:eastAsia="宋体" w:cs="宋体"/>
                <w:b/>
                <w:bCs/>
                <w:color w:val="auto"/>
                <w:kern w:val="2"/>
                <w:sz w:val="24"/>
                <w:szCs w:val="24"/>
                <w:highlight w:val="none"/>
                <w:lang w:val="en-US" w:eastAsia="zh-CN"/>
              </w:rPr>
              <w:t>金额</w:t>
            </w:r>
            <w:r>
              <w:rPr>
                <w:rFonts w:hint="eastAsia" w:ascii="宋体" w:hAnsi="宋体" w:eastAsia="宋体" w:cs="宋体"/>
                <w:b/>
                <w:bCs/>
                <w:color w:val="auto"/>
                <w:kern w:val="2"/>
                <w:sz w:val="24"/>
                <w:szCs w:val="24"/>
                <w:highlight w:val="none"/>
                <w:lang w:val="zh-CN" w:eastAsia="zh-CN"/>
              </w:rPr>
              <w:t>的文件其报价无效处理</w:t>
            </w:r>
          </w:p>
        </w:tc>
      </w:tr>
      <w:tr w14:paraId="1F6A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0894FAC9">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5E986D03">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rPr>
              <w:t>报价要求</w:t>
            </w:r>
          </w:p>
        </w:tc>
        <w:tc>
          <w:tcPr>
            <w:tcW w:w="6281" w:type="dxa"/>
            <w:vAlign w:val="center"/>
          </w:tcPr>
          <w:p w14:paraId="0D7FFFD7">
            <w:pPr>
              <w:pStyle w:val="2"/>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4"/>
                <w:szCs w:val="24"/>
                <w:highlight w:val="none"/>
                <w:lang w:val="zh-CN" w:eastAsia="zh-CN"/>
              </w:rPr>
            </w:pPr>
            <w:r>
              <w:rPr>
                <w:rFonts w:hint="eastAsia" w:ascii="宋体" w:hAnsi="宋体" w:eastAsia="宋体" w:cs="宋体"/>
                <w:bCs/>
                <w:color w:val="auto"/>
                <w:kern w:val="2"/>
                <w:sz w:val="24"/>
                <w:szCs w:val="24"/>
                <w:highlight w:val="none"/>
                <w:lang w:val="en-US" w:eastAsia="zh-CN" w:bidi="ar-SA"/>
              </w:rPr>
              <w:t>供应商的报价应当包含为完成本项目全部工作所需的一切费用，包括成本、利润、税金等。投标报价不得超过预算金额（最高限价），否则将否决其投标。</w:t>
            </w:r>
          </w:p>
        </w:tc>
      </w:tr>
      <w:tr w14:paraId="3293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14:paraId="2B0BEBC0">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lang w:val="zh-CN"/>
              </w:rPr>
            </w:pPr>
          </w:p>
        </w:tc>
        <w:tc>
          <w:tcPr>
            <w:tcW w:w="2895" w:type="dxa"/>
            <w:vAlign w:val="center"/>
          </w:tcPr>
          <w:p w14:paraId="250AFB1E">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合同履行期限</w:t>
            </w:r>
          </w:p>
        </w:tc>
        <w:tc>
          <w:tcPr>
            <w:tcW w:w="6281" w:type="dxa"/>
            <w:vAlign w:val="center"/>
          </w:tcPr>
          <w:p w14:paraId="4768DB54">
            <w:pPr>
              <w:keepNext w:val="0"/>
              <w:keepLines w:val="0"/>
              <w:suppressLineNumbers w:val="0"/>
              <w:autoSpaceDE w:val="0"/>
              <w:autoSpaceDN w:val="0"/>
              <w:adjustRightInd w:val="0"/>
              <w:spacing w:before="0" w:beforeAutospacing="0" w:after="0" w:afterAutospacing="0" w:line="360" w:lineRule="exact"/>
              <w:ind w:left="0" w:right="0"/>
              <w:jc w:val="both"/>
              <w:rPr>
                <w:rFonts w:hint="default" w:ascii="宋体" w:hAnsi="宋体" w:eastAsia="宋体" w:cs="宋体"/>
                <w:bCs/>
                <w:color w:val="auto"/>
                <w:sz w:val="24"/>
                <w:szCs w:val="24"/>
                <w:highlight w:val="none"/>
                <w:lang w:val="zh-CN" w:eastAsia="zh-CN"/>
              </w:rPr>
            </w:pPr>
            <w:r>
              <w:rPr>
                <w:rFonts w:hint="eastAsia" w:ascii="宋体" w:hAnsi="宋体" w:eastAsia="宋体" w:cs="宋体"/>
                <w:bCs/>
                <w:color w:val="auto"/>
                <w:kern w:val="2"/>
                <w:sz w:val="24"/>
                <w:szCs w:val="24"/>
                <w:highlight w:val="none"/>
                <w:lang w:val="en-US" w:eastAsia="zh-CN" w:bidi="ar-SA"/>
              </w:rPr>
              <w:t>签订合同后1年</w:t>
            </w:r>
          </w:p>
        </w:tc>
      </w:tr>
      <w:tr w14:paraId="0C77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14:paraId="132806DE">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lang w:val="zh-CN"/>
              </w:rPr>
            </w:pPr>
          </w:p>
        </w:tc>
        <w:tc>
          <w:tcPr>
            <w:tcW w:w="2895" w:type="dxa"/>
            <w:vAlign w:val="center"/>
          </w:tcPr>
          <w:p w14:paraId="06DA8CBF">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证明材料</w:t>
            </w:r>
          </w:p>
        </w:tc>
        <w:tc>
          <w:tcPr>
            <w:tcW w:w="6281" w:type="dxa"/>
            <w:vAlign w:val="center"/>
          </w:tcPr>
          <w:p w14:paraId="5E86DB6B">
            <w:pPr>
              <w:pStyle w:val="2"/>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4"/>
                <w:szCs w:val="24"/>
                <w:highlight w:val="none"/>
                <w:lang w:val="zh-CN" w:eastAsia="zh-CN"/>
              </w:rPr>
            </w:pPr>
            <w:r>
              <w:rPr>
                <w:rFonts w:hint="eastAsia" w:ascii="宋体" w:hAnsi="Times New Roman" w:eastAsia="宋体" w:cs="宋体"/>
                <w:color w:val="auto"/>
                <w:sz w:val="24"/>
                <w:szCs w:val="24"/>
                <w:highlight w:val="none"/>
                <w:lang w:val="en-US" w:eastAsia="zh-CN"/>
              </w:rPr>
              <w:t>无</w:t>
            </w:r>
          </w:p>
        </w:tc>
      </w:tr>
      <w:tr w14:paraId="3FB4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14:paraId="6294B000">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lang w:val="zh-CN"/>
              </w:rPr>
            </w:pPr>
          </w:p>
        </w:tc>
        <w:tc>
          <w:tcPr>
            <w:tcW w:w="2895" w:type="dxa"/>
            <w:vAlign w:val="center"/>
          </w:tcPr>
          <w:p w14:paraId="514B9284">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强制采购产品认证</w:t>
            </w:r>
          </w:p>
        </w:tc>
        <w:tc>
          <w:tcPr>
            <w:tcW w:w="6281" w:type="dxa"/>
            <w:vAlign w:val="center"/>
          </w:tcPr>
          <w:p w14:paraId="0AE67FE6">
            <w:pPr>
              <w:pStyle w:val="2"/>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4"/>
                <w:szCs w:val="24"/>
                <w:highlight w:val="none"/>
                <w:lang w:val="zh-CN" w:eastAsia="zh-CN"/>
              </w:rPr>
            </w:pPr>
            <w:r>
              <w:rPr>
                <w:rFonts w:hint="eastAsia" w:ascii="宋体" w:hAnsi="Times New Roman" w:eastAsia="宋体" w:cs="宋体"/>
                <w:color w:val="auto"/>
                <w:sz w:val="24"/>
                <w:szCs w:val="24"/>
                <w:highlight w:val="none"/>
                <w:lang w:val="en-US" w:eastAsia="zh-CN"/>
              </w:rPr>
              <w:t>供应商需提供下述节能环保产品强制采购认证证书：无</w:t>
            </w:r>
          </w:p>
        </w:tc>
      </w:tr>
      <w:tr w14:paraId="3826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42" w:type="dxa"/>
            <w:vAlign w:val="center"/>
          </w:tcPr>
          <w:p w14:paraId="2692FB4E">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47399762">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服务标准</w:t>
            </w:r>
          </w:p>
        </w:tc>
        <w:tc>
          <w:tcPr>
            <w:tcW w:w="6281" w:type="dxa"/>
          </w:tcPr>
          <w:p w14:paraId="2760FBD8">
            <w:pPr>
              <w:pStyle w:val="2"/>
              <w:keepNext w:val="0"/>
              <w:keepLines w:val="0"/>
              <w:suppressLineNumbers w:val="0"/>
              <w:spacing w:before="0" w:beforeAutospacing="0" w:after="0" w:afterAutospacing="0" w:line="440" w:lineRule="exact"/>
              <w:ind w:left="0" w:right="0"/>
              <w:rPr>
                <w:rFonts w:hint="default" w:ascii="宋体" w:hAnsi="Times New Roman" w:eastAsia="宋体" w:cs="宋体"/>
                <w:color w:val="auto"/>
                <w:sz w:val="24"/>
                <w:szCs w:val="24"/>
                <w:highlight w:val="none"/>
                <w:lang w:val="zh-CN" w:eastAsia="zh-CN"/>
              </w:rPr>
            </w:pPr>
            <w:r>
              <w:rPr>
                <w:rFonts w:hint="eastAsia" w:ascii="宋体" w:hAnsi="Times New Roman" w:eastAsia="宋体" w:cs="宋体"/>
                <w:color w:val="auto"/>
                <w:sz w:val="24"/>
                <w:szCs w:val="24"/>
                <w:highlight w:val="none"/>
                <w:lang w:val="zh-CN" w:eastAsia="zh-CN"/>
              </w:rPr>
              <w:t>符合国家及行业规定的合格标准</w:t>
            </w:r>
          </w:p>
        </w:tc>
      </w:tr>
      <w:tr w14:paraId="01E5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14:paraId="5385EFD8">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1B21A469">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供应商资质条件、能力和信誉</w:t>
            </w:r>
          </w:p>
        </w:tc>
        <w:tc>
          <w:tcPr>
            <w:tcW w:w="6281" w:type="dxa"/>
          </w:tcPr>
          <w:p w14:paraId="4B2F7C97">
            <w:pPr>
              <w:pStyle w:val="2"/>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1.满足《中华人民共和国政府采购法》第二十二条规定。</w:t>
            </w:r>
          </w:p>
          <w:p w14:paraId="4BB2321A">
            <w:pPr>
              <w:pStyle w:val="2"/>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2.落实政府采购政策需满足的资格要求：本项目</w:t>
            </w:r>
            <w:r>
              <w:rPr>
                <w:rFonts w:hint="eastAsia" w:hAnsi="宋体" w:cs="宋体"/>
                <w:color w:val="auto"/>
                <w:kern w:val="2"/>
                <w:sz w:val="24"/>
                <w:szCs w:val="24"/>
                <w:highlight w:val="none"/>
                <w:lang w:val="en-US" w:eastAsia="zh-CN" w:bidi="ar-SA"/>
              </w:rPr>
              <w:t>不</w:t>
            </w:r>
            <w:r>
              <w:rPr>
                <w:rFonts w:hint="eastAsia" w:ascii="宋体" w:hAnsi="宋体" w:eastAsia="宋体" w:cs="宋体"/>
                <w:color w:val="auto"/>
                <w:kern w:val="2"/>
                <w:sz w:val="24"/>
                <w:szCs w:val="24"/>
                <w:highlight w:val="none"/>
                <w:lang w:val="en-US" w:eastAsia="zh-CN" w:bidi="ar-SA"/>
              </w:rPr>
              <w:t>专门面向中小企业采购项目。</w:t>
            </w:r>
          </w:p>
          <w:p w14:paraId="476A07D3">
            <w:pPr>
              <w:pStyle w:val="2"/>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政府采购强制、优先采购节能产品政策；政府采购优先采购环保产品政策；政府采购促进中小企业发展（监狱企业、残疾人福利性单位视同小微企业）政策。 </w:t>
            </w:r>
          </w:p>
          <w:p w14:paraId="735B247E">
            <w:pPr>
              <w:pStyle w:val="2"/>
              <w:keepNext w:val="0"/>
              <w:keepLines w:val="0"/>
              <w:suppressLineNumbers w:val="0"/>
              <w:spacing w:before="0" w:beforeAutospacing="0" w:after="0" w:afterAutospacing="0" w:line="360" w:lineRule="auto"/>
              <w:ind w:left="0" w:right="0"/>
              <w:rPr>
                <w:rFonts w:hint="default" w:ascii="宋体" w:hAnsi="Times New Roman" w:eastAsia="宋体" w:cs="宋体"/>
                <w:color w:val="auto"/>
                <w:sz w:val="21"/>
                <w:szCs w:val="21"/>
                <w:highlight w:val="none"/>
                <w:lang w:val="en-US" w:eastAsia="zh-CN"/>
              </w:rPr>
            </w:pPr>
            <w:r>
              <w:rPr>
                <w:rFonts w:hint="eastAsia" w:ascii="宋体" w:hAnsi="Times New Roman" w:eastAsia="宋体" w:cs="宋体"/>
                <w:color w:val="auto"/>
                <w:sz w:val="24"/>
                <w:szCs w:val="24"/>
                <w:highlight w:val="none"/>
                <w:lang w:val="en-US" w:eastAsia="zh-CN"/>
              </w:rPr>
              <w:t>3</w:t>
            </w:r>
            <w:r>
              <w:rPr>
                <w:rFonts w:hint="eastAsia" w:ascii="宋体" w:hAnsi="Times New Roman" w:eastAsia="宋体" w:cs="宋体"/>
                <w:color w:val="auto"/>
                <w:sz w:val="21"/>
                <w:szCs w:val="21"/>
                <w:highlight w:val="none"/>
                <w:lang w:val="en-US" w:eastAsia="zh-CN"/>
              </w:rPr>
              <w:t>.本项目的特定资格要求：</w:t>
            </w:r>
          </w:p>
          <w:p w14:paraId="2EC717B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（1）供应商应具备在中华人民共和国境内注册的独立法人资格或其他组织，需提供年检合格的营业执照复印件。</w:t>
            </w:r>
          </w:p>
          <w:p w14:paraId="7D7AFE4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（2）供应商应具备中国保险监督管理委员会颁发的《经营保险业务许可证》，具有开展意外伤害保险业务资质的保险公司。</w:t>
            </w:r>
          </w:p>
          <w:p w14:paraId="425AADD4">
            <w:pPr>
              <w:pStyle w:val="2"/>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有良好的商业信誉和健全的财务会计制度，依法缴纳税收和社会保障资金的良好记录，根据[长财采购[2022]2066号文件]关于加强政府采购信用体系建设简化供应商资格条件有关事项的通知提供资格条件承诺函(长财采购[2022]2066号)文件要求执行，提供资格条件承诺函。</w:t>
            </w:r>
          </w:p>
          <w:p w14:paraId="5810AB3B">
            <w:pPr>
              <w:keepNext w:val="0"/>
              <w:keepLines w:val="0"/>
              <w:numPr>
                <w:ilvl w:val="0"/>
                <w:numId w:val="0"/>
              </w:numPr>
              <w:suppressLineNumbers w:val="0"/>
              <w:adjustRightInd w:val="0"/>
              <w:snapToGrid w:val="0"/>
              <w:spacing w:before="0" w:beforeAutospacing="0" w:after="0" w:afterAutospacing="0" w:line="360" w:lineRule="auto"/>
              <w:ind w:left="0" w:right="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（4）信誉要求：企业信誉良好</w:t>
            </w:r>
            <w:r>
              <w:rPr>
                <w:rFonts w:hint="eastAsia" w:ascii="宋体" w:hAnsi="宋体" w:eastAsia="宋体" w:cs="宋体"/>
                <w:color w:val="auto"/>
                <w:kern w:val="2"/>
                <w:sz w:val="24"/>
                <w:szCs w:val="24"/>
                <w:highlight w:val="none"/>
                <w:lang w:val="en-US" w:eastAsia="zh-CN" w:bidi="ar-SA"/>
              </w:rPr>
              <w:t>、无不良行为记录,提供“信用中国”（www.creditchina.gov.cn）未列入①失信被执行人②重大税收违法案件当事人名单③政府采购严重违法失信名单的官网截图并加盖公章；提供“中国政府采购网”（www.ccgp.gov.cn）未列入政府采购严重违法失信行为记录名单的官网截图并加盖公章；提供“中国裁判文书网”（wenshu.court.gov.cn/）上无行贿犯罪记录官网截图并加盖公章。</w:t>
            </w:r>
            <w:r>
              <w:rPr>
                <w:rFonts w:hint="eastAsia" w:ascii="宋体" w:hAnsi="宋体" w:eastAsia="宋体" w:cs="Times New Roman"/>
                <w:color w:val="auto"/>
                <w:kern w:val="0"/>
                <w:sz w:val="24"/>
                <w:szCs w:val="24"/>
                <w:highlight w:val="none"/>
                <w:lang w:val="zh-CN" w:eastAsia="zh-CN"/>
              </w:rPr>
              <w:t>（查询截止时点：本项目采购公告发布之日起到响应文件提交截止时间期间）</w:t>
            </w:r>
            <w:r>
              <w:rPr>
                <w:rFonts w:hint="eastAsia" w:ascii="宋体" w:hAnsi="宋体" w:eastAsia="宋体" w:cs="宋体"/>
                <w:color w:val="auto"/>
                <w:kern w:val="2"/>
                <w:sz w:val="24"/>
                <w:szCs w:val="24"/>
                <w:highlight w:val="none"/>
                <w:lang w:val="en-US" w:eastAsia="zh-CN" w:bidi="ar-SA"/>
              </w:rPr>
              <w:t>。</w:t>
            </w:r>
          </w:p>
          <w:p w14:paraId="10F8E8FB">
            <w:pPr>
              <w:pStyle w:val="2"/>
              <w:keepNext w:val="0"/>
              <w:keepLines w:val="0"/>
              <w:suppressLineNumbers w:val="0"/>
              <w:spacing w:before="0" w:beforeAutospacing="0" w:after="0" w:afterAutospacing="0" w:line="400" w:lineRule="exact"/>
              <w:ind w:left="0" w:right="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szCs w:val="24"/>
                <w:highlight w:val="none"/>
              </w:rPr>
              <w:t>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r>
              <w:rPr>
                <w:rFonts w:hint="eastAsia" w:hAnsi="宋体" w:cs="宋体"/>
                <w:color w:val="auto"/>
                <w:sz w:val="24"/>
                <w:szCs w:val="24"/>
                <w:highlight w:val="none"/>
                <w:lang w:val="en-US" w:eastAsia="zh-CN"/>
              </w:rPr>
              <w:t>提供企业承诺书。</w:t>
            </w:r>
          </w:p>
          <w:p w14:paraId="65A4CD0B">
            <w:pPr>
              <w:pStyle w:val="2"/>
              <w:keepNext w:val="0"/>
              <w:keepLines w:val="0"/>
              <w:suppressLineNumbers w:val="0"/>
              <w:spacing w:before="0" w:beforeAutospacing="0" w:after="0" w:afterAutospacing="0" w:line="400" w:lineRule="exact"/>
              <w:ind w:left="0" w:right="0"/>
              <w:rPr>
                <w:rFonts w:hint="default"/>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）本项目不接受联合体。</w:t>
            </w:r>
          </w:p>
        </w:tc>
      </w:tr>
      <w:tr w14:paraId="6D9D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14:paraId="0C3F36D2">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0D44CDCB">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答疑会</w:t>
            </w:r>
          </w:p>
        </w:tc>
        <w:tc>
          <w:tcPr>
            <w:tcW w:w="6281" w:type="dxa"/>
            <w:vAlign w:val="center"/>
          </w:tcPr>
          <w:p w14:paraId="024EB69A">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zh-CN"/>
              </w:rPr>
              <w:t>本项目不召开答疑会</w:t>
            </w:r>
          </w:p>
        </w:tc>
      </w:tr>
      <w:tr w14:paraId="0357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754E667D">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569BB728">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供应商提出问题的截止时间</w:t>
            </w:r>
          </w:p>
        </w:tc>
        <w:tc>
          <w:tcPr>
            <w:tcW w:w="6281" w:type="dxa"/>
          </w:tcPr>
          <w:p w14:paraId="66D37AFC">
            <w:pPr>
              <w:pStyle w:val="2"/>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4"/>
                <w:szCs w:val="24"/>
                <w:highlight w:val="none"/>
                <w:lang w:val="zh-CN" w:eastAsia="zh-CN"/>
              </w:rPr>
            </w:pPr>
            <w:r>
              <w:rPr>
                <w:rFonts w:hint="eastAsia" w:ascii="宋体" w:hAnsi="Times New Roman" w:eastAsia="宋体" w:cs="宋体"/>
                <w:color w:val="auto"/>
                <w:sz w:val="24"/>
                <w:szCs w:val="24"/>
                <w:highlight w:val="none"/>
                <w:lang w:val="zh-CN" w:eastAsia="zh-CN"/>
              </w:rPr>
              <w:t>投标供应商提出问题的截止时间：</w:t>
            </w:r>
          </w:p>
          <w:p w14:paraId="28B0DEFF">
            <w:pPr>
              <w:pStyle w:val="2"/>
              <w:keepNext w:val="0"/>
              <w:keepLines w:val="0"/>
              <w:suppressLineNumbers w:val="0"/>
              <w:spacing w:before="0" w:beforeAutospacing="0" w:after="0" w:afterAutospacing="0" w:line="440" w:lineRule="exact"/>
              <w:ind w:left="0" w:right="0"/>
              <w:rPr>
                <w:rFonts w:hint="eastAsia" w:ascii="宋体" w:hAnsi="Times New Roman" w:eastAsia="宋体" w:cs="宋体"/>
                <w:color w:val="auto"/>
                <w:sz w:val="24"/>
                <w:szCs w:val="24"/>
                <w:highlight w:val="none"/>
                <w:lang w:val="zh-CN" w:eastAsia="zh-CN"/>
              </w:rPr>
            </w:pPr>
            <w:r>
              <w:rPr>
                <w:rFonts w:hint="eastAsia" w:ascii="宋体" w:hAnsi="Times New Roman" w:eastAsia="宋体" w:cs="宋体"/>
                <w:color w:val="auto"/>
                <w:sz w:val="24"/>
                <w:szCs w:val="24"/>
                <w:highlight w:val="none"/>
                <w:lang w:val="zh-CN" w:eastAsia="zh-CN"/>
              </w:rPr>
              <w:t>响应文件截止时间5日前</w:t>
            </w:r>
          </w:p>
          <w:p w14:paraId="4B06447F">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zh-CN"/>
              </w:rPr>
            </w:pPr>
            <w:r>
              <w:rPr>
                <w:rFonts w:hint="eastAsia" w:ascii="宋体" w:hAnsi="Times New Roman" w:eastAsia="宋体" w:cs="宋体"/>
                <w:color w:val="auto"/>
                <w:sz w:val="24"/>
                <w:szCs w:val="24"/>
                <w:highlight w:val="none"/>
                <w:lang w:val="zh-CN" w:eastAsia="zh-CN"/>
              </w:rPr>
              <w:t>登录政采云平台https://www.zcygov.cn/在线申请提出问题，并电话通知代理机构。</w:t>
            </w:r>
          </w:p>
        </w:tc>
      </w:tr>
      <w:tr w14:paraId="7645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2" w:type="dxa"/>
            <w:vAlign w:val="center"/>
          </w:tcPr>
          <w:p w14:paraId="2D81D7E3">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4AF2E5C0">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采购人书面澄清的时间</w:t>
            </w:r>
          </w:p>
        </w:tc>
        <w:tc>
          <w:tcPr>
            <w:tcW w:w="6281" w:type="dxa"/>
            <w:vAlign w:val="center"/>
          </w:tcPr>
          <w:p w14:paraId="20FF830A">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响应文件提交截止时间前</w:t>
            </w:r>
            <w:r>
              <w:rPr>
                <w:rFonts w:hint="eastAsia" w:ascii="宋体" w:hAnsi="宋体" w:eastAsia="宋体" w:cs="宋体"/>
                <w:color w:val="auto"/>
                <w:kern w:val="2"/>
                <w:sz w:val="24"/>
                <w:szCs w:val="24"/>
                <w:highlight w:val="none"/>
              </w:rPr>
              <w:t>5</w:t>
            </w:r>
            <w:r>
              <w:rPr>
                <w:rFonts w:hint="eastAsia" w:ascii="宋体" w:hAnsi="宋体" w:eastAsia="宋体" w:cs="宋体"/>
                <w:color w:val="auto"/>
                <w:kern w:val="2"/>
                <w:sz w:val="24"/>
                <w:szCs w:val="24"/>
                <w:highlight w:val="none"/>
                <w:lang w:val="zh-CN"/>
              </w:rPr>
              <w:t>天</w:t>
            </w:r>
          </w:p>
        </w:tc>
      </w:tr>
      <w:tr w14:paraId="59BF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42" w:type="dxa"/>
            <w:vAlign w:val="center"/>
          </w:tcPr>
          <w:p w14:paraId="29EA6A72">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32DDF2D2">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分包</w:t>
            </w:r>
          </w:p>
        </w:tc>
        <w:tc>
          <w:tcPr>
            <w:tcW w:w="6281" w:type="dxa"/>
            <w:vAlign w:val="center"/>
          </w:tcPr>
          <w:p w14:paraId="7FCD32EA">
            <w:pPr>
              <w:pStyle w:val="2"/>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本项目</w:t>
            </w:r>
            <w:r>
              <w:rPr>
                <w:rFonts w:hint="eastAsia" w:ascii="宋体" w:hAnsi="宋体" w:eastAsia="宋体" w:cs="宋体"/>
                <w:color w:val="auto"/>
                <w:kern w:val="2"/>
                <w:sz w:val="24"/>
                <w:szCs w:val="24"/>
                <w:highlight w:val="none"/>
              </w:rPr>
              <w:t>不</w:t>
            </w:r>
            <w:r>
              <w:rPr>
                <w:rFonts w:hint="eastAsia" w:ascii="宋体" w:hAnsi="宋体" w:eastAsia="宋体" w:cs="宋体"/>
                <w:color w:val="auto"/>
                <w:kern w:val="2"/>
                <w:sz w:val="24"/>
                <w:szCs w:val="24"/>
                <w:highlight w:val="none"/>
                <w:lang w:val="zh-CN"/>
              </w:rPr>
              <w:t>允许分包</w:t>
            </w:r>
          </w:p>
        </w:tc>
      </w:tr>
      <w:tr w14:paraId="2119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0779FDB3">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52CBDBB6">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供应商要求澄清</w:t>
            </w:r>
          </w:p>
          <w:p w14:paraId="1990DB2F">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磋商文件的截止时间</w:t>
            </w:r>
          </w:p>
        </w:tc>
        <w:tc>
          <w:tcPr>
            <w:tcW w:w="6281" w:type="dxa"/>
            <w:vAlign w:val="center"/>
          </w:tcPr>
          <w:p w14:paraId="3BC05CA7">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rPr>
              <w:t>磋商截止时间前5</w:t>
            </w:r>
            <w:r>
              <w:rPr>
                <w:rFonts w:hint="eastAsia" w:ascii="宋体" w:hAnsi="宋体" w:eastAsia="宋体" w:cs="宋体"/>
                <w:color w:val="auto"/>
                <w:kern w:val="2"/>
                <w:sz w:val="24"/>
                <w:szCs w:val="24"/>
                <w:highlight w:val="none"/>
                <w:lang w:val="zh-CN"/>
              </w:rPr>
              <w:t>天</w:t>
            </w:r>
          </w:p>
        </w:tc>
      </w:tr>
      <w:tr w14:paraId="51FC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3802B516">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66A9F3D3">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rPr>
              <w:t>响应</w:t>
            </w:r>
            <w:r>
              <w:rPr>
                <w:rFonts w:hint="eastAsia" w:ascii="宋体" w:hAnsi="宋体" w:eastAsia="宋体" w:cs="宋体"/>
                <w:bCs/>
                <w:color w:val="auto"/>
                <w:kern w:val="15"/>
                <w:sz w:val="24"/>
                <w:szCs w:val="24"/>
                <w:highlight w:val="none"/>
                <w:lang w:val="zh-CN"/>
              </w:rPr>
              <w:t>文件递交截止时间</w:t>
            </w:r>
          </w:p>
        </w:tc>
        <w:tc>
          <w:tcPr>
            <w:tcW w:w="6281" w:type="dxa"/>
          </w:tcPr>
          <w:p w14:paraId="7CB4A88E">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zh-CN"/>
              </w:rPr>
            </w:pPr>
            <w:r>
              <w:rPr>
                <w:rFonts w:hint="eastAsia" w:hAnsi="宋体" w:cs="宋体"/>
                <w:color w:val="auto"/>
                <w:kern w:val="2"/>
                <w:sz w:val="24"/>
                <w:szCs w:val="24"/>
                <w:highlight w:val="none"/>
                <w:lang w:val="zh-CN"/>
              </w:rPr>
              <w:t>202</w:t>
            </w:r>
            <w:r>
              <w:rPr>
                <w:rFonts w:hint="eastAsia" w:hAnsi="宋体" w:cs="宋体"/>
                <w:color w:val="auto"/>
                <w:kern w:val="2"/>
                <w:sz w:val="24"/>
                <w:szCs w:val="24"/>
                <w:highlight w:val="none"/>
                <w:lang w:val="en-US" w:eastAsia="zh-CN"/>
              </w:rPr>
              <w:t>5</w:t>
            </w:r>
            <w:r>
              <w:rPr>
                <w:rFonts w:hint="eastAsia" w:hAnsi="宋体" w:cs="宋体"/>
                <w:color w:val="auto"/>
                <w:kern w:val="2"/>
                <w:sz w:val="24"/>
                <w:szCs w:val="24"/>
                <w:highlight w:val="none"/>
                <w:lang w:val="zh-CN"/>
              </w:rPr>
              <w:t>年</w:t>
            </w:r>
            <w:r>
              <w:rPr>
                <w:rFonts w:hint="eastAsia" w:hAnsi="宋体" w:cs="宋体"/>
                <w:color w:val="auto"/>
                <w:kern w:val="2"/>
                <w:sz w:val="24"/>
                <w:szCs w:val="24"/>
                <w:highlight w:val="none"/>
                <w:lang w:val="en-US" w:eastAsia="zh-CN"/>
              </w:rPr>
              <w:t>3</w:t>
            </w:r>
            <w:r>
              <w:rPr>
                <w:rFonts w:hint="eastAsia" w:hAnsi="宋体" w:cs="宋体"/>
                <w:color w:val="auto"/>
                <w:kern w:val="2"/>
                <w:sz w:val="24"/>
                <w:szCs w:val="24"/>
                <w:highlight w:val="none"/>
                <w:lang w:val="zh-CN"/>
              </w:rPr>
              <w:t>月</w:t>
            </w:r>
            <w:r>
              <w:rPr>
                <w:rFonts w:hint="eastAsia" w:hAnsi="宋体" w:cs="宋体"/>
                <w:color w:val="auto"/>
                <w:kern w:val="2"/>
                <w:sz w:val="24"/>
                <w:szCs w:val="24"/>
                <w:highlight w:val="none"/>
                <w:lang w:val="en-US" w:eastAsia="zh-CN"/>
              </w:rPr>
              <w:t>24</w:t>
            </w:r>
            <w:r>
              <w:rPr>
                <w:rFonts w:hint="eastAsia" w:hAnsi="宋体" w:cs="宋体"/>
                <w:color w:val="auto"/>
                <w:kern w:val="2"/>
                <w:sz w:val="24"/>
                <w:szCs w:val="24"/>
                <w:highlight w:val="none"/>
                <w:lang w:val="zh-CN"/>
              </w:rPr>
              <w:t>日</w:t>
            </w:r>
            <w:r>
              <w:rPr>
                <w:rFonts w:hint="eastAsia" w:hAnsi="宋体" w:cs="宋体"/>
                <w:color w:val="auto"/>
                <w:kern w:val="2"/>
                <w:sz w:val="24"/>
                <w:szCs w:val="24"/>
                <w:highlight w:val="none"/>
                <w:lang w:val="en-US" w:eastAsia="zh-CN"/>
              </w:rPr>
              <w:t>14</w:t>
            </w:r>
            <w:r>
              <w:rPr>
                <w:rFonts w:hint="eastAsia" w:hAnsi="宋体" w:cs="宋体"/>
                <w:color w:val="auto"/>
                <w:kern w:val="2"/>
                <w:sz w:val="24"/>
                <w:szCs w:val="24"/>
                <w:highlight w:val="none"/>
                <w:lang w:val="zh-CN"/>
              </w:rPr>
              <w:t>时</w:t>
            </w:r>
            <w:r>
              <w:rPr>
                <w:rFonts w:hint="eastAsia" w:hAnsi="宋体" w:cs="宋体"/>
                <w:color w:val="auto"/>
                <w:kern w:val="2"/>
                <w:sz w:val="24"/>
                <w:szCs w:val="24"/>
                <w:highlight w:val="none"/>
                <w:lang w:val="en-US" w:eastAsia="zh-CN"/>
              </w:rPr>
              <w:t>30</w:t>
            </w:r>
            <w:r>
              <w:rPr>
                <w:rFonts w:hint="eastAsia" w:hAnsi="宋体" w:cs="宋体"/>
                <w:color w:val="auto"/>
                <w:kern w:val="2"/>
                <w:sz w:val="24"/>
                <w:szCs w:val="24"/>
                <w:highlight w:val="none"/>
                <w:lang w:val="zh-CN"/>
              </w:rPr>
              <w:t>分</w:t>
            </w:r>
            <w:r>
              <w:rPr>
                <w:rFonts w:hint="eastAsia" w:ascii="宋体" w:hAnsi="宋体" w:eastAsia="宋体" w:cs="宋体"/>
                <w:color w:val="auto"/>
                <w:kern w:val="2"/>
                <w:sz w:val="24"/>
                <w:szCs w:val="24"/>
                <w:highlight w:val="none"/>
                <w:lang w:val="zh-CN"/>
              </w:rPr>
              <w:t>（北京时间）</w:t>
            </w:r>
          </w:p>
        </w:tc>
      </w:tr>
      <w:tr w14:paraId="4EE3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3671AF40">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5DEBCB01">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供应商确认收到</w:t>
            </w:r>
          </w:p>
          <w:p w14:paraId="48724646">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磋商文件澄清的时间</w:t>
            </w:r>
          </w:p>
        </w:tc>
        <w:tc>
          <w:tcPr>
            <w:tcW w:w="6281" w:type="dxa"/>
            <w:vAlign w:val="center"/>
          </w:tcPr>
          <w:p w14:paraId="75ECB874">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24小时以内</w:t>
            </w:r>
          </w:p>
        </w:tc>
      </w:tr>
      <w:tr w14:paraId="220E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5576BA25">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4DE6A335">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供应商确认收到</w:t>
            </w:r>
          </w:p>
          <w:p w14:paraId="651062F8">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磋商文件修改的时间</w:t>
            </w:r>
          </w:p>
        </w:tc>
        <w:tc>
          <w:tcPr>
            <w:tcW w:w="6281" w:type="dxa"/>
            <w:vAlign w:val="center"/>
          </w:tcPr>
          <w:p w14:paraId="5805C1F9">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24小时以内</w:t>
            </w:r>
          </w:p>
        </w:tc>
      </w:tr>
      <w:tr w14:paraId="283C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4116C859">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23C49DE0">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构成响应文件的其他材料</w:t>
            </w:r>
          </w:p>
        </w:tc>
        <w:tc>
          <w:tcPr>
            <w:tcW w:w="6281" w:type="dxa"/>
            <w:vAlign w:val="center"/>
          </w:tcPr>
          <w:p w14:paraId="71794BE7">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zh-CN" w:eastAsia="zh-CN"/>
              </w:rPr>
            </w:pPr>
            <w:r>
              <w:rPr>
                <w:rFonts w:hint="eastAsia" w:hAnsi="宋体" w:cs="宋体"/>
                <w:color w:val="auto"/>
                <w:kern w:val="2"/>
                <w:sz w:val="24"/>
                <w:szCs w:val="24"/>
                <w:highlight w:val="none"/>
                <w:lang w:val="en-US" w:eastAsia="zh-CN"/>
              </w:rPr>
              <w:t>/</w:t>
            </w:r>
          </w:p>
        </w:tc>
      </w:tr>
      <w:tr w14:paraId="1DC0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452ACF3A">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18613B51">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磋商有效期</w:t>
            </w:r>
          </w:p>
        </w:tc>
        <w:tc>
          <w:tcPr>
            <w:tcW w:w="6281" w:type="dxa"/>
          </w:tcPr>
          <w:p w14:paraId="7D1B5836">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磋商截止之日后</w:t>
            </w:r>
            <w:r>
              <w:rPr>
                <w:rFonts w:hint="eastAsia" w:ascii="宋体" w:hAnsi="宋体" w:eastAsia="宋体" w:cs="宋体"/>
                <w:color w:val="auto"/>
                <w:kern w:val="2"/>
                <w:sz w:val="24"/>
                <w:szCs w:val="24"/>
                <w:highlight w:val="none"/>
                <w:lang w:val="zh-CN" w:eastAsia="zh-CN"/>
              </w:rPr>
              <w:t>90天（日历天）</w:t>
            </w:r>
          </w:p>
        </w:tc>
      </w:tr>
      <w:tr w14:paraId="5BA3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6F782EF3">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lang w:val="zh-CN"/>
              </w:rPr>
            </w:pPr>
          </w:p>
        </w:tc>
        <w:tc>
          <w:tcPr>
            <w:tcW w:w="2895" w:type="dxa"/>
            <w:vAlign w:val="center"/>
          </w:tcPr>
          <w:p w14:paraId="032C3544">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磋商保证金</w:t>
            </w:r>
          </w:p>
        </w:tc>
        <w:tc>
          <w:tcPr>
            <w:tcW w:w="6281" w:type="dxa"/>
            <w:vAlign w:val="center"/>
          </w:tcPr>
          <w:p w14:paraId="651E3376">
            <w:pPr>
              <w:keepNext w:val="0"/>
              <w:keepLines w:val="0"/>
              <w:suppressLineNumbers w:val="0"/>
              <w:adjustRightInd w:val="0"/>
              <w:snapToGrid w:val="0"/>
              <w:spacing w:before="36" w:beforeLines="15" w:beforeAutospacing="0" w:after="0" w:afterAutospacing="0" w:line="312" w:lineRule="auto"/>
              <w:ind w:left="105" w:leftChars="50" w:right="0"/>
              <w:rPr>
                <w:rFonts w:hint="default" w:ascii="宋体" w:hAnsi="宋体" w:cs="宋体"/>
                <w:b/>
                <w:bCs w:val="0"/>
                <w:color w:val="auto"/>
                <w:sz w:val="24"/>
                <w:szCs w:val="24"/>
                <w:highlight w:val="none"/>
                <w:lang w:val="en-US"/>
              </w:rPr>
            </w:pPr>
            <w:r>
              <w:rPr>
                <w:rFonts w:hint="eastAsia" w:cs="宋体"/>
                <w:b/>
                <w:bCs w:val="0"/>
                <w:color w:val="auto"/>
                <w:sz w:val="24"/>
                <w:szCs w:val="24"/>
                <w:highlight w:val="none"/>
                <w:lang w:val="en-US" w:eastAsia="zh-CN"/>
              </w:rPr>
              <w:t>1、对于</w:t>
            </w:r>
            <w:r>
              <w:rPr>
                <w:rFonts w:hint="eastAsia" w:ascii="宋体" w:hAnsi="宋体" w:cs="宋体"/>
                <w:b/>
                <w:bCs w:val="0"/>
                <w:color w:val="auto"/>
                <w:sz w:val="24"/>
                <w:szCs w:val="24"/>
                <w:highlight w:val="none"/>
              </w:rPr>
              <w:t>诚信纪录良好的供应商</w:t>
            </w:r>
            <w:r>
              <w:rPr>
                <w:rFonts w:hint="eastAsia" w:cs="宋体"/>
                <w:b/>
                <w:bCs w:val="0"/>
                <w:color w:val="auto"/>
                <w:sz w:val="24"/>
                <w:szCs w:val="24"/>
                <w:highlight w:val="none"/>
                <w:lang w:val="en-US" w:eastAsia="zh-CN"/>
              </w:rPr>
              <w:t>不</w:t>
            </w:r>
            <w:r>
              <w:rPr>
                <w:rFonts w:hint="eastAsia" w:ascii="宋体" w:hAnsi="宋体" w:cs="宋体"/>
                <w:b/>
                <w:bCs w:val="0"/>
                <w:color w:val="auto"/>
                <w:sz w:val="24"/>
                <w:szCs w:val="24"/>
                <w:highlight w:val="none"/>
              </w:rPr>
              <w:t>收取磋商保证金，但对于满足《中华人民共和国政府采购法》第二十二条有关规定，经信用中国网站查询存在行政处罚信息的供应商，采购人、采购代理机构可以按规定收取磋商保证金。</w:t>
            </w:r>
            <w:r>
              <w:rPr>
                <w:rFonts w:hint="eastAsia" w:ascii="宋体" w:hAnsi="宋体" w:eastAsia="宋体" w:cs="宋体"/>
                <w:b/>
                <w:bCs w:val="0"/>
                <w:color w:val="auto"/>
                <w:sz w:val="24"/>
                <w:szCs w:val="24"/>
                <w:highlight w:val="none"/>
                <w:lang w:val="en-US" w:eastAsia="zh-CN"/>
              </w:rPr>
              <w:t>符合要求的供应商可在响应文件中提供“信用中国” 网站查询无行政处罚信息的证明材料，并在截止时间前2日将截图发至采购代理机构。</w:t>
            </w:r>
          </w:p>
          <w:p w14:paraId="60A7323A">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
                <w:bCs/>
                <w:color w:val="auto"/>
                <w:sz w:val="24"/>
                <w:szCs w:val="24"/>
                <w:highlight w:val="none"/>
              </w:rPr>
            </w:pPr>
            <w:r>
              <w:rPr>
                <w:rFonts w:hint="eastAsia" w:cs="宋体"/>
                <w:bCs/>
                <w:color w:val="auto"/>
                <w:sz w:val="24"/>
                <w:szCs w:val="24"/>
                <w:highlight w:val="none"/>
                <w:lang w:val="en-US" w:eastAsia="zh-CN"/>
              </w:rPr>
              <w:t>2</w:t>
            </w:r>
            <w:r>
              <w:rPr>
                <w:rFonts w:hint="eastAsia" w:ascii="宋体" w:hAnsi="宋体" w:cs="宋体"/>
                <w:bCs/>
                <w:color w:val="auto"/>
                <w:sz w:val="24"/>
                <w:szCs w:val="24"/>
                <w:highlight w:val="none"/>
              </w:rPr>
              <w:t>、磋商保证金</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10000</w:t>
            </w:r>
            <w:r>
              <w:rPr>
                <w:rFonts w:hint="eastAsia" w:ascii="宋体" w:hAnsi="宋体" w:eastAsia="宋体"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p>
          <w:p w14:paraId="0339D10C">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
                <w:bCs/>
                <w:color w:val="auto"/>
                <w:sz w:val="24"/>
                <w:szCs w:val="24"/>
                <w:highlight w:val="none"/>
              </w:rPr>
            </w:pPr>
            <w:r>
              <w:rPr>
                <w:rFonts w:hint="eastAsia" w:cs="宋体"/>
                <w:bCs/>
                <w:color w:val="auto"/>
                <w:sz w:val="24"/>
                <w:szCs w:val="24"/>
                <w:highlight w:val="none"/>
                <w:lang w:val="en-US" w:eastAsia="zh-CN"/>
              </w:rPr>
              <w:t>3</w:t>
            </w:r>
            <w:r>
              <w:rPr>
                <w:rFonts w:hint="eastAsia" w:ascii="宋体" w:hAnsi="宋体" w:cs="宋体"/>
                <w:bCs/>
                <w:color w:val="auto"/>
                <w:sz w:val="24"/>
                <w:szCs w:val="24"/>
                <w:highlight w:val="none"/>
              </w:rPr>
              <w:t>、递交形式：供应商自主选择支票、汇票、本票、保函、转账、电汇等形式；</w:t>
            </w:r>
          </w:p>
          <w:p w14:paraId="6BC6F2F8">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zh-CN" w:eastAsia="zh-CN"/>
              </w:rPr>
              <w:t>收款单位：华春建设工程项目管理有限责任公司吉林分公司</w:t>
            </w:r>
          </w:p>
          <w:p w14:paraId="247607DF">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zh-CN" w:eastAsia="zh-CN"/>
              </w:rPr>
              <w:t>开 户 行：中国银行长春四道街支行</w:t>
            </w:r>
          </w:p>
          <w:p w14:paraId="55D5C473">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zh-CN" w:eastAsia="zh-CN"/>
              </w:rPr>
              <w:t>帐 号：157219201675</w:t>
            </w:r>
          </w:p>
          <w:p w14:paraId="358EFDF2">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
                <w:bCs/>
                <w:color w:val="auto"/>
                <w:sz w:val="24"/>
                <w:szCs w:val="24"/>
                <w:highlight w:val="none"/>
              </w:rPr>
            </w:pPr>
            <w:r>
              <w:rPr>
                <w:rFonts w:hint="eastAsia" w:cs="宋体"/>
                <w:bCs/>
                <w:color w:val="auto"/>
                <w:sz w:val="24"/>
                <w:szCs w:val="24"/>
                <w:highlight w:val="none"/>
                <w:lang w:val="en-US" w:eastAsia="zh-CN"/>
              </w:rPr>
              <w:t>4</w:t>
            </w:r>
            <w:r>
              <w:rPr>
                <w:rFonts w:hint="eastAsia" w:ascii="宋体" w:hAnsi="宋体" w:cs="宋体"/>
                <w:bCs/>
                <w:color w:val="auto"/>
                <w:sz w:val="24"/>
                <w:szCs w:val="24"/>
                <w:highlight w:val="none"/>
              </w:rPr>
              <w:t>、递交时间：供应商应于递交响应文件截止时间前递交，以到账为准。</w:t>
            </w:r>
          </w:p>
          <w:p w14:paraId="038901E5">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
                <w:bCs/>
                <w:color w:val="auto"/>
                <w:sz w:val="24"/>
                <w:szCs w:val="24"/>
                <w:highlight w:val="none"/>
              </w:rPr>
            </w:pPr>
            <w:r>
              <w:rPr>
                <w:rFonts w:hint="eastAsia" w:ascii="宋体" w:hAnsi="宋体" w:cs="宋体"/>
                <w:bCs/>
                <w:color w:val="auto"/>
                <w:sz w:val="24"/>
                <w:szCs w:val="24"/>
                <w:highlight w:val="none"/>
              </w:rPr>
              <w:t>采用银行保函形式提交的，供应商应当在提交响应文件截止时间前向采购代理机构递交保函原件。</w:t>
            </w:r>
          </w:p>
          <w:p w14:paraId="1B7FE809">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
                <w:bCs/>
                <w:color w:val="auto"/>
                <w:sz w:val="24"/>
                <w:szCs w:val="24"/>
                <w:highlight w:val="none"/>
              </w:rPr>
            </w:pPr>
            <w:r>
              <w:rPr>
                <w:rFonts w:hint="eastAsia" w:cs="宋体"/>
                <w:bCs/>
                <w:color w:val="auto"/>
                <w:sz w:val="24"/>
                <w:szCs w:val="24"/>
                <w:highlight w:val="none"/>
                <w:lang w:val="en-US" w:eastAsia="zh-CN"/>
              </w:rPr>
              <w:t>5</w:t>
            </w:r>
            <w:r>
              <w:rPr>
                <w:rFonts w:hint="eastAsia" w:ascii="宋体" w:hAnsi="宋体" w:cs="宋体"/>
                <w:bCs/>
                <w:color w:val="auto"/>
                <w:sz w:val="24"/>
                <w:szCs w:val="24"/>
                <w:highlight w:val="none"/>
              </w:rPr>
              <w:t>、未按竞争性磋商文件要求提交磋商保证金，或提交磋商保证金的账户名称与供应商名称不一致，按照无效投标处理。</w:t>
            </w:r>
          </w:p>
          <w:p w14:paraId="2051AE07">
            <w:pPr>
              <w:keepNext w:val="0"/>
              <w:keepLines w:val="0"/>
              <w:suppressLineNumbers w:val="0"/>
              <w:spacing w:before="0" w:beforeAutospacing="0" w:after="0" w:afterAutospacing="0" w:line="360" w:lineRule="exact"/>
              <w:ind w:left="0" w:right="0" w:firstLine="480" w:firstLineChars="200"/>
              <w:jc w:val="left"/>
              <w:rPr>
                <w:rFonts w:hint="default" w:ascii="宋体" w:hAnsi="宋体" w:eastAsia="宋体" w:cs="宋体"/>
                <w:color w:val="auto"/>
                <w:kern w:val="2"/>
                <w:sz w:val="24"/>
                <w:szCs w:val="24"/>
                <w:highlight w:val="none"/>
                <w:lang w:val="zh-CN" w:eastAsia="zh-CN"/>
              </w:rPr>
            </w:pPr>
            <w:r>
              <w:rPr>
                <w:rFonts w:hint="eastAsia" w:ascii="宋体" w:hAnsi="宋体" w:cs="宋体"/>
                <w:bCs/>
                <w:color w:val="auto"/>
                <w:sz w:val="24"/>
                <w:szCs w:val="24"/>
                <w:highlight w:val="none"/>
              </w:rPr>
              <w:t>注：供应商应在电汇或转账凭证上明确用途、项目名称及标段。</w:t>
            </w:r>
            <w:r>
              <w:rPr>
                <w:rFonts w:hint="eastAsia" w:ascii="宋体" w:hAnsi="宋体" w:eastAsia="宋体" w:cs="宋体"/>
                <w:color w:val="auto"/>
                <w:sz w:val="24"/>
                <w:szCs w:val="24"/>
                <w:highlight w:val="none"/>
                <w:lang w:val="zh-CN"/>
              </w:rPr>
              <w:t>递交完毕将</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lang w:val="zh-CN"/>
              </w:rPr>
              <w:t>保证金递交凭证发送到</w:t>
            </w:r>
            <w:r>
              <w:rPr>
                <w:rFonts w:hint="eastAsia" w:ascii="宋体" w:hAnsi="宋体" w:cs="宋体"/>
                <w:b/>
                <w:bCs/>
                <w:color w:val="auto"/>
                <w:sz w:val="24"/>
                <w:szCs w:val="24"/>
                <w:highlight w:val="none"/>
                <w:lang w:val="en-US" w:eastAsia="zh-CN"/>
              </w:rPr>
              <w:t>1981673357</w:t>
            </w:r>
            <w:r>
              <w:rPr>
                <w:rFonts w:hint="eastAsia" w:ascii="宋体" w:hAnsi="宋体" w:eastAsia="宋体" w:cs="宋体"/>
                <w:b/>
                <w:bCs/>
                <w:color w:val="auto"/>
                <w:sz w:val="24"/>
                <w:szCs w:val="24"/>
                <w:highlight w:val="none"/>
                <w:lang w:val="zh-CN"/>
              </w:rPr>
              <w:t>@qq.com</w:t>
            </w:r>
            <w:r>
              <w:rPr>
                <w:rFonts w:hint="eastAsia" w:ascii="宋体" w:hAnsi="宋体" w:eastAsia="宋体" w:cs="宋体"/>
                <w:color w:val="auto"/>
                <w:sz w:val="24"/>
                <w:szCs w:val="24"/>
                <w:highlight w:val="none"/>
                <w:lang w:val="zh-CN"/>
              </w:rPr>
              <w:t>邮箱内，联系项目负责人及时查账。</w:t>
            </w:r>
          </w:p>
        </w:tc>
      </w:tr>
      <w:tr w14:paraId="6DF7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42" w:type="dxa"/>
            <w:vAlign w:val="center"/>
          </w:tcPr>
          <w:p w14:paraId="5E0DED49">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7F798229">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eastAsia="zh-CN"/>
              </w:rPr>
              <w:t>近年财务状况的年份要求</w:t>
            </w:r>
          </w:p>
        </w:tc>
        <w:tc>
          <w:tcPr>
            <w:tcW w:w="6281" w:type="dxa"/>
            <w:vAlign w:val="center"/>
          </w:tcPr>
          <w:p w14:paraId="77C965CC">
            <w:pPr>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18030"/>
                <w:color w:val="auto"/>
                <w:kern w:val="0"/>
                <w:sz w:val="24"/>
                <w:szCs w:val="24"/>
                <w:highlight w:val="none"/>
              </w:rPr>
              <w:t>具有良好的商业信誉和健全的财务会计制度，依法缴纳税收和社会保障资金的良好记录，根据[长财采购[2022]2066号文件]关于加强政府采购信用体系建设简化供应商资格条件有关事项的通知</w:t>
            </w:r>
            <w:r>
              <w:rPr>
                <w:rFonts w:hint="eastAsia" w:ascii="宋体" w:hAnsi="宋体" w:eastAsia="宋体" w:cs="宋体-18030"/>
                <w:color w:val="auto"/>
                <w:kern w:val="0"/>
                <w:sz w:val="24"/>
                <w:szCs w:val="24"/>
                <w:highlight w:val="none"/>
                <w:lang w:val="en-US" w:eastAsia="zh-CN"/>
              </w:rPr>
              <w:t>.</w:t>
            </w:r>
          </w:p>
        </w:tc>
      </w:tr>
      <w:tr w14:paraId="43A2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2" w:type="dxa"/>
            <w:vAlign w:val="center"/>
          </w:tcPr>
          <w:p w14:paraId="140F4A30">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1B536F20">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eastAsia="zh-CN"/>
              </w:rPr>
              <w:t>近年完成的类似项目的年份要求</w:t>
            </w:r>
          </w:p>
        </w:tc>
        <w:tc>
          <w:tcPr>
            <w:tcW w:w="6281" w:type="dxa"/>
            <w:vAlign w:val="center"/>
          </w:tcPr>
          <w:p w14:paraId="5E12DF2B">
            <w:pPr>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近三年（202</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年1月1日起至今）</w:t>
            </w:r>
          </w:p>
        </w:tc>
      </w:tr>
      <w:tr w14:paraId="3ADD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669731BA">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4FF0B15D">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是否允许递交备选</w:t>
            </w:r>
            <w:r>
              <w:rPr>
                <w:rFonts w:hint="eastAsia" w:ascii="宋体" w:hAnsi="宋体" w:eastAsia="宋体" w:cs="宋体"/>
                <w:bCs/>
                <w:color w:val="auto"/>
                <w:kern w:val="15"/>
                <w:sz w:val="24"/>
                <w:szCs w:val="24"/>
                <w:highlight w:val="none"/>
              </w:rPr>
              <w:t>响应</w:t>
            </w:r>
            <w:r>
              <w:rPr>
                <w:rFonts w:hint="eastAsia" w:ascii="宋体" w:hAnsi="宋体" w:eastAsia="宋体" w:cs="宋体"/>
                <w:bCs/>
                <w:color w:val="auto"/>
                <w:kern w:val="15"/>
                <w:sz w:val="24"/>
                <w:szCs w:val="24"/>
                <w:highlight w:val="none"/>
                <w:lang w:val="zh-CN"/>
              </w:rPr>
              <w:t>方案</w:t>
            </w:r>
          </w:p>
        </w:tc>
        <w:tc>
          <w:tcPr>
            <w:tcW w:w="6281" w:type="dxa"/>
            <w:vAlign w:val="center"/>
          </w:tcPr>
          <w:p w14:paraId="582205A9">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不允许递交备选</w:t>
            </w:r>
            <w:r>
              <w:rPr>
                <w:rFonts w:hint="eastAsia" w:ascii="宋体" w:hAnsi="宋体" w:eastAsia="宋体" w:cs="宋体"/>
                <w:color w:val="auto"/>
                <w:kern w:val="2"/>
                <w:sz w:val="24"/>
                <w:szCs w:val="24"/>
                <w:highlight w:val="none"/>
                <w:lang w:val="en-US" w:eastAsia="zh-CN"/>
              </w:rPr>
              <w:t>响应</w:t>
            </w:r>
            <w:r>
              <w:rPr>
                <w:rFonts w:hint="eastAsia" w:ascii="宋体" w:hAnsi="宋体" w:eastAsia="宋体" w:cs="宋体"/>
                <w:color w:val="auto"/>
                <w:kern w:val="2"/>
                <w:sz w:val="24"/>
                <w:szCs w:val="24"/>
                <w:highlight w:val="none"/>
                <w:lang w:val="zh-CN" w:eastAsia="zh-CN"/>
              </w:rPr>
              <w:t>方案</w:t>
            </w:r>
          </w:p>
        </w:tc>
      </w:tr>
      <w:tr w14:paraId="1550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34B599AD">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1E0C2E11">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签字或盖章要求</w:t>
            </w:r>
          </w:p>
        </w:tc>
        <w:tc>
          <w:tcPr>
            <w:tcW w:w="6281" w:type="dxa"/>
          </w:tcPr>
          <w:p w14:paraId="13628680">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响应文件封面、</w:t>
            </w:r>
            <w:r>
              <w:rPr>
                <w:rFonts w:hint="eastAsia" w:hAnsi="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函均应加盖供应商印章并经法定代表人或其委托代理人签字或盖章</w:t>
            </w:r>
          </w:p>
        </w:tc>
      </w:tr>
      <w:tr w14:paraId="1860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28592BE3">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60C6DBE9">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响应文件副本份数</w:t>
            </w:r>
          </w:p>
        </w:tc>
        <w:tc>
          <w:tcPr>
            <w:tcW w:w="6281" w:type="dxa"/>
            <w:vAlign w:val="center"/>
          </w:tcPr>
          <w:p w14:paraId="77D1C3EA">
            <w:pPr>
              <w:pStyle w:val="2"/>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zh-CN"/>
              </w:rPr>
              <w:t>（1）</w:t>
            </w:r>
            <w:r>
              <w:rPr>
                <w:rFonts w:hint="eastAsia" w:ascii="宋体" w:hAnsi="宋体" w:eastAsia="宋体" w:cs="宋体"/>
                <w:color w:val="auto"/>
                <w:kern w:val="2"/>
                <w:sz w:val="24"/>
                <w:szCs w:val="24"/>
                <w:highlight w:val="none"/>
                <w:lang w:val="en-US" w:eastAsia="zh-CN"/>
              </w:rPr>
              <w:t xml:space="preserve">供应商在“政采云”平台（http：//www.zcygov.cn）上制作响应文件一份（此响应文件须上传至“政采云”平台）。 </w:t>
            </w:r>
          </w:p>
          <w:p w14:paraId="114E4C3C">
            <w:pPr>
              <w:pStyle w:val="2"/>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zh-CN"/>
              </w:rPr>
              <w:t>（</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rPr>
              <w:t>）</w:t>
            </w:r>
            <w:r>
              <w:rPr>
                <w:rFonts w:hint="eastAsia" w:ascii="宋体" w:hAnsi="宋体" w:eastAsia="宋体" w:cs="宋体"/>
                <w:color w:val="auto"/>
                <w:kern w:val="2"/>
                <w:sz w:val="24"/>
                <w:szCs w:val="24"/>
                <w:highlight w:val="none"/>
                <w:lang w:val="en-US" w:eastAsia="zh-CN"/>
              </w:rPr>
              <w:t>纸质版响应文件份数要求：</w:t>
            </w:r>
            <w:r>
              <w:rPr>
                <w:rFonts w:hint="eastAsia" w:ascii="宋体" w:hAnsi="宋体" w:eastAsia="宋体" w:cs="宋体"/>
                <w:color w:val="auto"/>
                <w:kern w:val="2"/>
                <w:sz w:val="24"/>
                <w:szCs w:val="24"/>
                <w:highlight w:val="none"/>
              </w:rPr>
              <w:t>正本</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份，副本</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份，电子版</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份（U盘）</w:t>
            </w:r>
            <w:r>
              <w:rPr>
                <w:rFonts w:hint="eastAsia" w:ascii="宋体" w:hAnsi="宋体" w:eastAsia="宋体" w:cs="宋体"/>
                <w:color w:val="auto"/>
                <w:kern w:val="2"/>
                <w:sz w:val="24"/>
                <w:szCs w:val="24"/>
                <w:highlight w:val="none"/>
                <w:lang w:val="en-US" w:eastAsia="zh-CN"/>
              </w:rPr>
              <w:t xml:space="preserve"> </w:t>
            </w:r>
          </w:p>
          <w:p w14:paraId="54D248E8">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zh-CN"/>
              </w:rPr>
            </w:pPr>
            <w:r>
              <w:rPr>
                <w:rFonts w:hint="eastAsia" w:ascii="宋体" w:hAnsi="宋体" w:eastAsia="宋体" w:cs="宋体"/>
                <w:b/>
                <w:bCs/>
                <w:color w:val="auto"/>
                <w:kern w:val="2"/>
                <w:sz w:val="24"/>
                <w:szCs w:val="24"/>
                <w:highlight w:val="none"/>
                <w:lang w:val="en-US" w:eastAsia="zh-CN"/>
              </w:rPr>
              <w:t>注：实行政采云电子投标，开标当日无需提供纸质版。请参与本项目投标商在开标结束三个工作日内将投标文件（系统生成版本）一正两副邮寄至招标代理机构处，邮寄信息：长春市经济技术开发区会展大街金融第五城18栋韩雪收，联系电话：15844009014。</w:t>
            </w:r>
          </w:p>
        </w:tc>
      </w:tr>
      <w:tr w14:paraId="25CD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6204C341">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6CCF818E">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装订要求</w:t>
            </w:r>
          </w:p>
        </w:tc>
        <w:tc>
          <w:tcPr>
            <w:tcW w:w="6281" w:type="dxa"/>
          </w:tcPr>
          <w:p w14:paraId="42A8B64C">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响应文件</w:t>
            </w:r>
            <w:r>
              <w:rPr>
                <w:rFonts w:hint="eastAsia" w:ascii="宋体" w:hAnsi="宋体" w:eastAsia="宋体" w:cs="宋体"/>
                <w:color w:val="auto"/>
                <w:kern w:val="2"/>
                <w:sz w:val="24"/>
                <w:szCs w:val="24"/>
                <w:highlight w:val="none"/>
                <w:lang w:val="en-US" w:eastAsia="zh-CN"/>
              </w:rPr>
              <w:t>正、副本一同合包密封，要求</w:t>
            </w:r>
            <w:r>
              <w:rPr>
                <w:rFonts w:hint="eastAsia" w:ascii="宋体" w:hAnsi="宋体" w:eastAsia="宋体" w:cs="宋体"/>
                <w:color w:val="auto"/>
                <w:kern w:val="2"/>
                <w:sz w:val="24"/>
                <w:szCs w:val="24"/>
                <w:highlight w:val="none"/>
              </w:rPr>
              <w:t>装订要整齐、牢固，编制目录，便于保管和利用，不能采用活页装订方式。</w:t>
            </w:r>
          </w:p>
        </w:tc>
      </w:tr>
      <w:tr w14:paraId="1B9C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7CA598C7">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eastAsia="宋体" w:cs="宋体"/>
                <w:bCs/>
                <w:color w:val="auto"/>
                <w:sz w:val="24"/>
                <w:szCs w:val="24"/>
                <w:highlight w:val="none"/>
                <w:lang w:val="en-US" w:eastAsia="zh-CN"/>
              </w:rPr>
            </w:pPr>
          </w:p>
        </w:tc>
        <w:tc>
          <w:tcPr>
            <w:tcW w:w="2895" w:type="dxa"/>
            <w:vAlign w:val="center"/>
          </w:tcPr>
          <w:p w14:paraId="0C937E04">
            <w:pPr>
              <w:keepNext w:val="0"/>
              <w:keepLines w:val="0"/>
              <w:suppressLineNumbers w:val="0"/>
              <w:spacing w:before="0" w:beforeAutospacing="0" w:after="0" w:afterAutospacing="0" w:line="360" w:lineRule="exact"/>
              <w:ind w:left="0" w:right="0"/>
              <w:jc w:val="center"/>
              <w:rPr>
                <w:rFonts w:hint="eastAsia" w:ascii="宋体" w:hAnsi="宋体" w:eastAsia="宋体" w:cs="宋体"/>
                <w:bCs/>
                <w:color w:val="auto"/>
                <w:kern w:val="15"/>
                <w:sz w:val="24"/>
                <w:szCs w:val="24"/>
                <w:highlight w:val="none"/>
                <w:lang w:val="zh-CN"/>
              </w:rPr>
            </w:pPr>
            <w:r>
              <w:rPr>
                <w:rFonts w:hint="eastAsia" w:ascii="宋体" w:hAnsi="宋体" w:cs="宋体"/>
                <w:color w:val="auto"/>
                <w:sz w:val="24"/>
                <w:szCs w:val="24"/>
                <w:highlight w:val="none"/>
              </w:rPr>
              <w:t>封套上写明</w:t>
            </w:r>
          </w:p>
        </w:tc>
        <w:tc>
          <w:tcPr>
            <w:tcW w:w="6281" w:type="dxa"/>
          </w:tcPr>
          <w:p w14:paraId="20337D06">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18030"/>
                <w:color w:val="auto"/>
                <w:kern w:val="0"/>
                <w:sz w:val="24"/>
                <w:szCs w:val="24"/>
                <w:highlight w:val="none"/>
                <w:lang w:val="zh-CN"/>
              </w:rPr>
            </w:pPr>
            <w:r>
              <w:rPr>
                <w:rFonts w:hint="eastAsia" w:ascii="宋体" w:hAnsi="宋体" w:cs="宋体-18030"/>
                <w:color w:val="auto"/>
                <w:kern w:val="0"/>
                <w:sz w:val="24"/>
                <w:szCs w:val="24"/>
                <w:highlight w:val="none"/>
                <w:lang w:val="zh-CN"/>
              </w:rPr>
              <w:t xml:space="preserve">采购人名称： </w:t>
            </w:r>
          </w:p>
          <w:p w14:paraId="50E0EF23">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18030"/>
                <w:color w:val="auto"/>
                <w:kern w:val="0"/>
                <w:sz w:val="24"/>
                <w:szCs w:val="24"/>
                <w:highlight w:val="none"/>
                <w:lang w:val="zh-CN"/>
              </w:rPr>
            </w:pPr>
            <w:r>
              <w:rPr>
                <w:rFonts w:hint="eastAsia" w:ascii="宋体" w:hAnsi="宋体" w:cs="宋体-18030"/>
                <w:color w:val="auto"/>
                <w:kern w:val="0"/>
                <w:sz w:val="24"/>
                <w:szCs w:val="24"/>
                <w:highlight w:val="none"/>
                <w:lang w:val="zh-CN"/>
              </w:rPr>
              <w:t xml:space="preserve">采购人地址： </w:t>
            </w:r>
          </w:p>
          <w:p w14:paraId="1B2A880D">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18030"/>
                <w:color w:val="auto"/>
                <w:kern w:val="0"/>
                <w:sz w:val="24"/>
                <w:szCs w:val="24"/>
                <w:highlight w:val="none"/>
                <w:lang w:val="zh-CN"/>
              </w:rPr>
            </w:pPr>
            <w:r>
              <w:rPr>
                <w:rFonts w:hint="eastAsia" w:ascii="宋体" w:hAnsi="宋体" w:cs="宋体"/>
                <w:color w:val="auto"/>
                <w:sz w:val="24"/>
                <w:szCs w:val="24"/>
                <w:highlight w:val="none"/>
              </w:rPr>
              <w:t>供应商</w:t>
            </w:r>
            <w:r>
              <w:rPr>
                <w:rFonts w:hint="eastAsia" w:ascii="宋体" w:hAnsi="宋体" w:cs="宋体-18030"/>
                <w:color w:val="auto"/>
                <w:kern w:val="0"/>
                <w:sz w:val="24"/>
                <w:szCs w:val="24"/>
                <w:highlight w:val="none"/>
                <w:lang w:val="zh-CN"/>
              </w:rPr>
              <w:t>地址：</w:t>
            </w:r>
          </w:p>
          <w:p w14:paraId="67DCD9BC">
            <w:pPr>
              <w:keepNext w:val="0"/>
              <w:keepLines w:val="0"/>
              <w:suppressLineNumbers w:val="0"/>
              <w:adjustRightInd w:val="0"/>
              <w:snapToGrid w:val="0"/>
              <w:spacing w:before="36" w:beforeLines="15" w:beforeAutospacing="0" w:after="0" w:afterAutospacing="0" w:line="312" w:lineRule="auto"/>
              <w:ind w:left="105" w:leftChars="50" w:right="0"/>
              <w:rPr>
                <w:rFonts w:hint="eastAsia" w:ascii="宋体" w:hAnsi="宋体" w:cs="宋体-18030"/>
                <w:color w:val="auto"/>
                <w:kern w:val="0"/>
                <w:sz w:val="24"/>
                <w:szCs w:val="24"/>
                <w:highlight w:val="none"/>
                <w:lang w:val="zh-CN"/>
              </w:rPr>
            </w:pPr>
            <w:r>
              <w:rPr>
                <w:rFonts w:hint="eastAsia" w:ascii="宋体" w:hAnsi="宋体" w:cs="宋体"/>
                <w:color w:val="auto"/>
                <w:sz w:val="24"/>
                <w:szCs w:val="24"/>
                <w:highlight w:val="none"/>
              </w:rPr>
              <w:t>供应商</w:t>
            </w:r>
            <w:r>
              <w:rPr>
                <w:rFonts w:hint="eastAsia" w:ascii="宋体" w:hAnsi="宋体" w:cs="宋体-18030"/>
                <w:color w:val="auto"/>
                <w:kern w:val="0"/>
                <w:sz w:val="24"/>
                <w:szCs w:val="24"/>
                <w:highlight w:val="none"/>
                <w:lang w:val="zh-CN"/>
              </w:rPr>
              <w:t xml:space="preserve">名称： </w:t>
            </w:r>
          </w:p>
          <w:p w14:paraId="6A7A8110">
            <w:pPr>
              <w:pStyle w:val="2"/>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4"/>
                <w:szCs w:val="24"/>
                <w:highlight w:val="none"/>
              </w:rPr>
            </w:pPr>
            <w:r>
              <w:rPr>
                <w:rFonts w:hint="eastAsia" w:ascii="宋体" w:hAnsi="宋体" w:eastAsia="宋体" w:cs="宋体-18030"/>
                <w:color w:val="auto"/>
                <w:kern w:val="0"/>
                <w:sz w:val="24"/>
                <w:szCs w:val="24"/>
                <w:highlight w:val="none"/>
                <w:lang w:val="zh-CN" w:eastAsia="zh-CN" w:bidi="ar-SA"/>
              </w:rPr>
              <w:t>(项目名称)   响应文件在   年  月   日   时   分前不得开启</w:t>
            </w:r>
          </w:p>
        </w:tc>
      </w:tr>
      <w:tr w14:paraId="3B68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1CF12A94">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4CB3470B">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递交响应文件地点</w:t>
            </w:r>
          </w:p>
        </w:tc>
        <w:tc>
          <w:tcPr>
            <w:tcW w:w="6281" w:type="dxa"/>
          </w:tcPr>
          <w:p w14:paraId="02C2F488">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时间：</w:t>
            </w:r>
            <w:r>
              <w:rPr>
                <w:rFonts w:hint="eastAsia" w:ascii="宋体" w:hAnsi="宋体" w:eastAsia="宋体" w:cs="宋体"/>
                <w:color w:val="auto"/>
                <w:kern w:val="2"/>
                <w:sz w:val="24"/>
                <w:szCs w:val="24"/>
                <w:highlight w:val="none"/>
                <w:lang w:val="zh-CN" w:eastAsia="zh-CN" w:bidi="ar-SA"/>
              </w:rPr>
              <w:t>202</w:t>
            </w:r>
            <w:r>
              <w:rPr>
                <w:rFonts w:hint="eastAsia"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eastAsia="zh-CN" w:bidi="ar-SA"/>
              </w:rPr>
              <w:t>年</w:t>
            </w:r>
            <w:r>
              <w:rPr>
                <w:rFonts w:hint="eastAsia"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月</w:t>
            </w:r>
            <w:r>
              <w:rPr>
                <w:rFonts w:hint="eastAsia" w:hAnsi="宋体" w:cs="宋体"/>
                <w:color w:val="auto"/>
                <w:kern w:val="2"/>
                <w:sz w:val="24"/>
                <w:szCs w:val="24"/>
                <w:highlight w:val="none"/>
                <w:lang w:val="en-US" w:eastAsia="zh-CN" w:bidi="ar-SA"/>
              </w:rPr>
              <w:t>24</w:t>
            </w:r>
            <w:r>
              <w:rPr>
                <w:rFonts w:hint="eastAsia" w:ascii="宋体" w:hAnsi="宋体" w:eastAsia="宋体" w:cs="宋体"/>
                <w:color w:val="auto"/>
                <w:kern w:val="2"/>
                <w:sz w:val="24"/>
                <w:szCs w:val="24"/>
                <w:highlight w:val="none"/>
                <w:lang w:val="zh-CN" w:eastAsia="zh-CN" w:bidi="ar-SA"/>
              </w:rPr>
              <w:t>日</w:t>
            </w:r>
            <w:r>
              <w:rPr>
                <w:rFonts w:hint="eastAsia" w:hAnsi="宋体" w:cs="宋体"/>
                <w:color w:val="auto"/>
                <w:kern w:val="2"/>
                <w:sz w:val="24"/>
                <w:szCs w:val="24"/>
                <w:highlight w:val="none"/>
                <w:lang w:val="en-US" w:eastAsia="zh-CN" w:bidi="ar-SA"/>
              </w:rPr>
              <w:t>14</w:t>
            </w:r>
            <w:r>
              <w:rPr>
                <w:rFonts w:hint="eastAsia" w:hAnsi="宋体" w:cs="宋体"/>
                <w:color w:val="auto"/>
                <w:kern w:val="2"/>
                <w:sz w:val="24"/>
                <w:szCs w:val="24"/>
                <w:highlight w:val="none"/>
                <w:lang w:val="zh-CN" w:eastAsia="zh-CN" w:bidi="ar-SA"/>
              </w:rPr>
              <w:t>时</w:t>
            </w:r>
            <w:r>
              <w:rPr>
                <w:rFonts w:hint="eastAsia" w:hAnsi="宋体" w:cs="宋体"/>
                <w:color w:val="auto"/>
                <w:kern w:val="2"/>
                <w:sz w:val="24"/>
                <w:szCs w:val="24"/>
                <w:highlight w:val="none"/>
                <w:lang w:val="en-US" w:eastAsia="zh-CN" w:bidi="ar-SA"/>
              </w:rPr>
              <w:t>30</w:t>
            </w:r>
            <w:r>
              <w:rPr>
                <w:rFonts w:hint="eastAsia" w:ascii="宋体" w:hAnsi="宋体" w:eastAsia="宋体" w:cs="宋体"/>
                <w:color w:val="auto"/>
                <w:kern w:val="2"/>
                <w:sz w:val="24"/>
                <w:szCs w:val="24"/>
                <w:highlight w:val="none"/>
                <w:lang w:val="zh-CN" w:eastAsia="zh-CN" w:bidi="ar-SA"/>
              </w:rPr>
              <w:t>分（北京时间）</w:t>
            </w:r>
          </w:p>
          <w:p w14:paraId="3F5E77BA">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地点：长春市二道区洋浦大街6999号凯利中心AB栋</w:t>
            </w:r>
            <w:r>
              <w:rPr>
                <w:rFonts w:hint="eastAsia" w:ascii="宋体" w:hAnsi="宋体" w:eastAsia="宋体" w:cs="宋体"/>
                <w:color w:val="auto"/>
                <w:sz w:val="24"/>
                <w:szCs w:val="24"/>
                <w:highlight w:val="none"/>
                <w:lang w:val="en-US" w:eastAsia="zh-CN"/>
              </w:rPr>
              <w:t>101室</w:t>
            </w:r>
            <w:r>
              <w:rPr>
                <w:rFonts w:hint="eastAsia" w:ascii="宋体" w:hAnsi="宋体" w:cs="宋体"/>
                <w:color w:val="auto"/>
                <w:sz w:val="24"/>
                <w:szCs w:val="24"/>
                <w:highlight w:val="none"/>
                <w:lang w:val="en-US" w:eastAsia="zh-CN"/>
              </w:rPr>
              <w:t>开标</w:t>
            </w:r>
            <w:r>
              <w:rPr>
                <w:rFonts w:hint="eastAsia" w:hAnsi="宋体" w:cs="宋体"/>
                <w:color w:val="auto"/>
                <w:sz w:val="24"/>
                <w:szCs w:val="24"/>
                <w:highlight w:val="none"/>
                <w:lang w:val="en-US" w:eastAsia="zh-CN"/>
              </w:rPr>
              <w:t>四</w:t>
            </w:r>
            <w:r>
              <w:rPr>
                <w:rFonts w:hint="eastAsia" w:ascii="宋体" w:hAnsi="宋体" w:cs="宋体"/>
                <w:color w:val="auto"/>
                <w:sz w:val="24"/>
                <w:szCs w:val="24"/>
                <w:highlight w:val="none"/>
                <w:lang w:val="en-US" w:eastAsia="zh-CN"/>
              </w:rPr>
              <w:t>室</w:t>
            </w:r>
          </w:p>
        </w:tc>
      </w:tr>
      <w:tr w14:paraId="0EA8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42" w:type="dxa"/>
            <w:vAlign w:val="center"/>
          </w:tcPr>
          <w:p w14:paraId="6F1D086B">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18CE206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是否退还响应文件</w:t>
            </w:r>
          </w:p>
        </w:tc>
        <w:tc>
          <w:tcPr>
            <w:tcW w:w="6281" w:type="dxa"/>
            <w:vAlign w:val="center"/>
          </w:tcPr>
          <w:p w14:paraId="68EF1105">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不退还</w:t>
            </w:r>
          </w:p>
        </w:tc>
      </w:tr>
      <w:tr w14:paraId="6204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5ACA052E">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6BCBBD52">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磋商时间和地点</w:t>
            </w:r>
          </w:p>
        </w:tc>
        <w:tc>
          <w:tcPr>
            <w:tcW w:w="6281" w:type="dxa"/>
          </w:tcPr>
          <w:p w14:paraId="44F321CE">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时间：同响应文件递交截止时间</w:t>
            </w:r>
          </w:p>
          <w:p w14:paraId="062C448A">
            <w:pPr>
              <w:pStyle w:val="2"/>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地点：长春市二道区洋浦大街6999号凯利中心AB栋</w:t>
            </w:r>
            <w:r>
              <w:rPr>
                <w:rFonts w:hint="eastAsia" w:ascii="宋体" w:hAnsi="宋体" w:eastAsia="宋体" w:cs="宋体"/>
                <w:color w:val="auto"/>
                <w:sz w:val="24"/>
                <w:szCs w:val="24"/>
                <w:highlight w:val="none"/>
                <w:lang w:val="en-US" w:eastAsia="zh-CN"/>
              </w:rPr>
              <w:t>101室</w:t>
            </w:r>
            <w:r>
              <w:rPr>
                <w:rFonts w:hint="eastAsia" w:ascii="宋体" w:hAnsi="宋体" w:cs="宋体"/>
                <w:color w:val="auto"/>
                <w:sz w:val="24"/>
                <w:szCs w:val="24"/>
                <w:highlight w:val="none"/>
                <w:lang w:val="en-US" w:eastAsia="zh-CN"/>
              </w:rPr>
              <w:t>开标</w:t>
            </w:r>
            <w:r>
              <w:rPr>
                <w:rFonts w:hint="eastAsia" w:hAnsi="宋体" w:cs="宋体"/>
                <w:color w:val="auto"/>
                <w:sz w:val="24"/>
                <w:szCs w:val="24"/>
                <w:highlight w:val="none"/>
                <w:lang w:val="en-US" w:eastAsia="zh-CN"/>
              </w:rPr>
              <w:t>四</w:t>
            </w:r>
            <w:r>
              <w:rPr>
                <w:rFonts w:hint="eastAsia" w:ascii="宋体" w:hAnsi="宋体" w:cs="宋体"/>
                <w:color w:val="auto"/>
                <w:sz w:val="24"/>
                <w:szCs w:val="24"/>
                <w:highlight w:val="none"/>
                <w:lang w:val="en-US" w:eastAsia="zh-CN"/>
              </w:rPr>
              <w:t>室</w:t>
            </w:r>
          </w:p>
        </w:tc>
      </w:tr>
      <w:tr w14:paraId="57A1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218D56C3">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71476EFC">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磋商程序</w:t>
            </w:r>
          </w:p>
        </w:tc>
        <w:tc>
          <w:tcPr>
            <w:tcW w:w="6281" w:type="dxa"/>
          </w:tcPr>
          <w:p w14:paraId="6DC8F1A5">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二次报价顺序：按</w:t>
            </w:r>
            <w:r>
              <w:rPr>
                <w:rFonts w:hint="eastAsia" w:ascii="宋体" w:hAnsi="宋体" w:eastAsia="宋体" w:cs="宋体"/>
                <w:color w:val="auto"/>
                <w:kern w:val="2"/>
                <w:sz w:val="24"/>
                <w:szCs w:val="24"/>
                <w:highlight w:val="none"/>
                <w:lang w:val="zh-CN" w:eastAsia="zh-CN"/>
              </w:rPr>
              <w:t>政府采购云平台电子标默认的顺序</w:t>
            </w:r>
            <w:r>
              <w:rPr>
                <w:rFonts w:hint="eastAsia" w:ascii="宋体" w:hAnsi="宋体" w:eastAsia="宋体" w:cs="宋体"/>
                <w:color w:val="auto"/>
                <w:kern w:val="2"/>
                <w:sz w:val="24"/>
                <w:szCs w:val="24"/>
                <w:highlight w:val="none"/>
                <w:lang w:val="en-US" w:eastAsia="zh-CN"/>
              </w:rPr>
              <w:t>或由磋商小组确定的其它方式</w:t>
            </w:r>
          </w:p>
        </w:tc>
      </w:tr>
      <w:tr w14:paraId="7403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16881553">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54D2BAE9">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评审委员会的组成</w:t>
            </w:r>
          </w:p>
        </w:tc>
        <w:tc>
          <w:tcPr>
            <w:tcW w:w="6281" w:type="dxa"/>
          </w:tcPr>
          <w:p w14:paraId="3F2DA030">
            <w:pPr>
              <w:pStyle w:val="2"/>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磋商小组构成：采购人代表0人、专家3人，共3人组成</w:t>
            </w:r>
          </w:p>
          <w:p w14:paraId="435EEDCD">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评审专家确定方式：专家从</w:t>
            </w:r>
            <w:r>
              <w:rPr>
                <w:rFonts w:hint="eastAsia" w:ascii="宋体" w:hAnsi="宋体" w:eastAsia="宋体" w:cs="宋体"/>
                <w:color w:val="auto"/>
                <w:kern w:val="2"/>
                <w:sz w:val="24"/>
                <w:szCs w:val="24"/>
                <w:highlight w:val="none"/>
                <w:lang w:val="en-US" w:eastAsia="zh-CN"/>
              </w:rPr>
              <w:t>政采云</w:t>
            </w:r>
            <w:r>
              <w:rPr>
                <w:rFonts w:hint="eastAsia" w:ascii="宋体" w:hAnsi="宋体" w:eastAsia="宋体" w:cs="宋体"/>
                <w:color w:val="auto"/>
                <w:kern w:val="2"/>
                <w:sz w:val="24"/>
                <w:szCs w:val="24"/>
                <w:highlight w:val="none"/>
                <w:lang w:val="zh-CN"/>
              </w:rPr>
              <w:t>专家库中随机抽取</w:t>
            </w:r>
          </w:p>
        </w:tc>
      </w:tr>
      <w:tr w14:paraId="1549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42" w:type="dxa"/>
            <w:vAlign w:val="center"/>
          </w:tcPr>
          <w:p w14:paraId="6A0D4383">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cs="宋体"/>
                <w:bCs/>
                <w:color w:val="auto"/>
                <w:sz w:val="24"/>
                <w:szCs w:val="24"/>
                <w:highlight w:val="none"/>
              </w:rPr>
            </w:pPr>
          </w:p>
        </w:tc>
        <w:tc>
          <w:tcPr>
            <w:tcW w:w="2895" w:type="dxa"/>
            <w:vAlign w:val="center"/>
          </w:tcPr>
          <w:p w14:paraId="3DBAA9DF">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是否授权评审小组确定成交供应商</w:t>
            </w:r>
          </w:p>
        </w:tc>
        <w:tc>
          <w:tcPr>
            <w:tcW w:w="6281" w:type="dxa"/>
            <w:vAlign w:val="center"/>
          </w:tcPr>
          <w:p w14:paraId="7B24F305">
            <w:pPr>
              <w:pStyle w:val="2"/>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rPr>
              <w:t>否，推荐的成交候选人数：</w:t>
            </w:r>
            <w:r>
              <w:rPr>
                <w:rFonts w:hint="eastAsia" w:ascii="宋体" w:hAnsi="宋体" w:eastAsia="宋体" w:cs="宋体"/>
                <w:color w:val="auto"/>
                <w:kern w:val="2"/>
                <w:sz w:val="24"/>
                <w:szCs w:val="24"/>
                <w:highlight w:val="none"/>
                <w:lang w:val="en-US" w:eastAsia="zh-CN"/>
              </w:rPr>
              <w:t>1</w:t>
            </w:r>
          </w:p>
        </w:tc>
      </w:tr>
      <w:tr w14:paraId="53F8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42" w:type="dxa"/>
            <w:vAlign w:val="center"/>
          </w:tcPr>
          <w:p w14:paraId="3FD0CDC3">
            <w:pPr>
              <w:keepNext w:val="0"/>
              <w:keepLines w:val="0"/>
              <w:numPr>
                <w:ilvl w:val="0"/>
                <w:numId w:val="3"/>
              </w:numPr>
              <w:suppressLineNumbers w:val="0"/>
              <w:autoSpaceDE w:val="0"/>
              <w:autoSpaceDN w:val="0"/>
              <w:adjustRightInd w:val="0"/>
              <w:snapToGrid w:val="0"/>
              <w:spacing w:before="36" w:beforeLines="15" w:beforeAutospacing="0" w:after="0" w:afterAutospacing="0" w:line="312" w:lineRule="auto"/>
              <w:ind w:left="454" w:leftChars="0" w:right="0" w:hanging="248" w:firstLineChars="0"/>
              <w:jc w:val="center"/>
              <w:rPr>
                <w:rFonts w:hint="default" w:ascii="宋体" w:hAnsi="宋体" w:eastAsia="宋体" w:cs="宋体"/>
                <w:bCs/>
                <w:color w:val="auto"/>
                <w:sz w:val="24"/>
                <w:szCs w:val="24"/>
                <w:highlight w:val="none"/>
                <w:lang w:val="en-US" w:eastAsia="zh-CN"/>
              </w:rPr>
            </w:pPr>
          </w:p>
        </w:tc>
        <w:tc>
          <w:tcPr>
            <w:tcW w:w="2895" w:type="dxa"/>
            <w:vAlign w:val="center"/>
          </w:tcPr>
          <w:p w14:paraId="5EABD7CC">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rPr>
              <w:t>成交结果公告媒介及期限</w:t>
            </w:r>
          </w:p>
        </w:tc>
        <w:tc>
          <w:tcPr>
            <w:tcW w:w="6281" w:type="dxa"/>
            <w:vAlign w:val="center"/>
          </w:tcPr>
          <w:p w14:paraId="2B6D01EE">
            <w:pPr>
              <w:pStyle w:val="2"/>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4"/>
                <w:szCs w:val="24"/>
                <w:highlight w:val="none"/>
                <w:lang w:val="zh-CN"/>
              </w:rPr>
            </w:pPr>
            <w:r>
              <w:rPr>
                <w:rFonts w:hint="eastAsia" w:ascii="宋体" w:hAnsi="宋体" w:eastAsia="宋体" w:cs="宋体"/>
                <w:color w:val="auto"/>
                <w:sz w:val="24"/>
                <w:szCs w:val="24"/>
                <w:highlight w:val="none"/>
                <w:lang w:val="en-US" w:eastAsia="zh-CN"/>
              </w:rPr>
              <w:t xml:space="preserve">在“政采云”平台（http:// </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"http://www.zcygov.cn），同步推送到吉林省政府采购网（http:/www.ccgp-jilin.gov.cn/），并同时在长春市公共资源交易网、中国政府采购网上发布。"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www.zcygov.cn），同步推送到吉林省政府采购网，并同时在</w:t>
            </w:r>
            <w:r>
              <w:rPr>
                <w:rFonts w:hint="eastAsia" w:ascii="宋体" w:hAnsi="宋体" w:eastAsia="宋体" w:cs="宋体"/>
                <w:color w:val="auto"/>
                <w:sz w:val="24"/>
                <w:szCs w:val="24"/>
                <w:highlight w:val="none"/>
                <w:lang w:val="zh-CN" w:eastAsia="zh-CN"/>
              </w:rPr>
              <w:t>吉林省公共资源交易公共服务平台</w:t>
            </w:r>
            <w:r>
              <w:rPr>
                <w:rFonts w:hint="eastAsia" w:ascii="宋体" w:hAnsi="宋体" w:eastAsia="宋体" w:cs="宋体"/>
                <w:color w:val="auto"/>
                <w:sz w:val="24"/>
                <w:szCs w:val="24"/>
                <w:highlight w:val="none"/>
                <w:lang w:val="en-US" w:eastAsia="zh-CN"/>
              </w:rPr>
              <w:t>、中国政府采购网上发布。</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kern w:val="2"/>
                <w:sz w:val="24"/>
                <w:szCs w:val="24"/>
                <w:highlight w:val="none"/>
                <w:lang w:val="zh-CN"/>
              </w:rPr>
              <w:t>公示期限：</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rPr>
              <w:t>个工作日</w:t>
            </w:r>
          </w:p>
        </w:tc>
      </w:tr>
      <w:tr w14:paraId="3809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5B27F10B">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4"/>
                <w:szCs w:val="24"/>
                <w:highlight w:val="none"/>
                <w:lang w:val="en-US" w:eastAsia="zh-CN"/>
              </w:rPr>
            </w:pPr>
          </w:p>
        </w:tc>
        <w:tc>
          <w:tcPr>
            <w:tcW w:w="2895" w:type="dxa"/>
            <w:vAlign w:val="center"/>
          </w:tcPr>
          <w:p w14:paraId="133B49D6">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付款方式</w:t>
            </w:r>
          </w:p>
        </w:tc>
        <w:tc>
          <w:tcPr>
            <w:tcW w:w="6281" w:type="dxa"/>
            <w:vAlign w:val="center"/>
          </w:tcPr>
          <w:p w14:paraId="570F5963">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成交供应商为本项目中所包含的全部投保人员参保成功并出具相应证明材料后，由采购人一次性支付。</w:t>
            </w:r>
          </w:p>
        </w:tc>
      </w:tr>
      <w:tr w14:paraId="68E1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7E3B224D">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4"/>
                <w:szCs w:val="24"/>
                <w:highlight w:val="none"/>
                <w:lang w:val="en-US" w:eastAsia="zh-CN"/>
              </w:rPr>
            </w:pPr>
          </w:p>
        </w:tc>
        <w:tc>
          <w:tcPr>
            <w:tcW w:w="2895" w:type="dxa"/>
            <w:vAlign w:val="center"/>
          </w:tcPr>
          <w:p w14:paraId="40927ACD">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评审办法</w:t>
            </w:r>
          </w:p>
        </w:tc>
        <w:tc>
          <w:tcPr>
            <w:tcW w:w="6281" w:type="dxa"/>
            <w:vAlign w:val="center"/>
          </w:tcPr>
          <w:p w14:paraId="3CF1D4D2">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综合评分法</w:t>
            </w:r>
            <w:r>
              <w:rPr>
                <w:rFonts w:hint="eastAsia" w:ascii="宋体" w:hAnsi="宋体" w:eastAsia="宋体" w:cs="宋体"/>
                <w:color w:val="auto"/>
                <w:kern w:val="2"/>
                <w:sz w:val="24"/>
                <w:szCs w:val="24"/>
                <w:highlight w:val="none"/>
                <w:lang w:val="zh-CN"/>
              </w:rPr>
              <w:tab/>
            </w:r>
          </w:p>
        </w:tc>
      </w:tr>
      <w:tr w14:paraId="34A5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42" w:type="dxa"/>
            <w:vMerge w:val="restart"/>
            <w:vAlign w:val="center"/>
          </w:tcPr>
          <w:p w14:paraId="159E5484">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4"/>
                <w:szCs w:val="24"/>
                <w:highlight w:val="none"/>
                <w:lang w:val="en-US" w:eastAsia="zh-CN"/>
              </w:rPr>
            </w:pPr>
          </w:p>
        </w:tc>
        <w:tc>
          <w:tcPr>
            <w:tcW w:w="2895" w:type="dxa"/>
            <w:vMerge w:val="restart"/>
            <w:vAlign w:val="center"/>
          </w:tcPr>
          <w:p w14:paraId="6712E056">
            <w:pPr>
              <w:pStyle w:val="2"/>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付款条件与比例</w:t>
            </w:r>
          </w:p>
        </w:tc>
        <w:tc>
          <w:tcPr>
            <w:tcW w:w="6281" w:type="dxa"/>
            <w:vAlign w:val="center"/>
          </w:tcPr>
          <w:p w14:paraId="4CB2B485">
            <w:pPr>
              <w:pStyle w:val="2"/>
              <w:keepNext w:val="0"/>
              <w:keepLines w:val="0"/>
              <w:suppressLineNumbers w:val="0"/>
              <w:spacing w:before="0" w:beforeAutospacing="0" w:after="0" w:afterAutospacing="0" w:line="440" w:lineRule="exact"/>
              <w:ind w:left="0" w:leftChars="0" w:right="0" w:rightChars="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中小企业中标（成交）的：活动结束并经采购人验收合格后，支付全部合同价款。</w:t>
            </w:r>
          </w:p>
        </w:tc>
      </w:tr>
      <w:tr w14:paraId="3678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42" w:type="dxa"/>
            <w:vMerge w:val="continue"/>
            <w:vAlign w:val="center"/>
          </w:tcPr>
          <w:p w14:paraId="26ABF94C">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4"/>
                <w:szCs w:val="24"/>
                <w:highlight w:val="none"/>
                <w:lang w:val="en-US" w:eastAsia="zh-CN"/>
              </w:rPr>
            </w:pPr>
          </w:p>
        </w:tc>
        <w:tc>
          <w:tcPr>
            <w:tcW w:w="2895" w:type="dxa"/>
            <w:vMerge w:val="continue"/>
            <w:vAlign w:val="center"/>
          </w:tcPr>
          <w:p w14:paraId="3BDF4DE0">
            <w:pPr>
              <w:pStyle w:val="2"/>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lang w:val="zh-CN" w:eastAsia="zh-CN"/>
              </w:rPr>
            </w:pPr>
          </w:p>
        </w:tc>
        <w:tc>
          <w:tcPr>
            <w:tcW w:w="6281" w:type="dxa"/>
            <w:vAlign w:val="center"/>
          </w:tcPr>
          <w:p w14:paraId="4B2A6CC1">
            <w:pPr>
              <w:pStyle w:val="2"/>
              <w:keepNext w:val="0"/>
              <w:keepLines w:val="0"/>
              <w:suppressLineNumbers w:val="0"/>
              <w:spacing w:before="0" w:beforeAutospacing="0" w:after="0" w:afterAutospacing="0" w:line="440" w:lineRule="exact"/>
              <w:ind w:left="0" w:leftChars="0" w:right="0" w:rightChars="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非中小企业中标（成交）的：活动结束并经采购人验收合格后，支付全部合同价款。</w:t>
            </w:r>
          </w:p>
        </w:tc>
      </w:tr>
      <w:tr w14:paraId="3459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2" w:type="dxa"/>
            <w:vAlign w:val="center"/>
          </w:tcPr>
          <w:p w14:paraId="48D99FB3">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4"/>
                <w:szCs w:val="24"/>
                <w:highlight w:val="none"/>
                <w:lang w:val="en-US" w:eastAsia="zh-CN"/>
              </w:rPr>
            </w:pPr>
          </w:p>
        </w:tc>
        <w:tc>
          <w:tcPr>
            <w:tcW w:w="2895" w:type="dxa"/>
            <w:vAlign w:val="center"/>
          </w:tcPr>
          <w:p w14:paraId="5410499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支付方式</w:t>
            </w:r>
          </w:p>
        </w:tc>
        <w:tc>
          <w:tcPr>
            <w:tcW w:w="6281" w:type="dxa"/>
            <w:vAlign w:val="center"/>
          </w:tcPr>
          <w:p w14:paraId="068217B3">
            <w:pPr>
              <w:pStyle w:val="2"/>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4"/>
                <w:szCs w:val="24"/>
                <w:highlight w:val="none"/>
                <w:lang w:val="zh-CN" w:eastAsia="zh-CN" w:bidi="ar-SA"/>
              </w:rPr>
            </w:pPr>
            <w:r>
              <w:rPr>
                <w:rStyle w:val="173"/>
                <w:rFonts w:hint="eastAsia" w:ascii="宋体" w:hAnsi="宋体" w:cs="宋体"/>
                <w:bCs/>
                <w:color w:val="auto"/>
                <w:sz w:val="24"/>
                <w:szCs w:val="24"/>
                <w:highlight w:val="none"/>
              </w:rPr>
              <w:t>按合同约定执行</w:t>
            </w:r>
          </w:p>
        </w:tc>
      </w:tr>
      <w:tr w14:paraId="732F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642" w:type="dxa"/>
            <w:vAlign w:val="center"/>
          </w:tcPr>
          <w:p w14:paraId="4E3B6101">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default" w:ascii="宋体" w:hAnsi="宋体" w:eastAsia="宋体" w:cs="宋体"/>
                <w:bCs/>
                <w:color w:val="auto"/>
                <w:sz w:val="24"/>
                <w:szCs w:val="24"/>
                <w:highlight w:val="none"/>
                <w:lang w:val="en-US" w:eastAsia="zh-CN"/>
              </w:rPr>
            </w:pPr>
          </w:p>
        </w:tc>
        <w:tc>
          <w:tcPr>
            <w:tcW w:w="2895" w:type="dxa"/>
            <w:vAlign w:val="center"/>
          </w:tcPr>
          <w:p w14:paraId="10E0C0E5">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履约保证金</w:t>
            </w:r>
          </w:p>
        </w:tc>
        <w:tc>
          <w:tcPr>
            <w:tcW w:w="6281" w:type="dxa"/>
            <w:vAlign w:val="center"/>
          </w:tcPr>
          <w:p w14:paraId="79ABE8B5">
            <w:pPr>
              <w:pStyle w:val="2"/>
              <w:keepNext w:val="0"/>
              <w:keepLines w:val="0"/>
              <w:suppressLineNumbers w:val="0"/>
              <w:spacing w:before="0" w:beforeAutospacing="0" w:after="0" w:afterAutospacing="0" w:line="440" w:lineRule="exact"/>
              <w:ind w:left="0" w:leftChars="0" w:right="0" w:right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成交供应商应在领取成交通知书后，签订合同前向甲方以支票、汇票、本票或者金融机构、担保机构出具的保函等非现金形式缴纳成交金额的5%，待成交人履行完本合同项下全部重要商务条款后 30 天内无息返还。</w:t>
            </w:r>
          </w:p>
        </w:tc>
      </w:tr>
      <w:tr w14:paraId="3F96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055CC1D1">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4"/>
                <w:szCs w:val="24"/>
                <w:highlight w:val="none"/>
                <w:lang w:val="en-US" w:eastAsia="zh-CN"/>
              </w:rPr>
            </w:pPr>
          </w:p>
        </w:tc>
        <w:tc>
          <w:tcPr>
            <w:tcW w:w="2895" w:type="dxa"/>
            <w:vAlign w:val="center"/>
          </w:tcPr>
          <w:p w14:paraId="43C87676">
            <w:pPr>
              <w:keepNext w:val="0"/>
              <w:keepLines w:val="0"/>
              <w:suppressLineNumbers w:val="0"/>
              <w:spacing w:before="0" w:beforeAutospacing="0" w:after="0" w:afterAutospacing="0" w:line="360" w:lineRule="exact"/>
              <w:ind w:left="0" w:right="0"/>
              <w:jc w:val="center"/>
              <w:rPr>
                <w:rFonts w:hint="eastAsia"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履约管理与违约责任</w:t>
            </w:r>
          </w:p>
        </w:tc>
        <w:tc>
          <w:tcPr>
            <w:tcW w:w="6281" w:type="dxa"/>
            <w:vAlign w:val="center"/>
          </w:tcPr>
          <w:p w14:paraId="74F64674">
            <w:pPr>
              <w:pStyle w:val="2"/>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供应商未能按照采购需求履约，采购人有权责令供应商按采购需求进行限期整改，如整改后仍不符合采购需求，可最高扣除相应不符合要求部分的100%费用；如供应商拒不整改，影响活动正常开展的，采购人有权立即解除合同，追回已支付合同价款，并保留追究供应商责任的权利。</w:t>
            </w:r>
          </w:p>
          <w:p w14:paraId="16EE6F76">
            <w:pPr>
              <w:pStyle w:val="2"/>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2.由于供应商的原因造成财产损失或人员伤害的，由供应商承担全部责任。</w:t>
            </w:r>
          </w:p>
        </w:tc>
      </w:tr>
      <w:tr w14:paraId="1EA2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4101AEEB">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4"/>
                <w:szCs w:val="24"/>
                <w:highlight w:val="none"/>
                <w:lang w:val="en-US" w:eastAsia="zh-CN"/>
              </w:rPr>
            </w:pPr>
          </w:p>
        </w:tc>
        <w:tc>
          <w:tcPr>
            <w:tcW w:w="2895" w:type="dxa"/>
            <w:vAlign w:val="center"/>
          </w:tcPr>
          <w:p w14:paraId="0272F41D">
            <w:pPr>
              <w:keepNext w:val="0"/>
              <w:keepLines w:val="0"/>
              <w:suppressLineNumbers w:val="0"/>
              <w:spacing w:before="0" w:beforeAutospacing="0" w:after="0" w:afterAutospacing="0" w:line="360" w:lineRule="exact"/>
              <w:ind w:left="0" w:right="0"/>
              <w:jc w:val="center"/>
              <w:rPr>
                <w:rFonts w:hint="eastAsia"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验收标准及要求</w:t>
            </w:r>
          </w:p>
        </w:tc>
        <w:tc>
          <w:tcPr>
            <w:tcW w:w="6281" w:type="dxa"/>
            <w:vAlign w:val="center"/>
          </w:tcPr>
          <w:p w14:paraId="133D0E8F">
            <w:pPr>
              <w:pStyle w:val="2"/>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根据采购需求验收，供应商应在活动结束后向采购人提供履约验收材料</w:t>
            </w:r>
          </w:p>
        </w:tc>
      </w:tr>
      <w:tr w14:paraId="5E78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14:paraId="2318E3B1">
            <w:pPr>
              <w:keepNext w:val="0"/>
              <w:keepLines w:val="0"/>
              <w:numPr>
                <w:ilvl w:val="0"/>
                <w:numId w:val="3"/>
              </w:numPr>
              <w:suppressLineNumbers w:val="0"/>
              <w:autoSpaceDE w:val="0"/>
              <w:autoSpaceDN w:val="0"/>
              <w:adjustRightInd w:val="0"/>
              <w:spacing w:before="0" w:beforeAutospacing="0" w:after="0" w:afterAutospacing="0" w:line="360" w:lineRule="exact"/>
              <w:ind w:left="454" w:leftChars="0" w:right="0" w:hanging="248" w:firstLineChars="0"/>
              <w:jc w:val="center"/>
              <w:rPr>
                <w:rFonts w:hint="eastAsia" w:ascii="宋体" w:hAnsi="宋体" w:eastAsia="宋体" w:cs="宋体"/>
                <w:bCs/>
                <w:color w:val="auto"/>
                <w:sz w:val="24"/>
                <w:szCs w:val="24"/>
                <w:highlight w:val="none"/>
                <w:lang w:val="en-US" w:eastAsia="zh-CN"/>
              </w:rPr>
            </w:pPr>
          </w:p>
        </w:tc>
        <w:tc>
          <w:tcPr>
            <w:tcW w:w="2895" w:type="dxa"/>
            <w:vAlign w:val="center"/>
          </w:tcPr>
          <w:p w14:paraId="67A71DDD">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采购代理服务费</w:t>
            </w:r>
          </w:p>
        </w:tc>
        <w:tc>
          <w:tcPr>
            <w:tcW w:w="6281" w:type="dxa"/>
          </w:tcPr>
          <w:p w14:paraId="3BCC9736">
            <w:pPr>
              <w:pStyle w:val="2"/>
              <w:keepNext w:val="0"/>
              <w:keepLines w:val="0"/>
              <w:suppressLineNumbers w:val="0"/>
              <w:spacing w:before="0" w:beforeAutospacing="0" w:after="0" w:afterAutospacing="0" w:line="440" w:lineRule="exact"/>
              <w:ind w:left="0" w:right="0"/>
              <w:rPr>
                <w:rFonts w:hint="default"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执行发改价格[2015]299号文件收取招标代理服务费,由中标单位支付</w:t>
            </w:r>
            <w:r>
              <w:rPr>
                <w:rFonts w:hint="eastAsia" w:hAnsi="宋体" w:cs="宋体"/>
                <w:color w:val="auto"/>
                <w:kern w:val="2"/>
                <w:sz w:val="24"/>
                <w:szCs w:val="24"/>
                <w:highlight w:val="none"/>
                <w:lang w:val="zh-CN" w:eastAsia="zh-CN"/>
              </w:rPr>
              <w:t>。</w:t>
            </w:r>
          </w:p>
        </w:tc>
      </w:tr>
    </w:tbl>
    <w:p w14:paraId="0FABD10F">
      <w:pPr>
        <w:spacing w:line="400" w:lineRule="exact"/>
        <w:jc w:val="center"/>
        <w:rPr>
          <w:rStyle w:val="99"/>
          <w:rFonts w:ascii="宋体" w:hAnsi="宋体" w:cs="宋体"/>
          <w:color w:val="auto"/>
          <w:highlight w:val="none"/>
        </w:rPr>
      </w:pPr>
      <w:bookmarkStart w:id="18" w:name="_Toc17194"/>
      <w:bookmarkStart w:id="19" w:name="_Toc19175"/>
      <w:r>
        <w:rPr>
          <w:rStyle w:val="99"/>
          <w:rFonts w:hint="eastAsia" w:ascii="宋体" w:hAnsi="宋体" w:cs="宋体"/>
          <w:color w:val="auto"/>
          <w:sz w:val="36"/>
          <w:highlight w:val="none"/>
        </w:rPr>
        <w:br w:type="page"/>
      </w:r>
      <w:bookmarkStart w:id="20" w:name="_Toc15556"/>
      <w:bookmarkStart w:id="21" w:name="_Toc20165"/>
      <w:bookmarkStart w:id="22" w:name="_Toc6885"/>
      <w:bookmarkStart w:id="23" w:name="_Toc7489"/>
      <w:bookmarkStart w:id="24" w:name="_Toc22669"/>
      <w:bookmarkStart w:id="25" w:name="_Toc3286"/>
      <w:bookmarkStart w:id="26" w:name="_Toc30584"/>
      <w:bookmarkStart w:id="27" w:name="_Toc7225"/>
      <w:bookmarkStart w:id="28" w:name="_Toc10249"/>
      <w:bookmarkStart w:id="29" w:name="_Toc29454"/>
      <w:bookmarkStart w:id="30" w:name="_Toc18368"/>
      <w:bookmarkStart w:id="31" w:name="_Toc14443"/>
      <w:bookmarkStart w:id="32" w:name="_Toc17759"/>
      <w:r>
        <w:rPr>
          <w:rStyle w:val="99"/>
          <w:rFonts w:hint="eastAsia" w:ascii="宋体" w:hAnsi="宋体" w:cs="宋体"/>
          <w:color w:val="auto"/>
          <w:sz w:val="36"/>
          <w:highlight w:val="none"/>
        </w:rPr>
        <w:t>供应商须知</w:t>
      </w: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564ACD91">
      <w:pPr>
        <w:adjustRightInd w:val="0"/>
        <w:snapToGrid w:val="0"/>
        <w:spacing w:line="500" w:lineRule="exact"/>
        <w:jc w:val="center"/>
        <w:rPr>
          <w:rFonts w:ascii="宋体" w:hAnsi="宋体" w:cs="宋体"/>
          <w:b/>
          <w:bCs/>
          <w:color w:val="auto"/>
          <w:kern w:val="44"/>
          <w:sz w:val="24"/>
          <w:szCs w:val="24"/>
          <w:highlight w:val="none"/>
        </w:rPr>
      </w:pPr>
      <w:r>
        <w:rPr>
          <w:rFonts w:hint="eastAsia" w:ascii="宋体" w:hAnsi="宋体" w:cs="宋体"/>
          <w:b/>
          <w:bCs/>
          <w:color w:val="auto"/>
          <w:kern w:val="44"/>
          <w:sz w:val="24"/>
          <w:szCs w:val="24"/>
          <w:highlight w:val="none"/>
        </w:rPr>
        <w:t>一、  总   则</w:t>
      </w:r>
    </w:p>
    <w:p w14:paraId="10A5F17F">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宋体" w:hAnsi="宋体" w:cs="宋体"/>
          <w:color w:val="auto"/>
          <w:sz w:val="21"/>
          <w:szCs w:val="21"/>
          <w:highlight w:val="none"/>
          <w:lang w:val="zh-CN"/>
        </w:rPr>
      </w:pPr>
      <w:r>
        <w:rPr>
          <w:rFonts w:hint="eastAsia" w:ascii="宋体" w:hAnsi="宋体" w:cs="宋体"/>
          <w:b/>
          <w:color w:val="auto"/>
          <w:sz w:val="21"/>
          <w:szCs w:val="21"/>
          <w:highlight w:val="none"/>
          <w:lang w:val="zh-CN"/>
        </w:rPr>
        <w:t>1．适用法律：</w:t>
      </w:r>
      <w:r>
        <w:rPr>
          <w:rFonts w:hint="eastAsia" w:ascii="宋体" w:hAnsi="宋体" w:cs="宋体"/>
          <w:color w:val="auto"/>
          <w:sz w:val="21"/>
          <w:szCs w:val="21"/>
          <w:highlight w:val="none"/>
          <w:lang w:val="zh-CN"/>
        </w:rPr>
        <w:t>本次项目适用法律法规为《中华人民共和国政府采购法》及其它相关法规。</w:t>
      </w:r>
    </w:p>
    <w:p w14:paraId="4CFC897C">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2．定义：</w:t>
      </w:r>
    </w:p>
    <w:p w14:paraId="7CA54D54">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采购人</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指</w:t>
      </w:r>
      <w:r>
        <w:rPr>
          <w:rFonts w:hint="eastAsia" w:ascii="宋体" w:hAnsi="宋体" w:eastAsia="宋体" w:cs="宋体"/>
          <w:color w:val="auto"/>
          <w:sz w:val="21"/>
          <w:szCs w:val="21"/>
          <w:highlight w:val="none"/>
          <w:lang w:val="en-US" w:eastAsia="zh-CN"/>
        </w:rPr>
        <w:t>吉林省体育局</w:t>
      </w:r>
      <w:r>
        <w:rPr>
          <w:rFonts w:hint="eastAsia" w:ascii="宋体" w:hAnsi="宋体" w:cs="宋体"/>
          <w:color w:val="auto"/>
          <w:sz w:val="21"/>
          <w:szCs w:val="21"/>
          <w:highlight w:val="none"/>
          <w:lang w:val="zh-CN"/>
        </w:rPr>
        <w:t>，负责项目的整体规划、需求设计和可行性论证，作为合同的需方，承担质疑答复，合同履行、验收、评价等义务。</w:t>
      </w:r>
    </w:p>
    <w:p w14:paraId="4AF3DA94">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采购代理机构</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指华春建设工程项目管理有限责任公司，负责活动的组织工作。</w:t>
      </w:r>
    </w:p>
    <w:p w14:paraId="7FF891DE">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7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2.3</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内容</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以项目需求为实际依据。</w:t>
      </w:r>
    </w:p>
    <w:p w14:paraId="0D9ED94A">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7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2.4</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潜在供应商</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指确认参加磋商的供应商</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响应人。</w:t>
      </w:r>
    </w:p>
    <w:p w14:paraId="27CA28FA">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7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2.5</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供应商</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指响应本磋商文件参加磋商的供应商</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响应人。</w:t>
      </w:r>
    </w:p>
    <w:p w14:paraId="6E6A4A09">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宋体" w:hAnsi="宋体" w:cs="宋体"/>
          <w:color w:val="auto"/>
          <w:kern w:val="0"/>
          <w:sz w:val="21"/>
          <w:szCs w:val="21"/>
          <w:highlight w:val="none"/>
          <w:lang w:val="zh-CN"/>
        </w:rPr>
      </w:pPr>
      <w:r>
        <w:rPr>
          <w:rFonts w:hint="eastAsia" w:ascii="宋体" w:hAnsi="宋体" w:cs="宋体"/>
          <w:b/>
          <w:color w:val="auto"/>
          <w:sz w:val="21"/>
          <w:szCs w:val="21"/>
          <w:highlight w:val="none"/>
          <w:lang w:val="zh-CN"/>
        </w:rPr>
        <w:t>3</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zh-CN"/>
        </w:rPr>
        <w:t>合格供应商资格条件要求：见供应商须知前附表</w:t>
      </w:r>
    </w:p>
    <w:p w14:paraId="3CF42798">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textAlignment w:val="auto"/>
        <w:rPr>
          <w:rFonts w:ascii="宋体" w:hAnsi="宋体" w:cs="宋体"/>
          <w:b/>
          <w:color w:val="auto"/>
          <w:kern w:val="0"/>
          <w:sz w:val="21"/>
          <w:szCs w:val="21"/>
          <w:highlight w:val="none"/>
          <w:lang w:val="zh-CN"/>
        </w:rPr>
      </w:pPr>
      <w:r>
        <w:rPr>
          <w:rFonts w:hint="eastAsia" w:ascii="宋体" w:hAnsi="宋体" w:cs="宋体"/>
          <w:b/>
          <w:color w:val="auto"/>
          <w:sz w:val="21"/>
          <w:szCs w:val="21"/>
          <w:highlight w:val="none"/>
          <w:lang w:val="zh-CN"/>
        </w:rPr>
        <w:t>4.项目答疑会：见供应商须知前附表</w:t>
      </w:r>
    </w:p>
    <w:p w14:paraId="15AB3378">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宋体" w:hAnsi="宋体" w:cs="宋体"/>
          <w:color w:val="auto"/>
          <w:sz w:val="21"/>
          <w:szCs w:val="21"/>
          <w:highlight w:val="none"/>
          <w:lang w:val="zh-CN"/>
        </w:rPr>
      </w:pPr>
      <w:r>
        <w:rPr>
          <w:rFonts w:hint="eastAsia" w:ascii="宋体" w:hAnsi="宋体" w:cs="宋体"/>
          <w:b/>
          <w:color w:val="auto"/>
          <w:sz w:val="21"/>
          <w:szCs w:val="21"/>
          <w:highlight w:val="none"/>
          <w:lang w:val="zh-CN"/>
        </w:rPr>
        <w:t>5．磋商费用：</w:t>
      </w:r>
      <w:r>
        <w:rPr>
          <w:rFonts w:hint="eastAsia" w:ascii="宋体" w:hAnsi="宋体" w:cs="宋体"/>
          <w:color w:val="auto"/>
          <w:sz w:val="21"/>
          <w:szCs w:val="21"/>
          <w:highlight w:val="none"/>
          <w:lang w:val="zh-CN"/>
        </w:rPr>
        <w:t>供应商应自行承担所有与编写和提交响应文件有关的费用，无论磋商的结果如何，采购人和采购代理机构在任何情况下均无义务和责任承担这些费用。</w:t>
      </w:r>
    </w:p>
    <w:p w14:paraId="058F591C">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6. 竞争性磋商文件：</w:t>
      </w:r>
    </w:p>
    <w:p w14:paraId="1DADA94F">
      <w:pPr>
        <w:keepNext w:val="0"/>
        <w:keepLines w:val="0"/>
        <w:pageBreakBefore w:val="0"/>
        <w:widowControl w:val="0"/>
        <w:tabs>
          <w:tab w:val="left" w:pos="1418"/>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6.1 磋商文件的构成：</w:t>
      </w:r>
    </w:p>
    <w:p w14:paraId="6E492D4A">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第一章   竞争性磋商公告</w:t>
      </w:r>
      <w:r>
        <w:rPr>
          <w:rFonts w:hint="eastAsia" w:ascii="宋体" w:hAnsi="宋体" w:cs="宋体"/>
          <w:color w:val="auto"/>
          <w:sz w:val="21"/>
          <w:szCs w:val="21"/>
          <w:highlight w:val="none"/>
          <w:lang w:val="zh-CN"/>
        </w:rPr>
        <w:tab/>
      </w:r>
    </w:p>
    <w:p w14:paraId="38DCD42D">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第二章   供应商须知</w:t>
      </w:r>
      <w:r>
        <w:rPr>
          <w:rFonts w:hint="eastAsia" w:ascii="宋体" w:hAnsi="宋体" w:cs="宋体"/>
          <w:color w:val="auto"/>
          <w:sz w:val="21"/>
          <w:szCs w:val="21"/>
          <w:highlight w:val="none"/>
          <w:lang w:val="zh-CN"/>
        </w:rPr>
        <w:tab/>
      </w:r>
    </w:p>
    <w:p w14:paraId="1841A511">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第三章   综合评审办法</w:t>
      </w:r>
      <w:r>
        <w:rPr>
          <w:rFonts w:hint="eastAsia" w:ascii="宋体" w:hAnsi="宋体" w:cs="宋体"/>
          <w:color w:val="auto"/>
          <w:sz w:val="21"/>
          <w:szCs w:val="21"/>
          <w:highlight w:val="none"/>
          <w:lang w:val="zh-CN"/>
        </w:rPr>
        <w:tab/>
      </w:r>
    </w:p>
    <w:p w14:paraId="1657C8FD">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第四章</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zh-CN"/>
        </w:rPr>
        <w:t>合同格式</w:t>
      </w:r>
      <w:r>
        <w:rPr>
          <w:rFonts w:hint="eastAsia" w:ascii="宋体" w:hAnsi="宋体" w:cs="宋体"/>
          <w:color w:val="auto"/>
          <w:sz w:val="21"/>
          <w:szCs w:val="21"/>
          <w:highlight w:val="none"/>
          <w:lang w:val="zh-CN"/>
        </w:rPr>
        <w:tab/>
      </w:r>
    </w:p>
    <w:p w14:paraId="5EA7728C">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第五章  </w:t>
      </w:r>
      <w:r>
        <w:rPr>
          <w:rFonts w:hint="eastAsia" w:ascii="宋体" w:hAnsi="宋体" w:cs="宋体"/>
          <w:color w:val="auto"/>
          <w:sz w:val="21"/>
          <w:szCs w:val="21"/>
          <w:highlight w:val="none"/>
        </w:rPr>
        <w:t xml:space="preserve">技术标准及服务需求 </w:t>
      </w:r>
    </w:p>
    <w:p w14:paraId="4E2FA6F0">
      <w:pPr>
        <w:keepNext w:val="0"/>
        <w:keepLines w:val="0"/>
        <w:pageBreakBefore w:val="0"/>
        <w:widowControl w:val="0"/>
        <w:kinsoku/>
        <w:wordWrap/>
        <w:overflowPunct/>
        <w:topLinePunct w:val="0"/>
        <w:autoSpaceDE w:val="0"/>
        <w:autoSpaceDN w:val="0"/>
        <w:bidi w:val="0"/>
        <w:adjustRightInd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zh-CN"/>
        </w:rPr>
        <w:t>第六章</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zh-CN"/>
        </w:rPr>
        <w:t>响应文件构成、要求及格式</w:t>
      </w:r>
      <w:r>
        <w:rPr>
          <w:rFonts w:hint="eastAsia" w:ascii="宋体" w:hAnsi="宋体" w:cs="宋体"/>
          <w:color w:val="auto"/>
          <w:sz w:val="21"/>
          <w:szCs w:val="21"/>
          <w:highlight w:val="none"/>
          <w:lang w:val="zh-CN"/>
        </w:rPr>
        <w:tab/>
      </w:r>
      <w:r>
        <w:rPr>
          <w:rFonts w:hint="eastAsia" w:ascii="宋体" w:hAnsi="宋体" w:cs="宋体"/>
          <w:color w:val="auto"/>
          <w:sz w:val="21"/>
          <w:szCs w:val="21"/>
          <w:highlight w:val="none"/>
        </w:rPr>
        <w:t xml:space="preserve">  </w:t>
      </w:r>
    </w:p>
    <w:p w14:paraId="28A77701">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b/>
          <w:color w:val="auto"/>
          <w:sz w:val="21"/>
          <w:szCs w:val="21"/>
          <w:highlight w:val="none"/>
          <w:lang w:val="zh-CN"/>
        </w:rPr>
      </w:pPr>
      <w:r>
        <w:rPr>
          <w:rFonts w:hint="eastAsia" w:ascii="宋体" w:hAnsi="宋体" w:cs="宋体"/>
          <w:color w:val="auto"/>
          <w:sz w:val="21"/>
          <w:szCs w:val="21"/>
          <w:highlight w:val="none"/>
          <w:lang w:val="zh-CN"/>
        </w:rPr>
        <w:t>6.2 供应商应认真阅读磋商文件中所有事项、格式、条款和规范等要求。如果供应商没有按照磋商文件要求提交全部文件资料或响应文件没有对磋商文件在各方面都做出实质性响应，是供应商的风险。</w:t>
      </w:r>
    </w:p>
    <w:p w14:paraId="664CF913">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7. 磋商文件的澄清和修改</w:t>
      </w:r>
    </w:p>
    <w:p w14:paraId="4773ED65">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7.1 </w:t>
      </w:r>
      <w:r>
        <w:rPr>
          <w:rFonts w:hint="eastAsia" w:ascii="宋体" w:hAnsi="宋体" w:cs="宋体"/>
          <w:color w:val="auto"/>
          <w:sz w:val="21"/>
          <w:szCs w:val="21"/>
          <w:highlight w:val="none"/>
        </w:rPr>
        <w:t>任何要求对磋商文件进行澄清的供应商，均应在响应文件提交截止期5天前以书面形式通知</w:t>
      </w:r>
      <w:r>
        <w:rPr>
          <w:rFonts w:hint="eastAsia" w:ascii="宋体" w:hAnsi="宋体" w:cs="宋体"/>
          <w:color w:val="auto"/>
          <w:sz w:val="21"/>
          <w:szCs w:val="21"/>
          <w:highlight w:val="none"/>
          <w:lang w:val="zh-CN"/>
        </w:rPr>
        <w:t>采购</w:t>
      </w:r>
      <w:r>
        <w:rPr>
          <w:rFonts w:hint="eastAsia" w:ascii="宋体" w:hAnsi="宋体" w:cs="宋体"/>
          <w:color w:val="auto"/>
          <w:sz w:val="21"/>
          <w:szCs w:val="21"/>
          <w:highlight w:val="none"/>
        </w:rPr>
        <w:t>方，</w:t>
      </w:r>
      <w:r>
        <w:rPr>
          <w:rFonts w:hint="eastAsia" w:ascii="宋体" w:hAnsi="宋体" w:cs="宋体"/>
          <w:color w:val="auto"/>
          <w:sz w:val="21"/>
          <w:szCs w:val="21"/>
          <w:highlight w:val="none"/>
          <w:lang w:val="zh-CN"/>
        </w:rPr>
        <w:t>采购</w:t>
      </w:r>
      <w:r>
        <w:rPr>
          <w:rFonts w:hint="eastAsia" w:ascii="宋体" w:hAnsi="宋体" w:cs="宋体"/>
          <w:color w:val="auto"/>
          <w:sz w:val="21"/>
          <w:szCs w:val="21"/>
          <w:highlight w:val="none"/>
        </w:rPr>
        <w:t>方对收到的澄清要求将视所提问题具体情况以书面形式予以答复</w:t>
      </w:r>
      <w:r>
        <w:rPr>
          <w:rFonts w:hint="eastAsia" w:ascii="宋体" w:hAnsi="宋体" w:cs="宋体"/>
          <w:color w:val="auto"/>
          <w:sz w:val="21"/>
          <w:szCs w:val="21"/>
          <w:highlight w:val="none"/>
          <w:lang w:val="zh-CN"/>
        </w:rPr>
        <w:t>澄清</w:t>
      </w:r>
      <w:r>
        <w:rPr>
          <w:rFonts w:hint="eastAsia" w:ascii="宋体" w:hAnsi="宋体" w:cs="宋体"/>
          <w:color w:val="auto"/>
          <w:sz w:val="21"/>
          <w:szCs w:val="21"/>
          <w:highlight w:val="none"/>
        </w:rPr>
        <w:t>，同时寄给每个获取磋商文件的供应商或由供应商直接到</w:t>
      </w:r>
      <w:r>
        <w:rPr>
          <w:rFonts w:hint="eastAsia" w:ascii="宋体" w:hAnsi="宋体" w:cs="宋体"/>
          <w:color w:val="auto"/>
          <w:sz w:val="21"/>
          <w:szCs w:val="21"/>
          <w:highlight w:val="none"/>
          <w:lang w:val="zh-CN"/>
        </w:rPr>
        <w:t>采购</w:t>
      </w:r>
      <w:r>
        <w:rPr>
          <w:rFonts w:hint="eastAsia" w:ascii="宋体" w:hAnsi="宋体" w:cs="宋体"/>
          <w:color w:val="auto"/>
          <w:sz w:val="21"/>
          <w:szCs w:val="21"/>
          <w:highlight w:val="none"/>
        </w:rPr>
        <w:t>代理机构领取。供应商应立即以书面形式确认已收到的答复文件。答复中包括所提的问题，但不包括问题的来源。</w:t>
      </w:r>
      <w:r>
        <w:rPr>
          <w:rFonts w:hint="eastAsia" w:ascii="宋体" w:hAnsi="宋体" w:cs="宋体"/>
          <w:color w:val="auto"/>
          <w:sz w:val="21"/>
          <w:szCs w:val="21"/>
          <w:highlight w:val="none"/>
          <w:lang w:val="zh-CN"/>
        </w:rPr>
        <w:t>采购代理机构对收到的供应商书面质疑，将按照政府采购法律规章的规定处理。</w:t>
      </w:r>
    </w:p>
    <w:p w14:paraId="32E4F708">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7.2 采购人可在响应文件提交截止时间</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日前（含）对磋商文件进行修改、补充。磋商文件的修改、补充文件将以当面交接、传真或电子邮件的方式向潜在供应商发出，并在发布竞争性磋商公告的媒体上公告。</w:t>
      </w:r>
    </w:p>
    <w:p w14:paraId="0BFB04F2">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7.3 磋商文件的澄清、修改、补充文件均是磋商文件的组成部分，对所有供应商具有约束力，而无论其是否已经实际收到该澄清、修改、补充文件（包括答疑会纪要）。供应商若收到该澄清、修改、补充文件，则应立即以书面形式回复确认已收到。</w:t>
      </w:r>
    </w:p>
    <w:p w14:paraId="7646DC04">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7.4 为使供应商有充分的时间对磋商文件的澄清、修改、补充部分进行研究，采购代理机构可在响应文件提交截止时间</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日前（含）自行决定酌情延长</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val="zh-CN"/>
        </w:rPr>
        <w:t>截止时间，延长响应文件提交截止时间的公告将在发布竞争性磋商公告的媒体上发告，并以当面交接、传真或电子邮件的方式向所有潜在供应商发出。在这种情况下，采购人和供应商受响应文件提交截止时间制约的所有权利和义务均相应延长至新的响应文件提交截止时间。</w:t>
      </w:r>
    </w:p>
    <w:p w14:paraId="6108F69C">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8. 响应文件构成</w:t>
      </w:r>
    </w:p>
    <w:p w14:paraId="5151ED7A">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8.1 响应文件分为商务部分和技术部分。商务部分是供应商提交的证明其具有合格的磋商资格和成交后有能力履行合同的文件。技术部分是能够证明供应商所提供货物和服务的合格性和符合磋商文件规定的文件。</w:t>
      </w:r>
    </w:p>
    <w:p w14:paraId="0BEABC9C">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8.2 供应商应提交本磋商文件第</w:t>
      </w:r>
      <w:r>
        <w:rPr>
          <w:rFonts w:hint="eastAsia" w:ascii="宋体" w:hAnsi="宋体" w:cs="宋体"/>
          <w:color w:val="auto"/>
          <w:kern w:val="0"/>
          <w:sz w:val="21"/>
          <w:szCs w:val="21"/>
          <w:highlight w:val="none"/>
        </w:rPr>
        <w:t>六</w:t>
      </w:r>
      <w:r>
        <w:rPr>
          <w:rFonts w:hint="eastAsia" w:ascii="宋体" w:hAnsi="宋体" w:cs="宋体"/>
          <w:color w:val="auto"/>
          <w:kern w:val="0"/>
          <w:sz w:val="21"/>
          <w:szCs w:val="21"/>
          <w:highlight w:val="none"/>
          <w:lang w:val="zh-CN"/>
        </w:rPr>
        <w:t>章</w:t>
      </w:r>
      <w:r>
        <w:rPr>
          <w:rFonts w:hint="eastAsia" w:ascii="宋体" w:hAnsi="宋体" w:cs="宋体"/>
          <w:color w:val="auto"/>
          <w:sz w:val="21"/>
          <w:szCs w:val="21"/>
          <w:highlight w:val="none"/>
          <w:lang w:val="zh-CN"/>
        </w:rPr>
        <w:t>《响应文件构成、要求及格式》</w:t>
      </w:r>
      <w:r>
        <w:rPr>
          <w:rFonts w:hint="eastAsia" w:ascii="宋体" w:hAnsi="宋体" w:cs="宋体"/>
          <w:color w:val="auto"/>
          <w:kern w:val="0"/>
          <w:sz w:val="21"/>
          <w:szCs w:val="21"/>
          <w:highlight w:val="none"/>
          <w:lang w:val="zh-CN"/>
        </w:rPr>
        <w:t>规定的全部商务文件和技术文件，若有缺失、无效或者不符合磋商文件要求，将导致其被拒绝。</w:t>
      </w:r>
    </w:p>
    <w:p w14:paraId="591F594B">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9. 响应文件的编制</w:t>
      </w:r>
    </w:p>
    <w:p w14:paraId="2409D37E">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9.1 语言：响应文件以及供应商与采购代理机构就有关投磋商的来往函电均使用中文。 </w:t>
      </w:r>
    </w:p>
    <w:p w14:paraId="7FCCAA0B">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9.2 计量单位：中华人民共和国法定计量单位。</w:t>
      </w:r>
    </w:p>
    <w:p w14:paraId="70408AE5">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9.3 响应文件规格应采用A4幅面打印，按照文件规定的顺序，统一编目编码装订。为便于评审，技术文件中的各项表格应按照磋商文件第六章规定的格式制作。</w:t>
      </w:r>
    </w:p>
    <w:p w14:paraId="2B3A5DD8">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9.4 供应商在响应文件以及在合同签订、履行过程中所签署的相关文件中所加盖的公章，均须按照磋商文件的规定加盖与供应商名称全称相一致的标准公章。</w:t>
      </w:r>
    </w:p>
    <w:p w14:paraId="78D5D9BB">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9.5 </w:t>
      </w:r>
      <w:r>
        <w:rPr>
          <w:rFonts w:hint="eastAsia" w:ascii="宋体" w:hAnsi="宋体" w:cs="宋体"/>
          <w:color w:val="auto"/>
          <w:sz w:val="21"/>
          <w:szCs w:val="21"/>
          <w:highlight w:val="none"/>
          <w:lang w:val="zh-CN"/>
        </w:rPr>
        <w:t>采购</w:t>
      </w:r>
      <w:r>
        <w:rPr>
          <w:rFonts w:hint="eastAsia" w:ascii="宋体" w:hAnsi="宋体" w:cs="宋体"/>
          <w:color w:val="auto"/>
          <w:kern w:val="0"/>
          <w:sz w:val="21"/>
          <w:szCs w:val="21"/>
          <w:highlight w:val="none"/>
          <w:lang w:val="zh-CN"/>
        </w:rPr>
        <w:t>代理机构不接受采用传真方式提交的响应文件。</w:t>
      </w:r>
    </w:p>
    <w:p w14:paraId="7723DA18">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10. 磋商报价</w:t>
      </w:r>
    </w:p>
    <w:p w14:paraId="46F30732">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10.1 供应商的磋商报价应在磋商预算范围内，超出此范围的磋商报价为</w:t>
      </w:r>
      <w:r>
        <w:rPr>
          <w:rFonts w:hint="eastAsia" w:ascii="宋体" w:hAnsi="宋体" w:cs="宋体"/>
          <w:color w:val="auto"/>
          <w:sz w:val="21"/>
          <w:szCs w:val="21"/>
          <w:highlight w:val="none"/>
        </w:rPr>
        <w:t>无效</w:t>
      </w:r>
      <w:r>
        <w:rPr>
          <w:rFonts w:hint="eastAsia" w:ascii="宋体" w:hAnsi="宋体" w:cs="宋体"/>
          <w:color w:val="auto"/>
          <w:sz w:val="21"/>
          <w:szCs w:val="21"/>
          <w:highlight w:val="none"/>
          <w:lang w:val="zh-CN"/>
        </w:rPr>
        <w:t>响应。</w:t>
      </w:r>
    </w:p>
    <w:p w14:paraId="67E382C2">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10.</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供应商所报的价格在合同执行过程中是固定不变的，不得以任何理由予以变更。以可调整的价格提交的响应文件将作为非响应性磋商予以拒绝。</w:t>
      </w:r>
    </w:p>
    <w:p w14:paraId="423EA96F">
      <w:pPr>
        <w:keepNext w:val="0"/>
        <w:keepLines w:val="0"/>
        <w:pageBreakBefore w:val="0"/>
        <w:widowControl w:val="0"/>
        <w:kinsoku/>
        <w:wordWrap/>
        <w:overflowPunct/>
        <w:topLinePunct w:val="0"/>
        <w:autoSpaceDE w:val="0"/>
        <w:autoSpaceDN w:val="0"/>
        <w:bidi w:val="0"/>
        <w:adjustRightInd w:val="0"/>
        <w:snapToGrid/>
        <w:spacing w:line="460" w:lineRule="exact"/>
        <w:ind w:firstLine="482"/>
        <w:jc w:val="left"/>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zh-CN"/>
        </w:rPr>
        <w:t>. 磋商有效期</w:t>
      </w:r>
    </w:p>
    <w:p w14:paraId="7704AFF9">
      <w:pPr>
        <w:keepNext w:val="0"/>
        <w:keepLines w:val="0"/>
        <w:pageBreakBefore w:val="0"/>
        <w:widowControl w:val="0"/>
        <w:kinsoku/>
        <w:wordWrap/>
        <w:overflowPunct/>
        <w:topLinePunct w:val="0"/>
        <w:autoSpaceDE w:val="0"/>
        <w:autoSpaceDN w:val="0"/>
        <w:bidi w:val="0"/>
        <w:adjustRightInd w:val="0"/>
        <w:snapToGrid/>
        <w:spacing w:line="460" w:lineRule="exact"/>
        <w:ind w:firstLine="480"/>
        <w:jc w:val="lef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.1 磋商有效期为</w:t>
      </w:r>
      <w:r>
        <w:rPr>
          <w:rFonts w:hint="eastAsia" w:ascii="宋体" w:hAnsi="宋体" w:cs="宋体"/>
          <w:bCs/>
          <w:color w:val="auto"/>
          <w:kern w:val="15"/>
          <w:sz w:val="21"/>
          <w:szCs w:val="21"/>
          <w:highlight w:val="none"/>
        </w:rPr>
        <w:t>磋商截止之日后</w:t>
      </w:r>
      <w:r>
        <w:rPr>
          <w:rFonts w:hint="eastAsia" w:ascii="宋体" w:hAnsi="宋体" w:cs="宋体"/>
          <w:bCs/>
          <w:color w:val="auto"/>
          <w:sz w:val="21"/>
          <w:szCs w:val="21"/>
          <w:highlight w:val="none"/>
          <w:lang w:val="zh-CN"/>
        </w:rPr>
        <w:t>90天（日历天）</w:t>
      </w:r>
      <w:r>
        <w:rPr>
          <w:rFonts w:hint="eastAsia" w:ascii="宋体" w:hAnsi="宋体" w:cs="宋体"/>
          <w:color w:val="auto"/>
          <w:sz w:val="21"/>
          <w:szCs w:val="21"/>
          <w:highlight w:val="none"/>
          <w:lang w:val="zh-CN"/>
        </w:rPr>
        <w:t>。响应文件在这个规定期限内应保持有效。</w:t>
      </w:r>
    </w:p>
    <w:p w14:paraId="1BFB42F5">
      <w:pPr>
        <w:keepNext w:val="0"/>
        <w:keepLines w:val="0"/>
        <w:pageBreakBefore w:val="0"/>
        <w:widowControl w:val="0"/>
        <w:kinsoku/>
        <w:wordWrap/>
        <w:overflowPunct/>
        <w:topLinePunct w:val="0"/>
        <w:autoSpaceDE w:val="0"/>
        <w:autoSpaceDN w:val="0"/>
        <w:bidi w:val="0"/>
        <w:adjustRightInd w:val="0"/>
        <w:snapToGrid/>
        <w:spacing w:line="460" w:lineRule="exact"/>
        <w:ind w:firstLine="480"/>
        <w:jc w:val="lef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.2 在特殊情况下，采购人可与供应商协商延长磋商有效期。这种要求和答复都应以书面形式进行。供应商可以拒绝接受延期要求而不会被没收磋商保证金。同意延长磋商有效期的供应商除按照采购人要求修改响应文件的有效期外，不能修改响应文件的其他内容。</w:t>
      </w:r>
    </w:p>
    <w:p w14:paraId="37CEE782">
      <w:pPr>
        <w:keepNext w:val="0"/>
        <w:keepLines w:val="0"/>
        <w:pageBreakBefore w:val="0"/>
        <w:widowControl w:val="0"/>
        <w:kinsoku/>
        <w:wordWrap/>
        <w:overflowPunct/>
        <w:topLinePunct w:val="0"/>
        <w:autoSpaceDE w:val="0"/>
        <w:autoSpaceDN w:val="0"/>
        <w:bidi w:val="0"/>
        <w:adjustRightInd w:val="0"/>
        <w:snapToGrid/>
        <w:spacing w:line="460" w:lineRule="exact"/>
        <w:ind w:firstLine="482"/>
        <w:jc w:val="left"/>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zh-CN"/>
        </w:rPr>
        <w:t>. 响应文件的式样和签署</w:t>
      </w:r>
    </w:p>
    <w:p w14:paraId="6260CFE7">
      <w:pPr>
        <w:keepNext w:val="0"/>
        <w:keepLines w:val="0"/>
        <w:pageBreakBefore w:val="0"/>
        <w:widowControl w:val="0"/>
        <w:kinsoku/>
        <w:wordWrap/>
        <w:overflowPunct/>
        <w:topLinePunct w:val="0"/>
        <w:autoSpaceDE w:val="0"/>
        <w:autoSpaceDN w:val="0"/>
        <w:bidi w:val="0"/>
        <w:adjustRightInd w:val="0"/>
        <w:snapToGrid/>
        <w:spacing w:line="460" w:lineRule="exact"/>
        <w:ind w:firstLine="480"/>
        <w:jc w:val="lef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.1 响应文件需打印或用不褪色墨水书写。第六章《响应文件构成、要求及格式》中凡要求签署和/或加盖公章的，均须由供应商的法定代表人或授权代表手书签字和/或加盖供应商公章。响应文件由法定代表人签署的，须与其企业法人营业执照相符；（按第六章规定的格式提交）。</w:t>
      </w:r>
    </w:p>
    <w:p w14:paraId="1AB6A35B">
      <w:pPr>
        <w:keepNext w:val="0"/>
        <w:keepLines w:val="0"/>
        <w:pageBreakBefore w:val="0"/>
        <w:widowControl w:val="0"/>
        <w:kinsoku/>
        <w:wordWrap/>
        <w:overflowPunct/>
        <w:topLinePunct w:val="0"/>
        <w:autoSpaceDE w:val="0"/>
        <w:autoSpaceDN w:val="0"/>
        <w:bidi w:val="0"/>
        <w:adjustRightInd w:val="0"/>
        <w:snapToGrid/>
        <w:spacing w:line="460" w:lineRule="exact"/>
        <w:ind w:firstLine="480"/>
        <w:jc w:val="lef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.2 响应文件中如有修改错漏处，应在修改处加盖供应商公章。</w:t>
      </w:r>
    </w:p>
    <w:p w14:paraId="1B26678D">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3</w:t>
      </w:r>
      <w:r>
        <w:rPr>
          <w:rFonts w:hint="eastAsia" w:ascii="宋体" w:hAnsi="宋体" w:cs="宋体"/>
          <w:b/>
          <w:color w:val="auto"/>
          <w:sz w:val="21"/>
          <w:szCs w:val="21"/>
          <w:highlight w:val="none"/>
          <w:lang w:val="zh-CN"/>
        </w:rPr>
        <w:t>. 响应文件的修改和撤回</w:t>
      </w:r>
    </w:p>
    <w:p w14:paraId="045BA8CF">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.1 供应商在递交响应文件后，可以修改或撤回其响应文件，但采购代理机构必须在规定的响应文件提交截止时间之前收到供应商的修改或撤回的书面通知。</w:t>
      </w:r>
    </w:p>
    <w:p w14:paraId="16309ECF">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.2 供应商的修改或撤回通知书应按对响应文件的规定一样进行编制、密封、标记和递交，并标明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修改</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或</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撤回</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字样。</w:t>
      </w:r>
    </w:p>
    <w:p w14:paraId="1C680754">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.3 在响应文件提交截止时间（磋商时间）之后，供应商不得对其响应文件做任何修改（包括磋商一览表的内容）。</w:t>
      </w:r>
    </w:p>
    <w:p w14:paraId="25270149">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4</w:t>
      </w:r>
      <w:r>
        <w:rPr>
          <w:rFonts w:hint="eastAsia" w:ascii="宋体" w:hAnsi="宋体" w:cs="宋体"/>
          <w:b/>
          <w:color w:val="auto"/>
          <w:sz w:val="21"/>
          <w:szCs w:val="21"/>
          <w:highlight w:val="none"/>
          <w:lang w:val="zh-CN"/>
        </w:rPr>
        <w:t>. 响应文件</w:t>
      </w:r>
    </w:p>
    <w:p w14:paraId="42465815">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.1 供应商应将响应文件装订成册、密封，在信封上标明项目名称、</w:t>
      </w:r>
      <w:r>
        <w:rPr>
          <w:rFonts w:hint="eastAsia" w:ascii="宋体" w:hAnsi="宋体" w:cs="宋体"/>
          <w:color w:val="auto"/>
          <w:sz w:val="21"/>
          <w:szCs w:val="21"/>
          <w:highlight w:val="none"/>
        </w:rPr>
        <w:t>招标</w:t>
      </w:r>
      <w:r>
        <w:rPr>
          <w:rFonts w:hint="eastAsia" w:ascii="宋体" w:hAnsi="宋体" w:cs="宋体"/>
          <w:color w:val="auto"/>
          <w:sz w:val="21"/>
          <w:szCs w:val="21"/>
          <w:highlight w:val="none"/>
          <w:lang w:val="zh-CN"/>
        </w:rPr>
        <w:t>编号、供应商名称、地址，并在封口处加盖供应商公章，在规定的地点和响应文件提交截止时间前递交给采购代理机构。如果供应商没有按照要求密封、标记，采购代理机构对于供应商的</w:t>
      </w:r>
      <w:r>
        <w:rPr>
          <w:rFonts w:hint="eastAsia" w:ascii="宋体" w:hAnsi="宋体" w:cs="宋体"/>
          <w:color w:val="auto"/>
          <w:sz w:val="21"/>
          <w:szCs w:val="21"/>
          <w:highlight w:val="none"/>
        </w:rPr>
        <w:t>错误响应</w:t>
      </w:r>
      <w:r>
        <w:rPr>
          <w:rFonts w:hint="eastAsia" w:ascii="宋体" w:hAnsi="宋体" w:cs="宋体"/>
          <w:color w:val="auto"/>
          <w:sz w:val="21"/>
          <w:szCs w:val="21"/>
          <w:highlight w:val="none"/>
          <w:lang w:val="zh-CN"/>
        </w:rPr>
        <w:t>以及提前拆封概不负责。</w:t>
      </w:r>
    </w:p>
    <w:p w14:paraId="3E4756D7">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.2 响应文件份数：供应商应提交响应文件正本1份、副本</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val="zh-CN"/>
        </w:rPr>
        <w:t>份，电子版</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val="zh-CN"/>
        </w:rPr>
        <w:t>份（单独密封），并标明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正本</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副本</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字样，</w:t>
      </w:r>
      <w:r>
        <w:rPr>
          <w:rFonts w:hint="eastAsia" w:ascii="宋体" w:hAnsi="宋体" w:cs="宋体"/>
          <w:color w:val="auto"/>
          <w:sz w:val="21"/>
          <w:szCs w:val="21"/>
          <w:highlight w:val="none"/>
          <w:lang w:val="en-US" w:eastAsia="zh-CN"/>
        </w:rPr>
        <w:t>副本可以是正本的复印件，但必须加盖骑缝章。</w:t>
      </w:r>
      <w:r>
        <w:rPr>
          <w:rFonts w:hint="eastAsia" w:ascii="宋体" w:hAnsi="宋体" w:cs="宋体"/>
          <w:color w:val="auto"/>
          <w:sz w:val="21"/>
          <w:szCs w:val="21"/>
          <w:highlight w:val="none"/>
          <w:lang w:val="zh-CN"/>
        </w:rPr>
        <w:t>当正本与副本内容不一致时，以正本为准。</w:t>
      </w:r>
    </w:p>
    <w:p w14:paraId="5D98C265">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.3 供应商应按第</w:t>
      </w:r>
      <w:r>
        <w:rPr>
          <w:rFonts w:hint="eastAsia" w:ascii="宋体" w:hAnsi="宋体" w:cs="宋体"/>
          <w:color w:val="auto"/>
          <w:sz w:val="21"/>
          <w:szCs w:val="21"/>
          <w:highlight w:val="none"/>
        </w:rPr>
        <w:t>六</w:t>
      </w:r>
      <w:r>
        <w:rPr>
          <w:rFonts w:hint="eastAsia" w:ascii="宋体" w:hAnsi="宋体" w:cs="宋体"/>
          <w:color w:val="auto"/>
          <w:sz w:val="21"/>
          <w:szCs w:val="21"/>
          <w:highlight w:val="none"/>
          <w:lang w:val="zh-CN"/>
        </w:rPr>
        <w:t>章《响应文件构成、要求及格式》中的格式和要求单独编制一份《磋商一览表》，按照对响应文件同样的要求单独密封和标记，与响应文件同时递交。</w:t>
      </w:r>
    </w:p>
    <w:p w14:paraId="2A1C667C">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.4 采购代理机构将拒绝接受并原封退回在规定的响应文件提交截止时间以后递交的响应文件。</w:t>
      </w:r>
    </w:p>
    <w:p w14:paraId="273EAC54">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5</w:t>
      </w:r>
      <w:r>
        <w:rPr>
          <w:rFonts w:hint="eastAsia" w:ascii="宋体" w:hAnsi="宋体" w:cs="宋体"/>
          <w:b/>
          <w:color w:val="auto"/>
          <w:sz w:val="21"/>
          <w:szCs w:val="21"/>
          <w:highlight w:val="none"/>
          <w:lang w:val="zh-CN"/>
        </w:rPr>
        <w:t>. 磋商</w:t>
      </w:r>
    </w:p>
    <w:p w14:paraId="1F1C9F79">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.1采购代理机构将在竞争性磋商公告规定的时间和地点组织磋商活动。供应商法定代表人或其授权代理人应参加并签名报到以证明其出席。</w:t>
      </w:r>
    </w:p>
    <w:p w14:paraId="31849864">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.2 磋商会议由采购代理机构组织并主持。开启文件前，</w:t>
      </w:r>
      <w:r>
        <w:rPr>
          <w:rFonts w:hint="eastAsia" w:ascii="宋体" w:hAnsi="宋体" w:cs="宋体"/>
          <w:color w:val="auto"/>
          <w:kern w:val="0"/>
          <w:sz w:val="21"/>
          <w:szCs w:val="21"/>
          <w:highlight w:val="none"/>
          <w:lang w:val="zh-CN"/>
        </w:rPr>
        <w:t>由监督人员或者供应商代表检查响应文件的密封情况并当场宣布检查情况。</w:t>
      </w:r>
    </w:p>
    <w:p w14:paraId="08AA4930">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按照供应商须知第14条的规定，提交了可接受的</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撤回</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通知的响应文件将不予开封。撤回的响应文件将原封退回供应商。</w:t>
      </w:r>
    </w:p>
    <w:p w14:paraId="11646545">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Cs/>
          <w:color w:val="auto"/>
          <w:sz w:val="21"/>
          <w:szCs w:val="21"/>
          <w:highlight w:val="none"/>
        </w:rPr>
        <w:t>15.4</w:t>
      </w:r>
      <w:r>
        <w:rPr>
          <w:rFonts w:hint="eastAsia" w:ascii="宋体" w:hAnsi="宋体" w:cs="宋体"/>
          <w:b/>
          <w:color w:val="auto"/>
          <w:sz w:val="21"/>
          <w:szCs w:val="21"/>
          <w:highlight w:val="none"/>
          <w:lang w:val="zh-CN"/>
        </w:rPr>
        <w:t>磋商会议时有下列情形之一的为无效磋商：</w:t>
      </w:r>
    </w:p>
    <w:p w14:paraId="515F0D1C">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（1）响应文件在规定的响应文件提交截止时间以后送达的；</w:t>
      </w:r>
    </w:p>
    <w:p w14:paraId="2F239D92">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）响应文件未按磋商文件规定密封的；</w:t>
      </w:r>
    </w:p>
    <w:p w14:paraId="6C81B851">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）未提交单独密封的磋商一览表或者磋商一览表未按规定加盖公章和/或有效签署的；</w:t>
      </w:r>
    </w:p>
    <w:p w14:paraId="585713FC">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4</w:t>
      </w:r>
      <w:r>
        <w:rPr>
          <w:rFonts w:hint="eastAsia" w:ascii="宋体" w:hAnsi="宋体" w:cs="宋体"/>
          <w:color w:val="auto"/>
          <w:sz w:val="21"/>
          <w:szCs w:val="21"/>
          <w:highlight w:val="none"/>
          <w:lang w:val="zh-CN"/>
        </w:rPr>
        <w:t>）磋商文件规定磋商时属于无效磋商的其他情形。</w:t>
      </w:r>
    </w:p>
    <w:p w14:paraId="5132EF17">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Cs/>
          <w:color w:val="auto"/>
          <w:sz w:val="21"/>
          <w:szCs w:val="21"/>
          <w:highlight w:val="none"/>
        </w:rPr>
        <w:t>15.5</w:t>
      </w:r>
      <w:r>
        <w:rPr>
          <w:rFonts w:hint="eastAsia" w:ascii="宋体" w:hAnsi="宋体" w:cs="宋体"/>
          <w:bCs/>
          <w:color w:val="auto"/>
          <w:sz w:val="21"/>
          <w:szCs w:val="21"/>
          <w:highlight w:val="none"/>
          <w:lang w:val="zh-CN"/>
        </w:rPr>
        <w:t xml:space="preserve"> </w:t>
      </w:r>
      <w:r>
        <w:rPr>
          <w:rFonts w:hint="eastAsia" w:ascii="宋体" w:hAnsi="宋体" w:cs="宋体"/>
          <w:b/>
          <w:color w:val="auto"/>
          <w:sz w:val="21"/>
          <w:szCs w:val="21"/>
          <w:highlight w:val="none"/>
          <w:lang w:val="zh-CN"/>
        </w:rPr>
        <w:t>磋商会议时有下列情形之一的，采购代理机构有权宣布本项目</w:t>
      </w:r>
      <w:r>
        <w:rPr>
          <w:rFonts w:hint="eastAsia" w:ascii="宋体" w:hAnsi="宋体" w:cs="宋体"/>
          <w:b/>
          <w:color w:val="auto"/>
          <w:sz w:val="21"/>
          <w:szCs w:val="21"/>
          <w:highlight w:val="none"/>
        </w:rPr>
        <w:t>为无效</w:t>
      </w:r>
      <w:r>
        <w:rPr>
          <w:rFonts w:hint="eastAsia" w:ascii="宋体" w:hAnsi="宋体" w:cs="宋体"/>
          <w:b/>
          <w:color w:val="auto"/>
          <w:sz w:val="21"/>
          <w:szCs w:val="21"/>
          <w:highlight w:val="none"/>
          <w:lang w:val="zh-CN"/>
        </w:rPr>
        <w:t>磋商：</w:t>
      </w:r>
    </w:p>
    <w:p w14:paraId="7ADB382D">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（1）响应文件提交截止时间符合磋商文件要求的供应商不足</w:t>
      </w:r>
      <w:r>
        <w:rPr>
          <w:rFonts w:hint="eastAsia" w:ascii="宋体" w:hAnsi="宋体" w:cs="宋体"/>
          <w:color w:val="auto"/>
          <w:sz w:val="21"/>
          <w:szCs w:val="21"/>
          <w:highlight w:val="none"/>
        </w:rPr>
        <w:t>三</w:t>
      </w:r>
      <w:r>
        <w:rPr>
          <w:rFonts w:hint="eastAsia" w:ascii="宋体" w:hAnsi="宋体" w:cs="宋体"/>
          <w:color w:val="auto"/>
          <w:sz w:val="21"/>
          <w:szCs w:val="21"/>
          <w:highlight w:val="none"/>
          <w:lang w:val="zh-CN"/>
        </w:rPr>
        <w:t>家的；</w:t>
      </w:r>
    </w:p>
    <w:p w14:paraId="5E4DB0A9">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b/>
          <w:color w:val="auto"/>
          <w:sz w:val="21"/>
          <w:szCs w:val="21"/>
          <w:highlight w:val="none"/>
          <w:lang w:val="zh-CN"/>
        </w:rPr>
      </w:pPr>
      <w:r>
        <w:rPr>
          <w:rFonts w:hint="eastAsia" w:ascii="宋体" w:hAnsi="宋体" w:cs="宋体"/>
          <w:color w:val="auto"/>
          <w:sz w:val="21"/>
          <w:szCs w:val="21"/>
          <w:highlight w:val="none"/>
          <w:lang w:val="zh-CN"/>
        </w:rPr>
        <w:t>（2）所有供应商的报价均超过项目预算，采购人不能支付的。</w:t>
      </w:r>
    </w:p>
    <w:p w14:paraId="7BC97AF1">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6</w:t>
      </w:r>
      <w:r>
        <w:rPr>
          <w:rFonts w:hint="eastAsia" w:ascii="宋体" w:hAnsi="宋体" w:cs="宋体"/>
          <w:b/>
          <w:color w:val="auto"/>
          <w:sz w:val="21"/>
          <w:szCs w:val="21"/>
          <w:highlight w:val="none"/>
          <w:lang w:val="zh-CN"/>
        </w:rPr>
        <w:t>. 评审过程的保密性：</w:t>
      </w:r>
      <w:r>
        <w:rPr>
          <w:rFonts w:hint="eastAsia" w:ascii="宋体" w:hAnsi="宋体" w:cs="宋体"/>
          <w:color w:val="auto"/>
          <w:sz w:val="21"/>
          <w:szCs w:val="21"/>
          <w:highlight w:val="none"/>
          <w:lang w:val="zh-CN"/>
        </w:rPr>
        <w:t>磋商会议开始后，直至向成交供应商授予合同时止，除按磋商文件规定予以公开的评审结果外，凡与审查、澄清、评价的资料等，均不得向供应商及与评审无关的其他人透露。</w:t>
      </w:r>
    </w:p>
    <w:p w14:paraId="3C3C39B9">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rPr>
        <w:t>17</w:t>
      </w:r>
      <w:r>
        <w:rPr>
          <w:rFonts w:hint="eastAsia" w:ascii="宋体" w:hAnsi="宋体" w:cs="宋体"/>
          <w:b/>
          <w:color w:val="auto"/>
          <w:sz w:val="21"/>
          <w:szCs w:val="21"/>
          <w:highlight w:val="none"/>
          <w:lang w:val="zh-CN"/>
        </w:rPr>
        <w:t>. 评审</w:t>
      </w:r>
    </w:p>
    <w:p w14:paraId="2CFF2B8C">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w:t>
      </w:r>
      <w:r>
        <w:rPr>
          <w:rFonts w:hint="eastAsia" w:ascii="宋体" w:hAnsi="宋体" w:cs="宋体"/>
          <w:bCs/>
          <w:color w:val="auto"/>
          <w:sz w:val="21"/>
          <w:szCs w:val="21"/>
          <w:highlight w:val="none"/>
          <w:lang w:val="zh-CN"/>
        </w:rPr>
        <w:t>.1</w:t>
      </w:r>
      <w:r>
        <w:rPr>
          <w:rFonts w:hint="eastAsia" w:ascii="宋体" w:hAnsi="宋体" w:cs="宋体"/>
          <w:b/>
          <w:color w:val="auto"/>
          <w:sz w:val="21"/>
          <w:szCs w:val="21"/>
          <w:highlight w:val="none"/>
          <w:lang w:val="zh-CN"/>
        </w:rPr>
        <w:t xml:space="preserve"> 评审工作由采购代理机构负责组织，具体工作由依法组建的磋商小组负责。</w:t>
      </w:r>
      <w:r>
        <w:rPr>
          <w:rFonts w:hint="eastAsia" w:ascii="宋体" w:hAnsi="宋体" w:cs="宋体"/>
          <w:color w:val="auto"/>
          <w:sz w:val="21"/>
          <w:szCs w:val="21"/>
          <w:highlight w:val="none"/>
          <w:lang w:val="zh-CN"/>
        </w:rPr>
        <w:t>磋商小组由有关的技术、经济方面的专家组成。磋商小组的专家成员由专家库中随机抽取产生。需要设立磋商小组主任的，磋商小组主任由专家担任，由磋商小组成员选举产生，负责主持具体评审工作。磋商小组根据有关法律法规和磋商文件规定的方法和标准独立评审，负责完成评审的全过程直至评定成交候选供应商。采购代理机构只负责评审组织工作，不参加评审。</w:t>
      </w:r>
    </w:p>
    <w:p w14:paraId="534C2D43">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w:t>
      </w:r>
      <w:r>
        <w:rPr>
          <w:rFonts w:hint="eastAsia" w:ascii="宋体" w:hAnsi="宋体" w:cs="宋体"/>
          <w:bCs/>
          <w:color w:val="auto"/>
          <w:sz w:val="21"/>
          <w:szCs w:val="21"/>
          <w:highlight w:val="none"/>
          <w:lang w:val="zh-CN"/>
        </w:rPr>
        <w:t>.2</w:t>
      </w:r>
      <w:r>
        <w:rPr>
          <w:rFonts w:hint="eastAsia" w:ascii="宋体" w:hAnsi="宋体" w:cs="宋体"/>
          <w:b/>
          <w:color w:val="auto"/>
          <w:sz w:val="21"/>
          <w:szCs w:val="21"/>
          <w:highlight w:val="none"/>
          <w:lang w:val="zh-CN"/>
        </w:rPr>
        <w:t xml:space="preserve"> 审查是否所有供应商的报价均超过预算：</w:t>
      </w:r>
      <w:r>
        <w:rPr>
          <w:rFonts w:hint="eastAsia" w:ascii="宋体" w:hAnsi="宋体" w:cs="宋体"/>
          <w:color w:val="auto"/>
          <w:sz w:val="21"/>
          <w:szCs w:val="21"/>
          <w:highlight w:val="none"/>
          <w:lang w:val="zh-CN"/>
        </w:rPr>
        <w:t>根据《中华人民共和国政府</w:t>
      </w:r>
      <w:r>
        <w:rPr>
          <w:rFonts w:hint="eastAsia" w:ascii="宋体" w:hAnsi="宋体" w:cs="宋体"/>
          <w:bCs/>
          <w:color w:val="auto"/>
          <w:sz w:val="21"/>
          <w:szCs w:val="21"/>
          <w:highlight w:val="none"/>
          <w:lang w:val="zh-CN"/>
        </w:rPr>
        <w:t>采购法》的规定，所有供应商的报价均超过预算，采购人不能支付的，</w:t>
      </w:r>
      <w:r>
        <w:rPr>
          <w:rFonts w:hint="eastAsia" w:ascii="宋体" w:hAnsi="宋体" w:cs="宋体"/>
          <w:bCs/>
          <w:color w:val="auto"/>
          <w:sz w:val="21"/>
          <w:szCs w:val="21"/>
          <w:highlight w:val="none"/>
        </w:rPr>
        <w:t>本项目为无</w:t>
      </w:r>
      <w:r>
        <w:rPr>
          <w:rFonts w:hint="eastAsia" w:ascii="宋体" w:hAnsi="宋体" w:cs="宋体"/>
          <w:color w:val="auto"/>
          <w:sz w:val="21"/>
          <w:szCs w:val="21"/>
          <w:highlight w:val="none"/>
        </w:rPr>
        <w:t>效磋商</w:t>
      </w:r>
      <w:r>
        <w:rPr>
          <w:rFonts w:hint="eastAsia" w:ascii="宋体" w:hAnsi="宋体" w:cs="宋体"/>
          <w:color w:val="auto"/>
          <w:sz w:val="21"/>
          <w:szCs w:val="21"/>
          <w:highlight w:val="none"/>
          <w:lang w:val="zh-CN"/>
        </w:rPr>
        <w:t>。</w:t>
      </w:r>
    </w:p>
    <w:p w14:paraId="372C6363">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bCs/>
          <w:color w:val="auto"/>
          <w:sz w:val="21"/>
          <w:szCs w:val="21"/>
          <w:highlight w:val="none"/>
          <w:lang w:val="zh-CN"/>
        </w:rPr>
        <w:t>1</w:t>
      </w:r>
      <w:r>
        <w:rPr>
          <w:rFonts w:hint="eastAsia" w:ascii="宋体" w:hAnsi="宋体" w:cs="宋体"/>
          <w:bCs/>
          <w:color w:val="auto"/>
          <w:sz w:val="21"/>
          <w:szCs w:val="21"/>
          <w:highlight w:val="none"/>
        </w:rPr>
        <w:t>7</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3</w:t>
      </w:r>
      <w:r>
        <w:rPr>
          <w:rFonts w:hint="eastAsia" w:ascii="宋体" w:hAnsi="宋体" w:cs="宋体"/>
          <w:bCs/>
          <w:color w:val="auto"/>
          <w:sz w:val="21"/>
          <w:szCs w:val="21"/>
          <w:highlight w:val="none"/>
          <w:lang w:val="zh-CN"/>
        </w:rPr>
        <w:t xml:space="preserve"> </w:t>
      </w:r>
      <w:r>
        <w:rPr>
          <w:rFonts w:hint="eastAsia" w:ascii="宋体" w:hAnsi="宋体" w:cs="宋体"/>
          <w:b/>
          <w:color w:val="auto"/>
          <w:sz w:val="21"/>
          <w:szCs w:val="21"/>
          <w:highlight w:val="none"/>
          <w:lang w:val="zh-CN"/>
        </w:rPr>
        <w:t>对响应文件商务部分（供应商资格）进行审查：</w:t>
      </w:r>
      <w:r>
        <w:rPr>
          <w:rFonts w:hint="eastAsia" w:ascii="宋体" w:hAnsi="宋体" w:cs="宋体"/>
          <w:color w:val="auto"/>
          <w:sz w:val="21"/>
          <w:szCs w:val="21"/>
          <w:highlight w:val="none"/>
        </w:rPr>
        <w:t>初步评审。</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小组依据有关法律法规和综合</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文件的规定，对响应性文件中资质证明、磋商保证金等进行审查，审查每个供应商提交的资质证明材料是否齐全、完整、合法、有效。在评审过程中，</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小组可以要求供应商提供磋商文件要求的“原件备查”进行核查，供应商应在</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小组规定的时限内提供。供应商拒不提供的，或者不能在规定时限内提供的，视为其不具备该资格条件，其响应性文件将被作为无效处理。</w:t>
      </w:r>
    </w:p>
    <w:p w14:paraId="14D20D12">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4</w:t>
      </w:r>
      <w:r>
        <w:rPr>
          <w:rFonts w:hint="eastAsia" w:ascii="宋体" w:hAnsi="宋体" w:cs="宋体"/>
          <w:b/>
          <w:color w:val="auto"/>
          <w:sz w:val="21"/>
          <w:szCs w:val="21"/>
          <w:highlight w:val="none"/>
          <w:lang w:val="zh-CN"/>
        </w:rPr>
        <w:t>对响应文件进行详细审查：</w:t>
      </w:r>
    </w:p>
    <w:p w14:paraId="62E7734E">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lang w:val="zh-CN"/>
        </w:rPr>
        <w:t>1</w:t>
      </w:r>
      <w:r>
        <w:rPr>
          <w:rFonts w:hint="eastAsia" w:ascii="宋体" w:hAnsi="宋体" w:cs="宋体"/>
          <w:bCs/>
          <w:color w:val="auto"/>
          <w:sz w:val="21"/>
          <w:szCs w:val="21"/>
          <w:highlight w:val="none"/>
        </w:rPr>
        <w:t>7</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4</w:t>
      </w:r>
      <w:r>
        <w:rPr>
          <w:rFonts w:hint="eastAsia" w:ascii="宋体" w:hAnsi="宋体" w:cs="宋体"/>
          <w:bCs/>
          <w:color w:val="auto"/>
          <w:sz w:val="21"/>
          <w:szCs w:val="21"/>
          <w:highlight w:val="none"/>
          <w:lang w:val="zh-CN"/>
        </w:rPr>
        <w:t>.1</w:t>
      </w:r>
      <w:r>
        <w:rPr>
          <w:rFonts w:hint="eastAsia" w:ascii="宋体" w:hAnsi="宋体" w:cs="宋体"/>
          <w:b/>
          <w:color w:val="auto"/>
          <w:sz w:val="21"/>
          <w:szCs w:val="21"/>
          <w:highlight w:val="none"/>
          <w:lang w:val="zh-CN"/>
        </w:rPr>
        <w:t xml:space="preserve"> </w:t>
      </w:r>
      <w:r>
        <w:rPr>
          <w:rFonts w:hint="eastAsia" w:ascii="宋体" w:hAnsi="宋体" w:cs="宋体"/>
          <w:color w:val="auto"/>
          <w:sz w:val="21"/>
          <w:szCs w:val="21"/>
          <w:highlight w:val="none"/>
          <w:lang w:val="zh-CN"/>
        </w:rPr>
        <w:t>对于商务审查合格的供应商，磋商小组将审查其响应文件技术部分是否对磋商文件规定的事项、格式、条款和技术规格等要求都做出了实质性响应。</w:t>
      </w:r>
    </w:p>
    <w:p w14:paraId="10E5CB04">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Cs/>
          <w:color w:val="auto"/>
          <w:sz w:val="21"/>
          <w:szCs w:val="21"/>
          <w:highlight w:val="none"/>
          <w:lang w:val="zh-CN"/>
        </w:rPr>
        <w:t>1</w:t>
      </w:r>
      <w:r>
        <w:rPr>
          <w:rFonts w:hint="eastAsia" w:ascii="宋体" w:hAnsi="宋体" w:cs="宋体"/>
          <w:bCs/>
          <w:color w:val="auto"/>
          <w:sz w:val="21"/>
          <w:szCs w:val="21"/>
          <w:highlight w:val="none"/>
        </w:rPr>
        <w:t>7</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4</w:t>
      </w:r>
      <w:r>
        <w:rPr>
          <w:rFonts w:hint="eastAsia" w:ascii="宋体" w:hAnsi="宋体" w:cs="宋体"/>
          <w:bCs/>
          <w:color w:val="auto"/>
          <w:sz w:val="21"/>
          <w:szCs w:val="21"/>
          <w:highlight w:val="none"/>
          <w:lang w:val="zh-CN"/>
        </w:rPr>
        <w:t xml:space="preserve">.2 </w:t>
      </w:r>
      <w:r>
        <w:rPr>
          <w:rFonts w:hint="eastAsia" w:ascii="宋体" w:hAnsi="宋体" w:cs="宋体"/>
          <w:color w:val="auto"/>
          <w:sz w:val="21"/>
          <w:szCs w:val="21"/>
          <w:highlight w:val="none"/>
          <w:lang w:val="zh-CN"/>
        </w:rPr>
        <w:t>实质性响应的磋商是指与磋商文件规定的事项、条款、条件和技术规格相符，没有重大偏离和保留。没有实质性响应磋商文件要求的将被拒绝。</w:t>
      </w:r>
    </w:p>
    <w:p w14:paraId="6681936F">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lang w:val="zh-CN"/>
        </w:rPr>
        <w:t>1</w:t>
      </w:r>
      <w:r>
        <w:rPr>
          <w:rFonts w:hint="eastAsia" w:ascii="宋体" w:hAnsi="宋体" w:cs="宋体"/>
          <w:bCs/>
          <w:color w:val="auto"/>
          <w:sz w:val="21"/>
          <w:szCs w:val="21"/>
          <w:highlight w:val="none"/>
        </w:rPr>
        <w:t>7</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rPr>
        <w:t>5</w:t>
      </w:r>
      <w:r>
        <w:rPr>
          <w:rFonts w:hint="eastAsia" w:ascii="宋体" w:hAnsi="宋体" w:cs="宋体"/>
          <w:b/>
          <w:color w:val="auto"/>
          <w:sz w:val="21"/>
          <w:szCs w:val="21"/>
          <w:highlight w:val="none"/>
          <w:lang w:val="zh-CN"/>
        </w:rPr>
        <w:t xml:space="preserve"> </w:t>
      </w:r>
      <w:r>
        <w:rPr>
          <w:rFonts w:hint="eastAsia" w:ascii="宋体" w:hAnsi="宋体" w:cs="宋体"/>
          <w:color w:val="auto"/>
          <w:sz w:val="21"/>
          <w:szCs w:val="21"/>
          <w:highlight w:val="none"/>
          <w:lang w:val="zh-CN"/>
        </w:rPr>
        <w:t>重大偏离和保留是指实质上影响合同的磋商范围、质量和性能，或者实质上限制了合同中采购人的权利或供应商的义务。响应文件有下列情形之一的属于重大偏离和保留，将作</w:t>
      </w:r>
      <w:r>
        <w:rPr>
          <w:rFonts w:hint="eastAsia" w:ascii="宋体" w:hAnsi="宋体" w:cs="宋体"/>
          <w:color w:val="auto"/>
          <w:sz w:val="21"/>
          <w:szCs w:val="21"/>
          <w:highlight w:val="none"/>
        </w:rPr>
        <w:t>无效</w:t>
      </w:r>
      <w:r>
        <w:rPr>
          <w:rFonts w:hint="eastAsia" w:ascii="宋体" w:hAnsi="宋体" w:cs="宋体"/>
          <w:color w:val="auto"/>
          <w:sz w:val="21"/>
          <w:szCs w:val="21"/>
          <w:highlight w:val="none"/>
          <w:lang w:val="zh-CN"/>
        </w:rPr>
        <w:t>处理：</w:t>
      </w:r>
    </w:p>
    <w:p w14:paraId="236005E1">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（1）供应商未按磋商文件规定提交所要求提交的全部文件或者提交的文件无效或者不符合磋商文件的规定；</w:t>
      </w:r>
    </w:p>
    <w:p w14:paraId="3BF6EF00">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（2）响应文件未按磋商文件的规定有效签署和/或加盖公章；</w:t>
      </w:r>
    </w:p>
    <w:p w14:paraId="1909D621">
      <w:pPr>
        <w:keepNext w:val="0"/>
        <w:keepLines w:val="0"/>
        <w:pageBreakBefore w:val="0"/>
        <w:widowControl w:val="0"/>
        <w:tabs>
          <w:tab w:val="left" w:pos="1920"/>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（3）响应文件载明的项目完成期限超过磋商文件规定的期限；</w:t>
      </w:r>
    </w:p>
    <w:p w14:paraId="7E6647C2">
      <w:pPr>
        <w:keepNext w:val="0"/>
        <w:keepLines w:val="0"/>
        <w:pageBreakBefore w:val="0"/>
        <w:widowControl w:val="0"/>
        <w:tabs>
          <w:tab w:val="left" w:pos="1920"/>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（4）响应文件明显不符合磋商文件规定的技术规格、技术标准要求；</w:t>
      </w:r>
    </w:p>
    <w:p w14:paraId="3A939F96">
      <w:pPr>
        <w:keepNext w:val="0"/>
        <w:keepLines w:val="0"/>
        <w:pageBreakBefore w:val="0"/>
        <w:widowControl w:val="0"/>
        <w:tabs>
          <w:tab w:val="left" w:pos="1920"/>
        </w:tabs>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）响应文件附有采购人不能接受的条件；</w:t>
      </w:r>
    </w:p>
    <w:p w14:paraId="52EDAA90">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6</w:t>
      </w:r>
      <w:r>
        <w:rPr>
          <w:rFonts w:hint="eastAsia" w:ascii="宋体" w:hAnsi="宋体" w:cs="宋体"/>
          <w:color w:val="auto"/>
          <w:sz w:val="21"/>
          <w:szCs w:val="21"/>
          <w:highlight w:val="none"/>
          <w:lang w:val="zh-CN"/>
        </w:rPr>
        <w:t>）不符合磋商文件规定的其他实质性要求。</w:t>
      </w:r>
    </w:p>
    <w:p w14:paraId="159C0E10">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17.6</w:t>
      </w:r>
      <w:r>
        <w:rPr>
          <w:rFonts w:hint="eastAsia" w:ascii="宋体" w:hAnsi="宋体" w:cs="宋体"/>
          <w:bCs/>
          <w:color w:val="auto"/>
          <w:sz w:val="21"/>
          <w:szCs w:val="21"/>
          <w:highlight w:val="none"/>
          <w:lang w:val="zh-CN"/>
        </w:rPr>
        <w:t xml:space="preserve"> </w:t>
      </w:r>
      <w:r>
        <w:rPr>
          <w:rFonts w:hint="eastAsia" w:ascii="宋体" w:hAnsi="宋体" w:cs="宋体"/>
          <w:color w:val="auto"/>
          <w:sz w:val="21"/>
          <w:szCs w:val="21"/>
          <w:highlight w:val="none"/>
          <w:lang w:val="zh-CN"/>
        </w:rPr>
        <w:t>磋商小组将允许修正响应文件中不构成重大偏离的细微偏离，但这些修正应不会对实质上响应磋商文件要求的供应商的竞争地位（相互排序）产生不公正的影响。</w:t>
      </w:r>
    </w:p>
    <w:p w14:paraId="0669D126">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b/>
          <w:color w:val="auto"/>
          <w:sz w:val="21"/>
          <w:szCs w:val="21"/>
          <w:highlight w:val="none"/>
          <w:lang w:val="zh-CN"/>
        </w:rPr>
      </w:pPr>
      <w:r>
        <w:rPr>
          <w:rFonts w:hint="eastAsia" w:ascii="宋体" w:hAnsi="宋体" w:cs="宋体"/>
          <w:bCs/>
          <w:color w:val="auto"/>
          <w:sz w:val="21"/>
          <w:szCs w:val="21"/>
          <w:highlight w:val="none"/>
        </w:rPr>
        <w:t>17.7</w:t>
      </w:r>
      <w:r>
        <w:rPr>
          <w:rFonts w:hint="eastAsia" w:ascii="宋体" w:hAnsi="宋体" w:cs="宋体"/>
          <w:b/>
          <w:color w:val="auto"/>
          <w:sz w:val="21"/>
          <w:szCs w:val="21"/>
          <w:highlight w:val="none"/>
          <w:lang w:val="zh-CN"/>
        </w:rPr>
        <w:t xml:space="preserve"> 磋商小组对响应文件的判定，只依据响应文件内容本身，不依据任何外来证明。</w:t>
      </w:r>
    </w:p>
    <w:p w14:paraId="6CD17BFF">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17.8</w:t>
      </w:r>
      <w:r>
        <w:rPr>
          <w:rFonts w:hint="eastAsia" w:ascii="宋体" w:hAnsi="宋体" w:cs="宋体"/>
          <w:bCs/>
          <w:color w:val="auto"/>
          <w:sz w:val="21"/>
          <w:szCs w:val="21"/>
          <w:highlight w:val="none"/>
          <w:lang w:val="zh-CN"/>
        </w:rPr>
        <w:t xml:space="preserve"> </w:t>
      </w:r>
      <w:r>
        <w:rPr>
          <w:rFonts w:hint="eastAsia" w:ascii="宋体" w:hAnsi="宋体" w:cs="宋体"/>
          <w:b/>
          <w:color w:val="auto"/>
          <w:sz w:val="21"/>
          <w:szCs w:val="21"/>
          <w:highlight w:val="none"/>
          <w:lang w:val="zh-CN"/>
        </w:rPr>
        <w:t>磋商报价的审查：</w:t>
      </w:r>
      <w:r>
        <w:rPr>
          <w:rFonts w:hint="eastAsia" w:ascii="宋体" w:hAnsi="宋体" w:cs="宋体"/>
          <w:color w:val="auto"/>
          <w:sz w:val="21"/>
          <w:szCs w:val="21"/>
          <w:highlight w:val="none"/>
          <w:lang w:val="zh-CN"/>
        </w:rPr>
        <w:t>磋商小组将对商务审查、技术审查合格的响应文件的报价进行审核，看其是否有计算和累加上的错误。修正错误的原则如下：磋商报价以《投标函》的报价为准，《投标函》的报价与《磋商一览表》的报价不一致的，供应商应按《投标函》的报价相应修改《磋商一览表》的报价。按上述原则调整后的价格为评审价，经供应商法定代表人或授权代理人签字确认后对供应商具有约束力。如果供应商不按照上述原则修正其磋商报价及分项报价，则其磋商将被拒绝。</w:t>
      </w:r>
    </w:p>
    <w:p w14:paraId="4F8A12DB">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bCs/>
          <w:color w:val="auto"/>
          <w:sz w:val="21"/>
          <w:szCs w:val="21"/>
          <w:highlight w:val="none"/>
        </w:rPr>
        <w:t>17.9</w:t>
      </w:r>
      <w:r>
        <w:rPr>
          <w:rFonts w:hint="eastAsia" w:ascii="宋体" w:hAnsi="宋体" w:cs="宋体"/>
          <w:bCs/>
          <w:color w:val="auto"/>
          <w:sz w:val="21"/>
          <w:szCs w:val="21"/>
          <w:highlight w:val="none"/>
          <w:lang w:val="zh-CN"/>
        </w:rPr>
        <w:t xml:space="preserve"> </w:t>
      </w:r>
      <w:r>
        <w:rPr>
          <w:rFonts w:hint="eastAsia" w:ascii="宋体" w:hAnsi="宋体" w:cs="宋体"/>
          <w:b/>
          <w:color w:val="auto"/>
          <w:sz w:val="21"/>
          <w:szCs w:val="21"/>
          <w:highlight w:val="none"/>
          <w:lang w:val="zh-CN"/>
        </w:rPr>
        <w:t>澄清：</w:t>
      </w:r>
      <w:r>
        <w:rPr>
          <w:rFonts w:hint="eastAsia" w:ascii="宋体" w:hAnsi="宋体" w:cs="宋体"/>
          <w:color w:val="auto"/>
          <w:sz w:val="21"/>
          <w:szCs w:val="21"/>
          <w:highlight w:val="none"/>
          <w:lang w:val="zh-CN"/>
        </w:rPr>
        <w:t>磋商小组对于响应文件实质性响应了磋商文件要求，但在个别地方提供了不完整的技术信息和数据，以及同类问题表述不一致或者有明显文字和计算错误等细微偏离问题，将以书面形式（澄清细微偏离由磋商小组依据磋商文件集体决定并由磋商小组专家签字）要求供应商在规定的时限内（在评审结束前）作出必要的澄清、说明或者补正。供应商的澄清、说明或者补正应当采用书面形式，由供应商法定代表人或其授权代理人签字（须提交签字人身份证件并与响应文件签字人一致），并不得超出响应文件的范围或者改变响应文件的实质性内容。供应商拒不进行澄清、说明、补正的，或者不能在规定时间内作出书面澄清、说明、补正的，磋商小组将拒绝其磋商。</w:t>
      </w:r>
    </w:p>
    <w:p w14:paraId="72163C4C">
      <w:pPr>
        <w:keepNext w:val="0"/>
        <w:keepLines w:val="0"/>
        <w:pageBreakBefore w:val="0"/>
        <w:widowControl w:val="0"/>
        <w:kinsoku/>
        <w:wordWrap/>
        <w:overflowPunct/>
        <w:topLinePunct w:val="0"/>
        <w:bidi w:val="0"/>
        <w:snapToGrid/>
        <w:spacing w:line="460" w:lineRule="exact"/>
        <w:textAlignment w:val="auto"/>
        <w:rPr>
          <w:rFonts w:ascii="宋体" w:hAnsi="宋体" w:cs="宋体"/>
          <w:color w:val="auto"/>
          <w:sz w:val="21"/>
          <w:szCs w:val="21"/>
          <w:highlight w:val="none"/>
          <w:lang w:val="zh-CN"/>
        </w:rPr>
      </w:pPr>
      <w:r>
        <w:rPr>
          <w:rFonts w:hint="eastAsia" w:ascii="宋体" w:hAnsi="宋体" w:cs="宋体"/>
          <w:b/>
          <w:color w:val="auto"/>
          <w:sz w:val="21"/>
          <w:szCs w:val="21"/>
          <w:highlight w:val="none"/>
        </w:rPr>
        <w:t xml:space="preserve">  </w:t>
      </w:r>
      <w:r>
        <w:rPr>
          <w:rFonts w:hint="eastAsia" w:ascii="宋体" w:hAnsi="宋体" w:cs="宋体"/>
          <w:color w:val="auto"/>
          <w:sz w:val="21"/>
          <w:szCs w:val="21"/>
          <w:highlight w:val="none"/>
        </w:rPr>
        <w:t xml:space="preserve">  接受细微偏离有利于</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成功，不应因细微偏离而作为无效磋商。</w:t>
      </w:r>
    </w:p>
    <w:p w14:paraId="0800DF99">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rPr>
        <w:t>18</w:t>
      </w:r>
      <w:r>
        <w:rPr>
          <w:rFonts w:hint="eastAsia" w:ascii="宋体" w:hAnsi="宋体" w:cs="宋体"/>
          <w:b/>
          <w:color w:val="auto"/>
          <w:sz w:val="21"/>
          <w:szCs w:val="21"/>
          <w:highlight w:val="none"/>
          <w:lang w:val="zh-CN"/>
        </w:rPr>
        <w:t>. 评审方法和标准</w:t>
      </w:r>
    </w:p>
    <w:p w14:paraId="5DA49168">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18.1经</w:t>
      </w:r>
      <w:r>
        <w:rPr>
          <w:rFonts w:hint="eastAsia" w:ascii="宋体" w:hAnsi="宋体" w:cs="宋体"/>
          <w:bCs/>
          <w:color w:val="auto"/>
          <w:sz w:val="21"/>
          <w:szCs w:val="21"/>
          <w:highlight w:val="none"/>
          <w:lang w:val="zh-CN"/>
        </w:rPr>
        <w:t>磋商</w:t>
      </w:r>
      <w:r>
        <w:rPr>
          <w:rFonts w:hint="eastAsia" w:ascii="宋体" w:hAnsi="宋体" w:cs="宋体"/>
          <w:bCs/>
          <w:color w:val="auto"/>
          <w:sz w:val="21"/>
          <w:szCs w:val="21"/>
          <w:highlight w:val="none"/>
        </w:rPr>
        <w:t>确定最终</w:t>
      </w:r>
      <w:r>
        <w:rPr>
          <w:rFonts w:hint="eastAsia" w:ascii="宋体" w:hAnsi="宋体" w:cs="宋体"/>
          <w:bCs/>
          <w:color w:val="auto"/>
          <w:sz w:val="21"/>
          <w:szCs w:val="21"/>
          <w:highlight w:val="none"/>
          <w:lang w:val="zh-CN"/>
        </w:rPr>
        <w:t>磋商</w:t>
      </w:r>
      <w:r>
        <w:rPr>
          <w:rFonts w:hint="eastAsia" w:ascii="宋体" w:hAnsi="宋体" w:cs="宋体"/>
          <w:bCs/>
          <w:color w:val="auto"/>
          <w:sz w:val="21"/>
          <w:szCs w:val="21"/>
          <w:highlight w:val="none"/>
        </w:rPr>
        <w:t>需求和提交最后</w:t>
      </w:r>
      <w:r>
        <w:rPr>
          <w:rFonts w:hint="eastAsia" w:ascii="宋体" w:hAnsi="宋体" w:cs="宋体"/>
          <w:color w:val="auto"/>
          <w:sz w:val="21"/>
          <w:szCs w:val="21"/>
          <w:highlight w:val="none"/>
        </w:rPr>
        <w:t>报价</w:t>
      </w:r>
      <w:r>
        <w:rPr>
          <w:rFonts w:hint="eastAsia" w:ascii="宋体" w:hAnsi="宋体" w:cs="宋体"/>
          <w:bCs/>
          <w:color w:val="auto"/>
          <w:sz w:val="21"/>
          <w:szCs w:val="21"/>
          <w:highlight w:val="none"/>
        </w:rPr>
        <w:t>的供应商后，</w:t>
      </w:r>
      <w:r>
        <w:rPr>
          <w:rFonts w:hint="eastAsia" w:ascii="宋体" w:hAnsi="宋体" w:cs="宋体"/>
          <w:color w:val="auto"/>
          <w:sz w:val="21"/>
          <w:szCs w:val="21"/>
          <w:highlight w:val="none"/>
          <w:lang w:val="zh-CN"/>
        </w:rPr>
        <w:t>磋商</w:t>
      </w:r>
      <w:r>
        <w:rPr>
          <w:rFonts w:hint="eastAsia" w:ascii="宋体" w:hAnsi="宋体" w:cs="宋体"/>
          <w:bCs/>
          <w:color w:val="auto"/>
          <w:sz w:val="21"/>
          <w:szCs w:val="21"/>
          <w:highlight w:val="none"/>
        </w:rPr>
        <w:t>小组采用</w:t>
      </w:r>
      <w:r>
        <w:rPr>
          <w:rFonts w:hint="eastAsia" w:ascii="宋体" w:hAnsi="宋体" w:cs="宋体"/>
          <w:b/>
          <w:color w:val="auto"/>
          <w:sz w:val="21"/>
          <w:szCs w:val="21"/>
          <w:highlight w:val="none"/>
        </w:rPr>
        <w:t>综合评分法</w:t>
      </w:r>
      <w:r>
        <w:rPr>
          <w:rFonts w:hint="eastAsia" w:ascii="宋体" w:hAnsi="宋体" w:cs="宋体"/>
          <w:bCs/>
          <w:color w:val="auto"/>
          <w:sz w:val="21"/>
          <w:szCs w:val="21"/>
          <w:highlight w:val="none"/>
        </w:rPr>
        <w:t>对提交最后报价的供应商的响应文件和最后</w:t>
      </w:r>
      <w:r>
        <w:rPr>
          <w:rFonts w:hint="eastAsia" w:ascii="宋体" w:hAnsi="宋体" w:cs="宋体"/>
          <w:color w:val="auto"/>
          <w:sz w:val="21"/>
          <w:szCs w:val="21"/>
          <w:highlight w:val="none"/>
        </w:rPr>
        <w:t>报价</w:t>
      </w:r>
      <w:r>
        <w:rPr>
          <w:rFonts w:hint="eastAsia" w:ascii="宋体" w:hAnsi="宋体" w:cs="宋体"/>
          <w:bCs/>
          <w:color w:val="auto"/>
          <w:sz w:val="21"/>
          <w:szCs w:val="21"/>
          <w:highlight w:val="none"/>
        </w:rPr>
        <w:t>进行综合评分。</w:t>
      </w:r>
    </w:p>
    <w:p w14:paraId="1120C56E">
      <w:pPr>
        <w:pStyle w:val="28"/>
        <w:keepNext w:val="0"/>
        <w:keepLines w:val="0"/>
        <w:pageBreakBefore w:val="0"/>
        <w:widowControl w:val="0"/>
        <w:kinsoku/>
        <w:wordWrap/>
        <w:overflowPunct/>
        <w:topLinePunct w:val="0"/>
        <w:bidi w:val="0"/>
        <w:snapToGrid/>
        <w:spacing w:after="0" w:line="46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bCs/>
          <w:color w:val="auto"/>
          <w:sz w:val="21"/>
          <w:szCs w:val="21"/>
          <w:highlight w:val="none"/>
        </w:rPr>
        <w:t>18.2对通过初步审查的响应文件，</w:t>
      </w:r>
      <w:r>
        <w:rPr>
          <w:rFonts w:hint="eastAsia" w:ascii="宋体" w:hAnsi="宋体" w:cs="宋体"/>
          <w:color w:val="auto"/>
          <w:sz w:val="21"/>
          <w:szCs w:val="21"/>
          <w:highlight w:val="none"/>
        </w:rPr>
        <w:t>综合总得分最高者为第一成交候选供应商，详细评审内容详见附表。</w:t>
      </w:r>
    </w:p>
    <w:p w14:paraId="08CCE9F2">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18.3 </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小组根据综合评分情况，按照评审得分由高到低顺序推荐</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家成交候选供应商，并编写评审报告。</w:t>
      </w:r>
    </w:p>
    <w:p w14:paraId="6DAEE8A4">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18.4 采购人应当从评审报告提出的成交候选供应商中，按照排序由高到低的原则确定成交供应商，也可以书面授权</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小组直接确定成交供应商。采购人逾期未确定成交供应商且不提出异议的，视为确定评审报告提出的排序第一的供应商为成交供应商。</w:t>
      </w:r>
    </w:p>
    <w:p w14:paraId="77C3960B">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18.5若供应商的最后报价</w:t>
      </w:r>
      <w:r>
        <w:rPr>
          <w:rFonts w:hint="eastAsia" w:ascii="宋体" w:hAnsi="宋体" w:cs="宋体"/>
          <w:color w:val="auto"/>
          <w:sz w:val="21"/>
          <w:szCs w:val="21"/>
          <w:highlight w:val="none"/>
          <w:lang w:val="zh-CN"/>
        </w:rPr>
        <w:t>超过</w:t>
      </w:r>
      <w:r>
        <w:rPr>
          <w:rFonts w:hint="eastAsia" w:ascii="宋体" w:hAnsi="宋体" w:cs="宋体"/>
          <w:color w:val="auto"/>
          <w:sz w:val="21"/>
          <w:szCs w:val="21"/>
          <w:highlight w:val="none"/>
        </w:rPr>
        <w:t>各分项单价</w:t>
      </w:r>
      <w:r>
        <w:rPr>
          <w:rFonts w:hint="eastAsia" w:ascii="宋体" w:hAnsi="宋体" w:cs="宋体"/>
          <w:color w:val="auto"/>
          <w:sz w:val="21"/>
          <w:szCs w:val="21"/>
          <w:highlight w:val="none"/>
          <w:lang w:val="zh-CN"/>
        </w:rPr>
        <w:t>将被否决</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小组有权根据采购人意见及其实际情况，拒绝该报价。</w:t>
      </w:r>
    </w:p>
    <w:p w14:paraId="187710EB">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18.6 为保证成交结果的公正性，评审期间直至授予供应商合同时，</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小组成员不得与供应商私下交换意见。在评审结束后，凡与评审情况有接触的任何人不得将评审情况扩散出</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小组成员之外。</w:t>
      </w:r>
    </w:p>
    <w:p w14:paraId="4EBC5D7E">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18.7 在评审期间，供应商不得向</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小组成员询问其它供应商评审情况，不得影响成交结果的活动。</w:t>
      </w:r>
    </w:p>
    <w:p w14:paraId="13DF8F1E">
      <w:pPr>
        <w:keepNext w:val="0"/>
        <w:keepLines w:val="0"/>
        <w:pageBreakBefore w:val="0"/>
        <w:widowControl w:val="0"/>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18.8 在评审期间，采购代理机构将有专门人员与供应商进行联络。</w:t>
      </w:r>
    </w:p>
    <w:p w14:paraId="15204091">
      <w:pPr>
        <w:keepNext w:val="0"/>
        <w:keepLines w:val="0"/>
        <w:pageBreakBefore w:val="0"/>
        <w:widowControl w:val="0"/>
        <w:tabs>
          <w:tab w:val="left" w:pos="1800"/>
        </w:tabs>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rPr>
      </w:pPr>
      <w:r>
        <w:rPr>
          <w:rFonts w:hint="eastAsia" w:ascii="宋体" w:hAnsi="宋体" w:cs="宋体"/>
          <w:bCs/>
          <w:color w:val="auto"/>
          <w:sz w:val="21"/>
          <w:szCs w:val="21"/>
          <w:highlight w:val="none"/>
        </w:rPr>
        <w:t>18.9</w:t>
      </w:r>
      <w:r>
        <w:rPr>
          <w:rFonts w:hint="eastAsia" w:ascii="宋体" w:hAnsi="宋体" w:cs="宋体"/>
          <w:b/>
          <w:color w:val="auto"/>
          <w:sz w:val="21"/>
          <w:szCs w:val="21"/>
          <w:highlight w:val="none"/>
          <w:lang w:val="zh-CN"/>
        </w:rPr>
        <w:t xml:space="preserve"> </w:t>
      </w:r>
      <w:r>
        <w:rPr>
          <w:rFonts w:hint="eastAsia" w:ascii="宋体" w:hAnsi="宋体" w:cs="宋体"/>
          <w:color w:val="auto"/>
          <w:sz w:val="21"/>
          <w:szCs w:val="21"/>
          <w:highlight w:val="none"/>
        </w:rPr>
        <w:t>确定成交供应商后,采购代理机构将在指定网站上发布成交公告，同时向成交供应商发出成交通知书，成交通知书将作为签订合同的依据。</w:t>
      </w:r>
    </w:p>
    <w:p w14:paraId="784F08B2">
      <w:pPr>
        <w:keepNext w:val="0"/>
        <w:keepLines w:val="0"/>
        <w:pageBreakBefore w:val="0"/>
        <w:widowControl w:val="0"/>
        <w:tabs>
          <w:tab w:val="left" w:pos="1800"/>
        </w:tabs>
        <w:kinsoku/>
        <w:wordWrap/>
        <w:overflowPunct/>
        <w:topLinePunct w:val="0"/>
        <w:bidi w:val="0"/>
        <w:snapToGrid/>
        <w:spacing w:line="460" w:lineRule="exact"/>
        <w:ind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18.10成交通知书对采购单位和成交供应商具有同等法律效力。成交通知书发出后，采购单位改变成交结果，或者成交供应商放弃成交项目，应当承担相应的法律责任。</w:t>
      </w:r>
    </w:p>
    <w:p w14:paraId="759C33D1">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b/>
          <w:color w:val="auto"/>
          <w:sz w:val="21"/>
          <w:szCs w:val="21"/>
          <w:highlight w:val="none"/>
          <w:lang w:val="zh-CN"/>
        </w:rPr>
      </w:pPr>
      <w:r>
        <w:rPr>
          <w:rFonts w:hint="eastAsia" w:ascii="宋体" w:hAnsi="宋体" w:cs="宋体"/>
          <w:b/>
          <w:color w:val="auto"/>
          <w:sz w:val="21"/>
          <w:szCs w:val="21"/>
          <w:highlight w:val="none"/>
        </w:rPr>
        <w:t>19</w:t>
      </w:r>
      <w:r>
        <w:rPr>
          <w:rFonts w:hint="eastAsia" w:ascii="宋体" w:hAnsi="宋体" w:cs="宋体"/>
          <w:b/>
          <w:color w:val="auto"/>
          <w:sz w:val="21"/>
          <w:szCs w:val="21"/>
          <w:highlight w:val="none"/>
          <w:lang w:val="zh-CN"/>
        </w:rPr>
        <w:t>. 签订合同</w:t>
      </w:r>
    </w:p>
    <w:p w14:paraId="30E95C39">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zh-CN"/>
        </w:rPr>
        <w:t>.1 采购代理机构将在磋商有效期期满之前向成交供应商发出《成交通知书》。成交通知书是合同的组成部分，对采购人和成交供应商均具有法律约束力。</w:t>
      </w:r>
    </w:p>
    <w:p w14:paraId="72762FF5">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zh-CN"/>
        </w:rPr>
        <w:t>.2 成交通知书发出后，采购人改变成交结果的，或者成交供应商放弃成交项目的，应当依法承担法律责任。</w:t>
      </w:r>
    </w:p>
    <w:p w14:paraId="19080AFC">
      <w:pPr>
        <w:keepNext w:val="0"/>
        <w:keepLines w:val="0"/>
        <w:pageBreakBefore w:val="0"/>
        <w:widowControl w:val="0"/>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zh-CN"/>
        </w:rPr>
        <w:t>.3 成交供应商应按成交通知书规定的时间与采购人签订合同。如果成交供应商不在规定的时间内签署合同，视为自动放弃成交资格。供应商在被磋商小组评定为成交候选供应商（成交供应商）之后、成交通知书发出之前放弃成交的，按本条规定处理。</w:t>
      </w:r>
    </w:p>
    <w:p w14:paraId="14D7D423">
      <w:pPr>
        <w:keepNext w:val="0"/>
        <w:keepLines w:val="0"/>
        <w:pageBreakBefore w:val="0"/>
        <w:widowControl w:val="0"/>
        <w:kinsoku/>
        <w:wordWrap/>
        <w:overflowPunct/>
        <w:topLinePunct w:val="0"/>
        <w:autoSpaceDE w:val="0"/>
        <w:autoSpaceDN w:val="0"/>
        <w:bidi w:val="0"/>
        <w:adjustRightInd w:val="0"/>
        <w:snapToGrid/>
        <w:spacing w:line="460" w:lineRule="exact"/>
        <w:ind w:firstLine="48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zh-CN"/>
        </w:rPr>
        <w:t>.4 成交结果将在发布竞争性公告的媒体上公告，不再以书面方式通知未成交供应商。</w:t>
      </w:r>
    </w:p>
    <w:p w14:paraId="041D9229">
      <w:pPr>
        <w:keepNext w:val="0"/>
        <w:keepLines w:val="0"/>
        <w:pageBreakBefore w:val="0"/>
        <w:widowControl w:val="0"/>
        <w:tabs>
          <w:tab w:val="left" w:pos="709"/>
          <w:tab w:val="left" w:pos="927"/>
        </w:tabs>
        <w:kinsoku/>
        <w:wordWrap/>
        <w:overflowPunct/>
        <w:topLinePunct w:val="0"/>
        <w:autoSpaceDE w:val="0"/>
        <w:autoSpaceDN w:val="0"/>
        <w:bidi w:val="0"/>
        <w:adjustRightInd w:val="0"/>
        <w:snapToGrid/>
        <w:spacing w:line="460" w:lineRule="exact"/>
        <w:ind w:firstLine="472"/>
        <w:textAlignment w:val="auto"/>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rPr>
        <w:t>21</w:t>
      </w:r>
      <w:r>
        <w:rPr>
          <w:rFonts w:hint="eastAsia" w:ascii="宋体" w:hAnsi="宋体" w:cs="宋体"/>
          <w:b/>
          <w:color w:val="auto"/>
          <w:kern w:val="0"/>
          <w:sz w:val="21"/>
          <w:szCs w:val="21"/>
          <w:highlight w:val="none"/>
          <w:lang w:val="zh-CN"/>
        </w:rPr>
        <w:t>.保密和披露</w:t>
      </w:r>
    </w:p>
    <w:p w14:paraId="1098A467">
      <w:pPr>
        <w:keepNext w:val="0"/>
        <w:keepLines w:val="0"/>
        <w:pageBreakBefore w:val="0"/>
        <w:widowControl w:val="0"/>
        <w:tabs>
          <w:tab w:val="left" w:pos="709"/>
        </w:tabs>
        <w:kinsoku/>
        <w:wordWrap/>
        <w:overflowPunct/>
        <w:topLinePunct w:val="0"/>
        <w:autoSpaceDE w:val="0"/>
        <w:autoSpaceDN w:val="0"/>
        <w:bidi w:val="0"/>
        <w:adjustRightInd w:val="0"/>
        <w:snapToGrid/>
        <w:spacing w:line="460" w:lineRule="exact"/>
        <w:ind w:firstLine="482"/>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rPr>
        <w:t>21</w:t>
      </w:r>
      <w:r>
        <w:rPr>
          <w:rFonts w:hint="eastAsia" w:ascii="宋体" w:hAnsi="宋体" w:cs="宋体"/>
          <w:color w:val="auto"/>
          <w:kern w:val="0"/>
          <w:sz w:val="21"/>
          <w:szCs w:val="21"/>
          <w:highlight w:val="none"/>
          <w:lang w:val="zh-CN"/>
        </w:rPr>
        <w:t xml:space="preserve">.1 </w:t>
      </w:r>
      <w:r>
        <w:rPr>
          <w:rFonts w:hint="eastAsia" w:ascii="宋体" w:hAnsi="宋体" w:cs="宋体"/>
          <w:color w:val="auto"/>
          <w:sz w:val="21"/>
          <w:szCs w:val="21"/>
          <w:highlight w:val="none"/>
          <w:lang w:val="zh-CN"/>
        </w:rPr>
        <w:t>采购代理机构有权将供应商提供的所有资料向其他政府部门或有关的非政府机构负责评审</w:t>
      </w:r>
      <w:r>
        <w:rPr>
          <w:rFonts w:hint="eastAsia" w:ascii="宋体" w:hAnsi="宋体" w:cs="宋体"/>
          <w:color w:val="auto"/>
          <w:sz w:val="21"/>
          <w:szCs w:val="21"/>
          <w:highlight w:val="none"/>
        </w:rPr>
        <w:t>磋商文件</w:t>
      </w:r>
      <w:r>
        <w:rPr>
          <w:rFonts w:hint="eastAsia" w:ascii="宋体" w:hAnsi="宋体" w:cs="宋体"/>
          <w:color w:val="auto"/>
          <w:sz w:val="21"/>
          <w:szCs w:val="21"/>
          <w:highlight w:val="none"/>
          <w:lang w:val="zh-CN"/>
        </w:rPr>
        <w:t>的人员或与评审有关的人员披露。</w:t>
      </w:r>
    </w:p>
    <w:p w14:paraId="1C870D9F">
      <w:pPr>
        <w:keepNext w:val="0"/>
        <w:keepLines w:val="0"/>
        <w:pageBreakBefore w:val="0"/>
        <w:widowControl w:val="0"/>
        <w:kinsoku/>
        <w:wordWrap/>
        <w:overflowPunct/>
        <w:topLinePunct w:val="0"/>
        <w:autoSpaceDE w:val="0"/>
        <w:autoSpaceDN w:val="0"/>
        <w:bidi w:val="0"/>
        <w:adjustRightInd w:val="0"/>
        <w:snapToGrid/>
        <w:spacing w:line="460" w:lineRule="exact"/>
        <w:ind w:firstLine="476"/>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21</w:t>
      </w:r>
      <w:r>
        <w:rPr>
          <w:rFonts w:hint="eastAsia" w:ascii="宋体" w:hAnsi="宋体" w:cs="宋体"/>
          <w:color w:val="auto"/>
          <w:sz w:val="21"/>
          <w:szCs w:val="21"/>
          <w:highlight w:val="none"/>
          <w:lang w:val="zh-CN"/>
        </w:rPr>
        <w:t>.2 在下列情形下：当发布成交结果公告和其它公告时，当国家机关调查、审查、审计时，以及在其他符合法律规定的情形下，</w:t>
      </w:r>
      <w:r>
        <w:rPr>
          <w:rFonts w:hint="eastAsia" w:ascii="宋体" w:hAnsi="宋体" w:cs="宋体"/>
          <w:color w:val="auto"/>
          <w:sz w:val="21"/>
          <w:szCs w:val="21"/>
          <w:highlight w:val="none"/>
        </w:rPr>
        <w:t>采购</w:t>
      </w:r>
      <w:r>
        <w:rPr>
          <w:rFonts w:hint="eastAsia" w:ascii="宋体" w:hAnsi="宋体" w:cs="宋体"/>
          <w:color w:val="auto"/>
          <w:sz w:val="21"/>
          <w:szCs w:val="21"/>
          <w:highlight w:val="none"/>
          <w:lang w:val="zh-CN"/>
        </w:rPr>
        <w:t>代理机构无须事先征求供应商/成交供应商同意而可以披露关于评审过程、响应文件、合同文本、合同签署情况的资料、供应商/成交供应商的名称及地址、磋商内容的有关信息以及补充条款等，并且对任何已经公布过的内容或与之内容相同的资料无须再承担保密责任。</w:t>
      </w:r>
    </w:p>
    <w:p w14:paraId="2DFDA038">
      <w:pPr>
        <w:autoSpaceDE w:val="0"/>
        <w:autoSpaceDN w:val="0"/>
        <w:adjustRightInd w:val="0"/>
        <w:spacing w:line="500" w:lineRule="exact"/>
        <w:ind w:firstLine="476"/>
        <w:rPr>
          <w:rFonts w:ascii="宋体" w:hAnsi="宋体" w:cs="宋体"/>
          <w:color w:val="auto"/>
          <w:sz w:val="24"/>
          <w:szCs w:val="24"/>
          <w:highlight w:val="none"/>
          <w:lang w:val="zh-CN"/>
        </w:rPr>
      </w:pPr>
    </w:p>
    <w:p w14:paraId="477E1079">
      <w:pPr>
        <w:autoSpaceDE w:val="0"/>
        <w:autoSpaceDN w:val="0"/>
        <w:adjustRightInd w:val="0"/>
        <w:spacing w:line="500" w:lineRule="exact"/>
        <w:ind w:firstLine="476"/>
        <w:rPr>
          <w:rFonts w:ascii="宋体" w:hAnsi="宋体" w:cs="宋体"/>
          <w:color w:val="auto"/>
          <w:sz w:val="24"/>
          <w:szCs w:val="24"/>
          <w:highlight w:val="none"/>
          <w:lang w:val="zh-CN"/>
        </w:rPr>
      </w:pPr>
    </w:p>
    <w:p w14:paraId="006627B4">
      <w:pPr>
        <w:autoSpaceDE w:val="0"/>
        <w:autoSpaceDN w:val="0"/>
        <w:adjustRightInd w:val="0"/>
        <w:spacing w:line="500" w:lineRule="exact"/>
        <w:rPr>
          <w:rFonts w:ascii="宋体" w:hAnsi="宋体" w:cs="宋体"/>
          <w:color w:val="auto"/>
          <w:sz w:val="24"/>
          <w:szCs w:val="24"/>
          <w:highlight w:val="none"/>
          <w:lang w:val="zh-CN"/>
        </w:rPr>
      </w:pPr>
    </w:p>
    <w:p w14:paraId="712C1A8D">
      <w:pPr>
        <w:autoSpaceDE w:val="0"/>
        <w:autoSpaceDN w:val="0"/>
        <w:adjustRightInd w:val="0"/>
        <w:spacing w:line="500" w:lineRule="exact"/>
        <w:rPr>
          <w:rFonts w:ascii="宋体" w:hAnsi="宋体" w:cs="宋体"/>
          <w:color w:val="auto"/>
          <w:sz w:val="24"/>
          <w:szCs w:val="24"/>
          <w:highlight w:val="none"/>
          <w:lang w:val="zh-CN"/>
        </w:rPr>
      </w:pPr>
    </w:p>
    <w:p w14:paraId="577AC3EA">
      <w:pPr>
        <w:autoSpaceDE w:val="0"/>
        <w:autoSpaceDN w:val="0"/>
        <w:adjustRightInd w:val="0"/>
        <w:spacing w:line="500" w:lineRule="exact"/>
        <w:rPr>
          <w:rFonts w:ascii="宋体" w:hAnsi="宋体" w:cs="宋体"/>
          <w:color w:val="auto"/>
          <w:sz w:val="24"/>
          <w:szCs w:val="24"/>
          <w:highlight w:val="none"/>
          <w:lang w:val="zh-CN"/>
        </w:rPr>
      </w:pPr>
    </w:p>
    <w:p w14:paraId="6A2B6723">
      <w:pPr>
        <w:autoSpaceDE w:val="0"/>
        <w:autoSpaceDN w:val="0"/>
        <w:adjustRightInd w:val="0"/>
        <w:spacing w:line="500" w:lineRule="exact"/>
        <w:rPr>
          <w:rFonts w:ascii="宋体" w:hAnsi="宋体" w:cs="宋体"/>
          <w:color w:val="auto"/>
          <w:sz w:val="24"/>
          <w:szCs w:val="24"/>
          <w:highlight w:val="none"/>
          <w:lang w:val="zh-CN"/>
        </w:rPr>
      </w:pPr>
    </w:p>
    <w:p w14:paraId="04D6D1E6">
      <w:pPr>
        <w:autoSpaceDE w:val="0"/>
        <w:autoSpaceDN w:val="0"/>
        <w:adjustRightInd w:val="0"/>
        <w:spacing w:line="500" w:lineRule="exact"/>
        <w:jc w:val="center"/>
        <w:outlineLvl w:val="0"/>
        <w:rPr>
          <w:rFonts w:ascii="宋体" w:hAnsi="宋体" w:cs="宋体"/>
          <w:color w:val="auto"/>
          <w:sz w:val="32"/>
          <w:szCs w:val="32"/>
          <w:highlight w:val="none"/>
          <w:lang w:val="zh-CN"/>
        </w:rPr>
      </w:pPr>
      <w:r>
        <w:rPr>
          <w:rFonts w:hint="eastAsia" w:ascii="宋体" w:hAnsi="宋体" w:cs="宋体"/>
          <w:color w:val="auto"/>
          <w:sz w:val="24"/>
          <w:szCs w:val="24"/>
          <w:highlight w:val="none"/>
          <w:lang w:val="zh-CN"/>
        </w:rPr>
        <w:br w:type="page"/>
      </w:r>
      <w:bookmarkStart w:id="33" w:name="_Toc29511"/>
      <w:bookmarkStart w:id="34" w:name="_Toc242"/>
      <w:bookmarkStart w:id="35" w:name="_Toc6942"/>
      <w:bookmarkStart w:id="36" w:name="_Toc19685"/>
      <w:bookmarkStart w:id="37" w:name="_Toc1536"/>
      <w:bookmarkStart w:id="38" w:name="_Toc4512"/>
      <w:bookmarkStart w:id="39" w:name="_Toc13953"/>
      <w:bookmarkStart w:id="40" w:name="_Toc27373"/>
      <w:bookmarkStart w:id="41" w:name="_Toc5370"/>
      <w:r>
        <w:rPr>
          <w:rStyle w:val="99"/>
          <w:rFonts w:hint="eastAsia" w:ascii="宋体" w:hAnsi="宋体" w:cs="宋体"/>
          <w:color w:val="auto"/>
          <w:highlight w:val="none"/>
          <w:lang w:val="zh-CN"/>
        </w:rPr>
        <w:t xml:space="preserve">第三章 </w:t>
      </w:r>
      <w:r>
        <w:rPr>
          <w:rStyle w:val="99"/>
          <w:rFonts w:hint="eastAsia" w:ascii="宋体" w:hAnsi="宋体" w:cs="宋体"/>
          <w:color w:val="auto"/>
          <w:highlight w:val="none"/>
        </w:rPr>
        <w:t xml:space="preserve"> </w:t>
      </w:r>
      <w:r>
        <w:rPr>
          <w:rStyle w:val="99"/>
          <w:rFonts w:hint="eastAsia" w:ascii="宋体" w:hAnsi="宋体" w:cs="宋体"/>
          <w:color w:val="auto"/>
          <w:highlight w:val="none"/>
          <w:lang w:val="zh-CN"/>
        </w:rPr>
        <w:t>评审办法</w:t>
      </w:r>
      <w:bookmarkEnd w:id="33"/>
      <w:bookmarkEnd w:id="34"/>
      <w:bookmarkEnd w:id="35"/>
      <w:bookmarkEnd w:id="36"/>
      <w:bookmarkEnd w:id="37"/>
      <w:bookmarkEnd w:id="38"/>
      <w:bookmarkEnd w:id="39"/>
      <w:bookmarkEnd w:id="40"/>
      <w:bookmarkEnd w:id="41"/>
    </w:p>
    <w:p w14:paraId="65B58FD6">
      <w:pPr>
        <w:tabs>
          <w:tab w:val="left" w:pos="540"/>
        </w:tabs>
        <w:spacing w:line="500" w:lineRule="exact"/>
        <w:rPr>
          <w:rFonts w:ascii="宋体" w:hAnsi="宋体" w:cs="宋体"/>
          <w:b/>
          <w:bCs/>
          <w:color w:val="auto"/>
          <w:sz w:val="21"/>
          <w:szCs w:val="21"/>
          <w:highlight w:val="none"/>
        </w:rPr>
      </w:pPr>
      <w:bookmarkStart w:id="42" w:name="OLE_LINK1"/>
      <w:r>
        <w:rPr>
          <w:rFonts w:hint="eastAsia" w:ascii="宋体" w:hAnsi="宋体" w:cs="宋体"/>
          <w:b/>
          <w:bCs/>
          <w:color w:val="auto"/>
          <w:sz w:val="21"/>
          <w:szCs w:val="21"/>
          <w:highlight w:val="none"/>
        </w:rPr>
        <w:t>1、综合评审</w:t>
      </w:r>
    </w:p>
    <w:p w14:paraId="166FD43E">
      <w:pPr>
        <w:tabs>
          <w:tab w:val="left" w:pos="540"/>
        </w:tabs>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w:t>
      </w:r>
      <w:r>
        <w:rPr>
          <w:rFonts w:hint="eastAsia" w:ascii="宋体" w:hAnsi="宋体" w:cs="宋体"/>
          <w:color w:val="auto"/>
          <w:sz w:val="21"/>
          <w:szCs w:val="21"/>
          <w:highlight w:val="none"/>
          <w:lang w:val="zh-CN"/>
        </w:rPr>
        <w:t>代理机构</w:t>
      </w:r>
      <w:r>
        <w:rPr>
          <w:rFonts w:hint="eastAsia" w:ascii="宋体" w:hAnsi="宋体" w:cs="宋体"/>
          <w:color w:val="auto"/>
          <w:sz w:val="21"/>
          <w:szCs w:val="21"/>
          <w:highlight w:val="none"/>
        </w:rPr>
        <w:t>在磋商文件规定的时间和地点组织磋商，供应商须派代表参加。磋商前，采购</w:t>
      </w:r>
      <w:r>
        <w:rPr>
          <w:rFonts w:hint="eastAsia" w:ascii="宋体" w:hAnsi="宋体" w:cs="宋体"/>
          <w:color w:val="auto"/>
          <w:sz w:val="21"/>
          <w:szCs w:val="21"/>
          <w:highlight w:val="none"/>
          <w:lang w:val="zh-CN"/>
        </w:rPr>
        <w:t>代理机构</w:t>
      </w:r>
      <w:r>
        <w:rPr>
          <w:rFonts w:hint="eastAsia" w:ascii="宋体" w:hAnsi="宋体" w:cs="宋体"/>
          <w:color w:val="auto"/>
          <w:sz w:val="21"/>
          <w:szCs w:val="21"/>
          <w:highlight w:val="none"/>
        </w:rPr>
        <w:t xml:space="preserve">将查验响应文件密封情况，确认无误后拆封该响应文件。 </w:t>
      </w:r>
    </w:p>
    <w:p w14:paraId="342AAB14">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2、磋商小组</w:t>
      </w:r>
    </w:p>
    <w:p w14:paraId="732E4935">
      <w:pPr>
        <w:tabs>
          <w:tab w:val="left" w:pos="540"/>
        </w:tabs>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磋商小组由三名专家组成，</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小组对响应文件进行审查、质疑、评估和比较。磋商期间，响应方法人代表或法人授权委托人必须在场，负责解答有关事宜。</w:t>
      </w:r>
    </w:p>
    <w:p w14:paraId="1105A93C">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3、响应方</w:t>
      </w:r>
    </w:p>
    <w:p w14:paraId="6B3AF9C2">
      <w:pPr>
        <w:tabs>
          <w:tab w:val="left" w:pos="540"/>
        </w:tabs>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磋商期间，响应方法人代表或法人授权委托人必须在场，负责解答有关事宜，根据有关事宜作出书面回复澄清，其书面回复作为签订合同的依据，具有同等法律效力。</w:t>
      </w:r>
    </w:p>
    <w:p w14:paraId="2AB733F4">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4、对响应文件的审查和响应性的确定</w:t>
      </w:r>
    </w:p>
    <w:p w14:paraId="7C1A1D44">
      <w:pPr>
        <w:tabs>
          <w:tab w:val="left" w:pos="540"/>
        </w:tabs>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w:t>
      </w:r>
      <w:r>
        <w:rPr>
          <w:rFonts w:hint="eastAsia" w:ascii="宋体" w:hAnsi="宋体" w:cs="宋体"/>
          <w:color w:val="auto"/>
          <w:sz w:val="21"/>
          <w:szCs w:val="21"/>
          <w:highlight w:val="none"/>
          <w:lang w:val="zh-CN"/>
        </w:rPr>
        <w:t>代理机构</w:t>
      </w:r>
      <w:r>
        <w:rPr>
          <w:rFonts w:hint="eastAsia" w:ascii="宋体" w:hAnsi="宋体" w:cs="宋体"/>
          <w:color w:val="auto"/>
          <w:sz w:val="21"/>
          <w:szCs w:val="21"/>
          <w:highlight w:val="none"/>
        </w:rPr>
        <w:t>将组织审查响应文件是否完整，是否有计算错误，文件是否恰当地签署。《</w:t>
      </w:r>
      <w:r>
        <w:rPr>
          <w:rFonts w:hint="eastAsia" w:ascii="宋体" w:hAnsi="宋体" w:cs="宋体"/>
          <w:color w:val="auto"/>
          <w:sz w:val="21"/>
          <w:szCs w:val="21"/>
          <w:highlight w:val="none"/>
          <w:lang w:val="zh-CN"/>
        </w:rPr>
        <w:t>磋商一览表</w:t>
      </w:r>
      <w:r>
        <w:rPr>
          <w:rFonts w:hint="eastAsia" w:ascii="宋体" w:hAnsi="宋体" w:cs="宋体"/>
          <w:color w:val="auto"/>
          <w:sz w:val="21"/>
          <w:szCs w:val="21"/>
          <w:highlight w:val="none"/>
        </w:rPr>
        <w:t>》上写明的大写和小写如有出入，以大写为准。如果确定响应方无资格履行合同，将取消其</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资格。</w:t>
      </w:r>
    </w:p>
    <w:p w14:paraId="37B95530">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5、综合评审原则和方法</w:t>
      </w:r>
    </w:p>
    <w:p w14:paraId="1F0198A1">
      <w:pPr>
        <w:tabs>
          <w:tab w:val="left" w:pos="540"/>
        </w:tabs>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将遵循公开、公平、公正的原则，对综合响应方的技术性能、合同履行期限、质量标准、售后服务、资信情况、履约能力和报价（报价可以一次或多次进行，以最终报价为准。每轮报价不得高于上一轮磋商报价，否则将视为无效报价。）等进行综合分析评审，由</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小组以综合评分法，推荐成交候选人。</w:t>
      </w:r>
    </w:p>
    <w:p w14:paraId="706F19AD">
      <w:pPr>
        <w:tabs>
          <w:tab w:val="left" w:pos="540"/>
        </w:tabs>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    客观﹑公正的对待所有响应方，对所有评价，均采用相同的程序和标准。在磋商期间，响应方不得向</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小组成员询问磋商情况，不得影响评审结果的活动。否则将废除其参加资格。</w:t>
      </w:r>
    </w:p>
    <w:p w14:paraId="09E20E63">
      <w:pPr>
        <w:tabs>
          <w:tab w:val="left" w:pos="540"/>
        </w:tabs>
        <w:spacing w:line="5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在评审过程中，</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小组成员不得与响应方私下交换意见。在评审直至授予合同的整个时间内，任何评审人员和工作人员不得对外公布评审的一切内容，若确有需要则需经</w:t>
      </w:r>
      <w:r>
        <w:rPr>
          <w:rFonts w:hint="eastAsia" w:ascii="宋体" w:hAnsi="宋体" w:cs="宋体"/>
          <w:color w:val="auto"/>
          <w:sz w:val="21"/>
          <w:szCs w:val="21"/>
          <w:highlight w:val="none"/>
          <w:lang w:val="zh-CN"/>
        </w:rPr>
        <w:t>磋商</w:t>
      </w:r>
      <w:r>
        <w:rPr>
          <w:rFonts w:hint="eastAsia" w:ascii="宋体" w:hAnsi="宋体" w:cs="宋体"/>
          <w:color w:val="auto"/>
          <w:sz w:val="21"/>
          <w:szCs w:val="21"/>
          <w:highlight w:val="none"/>
        </w:rPr>
        <w:t>小组组长批准，统一对外。</w:t>
      </w:r>
    </w:p>
    <w:p w14:paraId="4F43DBDF">
      <w:pPr>
        <w:tabs>
          <w:tab w:val="left" w:pos="540"/>
        </w:tabs>
        <w:spacing w:line="50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6、成交通知</w:t>
      </w:r>
    </w:p>
    <w:p w14:paraId="4100512C">
      <w:pPr>
        <w:tabs>
          <w:tab w:val="left" w:pos="540"/>
        </w:tabs>
        <w:spacing w:line="500" w:lineRule="exact"/>
        <w:ind w:firstLine="480"/>
        <w:rPr>
          <w:rFonts w:ascii="宋体" w:hAnsi="宋体" w:cs="宋体"/>
          <w:color w:val="auto"/>
          <w:sz w:val="21"/>
          <w:szCs w:val="21"/>
          <w:highlight w:val="none"/>
        </w:rPr>
      </w:pPr>
      <w:r>
        <w:rPr>
          <w:rFonts w:hint="eastAsia" w:ascii="宋体" w:hAnsi="宋体" w:cs="宋体"/>
          <w:color w:val="auto"/>
          <w:sz w:val="21"/>
          <w:szCs w:val="21"/>
          <w:highlight w:val="none"/>
        </w:rPr>
        <w:t>评审结束后，</w:t>
      </w:r>
      <w:r>
        <w:rPr>
          <w:rFonts w:hint="eastAsia" w:ascii="宋体" w:hAnsi="宋体" w:cs="宋体"/>
          <w:color w:val="auto"/>
          <w:sz w:val="21"/>
          <w:szCs w:val="21"/>
          <w:highlight w:val="none"/>
          <w:lang w:val="zh-CN"/>
        </w:rPr>
        <w:t>采购代理机构</w:t>
      </w:r>
      <w:r>
        <w:rPr>
          <w:rFonts w:hint="eastAsia" w:ascii="宋体" w:hAnsi="宋体" w:cs="宋体"/>
          <w:color w:val="auto"/>
          <w:sz w:val="21"/>
          <w:szCs w:val="21"/>
          <w:highlight w:val="none"/>
        </w:rPr>
        <w:t>将预成交结果公示1个工作日，公示期结束且并无异议提出后，正式发出成交通知。</w:t>
      </w:r>
    </w:p>
    <w:p w14:paraId="79F22EEA">
      <w:pPr>
        <w:pStyle w:val="47"/>
        <w:rPr>
          <w:color w:val="auto"/>
          <w:highlight w:val="none"/>
        </w:rPr>
      </w:pPr>
    </w:p>
    <w:p w14:paraId="275B6D99">
      <w:pPr>
        <w:rPr>
          <w:rFonts w:hint="eastAsia" w:ascii="宋体" w:hAnsi="宋体"/>
          <w:b/>
          <w:color w:val="auto"/>
          <w:kern w:val="0"/>
          <w:sz w:val="28"/>
          <w:szCs w:val="28"/>
          <w:highlight w:val="none"/>
          <w:lang w:val="en-US" w:eastAsia="zh-CN"/>
        </w:rPr>
      </w:pPr>
      <w:r>
        <w:rPr>
          <w:rFonts w:hint="eastAsia" w:ascii="宋体" w:hAnsi="宋体"/>
          <w:b/>
          <w:color w:val="auto"/>
          <w:kern w:val="0"/>
          <w:sz w:val="28"/>
          <w:szCs w:val="28"/>
          <w:highlight w:val="none"/>
          <w:lang w:val="en-US" w:eastAsia="zh-CN"/>
        </w:rPr>
        <w:br w:type="page"/>
      </w:r>
    </w:p>
    <w:p w14:paraId="05FE6CCF">
      <w:pPr>
        <w:jc w:val="center"/>
        <w:rPr>
          <w:rFonts w:hint="default" w:eastAsia="宋体"/>
          <w:color w:val="auto"/>
          <w:sz w:val="28"/>
          <w:szCs w:val="28"/>
          <w:highlight w:val="none"/>
          <w:lang w:val="en-US" w:eastAsia="zh-CN"/>
        </w:rPr>
      </w:pPr>
      <w:r>
        <w:rPr>
          <w:rFonts w:hint="eastAsia" w:ascii="宋体" w:hAnsi="宋体"/>
          <w:b/>
          <w:color w:val="auto"/>
          <w:kern w:val="0"/>
          <w:sz w:val="28"/>
          <w:szCs w:val="28"/>
          <w:highlight w:val="none"/>
          <w:lang w:val="en-US" w:eastAsia="zh-CN"/>
        </w:rPr>
        <w:t>附表一：初步评审</w:t>
      </w:r>
    </w:p>
    <w:tbl>
      <w:tblPr>
        <w:tblStyle w:val="48"/>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736"/>
        <w:gridCol w:w="6364"/>
      </w:tblGrid>
      <w:tr w14:paraId="0E64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9" w:type="dxa"/>
            <w:noWrap w:val="0"/>
            <w:vAlign w:val="center"/>
          </w:tcPr>
          <w:p w14:paraId="385CFFE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条款</w:t>
            </w:r>
          </w:p>
        </w:tc>
        <w:tc>
          <w:tcPr>
            <w:tcW w:w="1736" w:type="dxa"/>
            <w:noWrap w:val="0"/>
            <w:vAlign w:val="center"/>
          </w:tcPr>
          <w:p w14:paraId="2B9967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评审因素</w:t>
            </w:r>
          </w:p>
        </w:tc>
        <w:tc>
          <w:tcPr>
            <w:tcW w:w="6364" w:type="dxa"/>
            <w:noWrap w:val="0"/>
            <w:vAlign w:val="center"/>
          </w:tcPr>
          <w:p w14:paraId="142C6C0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评审标准</w:t>
            </w:r>
          </w:p>
        </w:tc>
      </w:tr>
      <w:tr w14:paraId="107B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9" w:type="dxa"/>
            <w:vMerge w:val="restart"/>
            <w:noWrap w:val="0"/>
            <w:vAlign w:val="center"/>
          </w:tcPr>
          <w:p w14:paraId="3C45D7A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形式评审标准</w:t>
            </w:r>
          </w:p>
        </w:tc>
        <w:tc>
          <w:tcPr>
            <w:tcW w:w="1736" w:type="dxa"/>
            <w:noWrap w:val="0"/>
            <w:vAlign w:val="center"/>
          </w:tcPr>
          <w:p w14:paraId="401E4D3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供应商名称</w:t>
            </w:r>
          </w:p>
        </w:tc>
        <w:tc>
          <w:tcPr>
            <w:tcW w:w="6364" w:type="dxa"/>
            <w:noWrap w:val="0"/>
            <w:vAlign w:val="center"/>
          </w:tcPr>
          <w:p w14:paraId="5CDB73D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与营业执照一致；</w:t>
            </w:r>
          </w:p>
        </w:tc>
      </w:tr>
      <w:tr w14:paraId="1A63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9" w:type="dxa"/>
            <w:vMerge w:val="continue"/>
            <w:noWrap w:val="0"/>
            <w:vAlign w:val="center"/>
          </w:tcPr>
          <w:p w14:paraId="41B14C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p>
        </w:tc>
        <w:tc>
          <w:tcPr>
            <w:tcW w:w="1736" w:type="dxa"/>
            <w:noWrap w:val="0"/>
            <w:vAlign w:val="center"/>
          </w:tcPr>
          <w:p w14:paraId="3EFC0C4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投标</w:t>
            </w:r>
            <w:r>
              <w:rPr>
                <w:rFonts w:hint="eastAsia" w:ascii="宋体" w:hAnsi="宋体" w:cs="宋体"/>
                <w:color w:val="auto"/>
                <w:sz w:val="22"/>
                <w:szCs w:val="22"/>
                <w:highlight w:val="none"/>
              </w:rPr>
              <w:t>函签字盖章</w:t>
            </w:r>
          </w:p>
        </w:tc>
        <w:tc>
          <w:tcPr>
            <w:tcW w:w="6364" w:type="dxa"/>
            <w:noWrap w:val="0"/>
            <w:vAlign w:val="center"/>
          </w:tcPr>
          <w:p w14:paraId="73E0EB6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有法定代表人或其委托代理人签字或加盖单位章；</w:t>
            </w:r>
          </w:p>
        </w:tc>
      </w:tr>
      <w:tr w14:paraId="2775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9" w:type="dxa"/>
            <w:vMerge w:val="continue"/>
            <w:noWrap w:val="0"/>
            <w:vAlign w:val="center"/>
          </w:tcPr>
          <w:p w14:paraId="1BBDD01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p>
        </w:tc>
        <w:tc>
          <w:tcPr>
            <w:tcW w:w="1736" w:type="dxa"/>
            <w:noWrap w:val="0"/>
            <w:vAlign w:val="center"/>
          </w:tcPr>
          <w:p w14:paraId="0700F4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响应文件格式</w:t>
            </w:r>
          </w:p>
        </w:tc>
        <w:tc>
          <w:tcPr>
            <w:tcW w:w="6364" w:type="dxa"/>
            <w:noWrap w:val="0"/>
            <w:vAlign w:val="center"/>
          </w:tcPr>
          <w:p w14:paraId="0611DA1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符合第六章“响应文件格式”的要求；</w:t>
            </w:r>
          </w:p>
        </w:tc>
      </w:tr>
      <w:tr w14:paraId="3979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9" w:type="dxa"/>
            <w:vMerge w:val="continue"/>
            <w:noWrap w:val="0"/>
            <w:vAlign w:val="top"/>
          </w:tcPr>
          <w:p w14:paraId="058D2F4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p>
        </w:tc>
        <w:tc>
          <w:tcPr>
            <w:tcW w:w="1736" w:type="dxa"/>
            <w:noWrap w:val="0"/>
            <w:vAlign w:val="center"/>
          </w:tcPr>
          <w:p w14:paraId="30235CE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报价唯一</w:t>
            </w:r>
          </w:p>
        </w:tc>
        <w:tc>
          <w:tcPr>
            <w:tcW w:w="6364" w:type="dxa"/>
            <w:noWrap w:val="0"/>
            <w:vAlign w:val="center"/>
          </w:tcPr>
          <w:p w14:paraId="48BD5B5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只能有一个有效报价；</w:t>
            </w:r>
          </w:p>
        </w:tc>
      </w:tr>
      <w:tr w14:paraId="705D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9" w:type="dxa"/>
            <w:vMerge w:val="restart"/>
            <w:noWrap w:val="0"/>
            <w:vAlign w:val="center"/>
          </w:tcPr>
          <w:p w14:paraId="2F4B5C3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资格评审标准</w:t>
            </w:r>
          </w:p>
          <w:p w14:paraId="7602FEF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p>
        </w:tc>
        <w:tc>
          <w:tcPr>
            <w:tcW w:w="1736" w:type="dxa"/>
            <w:noWrap w:val="0"/>
            <w:vAlign w:val="center"/>
          </w:tcPr>
          <w:p w14:paraId="077DFBE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营业执照</w:t>
            </w:r>
          </w:p>
        </w:tc>
        <w:tc>
          <w:tcPr>
            <w:tcW w:w="6364" w:type="dxa"/>
            <w:noWrap w:val="0"/>
            <w:vAlign w:val="center"/>
          </w:tcPr>
          <w:p w14:paraId="4D66219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具备有效的营业执照</w:t>
            </w:r>
            <w:r>
              <w:rPr>
                <w:rFonts w:hint="eastAsia" w:ascii="宋体" w:hAnsi="宋体"/>
                <w:color w:val="auto"/>
                <w:sz w:val="22"/>
                <w:szCs w:val="22"/>
                <w:highlight w:val="none"/>
                <w:lang w:eastAsia="zh-CN"/>
              </w:rPr>
              <w:t>。</w:t>
            </w:r>
          </w:p>
          <w:p w14:paraId="7A04467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cs="宋体"/>
                <w:color w:val="auto"/>
                <w:sz w:val="22"/>
                <w:szCs w:val="22"/>
                <w:highlight w:val="none"/>
              </w:rPr>
            </w:pPr>
            <w:r>
              <w:rPr>
                <w:rFonts w:hint="eastAsia" w:ascii="宋体" w:hAnsi="宋体" w:eastAsia="宋体" w:cs="宋体"/>
                <w:b/>
                <w:bCs w:val="0"/>
                <w:color w:val="auto"/>
                <w:kern w:val="0"/>
                <w:sz w:val="22"/>
                <w:szCs w:val="22"/>
                <w:highlight w:val="none"/>
              </w:rPr>
              <w:t>标书内附营业执照副本复印件加盖公章</w:t>
            </w:r>
            <w:r>
              <w:rPr>
                <w:rFonts w:hint="eastAsia" w:ascii="宋体" w:hAnsi="宋体" w:eastAsia="宋体" w:cs="宋体"/>
                <w:bCs/>
                <w:color w:val="auto"/>
                <w:kern w:val="0"/>
                <w:sz w:val="22"/>
                <w:szCs w:val="22"/>
                <w:highlight w:val="none"/>
                <w:lang w:eastAsia="zh-CN"/>
              </w:rPr>
              <w:t>。</w:t>
            </w:r>
          </w:p>
        </w:tc>
      </w:tr>
      <w:tr w14:paraId="4483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9" w:type="dxa"/>
            <w:vMerge w:val="continue"/>
            <w:noWrap w:val="0"/>
            <w:vAlign w:val="center"/>
          </w:tcPr>
          <w:p w14:paraId="093527D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p>
        </w:tc>
        <w:tc>
          <w:tcPr>
            <w:tcW w:w="1736" w:type="dxa"/>
            <w:noWrap w:val="0"/>
            <w:vAlign w:val="center"/>
          </w:tcPr>
          <w:p w14:paraId="038753E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r>
              <w:rPr>
                <w:rFonts w:hint="default"/>
                <w:color w:val="auto"/>
                <w:spacing w:val="-5"/>
                <w:sz w:val="22"/>
                <w:szCs w:val="22"/>
              </w:rPr>
              <w:t>资格要求</w:t>
            </w:r>
          </w:p>
        </w:tc>
        <w:tc>
          <w:tcPr>
            <w:tcW w:w="6364" w:type="dxa"/>
            <w:noWrap w:val="0"/>
            <w:vAlign w:val="center"/>
          </w:tcPr>
          <w:p w14:paraId="03A55A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供应商应具备中国保险监督管理委员会颁发的《经营保险业务许可证》，具有开展意外伤害保险业务资质的保险公司。</w:t>
            </w:r>
          </w:p>
          <w:p w14:paraId="0CA9522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sz w:val="22"/>
                <w:szCs w:val="22"/>
                <w:highlight w:val="none"/>
                <w:lang w:val="en-US" w:eastAsia="zh-CN"/>
              </w:rPr>
              <w:t>标书内提供《经营保险业务许可证》复印件加盖公章。</w:t>
            </w:r>
          </w:p>
        </w:tc>
      </w:tr>
      <w:tr w14:paraId="68B2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1029" w:type="dxa"/>
            <w:vMerge w:val="continue"/>
            <w:noWrap w:val="0"/>
            <w:vAlign w:val="center"/>
          </w:tcPr>
          <w:p w14:paraId="5713163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p>
        </w:tc>
        <w:tc>
          <w:tcPr>
            <w:tcW w:w="1736" w:type="dxa"/>
            <w:noWrap w:val="0"/>
            <w:vAlign w:val="center"/>
          </w:tcPr>
          <w:p w14:paraId="3F1DDE5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财务状况</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zh-CN"/>
              </w:rPr>
              <w:t>依法缴纳税收和社会保障资金</w:t>
            </w:r>
          </w:p>
        </w:tc>
        <w:tc>
          <w:tcPr>
            <w:tcW w:w="6364" w:type="dxa"/>
            <w:noWrap w:val="0"/>
            <w:vAlign w:val="top"/>
          </w:tcPr>
          <w:p w14:paraId="3D05B9A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具有良好的商业信誉和健全的财务会计制度，依法缴纳税收和社会保障资金的良好记录，根据[长财采购[2022]2066号文件]关于加强政府采购信用体系建设简化供应商资格条件有关事项的通知提供资格条件承诺函(长财采购[2022]2066号)文件要求执行，提供资格条件承诺函。</w:t>
            </w:r>
          </w:p>
          <w:p w14:paraId="0B7A5B9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cs="宋体"/>
                <w:color w:val="auto"/>
                <w:sz w:val="22"/>
                <w:szCs w:val="22"/>
                <w:highlight w:val="none"/>
              </w:rPr>
            </w:pPr>
            <w:r>
              <w:rPr>
                <w:rFonts w:hint="eastAsia" w:ascii="宋体" w:hAnsi="宋体" w:eastAsia="宋体" w:cs="宋体"/>
                <w:b/>
                <w:bCs/>
                <w:color w:val="auto"/>
                <w:sz w:val="22"/>
                <w:szCs w:val="22"/>
                <w:highlight w:val="none"/>
                <w:lang w:val="en-US" w:eastAsia="zh-CN"/>
              </w:rPr>
              <w:t>标书内提供资格条件承诺函加盖公章</w:t>
            </w:r>
            <w:r>
              <w:rPr>
                <w:rFonts w:hint="eastAsia" w:ascii="宋体" w:hAnsi="宋体" w:eastAsia="宋体" w:cs="宋体"/>
                <w:color w:val="auto"/>
                <w:sz w:val="22"/>
                <w:szCs w:val="22"/>
                <w:highlight w:val="none"/>
                <w:lang w:val="zh-CN" w:eastAsia="zh-CN"/>
              </w:rPr>
              <w:t>。</w:t>
            </w:r>
          </w:p>
        </w:tc>
      </w:tr>
      <w:tr w14:paraId="5C97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jc w:val="center"/>
        </w:trPr>
        <w:tc>
          <w:tcPr>
            <w:tcW w:w="1029" w:type="dxa"/>
            <w:vMerge w:val="continue"/>
            <w:noWrap w:val="0"/>
            <w:vAlign w:val="center"/>
          </w:tcPr>
          <w:p w14:paraId="1920572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p>
        </w:tc>
        <w:tc>
          <w:tcPr>
            <w:tcW w:w="1736" w:type="dxa"/>
            <w:noWrap w:val="0"/>
            <w:vAlign w:val="center"/>
          </w:tcPr>
          <w:p w14:paraId="6213579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信誉</w:t>
            </w:r>
          </w:p>
        </w:tc>
        <w:tc>
          <w:tcPr>
            <w:tcW w:w="6364" w:type="dxa"/>
            <w:noWrap w:val="0"/>
            <w:vAlign w:val="top"/>
          </w:tcPr>
          <w:p w14:paraId="4D82DB06">
            <w:pPr>
              <w:keepNext w:val="0"/>
              <w:keepLines w:val="0"/>
              <w:numPr>
                <w:ilvl w:val="0"/>
                <w:numId w:val="0"/>
              </w:numPr>
              <w:suppressLineNumbers w:val="0"/>
              <w:adjustRightInd w:val="0"/>
              <w:snapToGrid w:val="0"/>
              <w:spacing w:before="0" w:beforeAutospacing="0" w:after="0" w:afterAutospacing="0" w:line="360" w:lineRule="auto"/>
              <w:ind w:left="0" w:right="0"/>
              <w:jc w:val="left"/>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企业信誉良好、无不良行为记录,提供“信用中国”（www.creditchina.gov.cn）未列入①失信被执行人②重大税收违法案件当事人名单③政府采购严重违法失信名单的官网截图并加盖公章；提供“中国政府采购网”（www.ccgp.gov.cn）未列入政府采购严重违法失信行为记录名单的官网截图并加盖公章；提供“中国裁判文书网”（wenshu.court.gov.cn/）上无行贿犯罪记录官网截图并加盖公章。</w:t>
            </w:r>
            <w:r>
              <w:rPr>
                <w:rFonts w:hint="eastAsia" w:ascii="宋体" w:hAnsi="宋体" w:eastAsia="宋体" w:cs="Times New Roman"/>
                <w:color w:val="auto"/>
                <w:kern w:val="0"/>
                <w:sz w:val="22"/>
                <w:szCs w:val="22"/>
                <w:highlight w:val="none"/>
                <w:lang w:val="zh-CN" w:eastAsia="zh-CN"/>
              </w:rPr>
              <w:t>（查询截止时点：本项目采购公告发布之日起到响应文件提交截止时间期间）</w:t>
            </w:r>
            <w:r>
              <w:rPr>
                <w:rFonts w:hint="eastAsia" w:ascii="宋体" w:hAnsi="宋体" w:eastAsia="宋体" w:cs="宋体"/>
                <w:color w:val="auto"/>
                <w:kern w:val="2"/>
                <w:sz w:val="22"/>
                <w:szCs w:val="22"/>
                <w:highlight w:val="none"/>
                <w:lang w:val="en-US" w:eastAsia="zh-CN" w:bidi="ar-SA"/>
              </w:rPr>
              <w:t>。</w:t>
            </w:r>
          </w:p>
          <w:p w14:paraId="49BE7DF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cs="宋体"/>
                <w:color w:val="auto"/>
                <w:sz w:val="22"/>
                <w:szCs w:val="22"/>
                <w:highlight w:val="none"/>
              </w:rPr>
            </w:pPr>
            <w:r>
              <w:rPr>
                <w:rFonts w:hint="eastAsia" w:ascii="宋体" w:hAnsi="宋体" w:eastAsia="宋体" w:cs="宋体"/>
                <w:b/>
                <w:bCs/>
                <w:color w:val="auto"/>
                <w:sz w:val="22"/>
                <w:szCs w:val="22"/>
                <w:highlight w:val="none"/>
                <w:lang w:val="en-US" w:eastAsia="zh-CN"/>
              </w:rPr>
              <w:t>标书内</w:t>
            </w:r>
            <w:r>
              <w:rPr>
                <w:rFonts w:hint="eastAsia" w:ascii="宋体" w:hAnsi="宋体" w:eastAsia="宋体" w:cs="宋体"/>
                <w:b/>
                <w:bCs w:val="0"/>
                <w:color w:val="auto"/>
                <w:sz w:val="22"/>
                <w:szCs w:val="22"/>
                <w:highlight w:val="none"/>
                <w:lang w:val="zh-CN" w:eastAsia="zh-CN"/>
              </w:rPr>
              <w:t>提供</w:t>
            </w:r>
            <w:r>
              <w:rPr>
                <w:rFonts w:hint="eastAsia" w:ascii="宋体" w:hAnsi="宋体" w:cs="宋体"/>
                <w:b/>
                <w:bCs w:val="0"/>
                <w:color w:val="auto"/>
                <w:sz w:val="22"/>
                <w:szCs w:val="22"/>
                <w:highlight w:val="none"/>
                <w:lang w:val="zh-CN" w:eastAsia="zh-CN"/>
              </w:rPr>
              <w:t>各网站官网截图</w:t>
            </w:r>
            <w:r>
              <w:rPr>
                <w:rFonts w:hint="eastAsia" w:ascii="宋体" w:hAnsi="宋体" w:eastAsia="宋体" w:cs="宋体"/>
                <w:b/>
                <w:bCs w:val="0"/>
                <w:color w:val="auto"/>
                <w:sz w:val="22"/>
                <w:szCs w:val="22"/>
                <w:highlight w:val="none"/>
                <w:lang w:val="zh-CN" w:eastAsia="zh-CN"/>
              </w:rPr>
              <w:t>并加盖公章。</w:t>
            </w:r>
          </w:p>
        </w:tc>
      </w:tr>
      <w:tr w14:paraId="52AA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1029" w:type="dxa"/>
            <w:noWrap w:val="0"/>
            <w:vAlign w:val="center"/>
          </w:tcPr>
          <w:p w14:paraId="1E60AE9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p>
        </w:tc>
        <w:tc>
          <w:tcPr>
            <w:tcW w:w="1736" w:type="dxa"/>
            <w:noWrap w:val="0"/>
            <w:vAlign w:val="center"/>
          </w:tcPr>
          <w:p w14:paraId="25EF352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r>
              <w:rPr>
                <w:rFonts w:hint="eastAsia" w:ascii="宋体" w:hAnsi="宋体" w:cs="宋体"/>
                <w:color w:val="auto"/>
                <w:kern w:val="0"/>
                <w:szCs w:val="21"/>
                <w:lang w:val="zh-CN"/>
              </w:rPr>
              <w:t>其他要求</w:t>
            </w:r>
          </w:p>
        </w:tc>
        <w:tc>
          <w:tcPr>
            <w:tcW w:w="6364" w:type="dxa"/>
            <w:noWrap w:val="0"/>
            <w:vAlign w:val="top"/>
          </w:tcPr>
          <w:p w14:paraId="0F4DB621">
            <w:pPr>
              <w:pStyle w:val="2"/>
              <w:keepNext w:val="0"/>
              <w:keepLines w:val="0"/>
              <w:suppressLineNumbers w:val="0"/>
              <w:spacing w:before="0" w:beforeAutospacing="0" w:after="0" w:afterAutospacing="0" w:line="400" w:lineRule="exact"/>
              <w:ind w:left="0" w:right="0"/>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p>
          <w:p w14:paraId="653768BC">
            <w:pPr>
              <w:pStyle w:val="2"/>
              <w:keepNext w:val="0"/>
              <w:keepLines w:val="0"/>
              <w:suppressLineNumbers w:val="0"/>
              <w:spacing w:before="0" w:beforeAutospacing="0" w:after="0" w:afterAutospacing="0" w:line="400" w:lineRule="exact"/>
              <w:ind w:left="0" w:right="0"/>
              <w:rPr>
                <w:rFonts w:hint="eastAsia" w:ascii="宋体" w:hAnsi="宋体" w:eastAsia="宋体" w:cs="宋体"/>
                <w:b/>
                <w:bCs w:val="0"/>
                <w:color w:val="auto"/>
                <w:sz w:val="22"/>
                <w:szCs w:val="22"/>
                <w:highlight w:val="none"/>
                <w:lang w:val="zh-CN" w:eastAsia="zh-CN"/>
              </w:rPr>
            </w:pPr>
            <w:r>
              <w:rPr>
                <w:rFonts w:hint="eastAsia" w:ascii="宋体" w:hAnsi="宋体" w:eastAsia="宋体" w:cs="宋体"/>
                <w:b/>
                <w:bCs/>
                <w:color w:val="auto"/>
                <w:kern w:val="2"/>
                <w:sz w:val="22"/>
                <w:szCs w:val="22"/>
                <w:highlight w:val="none"/>
                <w:lang w:val="en-US" w:eastAsia="zh-CN" w:bidi="ar-SA"/>
              </w:rPr>
              <w:t>标书内提供企业承诺书，格式自拟，加盖公章</w:t>
            </w:r>
            <w:r>
              <w:rPr>
                <w:rFonts w:hint="eastAsia" w:ascii="宋体" w:hAnsi="宋体" w:eastAsia="宋体" w:cs="宋体"/>
                <w:b/>
                <w:bCs/>
                <w:color w:val="auto"/>
                <w:kern w:val="2"/>
                <w:sz w:val="22"/>
                <w:szCs w:val="22"/>
                <w:highlight w:val="none"/>
                <w:lang w:val="zh-CN" w:eastAsia="zh-CN" w:bidi="ar-SA"/>
              </w:rPr>
              <w:t>。</w:t>
            </w:r>
          </w:p>
        </w:tc>
      </w:tr>
      <w:tr w14:paraId="1C31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029" w:type="dxa"/>
            <w:vMerge w:val="restart"/>
            <w:noWrap w:val="0"/>
            <w:vAlign w:val="center"/>
          </w:tcPr>
          <w:p w14:paraId="2CED3CD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响应性评审</w:t>
            </w:r>
          </w:p>
          <w:p w14:paraId="2E550E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标准</w:t>
            </w:r>
          </w:p>
          <w:p w14:paraId="7D610DF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p>
        </w:tc>
        <w:tc>
          <w:tcPr>
            <w:tcW w:w="1736" w:type="dxa"/>
            <w:noWrap w:val="0"/>
            <w:vAlign w:val="center"/>
          </w:tcPr>
          <w:p w14:paraId="11E7A24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投标内容</w:t>
            </w:r>
          </w:p>
        </w:tc>
        <w:tc>
          <w:tcPr>
            <w:tcW w:w="6364" w:type="dxa"/>
            <w:noWrap w:val="0"/>
            <w:vAlign w:val="center"/>
          </w:tcPr>
          <w:p w14:paraId="49F0720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符合第二章“供应商须知”规定，响应文件主要内容字迹清晰、无不可辨认内容。</w:t>
            </w:r>
          </w:p>
        </w:tc>
      </w:tr>
      <w:tr w14:paraId="6D56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9" w:type="dxa"/>
            <w:vMerge w:val="continue"/>
            <w:noWrap w:val="0"/>
            <w:vAlign w:val="center"/>
          </w:tcPr>
          <w:p w14:paraId="771B98E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cs="宋体"/>
                <w:color w:val="auto"/>
                <w:sz w:val="22"/>
                <w:szCs w:val="22"/>
                <w:highlight w:val="none"/>
              </w:rPr>
            </w:pPr>
          </w:p>
        </w:tc>
        <w:tc>
          <w:tcPr>
            <w:tcW w:w="1736" w:type="dxa"/>
            <w:noWrap w:val="0"/>
            <w:vAlign w:val="center"/>
          </w:tcPr>
          <w:p w14:paraId="1A2F480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color w:val="auto"/>
                <w:kern w:val="2"/>
                <w:sz w:val="22"/>
                <w:szCs w:val="22"/>
                <w:highlight w:val="none"/>
                <w:lang w:val="zh-CN" w:eastAsia="zh-CN"/>
              </w:rPr>
              <w:t>合同履行期限</w:t>
            </w:r>
          </w:p>
        </w:tc>
        <w:tc>
          <w:tcPr>
            <w:tcW w:w="6364" w:type="dxa"/>
            <w:noWrap w:val="0"/>
            <w:vAlign w:val="center"/>
          </w:tcPr>
          <w:p w14:paraId="3CBCB11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kern w:val="2"/>
                <w:sz w:val="22"/>
                <w:szCs w:val="22"/>
                <w:highlight w:val="none"/>
                <w:lang w:val="zh-CN" w:eastAsia="zh-CN"/>
              </w:rPr>
            </w:pPr>
            <w:r>
              <w:rPr>
                <w:rFonts w:hint="eastAsia" w:ascii="宋体" w:hAnsi="宋体" w:eastAsia="宋体" w:cs="宋体"/>
                <w:bCs/>
                <w:color w:val="auto"/>
                <w:kern w:val="2"/>
                <w:sz w:val="22"/>
                <w:szCs w:val="22"/>
                <w:highlight w:val="none"/>
                <w:lang w:val="en-US" w:eastAsia="zh-CN" w:bidi="ar-SA"/>
              </w:rPr>
              <w:t>签订合同后1年</w:t>
            </w:r>
          </w:p>
        </w:tc>
      </w:tr>
      <w:tr w14:paraId="2321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9" w:type="dxa"/>
            <w:vMerge w:val="continue"/>
            <w:noWrap w:val="0"/>
            <w:vAlign w:val="center"/>
          </w:tcPr>
          <w:p w14:paraId="0DFA384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cs="宋体"/>
                <w:color w:val="auto"/>
                <w:sz w:val="22"/>
                <w:szCs w:val="22"/>
                <w:highlight w:val="none"/>
              </w:rPr>
            </w:pPr>
          </w:p>
        </w:tc>
        <w:tc>
          <w:tcPr>
            <w:tcW w:w="1736" w:type="dxa"/>
            <w:noWrap w:val="0"/>
            <w:vAlign w:val="center"/>
          </w:tcPr>
          <w:p w14:paraId="307D2D8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服务标准</w:t>
            </w:r>
          </w:p>
        </w:tc>
        <w:tc>
          <w:tcPr>
            <w:tcW w:w="6364" w:type="dxa"/>
            <w:noWrap w:val="0"/>
            <w:vAlign w:val="center"/>
          </w:tcPr>
          <w:p w14:paraId="51A39DD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kern w:val="2"/>
                <w:sz w:val="22"/>
                <w:szCs w:val="22"/>
                <w:highlight w:val="none"/>
                <w:lang w:val="zh-CN" w:eastAsia="zh-CN"/>
              </w:rPr>
              <w:t>符合国家及行业规定的合格标准</w:t>
            </w:r>
          </w:p>
        </w:tc>
      </w:tr>
      <w:tr w14:paraId="6FEC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9" w:type="dxa"/>
            <w:vMerge w:val="continue"/>
            <w:noWrap w:val="0"/>
            <w:vAlign w:val="center"/>
          </w:tcPr>
          <w:p w14:paraId="767336B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cs="宋体"/>
                <w:color w:val="auto"/>
                <w:sz w:val="22"/>
                <w:szCs w:val="22"/>
                <w:highlight w:val="none"/>
              </w:rPr>
            </w:pPr>
          </w:p>
        </w:tc>
        <w:tc>
          <w:tcPr>
            <w:tcW w:w="1736" w:type="dxa"/>
            <w:noWrap w:val="0"/>
            <w:vAlign w:val="center"/>
          </w:tcPr>
          <w:p w14:paraId="33AECCA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磋商保证金</w:t>
            </w:r>
          </w:p>
        </w:tc>
        <w:tc>
          <w:tcPr>
            <w:tcW w:w="6364" w:type="dxa"/>
            <w:noWrap w:val="0"/>
            <w:vAlign w:val="center"/>
          </w:tcPr>
          <w:p w14:paraId="7224996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default" w:ascii="宋体" w:hAnsi="宋体" w:eastAsia="宋体" w:cs="宋体"/>
                <w:color w:val="auto"/>
                <w:kern w:val="2"/>
                <w:sz w:val="22"/>
                <w:szCs w:val="22"/>
                <w:highlight w:val="none"/>
                <w:lang w:val="en-US" w:eastAsia="zh-CN"/>
              </w:rPr>
            </w:pPr>
            <w:r>
              <w:rPr>
                <w:rFonts w:hint="eastAsia" w:ascii="宋体" w:hAnsi="宋体" w:cs="宋体"/>
                <w:color w:val="auto"/>
                <w:sz w:val="22"/>
                <w:szCs w:val="22"/>
                <w:highlight w:val="none"/>
              </w:rPr>
              <w:t>符合第二章“供应商须知”规定</w:t>
            </w:r>
            <w:r>
              <w:rPr>
                <w:rFonts w:hint="eastAsia" w:ascii="宋体" w:hAnsi="宋体" w:cs="宋体"/>
                <w:color w:val="auto"/>
                <w:sz w:val="22"/>
                <w:szCs w:val="22"/>
                <w:highlight w:val="none"/>
                <w:lang w:val="en-US" w:eastAsia="zh-CN"/>
              </w:rPr>
              <w:t>中磋商保证金的规定</w:t>
            </w:r>
          </w:p>
        </w:tc>
      </w:tr>
      <w:tr w14:paraId="086E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9" w:type="dxa"/>
            <w:vMerge w:val="continue"/>
            <w:noWrap w:val="0"/>
            <w:vAlign w:val="center"/>
          </w:tcPr>
          <w:p w14:paraId="4806A17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cs="宋体"/>
                <w:color w:val="auto"/>
                <w:sz w:val="22"/>
                <w:szCs w:val="22"/>
                <w:highlight w:val="none"/>
              </w:rPr>
            </w:pPr>
          </w:p>
        </w:tc>
        <w:tc>
          <w:tcPr>
            <w:tcW w:w="1736" w:type="dxa"/>
            <w:noWrap w:val="0"/>
            <w:vAlign w:val="center"/>
          </w:tcPr>
          <w:p w14:paraId="65A6B92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有效期</w:t>
            </w:r>
          </w:p>
        </w:tc>
        <w:tc>
          <w:tcPr>
            <w:tcW w:w="6364" w:type="dxa"/>
            <w:noWrap w:val="0"/>
            <w:vAlign w:val="center"/>
          </w:tcPr>
          <w:p w14:paraId="6FE3E9B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提交响应文件截止时间后90天（日历日）</w:t>
            </w:r>
          </w:p>
        </w:tc>
      </w:tr>
      <w:tr w14:paraId="1552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9" w:type="dxa"/>
            <w:vMerge w:val="continue"/>
            <w:noWrap w:val="0"/>
            <w:vAlign w:val="center"/>
          </w:tcPr>
          <w:p w14:paraId="4ED88BE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cs="宋体"/>
                <w:color w:val="auto"/>
                <w:sz w:val="22"/>
                <w:szCs w:val="22"/>
                <w:highlight w:val="none"/>
              </w:rPr>
            </w:pPr>
          </w:p>
        </w:tc>
        <w:tc>
          <w:tcPr>
            <w:tcW w:w="1736" w:type="dxa"/>
            <w:noWrap w:val="0"/>
            <w:vAlign w:val="center"/>
          </w:tcPr>
          <w:p w14:paraId="0988A38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权利义务</w:t>
            </w:r>
          </w:p>
        </w:tc>
        <w:tc>
          <w:tcPr>
            <w:tcW w:w="6364" w:type="dxa"/>
            <w:noWrap w:val="0"/>
            <w:vAlign w:val="center"/>
          </w:tcPr>
          <w:p w14:paraId="3DB1CEF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符合第</w:t>
            </w:r>
            <w:r>
              <w:rPr>
                <w:rFonts w:hint="eastAsia" w:ascii="宋体" w:hAnsi="宋体" w:cs="宋体"/>
                <w:color w:val="auto"/>
                <w:sz w:val="22"/>
                <w:szCs w:val="22"/>
                <w:highlight w:val="none"/>
                <w:lang w:val="en-US" w:eastAsia="zh-CN"/>
              </w:rPr>
              <w:t>四</w:t>
            </w:r>
            <w:r>
              <w:rPr>
                <w:rFonts w:hint="eastAsia" w:ascii="宋体" w:hAnsi="宋体" w:cs="宋体"/>
                <w:color w:val="auto"/>
                <w:sz w:val="22"/>
                <w:szCs w:val="22"/>
                <w:highlight w:val="none"/>
              </w:rPr>
              <w:t>章“合同条款及格式”的相关规定</w:t>
            </w:r>
          </w:p>
        </w:tc>
      </w:tr>
      <w:tr w14:paraId="300A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9" w:type="dxa"/>
            <w:vMerge w:val="continue"/>
            <w:noWrap w:val="0"/>
            <w:vAlign w:val="center"/>
          </w:tcPr>
          <w:p w14:paraId="719C88C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cs="宋体"/>
                <w:color w:val="auto"/>
                <w:sz w:val="22"/>
                <w:szCs w:val="22"/>
                <w:highlight w:val="none"/>
              </w:rPr>
            </w:pPr>
          </w:p>
        </w:tc>
        <w:tc>
          <w:tcPr>
            <w:tcW w:w="1736" w:type="dxa"/>
            <w:noWrap w:val="0"/>
            <w:vAlign w:val="center"/>
          </w:tcPr>
          <w:p w14:paraId="5CAE65D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技术标准和要求</w:t>
            </w:r>
          </w:p>
        </w:tc>
        <w:tc>
          <w:tcPr>
            <w:tcW w:w="6364" w:type="dxa"/>
            <w:noWrap w:val="0"/>
            <w:vAlign w:val="center"/>
          </w:tcPr>
          <w:p w14:paraId="11A2767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val="en-US" w:eastAsia="zh-CN"/>
              </w:rPr>
              <w:t>符合</w:t>
            </w:r>
            <w:r>
              <w:rPr>
                <w:rFonts w:hint="eastAsia" w:ascii="Times New Roman" w:hAnsi="Times New Roman" w:eastAsia="宋体" w:cs="Times New Roman"/>
                <w:color w:val="auto"/>
                <w:sz w:val="22"/>
                <w:szCs w:val="22"/>
                <w:highlight w:val="none"/>
                <w:lang w:eastAsia="zh-CN"/>
              </w:rPr>
              <w:t>第</w:t>
            </w:r>
            <w:r>
              <w:rPr>
                <w:rFonts w:hint="eastAsia" w:ascii="Times New Roman" w:hAnsi="Times New Roman" w:eastAsia="宋体" w:cs="Times New Roman"/>
                <w:color w:val="auto"/>
                <w:sz w:val="22"/>
                <w:szCs w:val="22"/>
                <w:highlight w:val="none"/>
                <w:lang w:val="en-US" w:eastAsia="zh-CN"/>
              </w:rPr>
              <w:t>五</w:t>
            </w:r>
            <w:r>
              <w:rPr>
                <w:rFonts w:hint="eastAsia" w:ascii="Times New Roman" w:hAnsi="Times New Roman" w:eastAsia="宋体" w:cs="Times New Roman"/>
                <w:color w:val="auto"/>
                <w:sz w:val="22"/>
                <w:szCs w:val="22"/>
                <w:highlight w:val="none"/>
                <w:lang w:eastAsia="zh-CN"/>
              </w:rPr>
              <w:t>章“</w:t>
            </w:r>
            <w:r>
              <w:rPr>
                <w:rFonts w:hint="eastAsia" w:ascii="Times New Roman" w:hAnsi="Times New Roman" w:eastAsia="宋体" w:cs="Times New Roman"/>
                <w:color w:val="auto"/>
                <w:sz w:val="22"/>
                <w:szCs w:val="22"/>
                <w:highlight w:val="none"/>
                <w:lang w:val="en-US" w:eastAsia="zh-CN"/>
              </w:rPr>
              <w:t>技术标准及服务需求”</w:t>
            </w:r>
            <w:r>
              <w:rPr>
                <w:rFonts w:hint="eastAsia" w:ascii="Times New Roman" w:hAnsi="Times New Roman" w:eastAsia="宋体" w:cs="Times New Roman"/>
                <w:color w:val="auto"/>
                <w:sz w:val="22"/>
                <w:szCs w:val="22"/>
                <w:highlight w:val="none"/>
                <w:lang w:eastAsia="zh-CN"/>
              </w:rPr>
              <w:t>规定</w:t>
            </w:r>
          </w:p>
        </w:tc>
      </w:tr>
      <w:tr w14:paraId="3BB0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29" w:type="dxa"/>
            <w:vMerge w:val="continue"/>
            <w:noWrap w:val="0"/>
            <w:vAlign w:val="center"/>
          </w:tcPr>
          <w:p w14:paraId="6278785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cs="宋体"/>
                <w:color w:val="auto"/>
                <w:sz w:val="22"/>
                <w:szCs w:val="22"/>
                <w:highlight w:val="none"/>
              </w:rPr>
            </w:pPr>
          </w:p>
        </w:tc>
        <w:tc>
          <w:tcPr>
            <w:tcW w:w="1736" w:type="dxa"/>
            <w:noWrap w:val="0"/>
            <w:vAlign w:val="center"/>
          </w:tcPr>
          <w:p w14:paraId="087DDA81">
            <w:pPr>
              <w:pStyle w:val="31"/>
              <w:keepNext w:val="0"/>
              <w:keepLines w:val="0"/>
              <w:pageBreakBefore w:val="0"/>
              <w:suppressLineNumbers w:val="0"/>
              <w:tabs>
                <w:tab w:val="clear" w:pos="4153"/>
                <w:tab w:val="clear" w:pos="8306"/>
              </w:tabs>
              <w:kinsoku/>
              <w:wordWrap/>
              <w:overflowPunct/>
              <w:topLinePunct w:val="0"/>
              <w:autoSpaceDE w:val="0"/>
              <w:autoSpaceDN w:val="0"/>
              <w:bidi w:val="0"/>
              <w:adjustRightInd w:val="0"/>
              <w:spacing w:before="0" w:beforeAutospacing="0" w:after="0" w:afterAutospacing="0" w:line="360" w:lineRule="auto"/>
              <w:ind w:left="0" w:right="0" w:firstLine="198" w:firstLineChars="90"/>
              <w:jc w:val="center"/>
              <w:textAlignment w:val="auto"/>
              <w:outlineLvl w:val="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最终报价</w:t>
            </w:r>
          </w:p>
        </w:tc>
        <w:tc>
          <w:tcPr>
            <w:tcW w:w="6364" w:type="dxa"/>
            <w:noWrap w:val="0"/>
            <w:vAlign w:val="center"/>
          </w:tcPr>
          <w:p w14:paraId="660BBB1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val="zh-CN" w:eastAsia="zh-CN"/>
              </w:rPr>
              <w:t>本项目最高限价为：</w:t>
            </w:r>
            <w:r>
              <w:rPr>
                <w:rFonts w:hint="eastAsia" w:cs="Times New Roman"/>
                <w:b/>
                <w:bCs/>
                <w:color w:val="auto"/>
                <w:sz w:val="22"/>
                <w:szCs w:val="22"/>
                <w:highlight w:val="none"/>
                <w:lang w:val="en-US" w:eastAsia="zh-CN"/>
              </w:rPr>
              <w:t>100</w:t>
            </w:r>
            <w:r>
              <w:rPr>
                <w:rFonts w:hint="eastAsia" w:cs="Times New Roman"/>
                <w:color w:val="auto"/>
                <w:sz w:val="22"/>
                <w:szCs w:val="22"/>
                <w:highlight w:val="none"/>
                <w:lang w:val="en-US" w:eastAsia="zh-CN"/>
              </w:rPr>
              <w:t>万元</w:t>
            </w:r>
            <w:r>
              <w:rPr>
                <w:rFonts w:hint="eastAsia" w:ascii="Times New Roman" w:hAnsi="Times New Roman" w:eastAsia="宋体" w:cs="Times New Roman"/>
                <w:color w:val="auto"/>
                <w:sz w:val="22"/>
                <w:szCs w:val="22"/>
                <w:highlight w:val="none"/>
                <w:lang w:val="zh-CN" w:eastAsia="zh-CN"/>
              </w:rPr>
              <w:t>；</w:t>
            </w:r>
            <w:r>
              <w:rPr>
                <w:rFonts w:hint="eastAsia" w:ascii="Times New Roman" w:hAnsi="Times New Roman" w:eastAsia="宋体" w:cs="Times New Roman"/>
                <w:b/>
                <w:bCs/>
                <w:color w:val="auto"/>
                <w:sz w:val="22"/>
                <w:szCs w:val="22"/>
                <w:highlight w:val="none"/>
                <w:lang w:val="zh-CN" w:eastAsia="zh-CN"/>
              </w:rPr>
              <w:t>（超过预算</w:t>
            </w:r>
            <w:r>
              <w:rPr>
                <w:rFonts w:hint="eastAsia" w:ascii="Times New Roman" w:hAnsi="Times New Roman" w:eastAsia="宋体" w:cs="Times New Roman"/>
                <w:b/>
                <w:bCs/>
                <w:color w:val="auto"/>
                <w:sz w:val="22"/>
                <w:szCs w:val="22"/>
                <w:highlight w:val="none"/>
                <w:lang w:eastAsia="zh-CN"/>
              </w:rPr>
              <w:t>金额</w:t>
            </w:r>
            <w:r>
              <w:rPr>
                <w:rFonts w:hint="eastAsia" w:ascii="Times New Roman" w:hAnsi="Times New Roman" w:eastAsia="宋体" w:cs="Times New Roman"/>
                <w:b/>
                <w:bCs/>
                <w:color w:val="auto"/>
                <w:sz w:val="22"/>
                <w:szCs w:val="22"/>
                <w:highlight w:val="none"/>
                <w:lang w:val="zh-CN" w:eastAsia="zh-CN"/>
              </w:rPr>
              <w:t>的文件其报价无效处理）</w:t>
            </w:r>
          </w:p>
        </w:tc>
      </w:tr>
    </w:tbl>
    <w:p w14:paraId="539AB913">
      <w:pPr>
        <w:pStyle w:val="176"/>
        <w:rPr>
          <w:rFonts w:hint="eastAsia" w:ascii="宋体" w:hAnsi="宋体" w:eastAsia="宋体" w:cs="宋体"/>
          <w:color w:val="auto"/>
          <w:sz w:val="22"/>
          <w:szCs w:val="22"/>
        </w:rPr>
      </w:pPr>
    </w:p>
    <w:p w14:paraId="37CB65E6">
      <w:pPr>
        <w:pStyle w:val="176"/>
        <w:rPr>
          <w:rFonts w:ascii="宋体" w:hAnsi="宋体" w:eastAsia="宋体" w:cs="宋体"/>
          <w:color w:val="auto"/>
          <w:sz w:val="22"/>
          <w:szCs w:val="22"/>
        </w:rPr>
      </w:pPr>
      <w:r>
        <w:rPr>
          <w:rFonts w:hint="eastAsia" w:ascii="宋体" w:hAnsi="宋体" w:eastAsia="宋体" w:cs="宋体"/>
          <w:color w:val="auto"/>
          <w:sz w:val="22"/>
          <w:szCs w:val="22"/>
        </w:rPr>
        <w:t>注：（1）不符合以上内容之一的按不合格处理，不合格的打“×”；合格的打“√”。评审结论</w:t>
      </w:r>
      <w:r>
        <w:rPr>
          <w:rFonts w:hint="eastAsia" w:ascii="宋体" w:hAnsi="宋体" w:eastAsia="宋体" w:cs="宋体"/>
          <w:color w:val="auto"/>
          <w:sz w:val="22"/>
          <w:szCs w:val="22"/>
          <w:lang w:eastAsia="zh-CN"/>
        </w:rPr>
        <w:t>为</w:t>
      </w:r>
      <w:r>
        <w:rPr>
          <w:rFonts w:hint="eastAsia" w:ascii="宋体" w:hAnsi="宋体" w:eastAsia="宋体" w:cs="宋体"/>
          <w:color w:val="auto"/>
          <w:sz w:val="22"/>
          <w:szCs w:val="22"/>
        </w:rPr>
        <w:t>“不合格”或“合格”。上述内容中有一项评审不合格的，投标按废标处理。</w:t>
      </w:r>
    </w:p>
    <w:p w14:paraId="5EE93A45">
      <w:pPr>
        <w:pStyle w:val="2"/>
        <w:rPr>
          <w:rFonts w:hint="eastAsia" w:ascii="宋体" w:hAnsi="宋体" w:eastAsia="宋体" w:cs="Times New Roman"/>
          <w:b/>
          <w:bCs/>
          <w:color w:val="auto"/>
          <w:kern w:val="0"/>
          <w:sz w:val="22"/>
          <w:szCs w:val="22"/>
          <w:highlight w:val="none"/>
        </w:rPr>
        <w:sectPr>
          <w:pgSz w:w="11907" w:h="16840"/>
          <w:pgMar w:top="1134" w:right="1418" w:bottom="1134" w:left="1418" w:header="567" w:footer="567" w:gutter="0"/>
          <w:cols w:space="720" w:num="1"/>
          <w:titlePg/>
          <w:docGrid w:linePitch="312" w:charSpace="0"/>
        </w:sectPr>
      </w:pPr>
      <w:r>
        <w:rPr>
          <w:rFonts w:hint="eastAsia" w:ascii="宋体" w:hAnsi="宋体" w:eastAsia="宋体" w:cs="宋体"/>
          <w:color w:val="auto"/>
          <w:sz w:val="22"/>
          <w:szCs w:val="22"/>
        </w:rPr>
        <w:t>（2）初步评审合格的供应商进行二次报价，以二次报价为最终报价计算投标报价得分。</w:t>
      </w:r>
    </w:p>
    <w:bookmarkEnd w:id="42"/>
    <w:p w14:paraId="3FE6F15D">
      <w:pPr>
        <w:spacing w:line="500" w:lineRule="exact"/>
        <w:jc w:val="center"/>
        <w:rPr>
          <w:rFonts w:ascii="宋体" w:hAnsi="宋体"/>
          <w:b/>
          <w:color w:val="auto"/>
          <w:kern w:val="0"/>
          <w:sz w:val="28"/>
          <w:szCs w:val="28"/>
          <w:highlight w:val="none"/>
        </w:rPr>
      </w:pPr>
      <w:bookmarkStart w:id="43" w:name="_Toc444680791"/>
      <w:bookmarkStart w:id="44" w:name="_Toc373772561"/>
      <w:bookmarkStart w:id="45" w:name="_Toc23059"/>
      <w:bookmarkStart w:id="46" w:name="_Toc12837"/>
      <w:bookmarkStart w:id="47" w:name="_Toc5400"/>
      <w:bookmarkStart w:id="48" w:name="_Toc3466"/>
      <w:bookmarkStart w:id="49" w:name="_Toc25215"/>
      <w:bookmarkStart w:id="50" w:name="_Toc11746"/>
      <w:r>
        <w:rPr>
          <w:rFonts w:hint="eastAsia" w:ascii="宋体" w:hAnsi="宋体" w:cs="宋体"/>
          <w:b/>
          <w:color w:val="auto"/>
          <w:sz w:val="28"/>
          <w:szCs w:val="28"/>
          <w:highlight w:val="none"/>
          <w:lang w:eastAsia="zh-CN"/>
        </w:rPr>
        <w:t>附表二：</w:t>
      </w:r>
      <w:r>
        <w:rPr>
          <w:rFonts w:hint="eastAsia" w:ascii="宋体" w:hAnsi="宋体" w:cs="宋体"/>
          <w:b/>
          <w:color w:val="auto"/>
          <w:sz w:val="28"/>
          <w:szCs w:val="28"/>
          <w:highlight w:val="none"/>
        </w:rPr>
        <w:t>详细评审表</w:t>
      </w:r>
    </w:p>
    <w:p w14:paraId="4D743C7F">
      <w:pPr>
        <w:autoSpaceDE w:val="0"/>
        <w:autoSpaceDN w:val="0"/>
        <w:adjustRightInd w:val="0"/>
        <w:spacing w:line="360" w:lineRule="auto"/>
        <w:rPr>
          <w:color w:val="auto"/>
          <w:sz w:val="24"/>
          <w:szCs w:val="24"/>
          <w:highlight w:val="none"/>
          <w:lang w:val="zh-CN"/>
        </w:rPr>
      </w:pPr>
      <w:r>
        <w:rPr>
          <w:rFonts w:hint="eastAsia" w:ascii="宋体" w:hAnsi="宋体"/>
          <w:b/>
          <w:color w:val="auto"/>
          <w:kern w:val="0"/>
          <w:sz w:val="24"/>
          <w:szCs w:val="24"/>
          <w:highlight w:val="none"/>
          <w:lang w:val="zh-CN"/>
        </w:rPr>
        <w:t>评审方法和标准</w:t>
      </w:r>
    </w:p>
    <w:tbl>
      <w:tblPr>
        <w:tblStyle w:val="48"/>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921"/>
        <w:gridCol w:w="1906"/>
        <w:gridCol w:w="4894"/>
        <w:gridCol w:w="712"/>
      </w:tblGrid>
      <w:tr w14:paraId="793A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shd w:val="clear" w:color="auto" w:fill="auto"/>
            <w:vAlign w:val="center"/>
          </w:tcPr>
          <w:p w14:paraId="51E6034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序号</w:t>
            </w:r>
          </w:p>
        </w:tc>
        <w:tc>
          <w:tcPr>
            <w:tcW w:w="2827" w:type="dxa"/>
            <w:gridSpan w:val="2"/>
            <w:shd w:val="clear" w:color="auto" w:fill="auto"/>
            <w:vAlign w:val="center"/>
          </w:tcPr>
          <w:p w14:paraId="1930F9F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评分项目</w:t>
            </w:r>
          </w:p>
        </w:tc>
        <w:tc>
          <w:tcPr>
            <w:tcW w:w="4894" w:type="dxa"/>
            <w:shd w:val="clear" w:color="auto" w:fill="auto"/>
            <w:vAlign w:val="center"/>
          </w:tcPr>
          <w:p w14:paraId="4863F9C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评分内容</w:t>
            </w:r>
          </w:p>
        </w:tc>
        <w:tc>
          <w:tcPr>
            <w:tcW w:w="712" w:type="dxa"/>
            <w:shd w:val="clear" w:color="auto" w:fill="auto"/>
            <w:vAlign w:val="center"/>
          </w:tcPr>
          <w:p w14:paraId="6654C5C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分值</w:t>
            </w:r>
          </w:p>
        </w:tc>
      </w:tr>
      <w:tr w14:paraId="7D89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shd w:val="clear" w:color="auto" w:fill="auto"/>
            <w:vAlign w:val="center"/>
          </w:tcPr>
          <w:p w14:paraId="750BE6E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w:t>
            </w:r>
          </w:p>
        </w:tc>
        <w:tc>
          <w:tcPr>
            <w:tcW w:w="2827" w:type="dxa"/>
            <w:gridSpan w:val="2"/>
            <w:shd w:val="clear" w:color="auto" w:fill="auto"/>
            <w:vAlign w:val="center"/>
          </w:tcPr>
          <w:p w14:paraId="57CBEB9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价格部分（</w:t>
            </w:r>
            <w:r>
              <w:rPr>
                <w:rFonts w:hint="eastAsia" w:ascii="新宋体" w:hAnsi="新宋体" w:eastAsia="新宋体" w:cs="新宋体"/>
                <w:color w:val="auto"/>
                <w:sz w:val="22"/>
                <w:szCs w:val="22"/>
                <w:lang w:val="en-US" w:eastAsia="zh-CN"/>
              </w:rPr>
              <w:t>20</w:t>
            </w:r>
            <w:r>
              <w:rPr>
                <w:rFonts w:hint="eastAsia" w:ascii="新宋体" w:hAnsi="新宋体" w:eastAsia="新宋体" w:cs="新宋体"/>
                <w:color w:val="auto"/>
                <w:sz w:val="22"/>
                <w:szCs w:val="22"/>
              </w:rPr>
              <w:t>）</w:t>
            </w:r>
          </w:p>
        </w:tc>
        <w:tc>
          <w:tcPr>
            <w:tcW w:w="4894" w:type="dxa"/>
            <w:shd w:val="clear" w:color="auto" w:fill="auto"/>
            <w:vAlign w:val="center"/>
          </w:tcPr>
          <w:p w14:paraId="077BDA26">
            <w:pPr>
              <w:pStyle w:val="177"/>
              <w:keepNext w:val="0"/>
              <w:keepLines w:val="0"/>
              <w:pageBreakBefore w:val="0"/>
              <w:widowControl w:val="0"/>
              <w:suppressLineNumbers w:val="0"/>
              <w:kinsoku/>
              <w:wordWrap/>
              <w:overflowPunct/>
              <w:topLinePunct w:val="0"/>
              <w:bidi w:val="0"/>
              <w:snapToGrid/>
              <w:spacing w:before="35" w:beforeAutospacing="0" w:after="0" w:afterAutospacing="0" w:line="264" w:lineRule="auto"/>
              <w:ind w:left="112" w:right="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评</w:t>
            </w:r>
            <w:r>
              <w:rPr>
                <w:rFonts w:hint="eastAsia" w:ascii="新宋体" w:hAnsi="新宋体" w:eastAsia="新宋体" w:cs="新宋体"/>
                <w:color w:val="auto"/>
                <w:kern w:val="0"/>
                <w:sz w:val="22"/>
                <w:szCs w:val="22"/>
                <w:highlight w:val="none"/>
              </w:rPr>
              <w:t>标依据：评标基准价为经评审合格的所有投标人的最低价作为评分基准价。投标人的价格分按下式计算：价格分=（评分基准价/评标价）×基准分值。（计算时取至小数点后二位，第三位四舍五入）。</w:t>
            </w:r>
          </w:p>
          <w:p w14:paraId="4352FDAB">
            <w:pPr>
              <w:pStyle w:val="177"/>
              <w:keepNext w:val="0"/>
              <w:keepLines w:val="0"/>
              <w:pageBreakBefore w:val="0"/>
              <w:widowControl w:val="0"/>
              <w:suppressLineNumbers w:val="0"/>
              <w:kinsoku/>
              <w:wordWrap/>
              <w:overflowPunct/>
              <w:topLinePunct w:val="0"/>
              <w:bidi w:val="0"/>
              <w:snapToGrid/>
              <w:spacing w:before="35" w:beforeAutospacing="0" w:after="0" w:afterAutospacing="0" w:line="264" w:lineRule="auto"/>
              <w:ind w:left="112" w:right="0"/>
              <w:textAlignment w:val="auto"/>
              <w:rPr>
                <w:rFonts w:hint="eastAsia" w:ascii="新宋体" w:hAnsi="新宋体" w:eastAsia="新宋体" w:cs="新宋体"/>
                <w:color w:val="auto"/>
                <w:sz w:val="22"/>
                <w:szCs w:val="22"/>
              </w:rPr>
            </w:pPr>
            <w:r>
              <w:rPr>
                <w:rFonts w:hint="eastAsia" w:ascii="新宋体" w:hAnsi="新宋体" w:eastAsia="新宋体" w:cs="新宋体"/>
                <w:color w:val="auto"/>
                <w:kern w:val="0"/>
                <w:sz w:val="22"/>
                <w:szCs w:val="22"/>
                <w:highlight w:val="none"/>
              </w:rPr>
              <w:t>注：遵照《政府采购促进中小企业发展管理办法》 (财库[2020]46号)和《关于进一步加大政府采购支持中小企业力度的通知》（财库〔2022〕19号），对符合本办法规定的小微企业，评审时应当给予10%的价格扣除，用扣除后的价格参与评审，小型、微型企业应当提供《中小企业声明函》。</w:t>
            </w:r>
          </w:p>
        </w:tc>
        <w:tc>
          <w:tcPr>
            <w:tcW w:w="712" w:type="dxa"/>
            <w:shd w:val="clear" w:color="auto" w:fill="auto"/>
            <w:vAlign w:val="center"/>
          </w:tcPr>
          <w:p w14:paraId="16665EB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20</w:t>
            </w:r>
            <w:r>
              <w:rPr>
                <w:rFonts w:hint="eastAsia" w:ascii="新宋体" w:hAnsi="新宋体" w:eastAsia="新宋体" w:cs="新宋体"/>
                <w:color w:val="auto"/>
                <w:sz w:val="22"/>
                <w:szCs w:val="22"/>
                <w:highlight w:val="none"/>
              </w:rPr>
              <w:t>分</w:t>
            </w:r>
          </w:p>
        </w:tc>
      </w:tr>
      <w:tr w14:paraId="3D88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796" w:type="dxa"/>
            <w:vMerge w:val="restart"/>
            <w:shd w:val="clear" w:color="auto" w:fill="auto"/>
            <w:vAlign w:val="center"/>
          </w:tcPr>
          <w:p w14:paraId="46A6141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w:t>
            </w:r>
          </w:p>
        </w:tc>
        <w:tc>
          <w:tcPr>
            <w:tcW w:w="921" w:type="dxa"/>
            <w:vMerge w:val="restart"/>
            <w:shd w:val="clear" w:color="auto" w:fill="auto"/>
            <w:vAlign w:val="center"/>
          </w:tcPr>
          <w:p w14:paraId="173FEAF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商务部分（</w:t>
            </w:r>
            <w:r>
              <w:rPr>
                <w:rFonts w:hint="eastAsia" w:ascii="新宋体" w:hAnsi="新宋体" w:eastAsia="新宋体" w:cs="新宋体"/>
                <w:color w:val="auto"/>
                <w:sz w:val="22"/>
                <w:szCs w:val="22"/>
                <w:lang w:val="en-US" w:eastAsia="zh-CN"/>
              </w:rPr>
              <w:t>20</w:t>
            </w:r>
            <w:r>
              <w:rPr>
                <w:rFonts w:hint="eastAsia" w:ascii="新宋体" w:hAnsi="新宋体" w:eastAsia="新宋体" w:cs="新宋体"/>
                <w:color w:val="auto"/>
                <w:sz w:val="22"/>
                <w:szCs w:val="22"/>
              </w:rPr>
              <w:t>）</w:t>
            </w:r>
          </w:p>
        </w:tc>
        <w:tc>
          <w:tcPr>
            <w:tcW w:w="1906" w:type="dxa"/>
            <w:shd w:val="clear" w:color="auto" w:fill="auto"/>
            <w:vAlign w:val="center"/>
          </w:tcPr>
          <w:p w14:paraId="086B40B0">
            <w:pPr>
              <w:pStyle w:val="177"/>
              <w:keepNext w:val="0"/>
              <w:keepLines w:val="0"/>
              <w:pageBreakBefore w:val="0"/>
              <w:widowControl w:val="0"/>
              <w:suppressLineNumbers w:val="0"/>
              <w:kinsoku/>
              <w:wordWrap/>
              <w:overflowPunct/>
              <w:topLinePunct w:val="0"/>
              <w:bidi w:val="0"/>
              <w:snapToGrid/>
              <w:spacing w:before="50" w:beforeAutospacing="0" w:after="0" w:afterAutospacing="0" w:line="264" w:lineRule="auto"/>
              <w:ind w:left="0" w:right="0"/>
              <w:jc w:val="center"/>
              <w:textAlignment w:val="auto"/>
              <w:rPr>
                <w:rFonts w:hint="eastAsia" w:ascii="新宋体" w:hAnsi="新宋体" w:eastAsia="新宋体" w:cs="新宋体"/>
                <w:color w:val="auto"/>
                <w:kern w:val="2"/>
                <w:sz w:val="22"/>
                <w:szCs w:val="22"/>
                <w:lang w:val="en-US" w:eastAsia="en-US" w:bidi="ar-SA"/>
              </w:rPr>
            </w:pPr>
            <w:r>
              <w:rPr>
                <w:rFonts w:hint="eastAsia" w:ascii="新宋体" w:hAnsi="新宋体" w:eastAsia="新宋体" w:cs="新宋体"/>
                <w:color w:val="auto"/>
                <w:spacing w:val="-19"/>
                <w:sz w:val="22"/>
                <w:szCs w:val="22"/>
                <w:lang w:eastAsia="zh-CN"/>
              </w:rPr>
              <w:t>企业</w:t>
            </w:r>
            <w:r>
              <w:rPr>
                <w:rFonts w:hint="eastAsia" w:ascii="新宋体" w:hAnsi="新宋体" w:eastAsia="新宋体" w:cs="新宋体"/>
                <w:color w:val="auto"/>
                <w:spacing w:val="-19"/>
                <w:sz w:val="22"/>
                <w:szCs w:val="22"/>
              </w:rPr>
              <w:t>业绩</w:t>
            </w:r>
            <w:r>
              <w:rPr>
                <w:rFonts w:hint="eastAsia" w:ascii="新宋体" w:hAnsi="新宋体" w:eastAsia="新宋体" w:cs="新宋体"/>
                <w:color w:val="auto"/>
                <w:spacing w:val="-19"/>
                <w:sz w:val="22"/>
                <w:szCs w:val="22"/>
                <w:lang w:val="en-US" w:eastAsia="zh-CN"/>
              </w:rPr>
              <w:t>(10</w:t>
            </w:r>
            <w:r>
              <w:rPr>
                <w:rFonts w:hint="eastAsia" w:ascii="新宋体" w:hAnsi="新宋体" w:eastAsia="新宋体" w:cs="新宋体"/>
                <w:color w:val="auto"/>
                <w:spacing w:val="2"/>
                <w:sz w:val="22"/>
                <w:szCs w:val="22"/>
              </w:rPr>
              <w:t xml:space="preserve"> </w:t>
            </w:r>
            <w:r>
              <w:rPr>
                <w:rFonts w:hint="eastAsia" w:ascii="新宋体" w:hAnsi="新宋体" w:eastAsia="新宋体" w:cs="新宋体"/>
                <w:color w:val="auto"/>
                <w:spacing w:val="-7"/>
                <w:sz w:val="22"/>
                <w:szCs w:val="22"/>
              </w:rPr>
              <w:t>分）</w:t>
            </w:r>
          </w:p>
        </w:tc>
        <w:tc>
          <w:tcPr>
            <w:tcW w:w="4894" w:type="dxa"/>
            <w:shd w:val="clear" w:color="auto" w:fill="auto"/>
            <w:vAlign w:val="top"/>
          </w:tcPr>
          <w:p w14:paraId="55DD9A4A">
            <w:pPr>
              <w:pStyle w:val="177"/>
              <w:keepNext w:val="0"/>
              <w:keepLines w:val="0"/>
              <w:pageBreakBefore w:val="0"/>
              <w:widowControl w:val="0"/>
              <w:suppressLineNumbers w:val="0"/>
              <w:kinsoku/>
              <w:wordWrap/>
              <w:overflowPunct/>
              <w:topLinePunct w:val="0"/>
              <w:bidi w:val="0"/>
              <w:snapToGrid/>
              <w:spacing w:before="211" w:beforeAutospacing="0" w:after="0" w:afterAutospacing="0" w:line="264" w:lineRule="auto"/>
              <w:ind w:left="0" w:right="0"/>
              <w:textAlignment w:val="auto"/>
              <w:rPr>
                <w:rFonts w:hint="eastAsia" w:ascii="新宋体" w:hAnsi="新宋体" w:eastAsia="新宋体" w:cs="新宋体"/>
                <w:color w:val="auto"/>
                <w:sz w:val="22"/>
                <w:szCs w:val="22"/>
              </w:rPr>
            </w:pPr>
            <w:r>
              <w:rPr>
                <w:rFonts w:hint="eastAsia" w:ascii="新宋体" w:hAnsi="新宋体" w:eastAsia="新宋体" w:cs="新宋体"/>
                <w:color w:val="auto"/>
                <w:spacing w:val="-19"/>
                <w:sz w:val="22"/>
                <w:szCs w:val="22"/>
                <w:lang w:val="zh-CN" w:eastAsia="zh-CN"/>
              </w:rPr>
              <w:t>投标人</w:t>
            </w:r>
            <w:r>
              <w:rPr>
                <w:rFonts w:hint="eastAsia" w:ascii="新宋体" w:hAnsi="新宋体" w:eastAsia="新宋体" w:cs="新宋体"/>
                <w:color w:val="auto"/>
                <w:spacing w:val="-1"/>
                <w:sz w:val="22"/>
                <w:szCs w:val="22"/>
                <w:lang w:eastAsia="zh-CN"/>
              </w:rPr>
              <w:t>（</w:t>
            </w:r>
            <w:r>
              <w:rPr>
                <w:rFonts w:hint="eastAsia" w:ascii="新宋体" w:hAnsi="新宋体" w:eastAsia="新宋体" w:cs="新宋体"/>
                <w:color w:val="auto"/>
                <w:spacing w:val="-1"/>
                <w:sz w:val="22"/>
                <w:szCs w:val="22"/>
              </w:rPr>
              <w:t>202</w:t>
            </w:r>
            <w:r>
              <w:rPr>
                <w:rFonts w:hint="eastAsia" w:ascii="新宋体" w:hAnsi="新宋体" w:eastAsia="新宋体" w:cs="新宋体"/>
                <w:color w:val="auto"/>
                <w:spacing w:val="-1"/>
                <w:sz w:val="22"/>
                <w:szCs w:val="22"/>
                <w:lang w:val="en-US" w:eastAsia="zh-CN"/>
              </w:rPr>
              <w:t>2</w:t>
            </w:r>
            <w:r>
              <w:rPr>
                <w:rFonts w:hint="eastAsia" w:ascii="新宋体" w:hAnsi="新宋体" w:eastAsia="新宋体" w:cs="新宋体"/>
                <w:color w:val="auto"/>
                <w:spacing w:val="-1"/>
                <w:sz w:val="22"/>
                <w:szCs w:val="22"/>
              </w:rPr>
              <w:t>-至</w:t>
            </w:r>
            <w:r>
              <w:rPr>
                <w:rFonts w:hint="eastAsia" w:ascii="新宋体" w:hAnsi="新宋体" w:eastAsia="新宋体" w:cs="新宋体"/>
                <w:color w:val="auto"/>
                <w:spacing w:val="-19"/>
                <w:sz w:val="22"/>
                <w:szCs w:val="22"/>
              </w:rPr>
              <w:t>今</w:t>
            </w:r>
            <w:r>
              <w:rPr>
                <w:rFonts w:hint="eastAsia" w:ascii="新宋体" w:hAnsi="新宋体" w:eastAsia="新宋体" w:cs="新宋体"/>
                <w:color w:val="auto"/>
                <w:spacing w:val="-19"/>
                <w:sz w:val="22"/>
                <w:szCs w:val="22"/>
                <w:lang w:eastAsia="zh-CN"/>
              </w:rPr>
              <w:t>）</w:t>
            </w:r>
            <w:r>
              <w:rPr>
                <w:rFonts w:hint="eastAsia" w:ascii="新宋体" w:hAnsi="新宋体" w:eastAsia="新宋体" w:cs="新宋体"/>
                <w:color w:val="auto"/>
                <w:spacing w:val="-1"/>
                <w:sz w:val="22"/>
                <w:szCs w:val="22"/>
              </w:rPr>
              <w:t>每提供一个类似项目业绩得2分，最高得</w:t>
            </w:r>
            <w:r>
              <w:rPr>
                <w:rFonts w:hint="eastAsia" w:ascii="新宋体" w:hAnsi="新宋体" w:eastAsia="新宋体" w:cs="新宋体"/>
                <w:color w:val="auto"/>
                <w:spacing w:val="-1"/>
                <w:sz w:val="22"/>
                <w:szCs w:val="22"/>
                <w:lang w:val="en-US" w:eastAsia="zh-CN"/>
              </w:rPr>
              <w:t>10</w:t>
            </w:r>
            <w:r>
              <w:rPr>
                <w:rFonts w:hint="eastAsia" w:ascii="新宋体" w:hAnsi="新宋体" w:eastAsia="新宋体" w:cs="新宋体"/>
                <w:color w:val="auto"/>
                <w:spacing w:val="-1"/>
                <w:sz w:val="22"/>
                <w:szCs w:val="22"/>
              </w:rPr>
              <w:t>分。</w:t>
            </w:r>
          </w:p>
          <w:p w14:paraId="7501EFD3">
            <w:pPr>
              <w:pStyle w:val="177"/>
              <w:keepNext w:val="0"/>
              <w:keepLines w:val="0"/>
              <w:pageBreakBefore w:val="0"/>
              <w:widowControl w:val="0"/>
              <w:suppressLineNumbers w:val="0"/>
              <w:kinsoku/>
              <w:wordWrap/>
              <w:overflowPunct/>
              <w:topLinePunct w:val="0"/>
              <w:bidi w:val="0"/>
              <w:snapToGrid/>
              <w:spacing w:before="34" w:beforeAutospacing="0" w:after="0" w:afterAutospacing="0" w:line="264" w:lineRule="auto"/>
              <w:ind w:left="113" w:leftChars="0" w:right="0"/>
              <w:textAlignment w:val="auto"/>
              <w:rPr>
                <w:rFonts w:hint="eastAsia" w:ascii="新宋体" w:hAnsi="新宋体" w:eastAsia="新宋体" w:cs="新宋体"/>
                <w:color w:val="auto"/>
                <w:kern w:val="2"/>
                <w:sz w:val="22"/>
                <w:szCs w:val="22"/>
                <w:lang w:val="en-US" w:eastAsia="en-US" w:bidi="ar-SA"/>
              </w:rPr>
            </w:pPr>
            <w:r>
              <w:rPr>
                <w:rFonts w:hint="eastAsia" w:ascii="新宋体" w:hAnsi="新宋体" w:eastAsia="新宋体" w:cs="新宋体"/>
                <w:color w:val="auto"/>
                <w:spacing w:val="-1"/>
                <w:sz w:val="22"/>
                <w:szCs w:val="22"/>
                <w:lang w:eastAsia="zh-CN"/>
              </w:rPr>
              <w:t>投标文件内</w:t>
            </w:r>
            <w:r>
              <w:rPr>
                <w:rFonts w:hint="eastAsia" w:ascii="新宋体" w:hAnsi="新宋体" w:eastAsia="新宋体" w:cs="新宋体"/>
                <w:color w:val="auto"/>
                <w:spacing w:val="-1"/>
                <w:sz w:val="22"/>
                <w:szCs w:val="22"/>
              </w:rPr>
              <w:t>附</w:t>
            </w:r>
            <w:r>
              <w:rPr>
                <w:rFonts w:hint="eastAsia" w:ascii="新宋体" w:hAnsi="新宋体" w:eastAsia="新宋体" w:cs="新宋体"/>
                <w:color w:val="auto"/>
                <w:spacing w:val="-1"/>
                <w:sz w:val="22"/>
                <w:szCs w:val="22"/>
                <w:lang w:eastAsia="zh-CN"/>
              </w:rPr>
              <w:t>中标通知书或合同协议书或</w:t>
            </w:r>
            <w:r>
              <w:rPr>
                <w:rFonts w:hint="eastAsia" w:ascii="新宋体" w:hAnsi="新宋体" w:eastAsia="新宋体" w:cs="新宋体"/>
                <w:color w:val="auto"/>
                <w:spacing w:val="-1"/>
                <w:sz w:val="22"/>
                <w:szCs w:val="22"/>
              </w:rPr>
              <w:t>保单证明复印件并加盖公章，否则不得分。</w:t>
            </w:r>
          </w:p>
        </w:tc>
        <w:tc>
          <w:tcPr>
            <w:tcW w:w="712" w:type="dxa"/>
            <w:shd w:val="clear" w:color="auto" w:fill="auto"/>
            <w:vAlign w:val="center"/>
          </w:tcPr>
          <w:p w14:paraId="7E4816C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10</w:t>
            </w:r>
            <w:r>
              <w:rPr>
                <w:rFonts w:hint="eastAsia" w:ascii="新宋体" w:hAnsi="新宋体" w:eastAsia="新宋体" w:cs="新宋体"/>
                <w:color w:val="auto"/>
                <w:sz w:val="22"/>
                <w:szCs w:val="22"/>
                <w:highlight w:val="none"/>
              </w:rPr>
              <w:t>分</w:t>
            </w:r>
          </w:p>
        </w:tc>
      </w:tr>
      <w:tr w14:paraId="41E9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vMerge w:val="continue"/>
            <w:shd w:val="clear" w:color="auto" w:fill="auto"/>
            <w:vAlign w:val="center"/>
          </w:tcPr>
          <w:p w14:paraId="760A732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p>
        </w:tc>
        <w:tc>
          <w:tcPr>
            <w:tcW w:w="921" w:type="dxa"/>
            <w:vMerge w:val="continue"/>
            <w:shd w:val="clear" w:color="auto" w:fill="auto"/>
            <w:vAlign w:val="center"/>
          </w:tcPr>
          <w:p w14:paraId="5EEAB24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p>
        </w:tc>
        <w:tc>
          <w:tcPr>
            <w:tcW w:w="1906" w:type="dxa"/>
            <w:shd w:val="clear" w:color="auto" w:fill="auto"/>
            <w:vAlign w:val="center"/>
          </w:tcPr>
          <w:p w14:paraId="57464435">
            <w:pPr>
              <w:pStyle w:val="177"/>
              <w:keepNext w:val="0"/>
              <w:keepLines w:val="0"/>
              <w:pageBreakBefore w:val="0"/>
              <w:widowControl w:val="0"/>
              <w:suppressLineNumbers w:val="0"/>
              <w:kinsoku/>
              <w:wordWrap/>
              <w:overflowPunct/>
              <w:topLinePunct w:val="0"/>
              <w:bidi w:val="0"/>
              <w:snapToGrid/>
              <w:spacing w:before="50" w:beforeAutospacing="0" w:after="0" w:afterAutospacing="0" w:line="264" w:lineRule="auto"/>
              <w:ind w:left="0" w:right="0"/>
              <w:jc w:val="center"/>
              <w:textAlignment w:val="auto"/>
              <w:rPr>
                <w:rFonts w:hint="eastAsia" w:ascii="新宋体" w:hAnsi="新宋体" w:eastAsia="新宋体" w:cs="新宋体"/>
                <w:color w:val="auto"/>
                <w:spacing w:val="-19"/>
                <w:sz w:val="22"/>
                <w:szCs w:val="22"/>
              </w:rPr>
            </w:pPr>
            <w:r>
              <w:rPr>
                <w:rFonts w:hint="eastAsia" w:ascii="新宋体" w:hAnsi="新宋体" w:eastAsia="新宋体" w:cs="新宋体"/>
                <w:color w:val="auto"/>
                <w:spacing w:val="-19"/>
                <w:sz w:val="22"/>
                <w:szCs w:val="22"/>
              </w:rPr>
              <w:t>项目团队管理情况</w:t>
            </w:r>
          </w:p>
          <w:p w14:paraId="12E38061">
            <w:pPr>
              <w:pStyle w:val="177"/>
              <w:keepNext w:val="0"/>
              <w:keepLines w:val="0"/>
              <w:pageBreakBefore w:val="0"/>
              <w:widowControl w:val="0"/>
              <w:suppressLineNumbers w:val="0"/>
              <w:kinsoku/>
              <w:wordWrap/>
              <w:overflowPunct/>
              <w:topLinePunct w:val="0"/>
              <w:bidi w:val="0"/>
              <w:snapToGrid/>
              <w:spacing w:before="50" w:beforeAutospacing="0" w:after="0" w:afterAutospacing="0" w:line="264" w:lineRule="auto"/>
              <w:ind w:left="0" w:right="0"/>
              <w:jc w:val="center"/>
              <w:textAlignment w:val="auto"/>
              <w:rPr>
                <w:rFonts w:hint="eastAsia" w:ascii="新宋体" w:hAnsi="新宋体" w:eastAsia="新宋体" w:cs="新宋体"/>
                <w:color w:val="auto"/>
                <w:spacing w:val="-19"/>
                <w:sz w:val="22"/>
                <w:szCs w:val="22"/>
              </w:rPr>
            </w:pPr>
            <w:r>
              <w:rPr>
                <w:rFonts w:hint="eastAsia" w:ascii="新宋体" w:hAnsi="新宋体" w:eastAsia="新宋体" w:cs="新宋体"/>
                <w:color w:val="auto"/>
                <w:spacing w:val="-19"/>
                <w:sz w:val="22"/>
                <w:szCs w:val="22"/>
              </w:rPr>
              <w:t>（</w:t>
            </w:r>
            <w:r>
              <w:rPr>
                <w:rFonts w:hint="eastAsia" w:ascii="新宋体" w:hAnsi="新宋体" w:eastAsia="新宋体" w:cs="新宋体"/>
                <w:color w:val="auto"/>
                <w:spacing w:val="-19"/>
                <w:sz w:val="22"/>
                <w:szCs w:val="22"/>
                <w:lang w:val="en-US" w:eastAsia="zh-CN"/>
              </w:rPr>
              <w:t>5</w:t>
            </w:r>
            <w:r>
              <w:rPr>
                <w:rFonts w:hint="eastAsia" w:ascii="新宋体" w:hAnsi="新宋体" w:eastAsia="新宋体" w:cs="新宋体"/>
                <w:color w:val="auto"/>
                <w:spacing w:val="-19"/>
                <w:sz w:val="22"/>
                <w:szCs w:val="22"/>
              </w:rPr>
              <w:t>分）</w:t>
            </w:r>
          </w:p>
        </w:tc>
        <w:tc>
          <w:tcPr>
            <w:tcW w:w="4894" w:type="dxa"/>
            <w:shd w:val="clear" w:color="auto" w:fill="auto"/>
            <w:vAlign w:val="top"/>
          </w:tcPr>
          <w:p w14:paraId="7097606E">
            <w:pPr>
              <w:pStyle w:val="177"/>
              <w:keepNext w:val="0"/>
              <w:keepLines w:val="0"/>
              <w:pageBreakBefore w:val="0"/>
              <w:widowControl w:val="0"/>
              <w:suppressLineNumbers w:val="0"/>
              <w:kinsoku/>
              <w:wordWrap/>
              <w:overflowPunct/>
              <w:topLinePunct w:val="0"/>
              <w:bidi w:val="0"/>
              <w:snapToGrid/>
              <w:spacing w:before="50" w:beforeAutospacing="0" w:after="0" w:afterAutospacing="0" w:line="264" w:lineRule="auto"/>
              <w:ind w:left="0" w:right="0"/>
              <w:jc w:val="left"/>
              <w:textAlignment w:val="auto"/>
              <w:rPr>
                <w:rFonts w:hint="eastAsia" w:ascii="新宋体" w:hAnsi="新宋体" w:eastAsia="新宋体" w:cs="新宋体"/>
                <w:color w:val="auto"/>
                <w:spacing w:val="-19"/>
                <w:sz w:val="22"/>
                <w:szCs w:val="22"/>
                <w:lang w:val="zh-CN" w:eastAsia="zh-CN"/>
              </w:rPr>
            </w:pPr>
            <w:r>
              <w:rPr>
                <w:rFonts w:hint="eastAsia" w:ascii="新宋体" w:hAnsi="新宋体" w:eastAsia="新宋体" w:cs="新宋体"/>
                <w:color w:val="auto"/>
                <w:spacing w:val="-19"/>
                <w:sz w:val="22"/>
                <w:szCs w:val="22"/>
                <w:lang w:val="zh-CN" w:eastAsia="zh-CN"/>
              </w:rPr>
              <w:t>投标人拟配主要人员的技术力量：</w:t>
            </w:r>
          </w:p>
          <w:p w14:paraId="25ECA02A">
            <w:pPr>
              <w:pStyle w:val="177"/>
              <w:keepNext w:val="0"/>
              <w:keepLines w:val="0"/>
              <w:pageBreakBefore w:val="0"/>
              <w:widowControl w:val="0"/>
              <w:suppressLineNumbers w:val="0"/>
              <w:kinsoku/>
              <w:wordWrap/>
              <w:overflowPunct/>
              <w:topLinePunct w:val="0"/>
              <w:bidi w:val="0"/>
              <w:snapToGrid/>
              <w:spacing w:before="50" w:beforeAutospacing="0" w:after="0" w:afterAutospacing="0" w:line="264" w:lineRule="auto"/>
              <w:ind w:left="0" w:right="0"/>
              <w:jc w:val="left"/>
              <w:textAlignment w:val="auto"/>
              <w:rPr>
                <w:rFonts w:hint="eastAsia" w:ascii="新宋体" w:hAnsi="新宋体" w:eastAsia="新宋体" w:cs="新宋体"/>
                <w:color w:val="auto"/>
                <w:spacing w:val="-19"/>
                <w:sz w:val="22"/>
                <w:szCs w:val="22"/>
                <w:lang w:val="zh-CN" w:eastAsia="zh-CN"/>
              </w:rPr>
            </w:pPr>
            <w:r>
              <w:rPr>
                <w:rFonts w:hint="eastAsia" w:ascii="新宋体" w:hAnsi="新宋体" w:eastAsia="新宋体" w:cs="新宋体"/>
                <w:color w:val="auto"/>
                <w:spacing w:val="-19"/>
                <w:sz w:val="22"/>
                <w:szCs w:val="22"/>
                <w:lang w:val="zh-CN" w:eastAsia="zh-CN"/>
              </w:rPr>
              <w:t>投标人针对此项目能够配备服务小组人员，同时服务小组人员具备相应资质。</w:t>
            </w:r>
          </w:p>
          <w:p w14:paraId="500D2BE7">
            <w:pPr>
              <w:pStyle w:val="177"/>
              <w:keepNext w:val="0"/>
              <w:keepLines w:val="0"/>
              <w:pageBreakBefore w:val="0"/>
              <w:widowControl w:val="0"/>
              <w:suppressLineNumbers w:val="0"/>
              <w:kinsoku/>
              <w:wordWrap/>
              <w:overflowPunct/>
              <w:topLinePunct w:val="0"/>
              <w:bidi w:val="0"/>
              <w:snapToGrid/>
              <w:spacing w:before="50" w:beforeAutospacing="0" w:after="0" w:afterAutospacing="0" w:line="264" w:lineRule="auto"/>
              <w:ind w:left="0" w:right="0"/>
              <w:jc w:val="left"/>
              <w:textAlignment w:val="auto"/>
              <w:rPr>
                <w:rFonts w:hint="eastAsia" w:ascii="新宋体" w:hAnsi="新宋体" w:eastAsia="新宋体" w:cs="新宋体"/>
                <w:color w:val="auto"/>
                <w:spacing w:val="-19"/>
                <w:sz w:val="22"/>
                <w:szCs w:val="22"/>
                <w:lang w:val="zh-CN" w:eastAsia="zh-CN"/>
              </w:rPr>
            </w:pPr>
            <w:r>
              <w:rPr>
                <w:rFonts w:hint="eastAsia" w:ascii="新宋体" w:hAnsi="新宋体" w:eastAsia="新宋体" w:cs="新宋体"/>
                <w:color w:val="auto"/>
                <w:spacing w:val="-19"/>
                <w:sz w:val="22"/>
                <w:szCs w:val="22"/>
                <w:lang w:val="zh-CN" w:eastAsia="zh-CN"/>
              </w:rPr>
              <w:t>1.服务小组人员10人以上（不含10人）的得</w:t>
            </w:r>
            <w:r>
              <w:rPr>
                <w:rFonts w:hint="eastAsia" w:ascii="新宋体" w:hAnsi="新宋体" w:eastAsia="新宋体" w:cs="新宋体"/>
                <w:color w:val="auto"/>
                <w:spacing w:val="-19"/>
                <w:sz w:val="22"/>
                <w:szCs w:val="22"/>
                <w:lang w:val="en-US" w:eastAsia="zh-CN"/>
              </w:rPr>
              <w:t>5</w:t>
            </w:r>
            <w:r>
              <w:rPr>
                <w:rFonts w:hint="eastAsia" w:ascii="新宋体" w:hAnsi="新宋体" w:eastAsia="新宋体" w:cs="新宋体"/>
                <w:color w:val="auto"/>
                <w:spacing w:val="-19"/>
                <w:sz w:val="22"/>
                <w:szCs w:val="22"/>
                <w:lang w:val="zh-CN" w:eastAsia="zh-CN"/>
              </w:rPr>
              <w:t>分；</w:t>
            </w:r>
          </w:p>
          <w:p w14:paraId="34901F82">
            <w:pPr>
              <w:pStyle w:val="177"/>
              <w:keepNext w:val="0"/>
              <w:keepLines w:val="0"/>
              <w:pageBreakBefore w:val="0"/>
              <w:widowControl w:val="0"/>
              <w:suppressLineNumbers w:val="0"/>
              <w:kinsoku/>
              <w:wordWrap/>
              <w:overflowPunct/>
              <w:topLinePunct w:val="0"/>
              <w:bidi w:val="0"/>
              <w:snapToGrid/>
              <w:spacing w:before="50" w:beforeAutospacing="0" w:after="0" w:afterAutospacing="0" w:line="264" w:lineRule="auto"/>
              <w:ind w:left="0" w:right="0"/>
              <w:jc w:val="left"/>
              <w:textAlignment w:val="auto"/>
              <w:rPr>
                <w:rFonts w:hint="eastAsia" w:ascii="新宋体" w:hAnsi="新宋体" w:eastAsia="新宋体" w:cs="新宋体"/>
                <w:color w:val="auto"/>
                <w:spacing w:val="-19"/>
                <w:sz w:val="22"/>
                <w:szCs w:val="22"/>
                <w:lang w:val="zh-CN" w:eastAsia="zh-CN"/>
              </w:rPr>
            </w:pPr>
            <w:r>
              <w:rPr>
                <w:rFonts w:hint="eastAsia" w:ascii="新宋体" w:hAnsi="新宋体" w:eastAsia="新宋体" w:cs="新宋体"/>
                <w:color w:val="auto"/>
                <w:spacing w:val="-19"/>
                <w:sz w:val="22"/>
                <w:szCs w:val="22"/>
                <w:lang w:val="zh-CN" w:eastAsia="zh-CN"/>
              </w:rPr>
              <w:t>2.服务小组人员5人-10人得</w:t>
            </w:r>
            <w:r>
              <w:rPr>
                <w:rFonts w:hint="eastAsia" w:ascii="新宋体" w:hAnsi="新宋体" w:eastAsia="新宋体" w:cs="新宋体"/>
                <w:color w:val="auto"/>
                <w:spacing w:val="-19"/>
                <w:sz w:val="22"/>
                <w:szCs w:val="22"/>
                <w:lang w:val="en-US" w:eastAsia="zh-CN"/>
              </w:rPr>
              <w:t>3</w:t>
            </w:r>
            <w:r>
              <w:rPr>
                <w:rFonts w:hint="eastAsia" w:ascii="新宋体" w:hAnsi="新宋体" w:eastAsia="新宋体" w:cs="新宋体"/>
                <w:color w:val="auto"/>
                <w:spacing w:val="-19"/>
                <w:sz w:val="22"/>
                <w:szCs w:val="22"/>
                <w:lang w:val="zh-CN" w:eastAsia="zh-CN"/>
              </w:rPr>
              <w:t>分；</w:t>
            </w:r>
          </w:p>
          <w:p w14:paraId="29CF6006">
            <w:pPr>
              <w:pStyle w:val="177"/>
              <w:keepNext w:val="0"/>
              <w:keepLines w:val="0"/>
              <w:pageBreakBefore w:val="0"/>
              <w:widowControl w:val="0"/>
              <w:suppressLineNumbers w:val="0"/>
              <w:kinsoku/>
              <w:wordWrap/>
              <w:overflowPunct/>
              <w:topLinePunct w:val="0"/>
              <w:bidi w:val="0"/>
              <w:snapToGrid/>
              <w:spacing w:before="50" w:beforeAutospacing="0" w:after="0" w:afterAutospacing="0" w:line="264" w:lineRule="auto"/>
              <w:ind w:left="0" w:right="0"/>
              <w:jc w:val="left"/>
              <w:textAlignment w:val="auto"/>
              <w:rPr>
                <w:rFonts w:hint="eastAsia" w:ascii="新宋体" w:hAnsi="新宋体" w:eastAsia="新宋体" w:cs="新宋体"/>
                <w:color w:val="auto"/>
                <w:spacing w:val="-19"/>
                <w:sz w:val="22"/>
                <w:szCs w:val="22"/>
                <w:lang w:val="zh-CN" w:eastAsia="zh-CN"/>
              </w:rPr>
            </w:pPr>
            <w:r>
              <w:rPr>
                <w:rFonts w:hint="eastAsia" w:ascii="新宋体" w:hAnsi="新宋体" w:eastAsia="新宋体" w:cs="新宋体"/>
                <w:color w:val="auto"/>
                <w:spacing w:val="-19"/>
                <w:sz w:val="22"/>
                <w:szCs w:val="22"/>
                <w:lang w:val="zh-CN" w:eastAsia="zh-CN"/>
              </w:rPr>
              <w:t>3.服务小组人员5人以下（不含5人）的得1分；</w:t>
            </w:r>
          </w:p>
          <w:p w14:paraId="700F37CE">
            <w:pPr>
              <w:pStyle w:val="177"/>
              <w:keepNext w:val="0"/>
              <w:keepLines w:val="0"/>
              <w:pageBreakBefore w:val="0"/>
              <w:widowControl w:val="0"/>
              <w:suppressLineNumbers w:val="0"/>
              <w:kinsoku/>
              <w:wordWrap/>
              <w:overflowPunct/>
              <w:topLinePunct w:val="0"/>
              <w:bidi w:val="0"/>
              <w:snapToGrid/>
              <w:spacing w:before="50" w:beforeAutospacing="0" w:after="0" w:afterAutospacing="0" w:line="264" w:lineRule="auto"/>
              <w:ind w:left="0" w:right="0"/>
              <w:jc w:val="left"/>
              <w:textAlignment w:val="auto"/>
              <w:rPr>
                <w:rFonts w:hint="eastAsia" w:ascii="新宋体" w:hAnsi="新宋体" w:eastAsia="新宋体" w:cs="新宋体"/>
                <w:color w:val="auto"/>
                <w:spacing w:val="-19"/>
                <w:sz w:val="22"/>
                <w:szCs w:val="22"/>
                <w:lang w:val="zh-CN" w:eastAsia="zh-CN"/>
              </w:rPr>
            </w:pPr>
            <w:r>
              <w:rPr>
                <w:rFonts w:hint="eastAsia" w:ascii="新宋体" w:hAnsi="新宋体" w:eastAsia="新宋体" w:cs="新宋体"/>
                <w:color w:val="auto"/>
                <w:spacing w:val="-19"/>
                <w:sz w:val="22"/>
                <w:szCs w:val="22"/>
                <w:lang w:val="zh-CN" w:eastAsia="zh-CN"/>
              </w:rPr>
              <w:t>4.无服务人员不得分。</w:t>
            </w:r>
          </w:p>
          <w:p w14:paraId="5448184E">
            <w:pPr>
              <w:pStyle w:val="177"/>
              <w:keepNext w:val="0"/>
              <w:keepLines w:val="0"/>
              <w:pageBreakBefore w:val="0"/>
              <w:widowControl w:val="0"/>
              <w:suppressLineNumbers w:val="0"/>
              <w:kinsoku/>
              <w:wordWrap/>
              <w:overflowPunct/>
              <w:topLinePunct w:val="0"/>
              <w:bidi w:val="0"/>
              <w:snapToGrid/>
              <w:spacing w:before="50" w:beforeAutospacing="0" w:after="0" w:afterAutospacing="0" w:line="264" w:lineRule="auto"/>
              <w:ind w:left="0" w:right="0"/>
              <w:jc w:val="left"/>
              <w:textAlignment w:val="auto"/>
              <w:rPr>
                <w:rFonts w:hint="eastAsia" w:ascii="新宋体" w:hAnsi="新宋体" w:eastAsia="新宋体" w:cs="新宋体"/>
                <w:color w:val="auto"/>
                <w:spacing w:val="-19"/>
                <w:sz w:val="22"/>
                <w:szCs w:val="22"/>
              </w:rPr>
            </w:pPr>
            <w:r>
              <w:rPr>
                <w:rFonts w:hint="eastAsia" w:ascii="新宋体" w:hAnsi="新宋体" w:eastAsia="新宋体" w:cs="新宋体"/>
                <w:color w:val="auto"/>
                <w:spacing w:val="-19"/>
                <w:sz w:val="22"/>
                <w:szCs w:val="22"/>
                <w:lang w:val="zh-CN" w:eastAsia="zh-CN"/>
              </w:rPr>
              <w:t>（服务人员需提供身份证、学历证、近期缴纳社保凭证等，不提供不得分）</w:t>
            </w:r>
          </w:p>
        </w:tc>
        <w:tc>
          <w:tcPr>
            <w:tcW w:w="712" w:type="dxa"/>
            <w:shd w:val="clear" w:color="auto" w:fill="auto"/>
            <w:vAlign w:val="center"/>
          </w:tcPr>
          <w:p w14:paraId="71A903D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rPr>
              <w:t>5</w:t>
            </w:r>
            <w:r>
              <w:rPr>
                <w:rFonts w:hint="eastAsia" w:ascii="新宋体" w:hAnsi="新宋体" w:eastAsia="新宋体" w:cs="新宋体"/>
                <w:color w:val="auto"/>
                <w:sz w:val="22"/>
                <w:szCs w:val="22"/>
                <w:highlight w:val="none"/>
              </w:rPr>
              <w:t>分</w:t>
            </w:r>
          </w:p>
        </w:tc>
      </w:tr>
      <w:tr w14:paraId="7D5A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796" w:type="dxa"/>
            <w:vMerge w:val="continue"/>
            <w:shd w:val="clear" w:color="auto" w:fill="auto"/>
            <w:vAlign w:val="center"/>
          </w:tcPr>
          <w:p w14:paraId="119E343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p>
        </w:tc>
        <w:tc>
          <w:tcPr>
            <w:tcW w:w="921" w:type="dxa"/>
            <w:vMerge w:val="continue"/>
            <w:shd w:val="clear" w:color="auto" w:fill="auto"/>
            <w:vAlign w:val="center"/>
          </w:tcPr>
          <w:p w14:paraId="47AB163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p>
        </w:tc>
        <w:tc>
          <w:tcPr>
            <w:tcW w:w="1906" w:type="dxa"/>
            <w:shd w:val="clear" w:color="auto" w:fill="auto"/>
            <w:vAlign w:val="center"/>
          </w:tcPr>
          <w:p w14:paraId="01DAC03A">
            <w:pPr>
              <w:pStyle w:val="177"/>
              <w:keepNext w:val="0"/>
              <w:keepLines w:val="0"/>
              <w:pageBreakBefore w:val="0"/>
              <w:widowControl w:val="0"/>
              <w:suppressLineNumbers w:val="0"/>
              <w:kinsoku/>
              <w:wordWrap/>
              <w:overflowPunct/>
              <w:topLinePunct w:val="0"/>
              <w:bidi w:val="0"/>
              <w:snapToGrid/>
              <w:spacing w:before="50" w:beforeAutospacing="0" w:after="0" w:afterAutospacing="0" w:line="264" w:lineRule="auto"/>
              <w:ind w:left="0" w:right="0"/>
              <w:jc w:val="center"/>
              <w:textAlignment w:val="auto"/>
              <w:rPr>
                <w:rFonts w:hint="eastAsia" w:ascii="新宋体" w:hAnsi="新宋体" w:eastAsia="新宋体" w:cs="新宋体"/>
                <w:color w:val="auto"/>
                <w:spacing w:val="-19"/>
                <w:sz w:val="22"/>
                <w:szCs w:val="22"/>
                <w:lang w:val="en-US" w:eastAsia="en-US"/>
              </w:rPr>
            </w:pPr>
            <w:r>
              <w:rPr>
                <w:rFonts w:hint="eastAsia" w:ascii="新宋体" w:hAnsi="新宋体" w:eastAsia="新宋体" w:cs="新宋体"/>
                <w:color w:val="auto"/>
                <w:spacing w:val="-19"/>
                <w:sz w:val="22"/>
                <w:szCs w:val="22"/>
                <w:lang w:val="zh-CN" w:eastAsia="zh-CN"/>
              </w:rPr>
              <w:t>偿付能力 （5分）</w:t>
            </w:r>
          </w:p>
        </w:tc>
        <w:tc>
          <w:tcPr>
            <w:tcW w:w="4894" w:type="dxa"/>
            <w:shd w:val="clear" w:color="auto" w:fill="auto"/>
            <w:vAlign w:val="top"/>
          </w:tcPr>
          <w:p w14:paraId="33EEB841">
            <w:pPr>
              <w:pStyle w:val="177"/>
              <w:keepNext w:val="0"/>
              <w:keepLines w:val="0"/>
              <w:pageBreakBefore w:val="0"/>
              <w:widowControl w:val="0"/>
              <w:suppressLineNumbers w:val="0"/>
              <w:kinsoku/>
              <w:wordWrap/>
              <w:overflowPunct/>
              <w:topLinePunct w:val="0"/>
              <w:bidi w:val="0"/>
              <w:snapToGrid/>
              <w:spacing w:before="50" w:beforeAutospacing="0" w:after="0" w:afterAutospacing="0" w:line="264" w:lineRule="auto"/>
              <w:ind w:left="0" w:right="0"/>
              <w:jc w:val="left"/>
              <w:textAlignment w:val="auto"/>
              <w:rPr>
                <w:rFonts w:hint="eastAsia" w:ascii="新宋体" w:hAnsi="新宋体" w:eastAsia="新宋体" w:cs="新宋体"/>
                <w:color w:val="auto"/>
                <w:spacing w:val="-19"/>
                <w:sz w:val="22"/>
                <w:szCs w:val="22"/>
                <w:lang w:val="zh-CN" w:eastAsia="zh-CN"/>
              </w:rPr>
            </w:pPr>
            <w:r>
              <w:rPr>
                <w:rFonts w:hint="eastAsia" w:ascii="新宋体" w:hAnsi="新宋体" w:eastAsia="新宋体" w:cs="新宋体"/>
                <w:color w:val="auto"/>
                <w:spacing w:val="-19"/>
                <w:sz w:val="22"/>
                <w:szCs w:val="22"/>
                <w:lang w:val="zh-CN" w:eastAsia="zh-CN"/>
              </w:rPr>
              <w:t>核心偿付能力充足率是保监会对保险公司核心偿付能力监管的重要指标。数据以会计师事务所对保险公司审计的202</w:t>
            </w:r>
            <w:r>
              <w:rPr>
                <w:rFonts w:hint="eastAsia" w:ascii="新宋体" w:hAnsi="新宋体" w:eastAsia="新宋体" w:cs="新宋体"/>
                <w:color w:val="auto"/>
                <w:spacing w:val="-19"/>
                <w:sz w:val="22"/>
                <w:szCs w:val="22"/>
                <w:lang w:val="en-US" w:eastAsia="zh-CN"/>
              </w:rPr>
              <w:t>4</w:t>
            </w:r>
            <w:r>
              <w:rPr>
                <w:rFonts w:hint="eastAsia" w:ascii="新宋体" w:hAnsi="新宋体" w:eastAsia="新宋体" w:cs="新宋体"/>
                <w:color w:val="auto"/>
                <w:spacing w:val="-19"/>
                <w:sz w:val="22"/>
                <w:szCs w:val="22"/>
                <w:lang w:val="zh-CN" w:eastAsia="zh-CN"/>
              </w:rPr>
              <w:t>年四季度末核心偿付能力充足率为准。</w:t>
            </w:r>
          </w:p>
          <w:p w14:paraId="65A541D1">
            <w:pPr>
              <w:pStyle w:val="177"/>
              <w:keepNext w:val="0"/>
              <w:keepLines w:val="0"/>
              <w:pageBreakBefore w:val="0"/>
              <w:widowControl w:val="0"/>
              <w:suppressLineNumbers w:val="0"/>
              <w:kinsoku/>
              <w:wordWrap/>
              <w:overflowPunct/>
              <w:topLinePunct w:val="0"/>
              <w:bidi w:val="0"/>
              <w:snapToGrid/>
              <w:spacing w:before="50" w:beforeAutospacing="0" w:after="0" w:afterAutospacing="0" w:line="264" w:lineRule="auto"/>
              <w:ind w:left="0" w:right="0"/>
              <w:jc w:val="left"/>
              <w:textAlignment w:val="auto"/>
              <w:rPr>
                <w:rFonts w:hint="eastAsia" w:ascii="新宋体" w:hAnsi="新宋体" w:eastAsia="新宋体" w:cs="新宋体"/>
                <w:color w:val="auto"/>
                <w:spacing w:val="-19"/>
                <w:sz w:val="22"/>
                <w:szCs w:val="22"/>
                <w:lang w:val="zh-CN" w:eastAsia="zh-CN"/>
              </w:rPr>
            </w:pPr>
            <w:r>
              <w:rPr>
                <w:rFonts w:hint="eastAsia" w:ascii="新宋体" w:hAnsi="新宋体" w:eastAsia="新宋体" w:cs="新宋体"/>
                <w:color w:val="auto"/>
                <w:spacing w:val="-19"/>
                <w:sz w:val="22"/>
                <w:szCs w:val="22"/>
                <w:lang w:val="zh-CN" w:eastAsia="zh-CN"/>
              </w:rPr>
              <w:t>投标人总公司核心偿付能力标准：即综合偿付能力充足率在50%及以下的不得分，综合偿付能力充足率在51%-100%（含）之间的得1分，101%-150%（含）之间的得</w:t>
            </w:r>
            <w:r>
              <w:rPr>
                <w:rFonts w:hint="eastAsia" w:ascii="新宋体" w:hAnsi="新宋体" w:eastAsia="新宋体" w:cs="新宋体"/>
                <w:color w:val="auto"/>
                <w:spacing w:val="-19"/>
                <w:sz w:val="22"/>
                <w:szCs w:val="22"/>
                <w:lang w:val="en-US" w:eastAsia="zh-CN"/>
              </w:rPr>
              <w:t>2</w:t>
            </w:r>
            <w:r>
              <w:rPr>
                <w:rFonts w:hint="eastAsia" w:ascii="新宋体" w:hAnsi="新宋体" w:eastAsia="新宋体" w:cs="新宋体"/>
                <w:color w:val="auto"/>
                <w:spacing w:val="-19"/>
                <w:sz w:val="22"/>
                <w:szCs w:val="22"/>
                <w:lang w:val="zh-CN" w:eastAsia="zh-CN"/>
              </w:rPr>
              <w:t>分，150%</w:t>
            </w:r>
            <w:r>
              <w:rPr>
                <w:rFonts w:hint="eastAsia" w:ascii="新宋体" w:hAnsi="新宋体" w:eastAsia="新宋体" w:cs="新宋体"/>
                <w:color w:val="auto"/>
                <w:spacing w:val="-19"/>
                <w:sz w:val="22"/>
                <w:szCs w:val="22"/>
                <w:lang w:val="en-US" w:eastAsia="zh-CN"/>
              </w:rPr>
              <w:t>-200</w:t>
            </w:r>
            <w:r>
              <w:rPr>
                <w:rFonts w:hint="eastAsia" w:ascii="新宋体" w:hAnsi="新宋体" w:eastAsia="新宋体" w:cs="新宋体"/>
                <w:color w:val="auto"/>
                <w:spacing w:val="-19"/>
                <w:sz w:val="22"/>
                <w:szCs w:val="22"/>
                <w:lang w:val="zh-CN" w:eastAsia="zh-CN"/>
              </w:rPr>
              <w:t>%（含）的得</w:t>
            </w:r>
            <w:r>
              <w:rPr>
                <w:rFonts w:hint="eastAsia" w:ascii="新宋体" w:hAnsi="新宋体" w:eastAsia="新宋体" w:cs="新宋体"/>
                <w:color w:val="auto"/>
                <w:spacing w:val="-19"/>
                <w:sz w:val="22"/>
                <w:szCs w:val="22"/>
                <w:lang w:val="en-US" w:eastAsia="zh-CN"/>
              </w:rPr>
              <w:t>3</w:t>
            </w:r>
            <w:r>
              <w:rPr>
                <w:rFonts w:hint="eastAsia" w:ascii="新宋体" w:hAnsi="新宋体" w:eastAsia="新宋体" w:cs="新宋体"/>
                <w:color w:val="auto"/>
                <w:spacing w:val="-19"/>
                <w:sz w:val="22"/>
                <w:szCs w:val="22"/>
                <w:lang w:val="zh-CN" w:eastAsia="zh-CN"/>
              </w:rPr>
              <w:t>分。</w:t>
            </w:r>
            <w:r>
              <w:rPr>
                <w:rFonts w:hint="eastAsia" w:ascii="新宋体" w:hAnsi="新宋体" w:eastAsia="新宋体" w:cs="新宋体"/>
                <w:color w:val="auto"/>
                <w:spacing w:val="-19"/>
                <w:sz w:val="22"/>
                <w:szCs w:val="22"/>
                <w:lang w:val="en-US" w:eastAsia="zh-CN"/>
              </w:rPr>
              <w:t>200</w:t>
            </w:r>
            <w:r>
              <w:rPr>
                <w:rFonts w:hint="eastAsia" w:ascii="新宋体" w:hAnsi="新宋体" w:eastAsia="新宋体" w:cs="新宋体"/>
                <w:color w:val="auto"/>
                <w:spacing w:val="-19"/>
                <w:sz w:val="22"/>
                <w:szCs w:val="22"/>
                <w:lang w:val="zh-CN" w:eastAsia="zh-CN"/>
              </w:rPr>
              <w:t>%以上的得5分。</w:t>
            </w:r>
          </w:p>
          <w:p w14:paraId="58F23BF1">
            <w:pPr>
              <w:pStyle w:val="177"/>
              <w:keepNext w:val="0"/>
              <w:keepLines w:val="0"/>
              <w:pageBreakBefore w:val="0"/>
              <w:widowControl w:val="0"/>
              <w:suppressLineNumbers w:val="0"/>
              <w:kinsoku/>
              <w:wordWrap/>
              <w:overflowPunct/>
              <w:topLinePunct w:val="0"/>
              <w:bidi w:val="0"/>
              <w:snapToGrid/>
              <w:spacing w:before="50" w:beforeAutospacing="0" w:after="0" w:afterAutospacing="0" w:line="264" w:lineRule="auto"/>
              <w:ind w:left="0" w:right="0"/>
              <w:jc w:val="left"/>
              <w:textAlignment w:val="auto"/>
              <w:rPr>
                <w:rFonts w:hint="eastAsia" w:ascii="新宋体" w:hAnsi="新宋体" w:eastAsia="新宋体" w:cs="新宋体"/>
                <w:color w:val="auto"/>
                <w:spacing w:val="-19"/>
                <w:sz w:val="22"/>
                <w:szCs w:val="22"/>
                <w:lang w:val="en-US" w:eastAsia="en-US"/>
              </w:rPr>
            </w:pPr>
            <w:r>
              <w:rPr>
                <w:rFonts w:hint="eastAsia" w:ascii="新宋体" w:hAnsi="新宋体" w:eastAsia="新宋体" w:cs="新宋体"/>
                <w:color w:val="auto"/>
                <w:spacing w:val="-19"/>
                <w:sz w:val="22"/>
                <w:szCs w:val="22"/>
                <w:lang w:val="zh-CN" w:eastAsia="zh-CN"/>
              </w:rPr>
              <w:t>投标文件内附相关证明材料并加盖公章，否则不得分。</w:t>
            </w:r>
          </w:p>
        </w:tc>
        <w:tc>
          <w:tcPr>
            <w:tcW w:w="712" w:type="dxa"/>
            <w:shd w:val="clear" w:color="auto" w:fill="auto"/>
            <w:vAlign w:val="center"/>
          </w:tcPr>
          <w:p w14:paraId="67D67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leftChars="0" w:right="0" w:firstLine="0" w:firstLineChars="0"/>
              <w:jc w:val="both"/>
              <w:textAlignment w:val="auto"/>
              <w:rPr>
                <w:rFonts w:hint="eastAsia" w:ascii="新宋体" w:hAnsi="新宋体" w:eastAsia="新宋体" w:cs="新宋体"/>
                <w:color w:val="auto"/>
                <w:spacing w:val="-1"/>
                <w:sz w:val="22"/>
                <w:szCs w:val="22"/>
                <w:lang w:eastAsia="zh-CN"/>
              </w:rPr>
            </w:pPr>
            <w:r>
              <w:rPr>
                <w:rFonts w:hint="eastAsia" w:ascii="新宋体" w:hAnsi="新宋体" w:eastAsia="新宋体" w:cs="新宋体"/>
                <w:color w:val="auto"/>
                <w:spacing w:val="-1"/>
                <w:sz w:val="22"/>
                <w:szCs w:val="22"/>
                <w:lang w:eastAsia="zh-CN"/>
              </w:rPr>
              <w:t>5分</w:t>
            </w:r>
          </w:p>
        </w:tc>
      </w:tr>
      <w:tr w14:paraId="7486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vMerge w:val="restart"/>
            <w:shd w:val="clear" w:color="auto" w:fill="auto"/>
            <w:vAlign w:val="center"/>
          </w:tcPr>
          <w:p w14:paraId="429A3C6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3</w:t>
            </w:r>
          </w:p>
        </w:tc>
        <w:tc>
          <w:tcPr>
            <w:tcW w:w="921" w:type="dxa"/>
            <w:vMerge w:val="restart"/>
            <w:shd w:val="clear" w:color="auto" w:fill="auto"/>
            <w:vAlign w:val="center"/>
          </w:tcPr>
          <w:p w14:paraId="530B9A0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技术部分(</w:t>
            </w:r>
            <w:r>
              <w:rPr>
                <w:rFonts w:hint="eastAsia" w:ascii="新宋体" w:hAnsi="新宋体" w:eastAsia="新宋体" w:cs="新宋体"/>
                <w:color w:val="auto"/>
                <w:sz w:val="22"/>
                <w:szCs w:val="22"/>
                <w:lang w:val="en-US" w:eastAsia="zh-CN"/>
              </w:rPr>
              <w:t>60</w:t>
            </w:r>
            <w:r>
              <w:rPr>
                <w:rFonts w:hint="eastAsia" w:ascii="新宋体" w:hAnsi="新宋体" w:eastAsia="新宋体" w:cs="新宋体"/>
                <w:color w:val="auto"/>
                <w:sz w:val="22"/>
                <w:szCs w:val="22"/>
              </w:rPr>
              <w:t>)</w:t>
            </w:r>
          </w:p>
        </w:tc>
        <w:tc>
          <w:tcPr>
            <w:tcW w:w="1906" w:type="dxa"/>
            <w:shd w:val="clear" w:color="auto" w:fill="auto"/>
            <w:vAlign w:val="center"/>
          </w:tcPr>
          <w:p w14:paraId="305195F6">
            <w:pPr>
              <w:keepNext w:val="0"/>
              <w:keepLines w:val="0"/>
              <w:pageBreakBefore w:val="0"/>
              <w:widowControl w:val="0"/>
              <w:suppressLineNumbers w:val="0"/>
              <w:kinsoku/>
              <w:wordWrap/>
              <w:overflowPunct/>
              <w:topLinePunct w:val="0"/>
              <w:bidi w:val="0"/>
              <w:snapToGrid/>
              <w:spacing w:before="20" w:beforeAutospacing="0" w:after="0" w:afterAutospacing="0" w:line="264" w:lineRule="auto"/>
              <w:ind w:left="49" w:right="0"/>
              <w:jc w:val="center"/>
              <w:textAlignment w:val="auto"/>
              <w:rPr>
                <w:rFonts w:hint="eastAsia" w:ascii="新宋体" w:hAnsi="新宋体" w:eastAsia="新宋体" w:cs="新宋体"/>
                <w:color w:val="auto"/>
                <w:spacing w:val="-7"/>
                <w:sz w:val="22"/>
                <w:szCs w:val="22"/>
              </w:rPr>
            </w:pPr>
            <w:r>
              <w:rPr>
                <w:rFonts w:hint="eastAsia" w:ascii="新宋体" w:hAnsi="新宋体" w:eastAsia="新宋体" w:cs="新宋体"/>
                <w:color w:val="auto"/>
                <w:spacing w:val="-7"/>
                <w:sz w:val="22"/>
                <w:szCs w:val="22"/>
              </w:rPr>
              <w:t>内部管理制度</w:t>
            </w:r>
          </w:p>
          <w:p w14:paraId="5A9F70C2">
            <w:pPr>
              <w:keepNext w:val="0"/>
              <w:keepLines w:val="0"/>
              <w:pageBreakBefore w:val="0"/>
              <w:widowControl w:val="0"/>
              <w:suppressLineNumbers w:val="0"/>
              <w:kinsoku/>
              <w:wordWrap/>
              <w:overflowPunct/>
              <w:topLinePunct w:val="0"/>
              <w:bidi w:val="0"/>
              <w:snapToGrid/>
              <w:spacing w:before="20" w:beforeAutospacing="0" w:after="0" w:afterAutospacing="0" w:line="264" w:lineRule="auto"/>
              <w:ind w:left="49" w:right="0"/>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pacing w:val="-5"/>
                <w:sz w:val="22"/>
                <w:szCs w:val="22"/>
              </w:rPr>
              <w:t>（10分）</w:t>
            </w:r>
          </w:p>
          <w:p w14:paraId="3A61BD2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p>
        </w:tc>
        <w:tc>
          <w:tcPr>
            <w:tcW w:w="4894" w:type="dxa"/>
            <w:shd w:val="clear" w:color="auto" w:fill="auto"/>
            <w:vAlign w:val="center"/>
          </w:tcPr>
          <w:p w14:paraId="6053EE19">
            <w:pPr>
              <w:pStyle w:val="177"/>
              <w:keepNext w:val="0"/>
              <w:keepLines w:val="0"/>
              <w:pageBreakBefore w:val="0"/>
              <w:widowControl w:val="0"/>
              <w:suppressLineNumbers w:val="0"/>
              <w:kinsoku/>
              <w:wordWrap/>
              <w:overflowPunct/>
              <w:topLinePunct w:val="0"/>
              <w:bidi w:val="0"/>
              <w:snapToGrid/>
              <w:spacing w:before="50" w:beforeAutospacing="0" w:after="0" w:afterAutospacing="0" w:line="264" w:lineRule="auto"/>
              <w:ind w:left="0" w:right="0"/>
              <w:jc w:val="left"/>
              <w:textAlignment w:val="auto"/>
              <w:rPr>
                <w:rFonts w:hint="eastAsia" w:ascii="新宋体" w:hAnsi="新宋体" w:eastAsia="新宋体" w:cs="新宋体"/>
                <w:color w:val="auto"/>
                <w:spacing w:val="-19"/>
                <w:sz w:val="22"/>
                <w:szCs w:val="22"/>
                <w:lang w:val="en-US" w:eastAsia="zh-CN"/>
              </w:rPr>
            </w:pPr>
            <w:r>
              <w:rPr>
                <w:rFonts w:hint="eastAsia" w:ascii="新宋体" w:hAnsi="新宋体" w:eastAsia="新宋体" w:cs="新宋体"/>
                <w:color w:val="auto"/>
                <w:spacing w:val="-19"/>
                <w:sz w:val="22"/>
                <w:szCs w:val="22"/>
                <w:lang w:val="en-US" w:eastAsia="zh-CN"/>
              </w:rPr>
              <w:t>相关规章制度：主要考核投标人企业管理规范程度，包括：内部纪检、会计制度、管理规范等。</w:t>
            </w:r>
          </w:p>
          <w:p w14:paraId="590B4266">
            <w:pPr>
              <w:pStyle w:val="177"/>
              <w:keepNext w:val="0"/>
              <w:keepLines w:val="0"/>
              <w:pageBreakBefore w:val="0"/>
              <w:widowControl w:val="0"/>
              <w:suppressLineNumbers w:val="0"/>
              <w:kinsoku/>
              <w:wordWrap/>
              <w:overflowPunct/>
              <w:topLinePunct w:val="0"/>
              <w:bidi w:val="0"/>
              <w:snapToGrid/>
              <w:spacing w:before="50" w:beforeAutospacing="0" w:after="0" w:afterAutospacing="0" w:line="264" w:lineRule="auto"/>
              <w:ind w:left="0" w:right="0"/>
              <w:jc w:val="left"/>
              <w:textAlignment w:val="auto"/>
              <w:rPr>
                <w:rFonts w:hint="eastAsia" w:ascii="新宋体" w:hAnsi="新宋体" w:eastAsia="新宋体" w:cs="新宋体"/>
                <w:color w:val="auto"/>
                <w:spacing w:val="-19"/>
                <w:sz w:val="22"/>
                <w:szCs w:val="22"/>
                <w:lang w:val="en-US" w:eastAsia="zh-CN"/>
              </w:rPr>
            </w:pPr>
            <w:r>
              <w:rPr>
                <w:rFonts w:hint="eastAsia" w:ascii="新宋体" w:hAnsi="新宋体" w:eastAsia="新宋体" w:cs="新宋体"/>
                <w:color w:val="auto"/>
                <w:spacing w:val="-19"/>
                <w:sz w:val="22"/>
                <w:szCs w:val="22"/>
                <w:lang w:val="en-US" w:eastAsia="zh-CN"/>
              </w:rPr>
              <w:t>1.内容完善、制度严谨得10分；</w:t>
            </w:r>
          </w:p>
          <w:p w14:paraId="597567F7">
            <w:pPr>
              <w:pStyle w:val="177"/>
              <w:keepNext w:val="0"/>
              <w:keepLines w:val="0"/>
              <w:pageBreakBefore w:val="0"/>
              <w:widowControl w:val="0"/>
              <w:suppressLineNumbers w:val="0"/>
              <w:kinsoku/>
              <w:wordWrap/>
              <w:overflowPunct/>
              <w:topLinePunct w:val="0"/>
              <w:bidi w:val="0"/>
              <w:snapToGrid/>
              <w:spacing w:before="50" w:beforeAutospacing="0" w:after="0" w:afterAutospacing="0" w:line="264" w:lineRule="auto"/>
              <w:ind w:left="0" w:right="0"/>
              <w:jc w:val="left"/>
              <w:textAlignment w:val="auto"/>
              <w:rPr>
                <w:rFonts w:hint="eastAsia" w:ascii="新宋体" w:hAnsi="新宋体" w:eastAsia="新宋体" w:cs="新宋体"/>
                <w:color w:val="auto"/>
                <w:spacing w:val="-19"/>
                <w:sz w:val="22"/>
                <w:szCs w:val="22"/>
                <w:lang w:val="en-US" w:eastAsia="zh-CN"/>
              </w:rPr>
            </w:pPr>
            <w:r>
              <w:rPr>
                <w:rFonts w:hint="eastAsia" w:ascii="新宋体" w:hAnsi="新宋体" w:eastAsia="新宋体" w:cs="新宋体"/>
                <w:color w:val="auto"/>
                <w:spacing w:val="-19"/>
                <w:sz w:val="22"/>
                <w:szCs w:val="22"/>
                <w:lang w:val="en-US" w:eastAsia="zh-CN"/>
              </w:rPr>
              <w:t>2.内容相对完善、制度健全得7分；</w:t>
            </w:r>
          </w:p>
          <w:p w14:paraId="2791A9A3">
            <w:pPr>
              <w:pStyle w:val="177"/>
              <w:keepNext w:val="0"/>
              <w:keepLines w:val="0"/>
              <w:pageBreakBefore w:val="0"/>
              <w:widowControl w:val="0"/>
              <w:suppressLineNumbers w:val="0"/>
              <w:kinsoku/>
              <w:wordWrap/>
              <w:overflowPunct/>
              <w:topLinePunct w:val="0"/>
              <w:bidi w:val="0"/>
              <w:snapToGrid/>
              <w:spacing w:before="50" w:beforeAutospacing="0" w:after="0" w:afterAutospacing="0" w:line="264" w:lineRule="auto"/>
              <w:ind w:left="0" w:right="0"/>
              <w:jc w:val="left"/>
              <w:textAlignment w:val="auto"/>
              <w:rPr>
                <w:rFonts w:hint="eastAsia" w:ascii="新宋体" w:hAnsi="新宋体" w:eastAsia="新宋体" w:cs="新宋体"/>
                <w:color w:val="auto"/>
                <w:spacing w:val="-19"/>
                <w:sz w:val="22"/>
                <w:szCs w:val="22"/>
                <w:lang w:val="en-US" w:eastAsia="zh-CN"/>
              </w:rPr>
            </w:pPr>
            <w:r>
              <w:rPr>
                <w:rFonts w:hint="eastAsia" w:ascii="新宋体" w:hAnsi="新宋体" w:eastAsia="新宋体" w:cs="新宋体"/>
                <w:color w:val="auto"/>
                <w:spacing w:val="-19"/>
                <w:sz w:val="22"/>
                <w:szCs w:val="22"/>
                <w:lang w:val="en-US" w:eastAsia="zh-CN"/>
              </w:rPr>
              <w:t>3.内容简单、制度较少得3分；</w:t>
            </w:r>
          </w:p>
          <w:p w14:paraId="55849299">
            <w:pPr>
              <w:pStyle w:val="177"/>
              <w:keepNext w:val="0"/>
              <w:keepLines w:val="0"/>
              <w:pageBreakBefore w:val="0"/>
              <w:widowControl w:val="0"/>
              <w:suppressLineNumbers w:val="0"/>
              <w:kinsoku/>
              <w:wordWrap/>
              <w:overflowPunct/>
              <w:topLinePunct w:val="0"/>
              <w:bidi w:val="0"/>
              <w:snapToGrid/>
              <w:spacing w:before="50" w:beforeAutospacing="0" w:after="0" w:afterAutospacing="0" w:line="264" w:lineRule="auto"/>
              <w:ind w:left="0" w:right="0"/>
              <w:jc w:val="left"/>
              <w:textAlignment w:val="auto"/>
              <w:rPr>
                <w:rFonts w:hint="eastAsia" w:ascii="新宋体" w:hAnsi="新宋体" w:eastAsia="新宋体" w:cs="新宋体"/>
                <w:color w:val="auto"/>
                <w:spacing w:val="-1"/>
                <w:sz w:val="22"/>
                <w:szCs w:val="22"/>
              </w:rPr>
            </w:pPr>
            <w:r>
              <w:rPr>
                <w:rFonts w:hint="eastAsia" w:ascii="新宋体" w:hAnsi="新宋体" w:eastAsia="新宋体" w:cs="新宋体"/>
                <w:color w:val="auto"/>
                <w:spacing w:val="-19"/>
                <w:sz w:val="22"/>
                <w:szCs w:val="22"/>
                <w:lang w:val="en-US" w:eastAsia="zh-CN"/>
              </w:rPr>
              <w:t>4.不提供不得分。</w:t>
            </w:r>
          </w:p>
        </w:tc>
        <w:tc>
          <w:tcPr>
            <w:tcW w:w="712" w:type="dxa"/>
            <w:shd w:val="clear" w:color="auto" w:fill="auto"/>
            <w:vAlign w:val="center"/>
          </w:tcPr>
          <w:p w14:paraId="68FF5AA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10</w:t>
            </w:r>
            <w:r>
              <w:rPr>
                <w:rFonts w:hint="eastAsia" w:ascii="新宋体" w:hAnsi="新宋体" w:eastAsia="新宋体" w:cs="新宋体"/>
                <w:color w:val="auto"/>
                <w:sz w:val="22"/>
                <w:szCs w:val="22"/>
                <w:highlight w:val="none"/>
              </w:rPr>
              <w:t>分</w:t>
            </w:r>
          </w:p>
        </w:tc>
      </w:tr>
      <w:tr w14:paraId="4036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vMerge w:val="continue"/>
            <w:shd w:val="clear" w:color="auto" w:fill="auto"/>
            <w:vAlign w:val="center"/>
          </w:tcPr>
          <w:p w14:paraId="692D75F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p>
        </w:tc>
        <w:tc>
          <w:tcPr>
            <w:tcW w:w="921" w:type="dxa"/>
            <w:vMerge w:val="continue"/>
            <w:shd w:val="clear" w:color="auto" w:fill="auto"/>
            <w:vAlign w:val="center"/>
          </w:tcPr>
          <w:p w14:paraId="3A92C00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p>
        </w:tc>
        <w:tc>
          <w:tcPr>
            <w:tcW w:w="1906" w:type="dxa"/>
            <w:shd w:val="clear" w:color="auto" w:fill="auto"/>
            <w:vAlign w:val="center"/>
          </w:tcPr>
          <w:p w14:paraId="7A8AEBCD">
            <w:pPr>
              <w:keepNext w:val="0"/>
              <w:keepLines w:val="0"/>
              <w:pageBreakBefore w:val="0"/>
              <w:widowControl w:val="0"/>
              <w:suppressLineNumbers w:val="0"/>
              <w:kinsoku/>
              <w:wordWrap/>
              <w:overflowPunct/>
              <w:topLinePunct w:val="0"/>
              <w:bidi w:val="0"/>
              <w:snapToGrid/>
              <w:spacing w:before="20" w:beforeAutospacing="0" w:after="0" w:afterAutospacing="0" w:line="264" w:lineRule="auto"/>
              <w:ind w:left="20" w:right="0"/>
              <w:jc w:val="center"/>
              <w:textAlignment w:val="auto"/>
              <w:rPr>
                <w:rFonts w:hint="eastAsia" w:ascii="新宋体" w:hAnsi="新宋体" w:eastAsia="新宋体" w:cs="新宋体"/>
                <w:color w:val="auto"/>
                <w:spacing w:val="-2"/>
                <w:sz w:val="22"/>
                <w:szCs w:val="22"/>
              </w:rPr>
            </w:pPr>
            <w:r>
              <w:rPr>
                <w:rFonts w:hint="eastAsia" w:ascii="新宋体" w:hAnsi="新宋体" w:eastAsia="新宋体" w:cs="新宋体"/>
                <w:color w:val="auto"/>
                <w:spacing w:val="-2"/>
                <w:sz w:val="22"/>
                <w:szCs w:val="22"/>
              </w:rPr>
              <w:t>整体承保方案</w:t>
            </w:r>
          </w:p>
          <w:p w14:paraId="41B42585">
            <w:pPr>
              <w:keepNext w:val="0"/>
              <w:keepLines w:val="0"/>
              <w:pageBreakBefore w:val="0"/>
              <w:widowControl w:val="0"/>
              <w:suppressLineNumbers w:val="0"/>
              <w:kinsoku/>
              <w:wordWrap/>
              <w:overflowPunct/>
              <w:topLinePunct w:val="0"/>
              <w:bidi w:val="0"/>
              <w:snapToGrid/>
              <w:spacing w:before="20" w:beforeAutospacing="0" w:after="0" w:afterAutospacing="0" w:line="264" w:lineRule="auto"/>
              <w:ind w:left="20" w:right="0"/>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pacing w:val="-5"/>
                <w:sz w:val="22"/>
                <w:szCs w:val="22"/>
              </w:rPr>
              <w:t>（</w:t>
            </w:r>
            <w:r>
              <w:rPr>
                <w:rFonts w:hint="eastAsia" w:ascii="新宋体" w:hAnsi="新宋体" w:eastAsia="新宋体" w:cs="新宋体"/>
                <w:color w:val="auto"/>
                <w:spacing w:val="-5"/>
                <w:sz w:val="22"/>
                <w:szCs w:val="22"/>
                <w:lang w:val="en-US" w:eastAsia="zh-CN"/>
              </w:rPr>
              <w:t>15</w:t>
            </w:r>
            <w:r>
              <w:rPr>
                <w:rFonts w:hint="eastAsia" w:ascii="新宋体" w:hAnsi="新宋体" w:eastAsia="新宋体" w:cs="新宋体"/>
                <w:color w:val="auto"/>
                <w:spacing w:val="-5"/>
                <w:sz w:val="22"/>
                <w:szCs w:val="22"/>
              </w:rPr>
              <w:t>分）</w:t>
            </w:r>
          </w:p>
          <w:p w14:paraId="47E9C6B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p>
        </w:tc>
        <w:tc>
          <w:tcPr>
            <w:tcW w:w="4894" w:type="dxa"/>
            <w:shd w:val="clear" w:color="auto" w:fill="auto"/>
            <w:vAlign w:val="center"/>
          </w:tcPr>
          <w:p w14:paraId="024B38FA">
            <w:pPr>
              <w:keepNext w:val="0"/>
              <w:keepLines w:val="0"/>
              <w:pageBreakBefore w:val="0"/>
              <w:widowControl w:val="0"/>
              <w:suppressLineNumbers w:val="0"/>
              <w:kinsoku/>
              <w:wordWrap/>
              <w:overflowPunct/>
              <w:topLinePunct w:val="0"/>
              <w:bidi w:val="0"/>
              <w:snapToGrid/>
              <w:spacing w:before="48" w:beforeAutospacing="0" w:after="0" w:afterAutospacing="0" w:line="264" w:lineRule="auto"/>
              <w:ind w:left="0" w:right="240"/>
              <w:jc w:val="both"/>
              <w:textAlignment w:val="auto"/>
              <w:rPr>
                <w:rFonts w:hint="eastAsia" w:ascii="新宋体" w:hAnsi="新宋体" w:eastAsia="新宋体" w:cs="新宋体"/>
                <w:color w:val="auto"/>
                <w:sz w:val="22"/>
                <w:szCs w:val="22"/>
              </w:rPr>
            </w:pPr>
            <w:r>
              <w:rPr>
                <w:rFonts w:hint="eastAsia" w:ascii="新宋体" w:hAnsi="新宋体" w:eastAsia="新宋体" w:cs="新宋体"/>
                <w:color w:val="auto"/>
                <w:spacing w:val="-1"/>
                <w:sz w:val="22"/>
                <w:szCs w:val="22"/>
              </w:rPr>
              <w:t>根据供应商拟定的本项目整体承保方案，考察方案中条款针对本项目的适用性、完整性、综合保障的全面性、保障的范围、相同保额对应保费、计算方式、赔付处理方式等情况进</w:t>
            </w:r>
            <w:r>
              <w:rPr>
                <w:rFonts w:hint="eastAsia" w:ascii="新宋体" w:hAnsi="新宋体" w:eastAsia="新宋体" w:cs="新宋体"/>
                <w:color w:val="auto"/>
                <w:sz w:val="22"/>
                <w:szCs w:val="22"/>
              </w:rPr>
              <w:t>行评审，</w:t>
            </w:r>
            <w:r>
              <w:rPr>
                <w:rFonts w:hint="eastAsia" w:ascii="新宋体" w:hAnsi="新宋体" w:eastAsia="新宋体" w:cs="新宋体"/>
                <w:color w:val="auto"/>
                <w:spacing w:val="0"/>
                <w:kern w:val="2"/>
                <w:sz w:val="22"/>
                <w:szCs w:val="22"/>
                <w:lang w:val="en-US" w:eastAsia="zh-CN" w:bidi="ar-SA"/>
              </w:rPr>
              <w:t>方案详实、可行优秀得15分，良10分，一般5分，没有得0分。</w:t>
            </w:r>
          </w:p>
        </w:tc>
        <w:tc>
          <w:tcPr>
            <w:tcW w:w="712" w:type="dxa"/>
            <w:shd w:val="clear" w:color="auto" w:fill="auto"/>
            <w:vAlign w:val="center"/>
          </w:tcPr>
          <w:p w14:paraId="63F7423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15</w:t>
            </w:r>
            <w:r>
              <w:rPr>
                <w:rFonts w:hint="eastAsia" w:ascii="新宋体" w:hAnsi="新宋体" w:eastAsia="新宋体" w:cs="新宋体"/>
                <w:color w:val="auto"/>
                <w:sz w:val="22"/>
                <w:szCs w:val="22"/>
                <w:highlight w:val="none"/>
              </w:rPr>
              <w:t>分</w:t>
            </w:r>
          </w:p>
        </w:tc>
      </w:tr>
      <w:tr w14:paraId="1DC2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vMerge w:val="continue"/>
            <w:shd w:val="clear" w:color="auto" w:fill="auto"/>
            <w:vAlign w:val="center"/>
          </w:tcPr>
          <w:p w14:paraId="65FB69F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p>
        </w:tc>
        <w:tc>
          <w:tcPr>
            <w:tcW w:w="921" w:type="dxa"/>
            <w:vMerge w:val="continue"/>
            <w:shd w:val="clear" w:color="auto" w:fill="auto"/>
            <w:vAlign w:val="center"/>
          </w:tcPr>
          <w:p w14:paraId="501F20E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p>
        </w:tc>
        <w:tc>
          <w:tcPr>
            <w:tcW w:w="1906" w:type="dxa"/>
            <w:shd w:val="clear" w:color="auto" w:fill="auto"/>
            <w:vAlign w:val="center"/>
          </w:tcPr>
          <w:p w14:paraId="036DF607">
            <w:pPr>
              <w:keepNext w:val="0"/>
              <w:keepLines w:val="0"/>
              <w:pageBreakBefore w:val="0"/>
              <w:widowControl w:val="0"/>
              <w:suppressLineNumbers w:val="0"/>
              <w:kinsoku/>
              <w:wordWrap/>
              <w:overflowPunct/>
              <w:topLinePunct w:val="0"/>
              <w:bidi w:val="0"/>
              <w:snapToGrid/>
              <w:spacing w:before="78" w:beforeAutospacing="0" w:after="0" w:afterAutospacing="0" w:line="264" w:lineRule="auto"/>
              <w:ind w:left="20" w:right="0"/>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pacing w:val="-2"/>
                <w:sz w:val="22"/>
                <w:szCs w:val="22"/>
              </w:rPr>
              <w:t>赔付专项方案</w:t>
            </w:r>
            <w:r>
              <w:rPr>
                <w:rFonts w:hint="eastAsia" w:ascii="新宋体" w:hAnsi="新宋体" w:eastAsia="新宋体" w:cs="新宋体"/>
                <w:color w:val="auto"/>
                <w:spacing w:val="-6"/>
                <w:sz w:val="22"/>
                <w:szCs w:val="22"/>
              </w:rPr>
              <w:t>（</w:t>
            </w:r>
            <w:r>
              <w:rPr>
                <w:rFonts w:hint="eastAsia" w:ascii="新宋体" w:hAnsi="新宋体" w:eastAsia="新宋体" w:cs="新宋体"/>
                <w:color w:val="auto"/>
                <w:spacing w:val="-6"/>
                <w:sz w:val="22"/>
                <w:szCs w:val="22"/>
                <w:lang w:val="en-US" w:eastAsia="zh-CN"/>
              </w:rPr>
              <w:t>10</w:t>
            </w:r>
            <w:r>
              <w:rPr>
                <w:rFonts w:hint="eastAsia" w:ascii="新宋体" w:hAnsi="新宋体" w:eastAsia="新宋体" w:cs="新宋体"/>
                <w:color w:val="auto"/>
                <w:spacing w:val="-6"/>
                <w:sz w:val="22"/>
                <w:szCs w:val="22"/>
              </w:rPr>
              <w:t>）</w:t>
            </w:r>
          </w:p>
          <w:p w14:paraId="50E397A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p>
        </w:tc>
        <w:tc>
          <w:tcPr>
            <w:tcW w:w="4894" w:type="dxa"/>
            <w:shd w:val="clear" w:color="auto" w:fill="auto"/>
            <w:vAlign w:val="center"/>
          </w:tcPr>
          <w:p w14:paraId="3F11ED92">
            <w:pPr>
              <w:keepNext w:val="0"/>
              <w:keepLines w:val="0"/>
              <w:pageBreakBefore w:val="0"/>
              <w:widowControl w:val="0"/>
              <w:suppressLineNumbers w:val="0"/>
              <w:kinsoku/>
              <w:wordWrap/>
              <w:overflowPunct/>
              <w:topLinePunct w:val="0"/>
              <w:bidi w:val="0"/>
              <w:snapToGrid/>
              <w:spacing w:before="53" w:beforeAutospacing="0" w:after="0" w:afterAutospacing="0" w:line="264" w:lineRule="auto"/>
              <w:ind w:left="0" w:right="218"/>
              <w:jc w:val="both"/>
              <w:textAlignment w:val="auto"/>
              <w:rPr>
                <w:rFonts w:hint="eastAsia" w:ascii="新宋体" w:hAnsi="新宋体" w:eastAsia="新宋体" w:cs="新宋体"/>
                <w:color w:val="auto"/>
                <w:sz w:val="22"/>
                <w:szCs w:val="22"/>
              </w:rPr>
            </w:pPr>
            <w:r>
              <w:rPr>
                <w:rFonts w:hint="eastAsia" w:ascii="新宋体" w:hAnsi="新宋体" w:eastAsia="新宋体" w:cs="新宋体"/>
                <w:color w:val="auto"/>
                <w:spacing w:val="-1"/>
                <w:sz w:val="22"/>
                <w:szCs w:val="22"/>
              </w:rPr>
              <w:t>为避免赔付过程中的合同纠纷，供应商应有针对本项目特点</w:t>
            </w:r>
            <w:r>
              <w:rPr>
                <w:rFonts w:hint="eastAsia" w:ascii="新宋体" w:hAnsi="新宋体" w:eastAsia="新宋体" w:cs="新宋体"/>
                <w:color w:val="auto"/>
                <w:spacing w:val="12"/>
                <w:sz w:val="22"/>
                <w:szCs w:val="22"/>
              </w:rPr>
              <w:t xml:space="preserve"> </w:t>
            </w:r>
            <w:r>
              <w:rPr>
                <w:rFonts w:hint="eastAsia" w:ascii="新宋体" w:hAnsi="新宋体" w:eastAsia="新宋体" w:cs="新宋体"/>
                <w:color w:val="auto"/>
                <w:spacing w:val="-1"/>
                <w:sz w:val="22"/>
                <w:szCs w:val="22"/>
              </w:rPr>
              <w:t>的详细赔付专项方案，根据所提供的相关方案进</w:t>
            </w:r>
            <w:r>
              <w:rPr>
                <w:rFonts w:hint="eastAsia" w:ascii="新宋体" w:hAnsi="新宋体" w:eastAsia="新宋体" w:cs="新宋体"/>
                <w:color w:val="auto"/>
                <w:sz w:val="22"/>
                <w:szCs w:val="22"/>
              </w:rPr>
              <w:t>行评审，</w:t>
            </w:r>
            <w:r>
              <w:rPr>
                <w:rFonts w:hint="eastAsia" w:ascii="新宋体" w:hAnsi="新宋体" w:eastAsia="新宋体" w:cs="新宋体"/>
                <w:color w:val="auto"/>
                <w:spacing w:val="0"/>
                <w:kern w:val="2"/>
                <w:sz w:val="22"/>
                <w:szCs w:val="22"/>
                <w:lang w:val="en-US" w:eastAsia="zh-CN" w:bidi="ar-SA"/>
              </w:rPr>
              <w:t>方案详实、可行优秀得10分，良7分，一般3分，没有得0分。</w:t>
            </w:r>
          </w:p>
        </w:tc>
        <w:tc>
          <w:tcPr>
            <w:tcW w:w="712" w:type="dxa"/>
            <w:shd w:val="clear" w:color="auto" w:fill="auto"/>
            <w:vAlign w:val="center"/>
          </w:tcPr>
          <w:p w14:paraId="78EEFB5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10</w:t>
            </w:r>
            <w:r>
              <w:rPr>
                <w:rFonts w:hint="eastAsia" w:ascii="新宋体" w:hAnsi="新宋体" w:eastAsia="新宋体" w:cs="新宋体"/>
                <w:color w:val="auto"/>
                <w:sz w:val="22"/>
                <w:szCs w:val="22"/>
                <w:highlight w:val="none"/>
              </w:rPr>
              <w:t>分</w:t>
            </w:r>
          </w:p>
        </w:tc>
      </w:tr>
      <w:tr w14:paraId="5ECA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96" w:type="dxa"/>
            <w:vMerge w:val="continue"/>
            <w:shd w:val="clear" w:color="auto" w:fill="auto"/>
            <w:vAlign w:val="center"/>
          </w:tcPr>
          <w:p w14:paraId="32ECED7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p>
        </w:tc>
        <w:tc>
          <w:tcPr>
            <w:tcW w:w="921" w:type="dxa"/>
            <w:vMerge w:val="continue"/>
            <w:shd w:val="clear" w:color="auto" w:fill="auto"/>
            <w:vAlign w:val="center"/>
          </w:tcPr>
          <w:p w14:paraId="292A35C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p>
        </w:tc>
        <w:tc>
          <w:tcPr>
            <w:tcW w:w="1906" w:type="dxa"/>
            <w:shd w:val="clear" w:color="auto" w:fill="auto"/>
            <w:vAlign w:val="center"/>
          </w:tcPr>
          <w:p w14:paraId="7DDE9D9C">
            <w:pPr>
              <w:keepNext w:val="0"/>
              <w:keepLines w:val="0"/>
              <w:pageBreakBefore w:val="0"/>
              <w:widowControl w:val="0"/>
              <w:suppressLineNumbers w:val="0"/>
              <w:kinsoku/>
              <w:wordWrap/>
              <w:overflowPunct/>
              <w:topLinePunct w:val="0"/>
              <w:bidi w:val="0"/>
              <w:snapToGrid/>
              <w:spacing w:before="20" w:beforeAutospacing="0" w:after="0" w:afterAutospacing="0" w:line="264" w:lineRule="auto"/>
              <w:ind w:left="0" w:right="0"/>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pacing w:val="-3"/>
                <w:sz w:val="22"/>
                <w:szCs w:val="22"/>
              </w:rPr>
              <w:t>紧急情况的处</w:t>
            </w:r>
            <w:r>
              <w:rPr>
                <w:rFonts w:hint="eastAsia" w:ascii="新宋体" w:hAnsi="新宋体" w:eastAsia="新宋体" w:cs="新宋体"/>
                <w:color w:val="auto"/>
                <w:spacing w:val="-2"/>
                <w:sz w:val="22"/>
                <w:szCs w:val="22"/>
              </w:rPr>
              <w:t>理、预案以及抵抗风险的措施</w:t>
            </w:r>
            <w:r>
              <w:rPr>
                <w:rFonts w:hint="eastAsia" w:ascii="新宋体" w:hAnsi="新宋体" w:eastAsia="新宋体" w:cs="新宋体"/>
                <w:color w:val="auto"/>
                <w:spacing w:val="-5"/>
                <w:sz w:val="22"/>
                <w:szCs w:val="22"/>
              </w:rPr>
              <w:t>（</w:t>
            </w:r>
            <w:r>
              <w:rPr>
                <w:rFonts w:hint="eastAsia" w:ascii="新宋体" w:hAnsi="新宋体" w:eastAsia="新宋体" w:cs="新宋体"/>
                <w:color w:val="auto"/>
                <w:spacing w:val="-5"/>
                <w:sz w:val="22"/>
                <w:szCs w:val="22"/>
                <w:lang w:val="en-US" w:eastAsia="zh-CN"/>
              </w:rPr>
              <w:t>10</w:t>
            </w:r>
            <w:r>
              <w:rPr>
                <w:rFonts w:hint="eastAsia" w:ascii="新宋体" w:hAnsi="新宋体" w:eastAsia="新宋体" w:cs="新宋体"/>
                <w:color w:val="auto"/>
                <w:spacing w:val="-5"/>
                <w:sz w:val="22"/>
                <w:szCs w:val="22"/>
              </w:rPr>
              <w:t>分）</w:t>
            </w:r>
          </w:p>
        </w:tc>
        <w:tc>
          <w:tcPr>
            <w:tcW w:w="4894" w:type="dxa"/>
            <w:shd w:val="clear" w:color="auto" w:fill="auto"/>
            <w:vAlign w:val="center"/>
          </w:tcPr>
          <w:p w14:paraId="083B3496">
            <w:pPr>
              <w:keepNext w:val="0"/>
              <w:keepLines w:val="0"/>
              <w:pageBreakBefore w:val="0"/>
              <w:widowControl w:val="0"/>
              <w:suppressLineNumbers w:val="0"/>
              <w:kinsoku/>
              <w:wordWrap/>
              <w:overflowPunct/>
              <w:topLinePunct w:val="0"/>
              <w:bidi w:val="0"/>
              <w:snapToGrid/>
              <w:spacing w:before="37" w:beforeAutospacing="0" w:after="0" w:afterAutospacing="0" w:line="264" w:lineRule="auto"/>
              <w:ind w:left="0" w:right="0"/>
              <w:textAlignment w:val="auto"/>
              <w:rPr>
                <w:rFonts w:hint="eastAsia" w:ascii="新宋体" w:hAnsi="新宋体" w:eastAsia="新宋体" w:cs="新宋体"/>
                <w:color w:val="auto"/>
                <w:sz w:val="22"/>
                <w:szCs w:val="22"/>
              </w:rPr>
            </w:pPr>
            <w:r>
              <w:rPr>
                <w:rFonts w:hint="eastAsia" w:ascii="新宋体" w:hAnsi="新宋体" w:eastAsia="新宋体" w:cs="新宋体"/>
                <w:color w:val="auto"/>
                <w:spacing w:val="0"/>
                <w:kern w:val="2"/>
                <w:sz w:val="22"/>
                <w:szCs w:val="22"/>
                <w:lang w:val="en-US" w:eastAsia="zh-CN" w:bidi="ar-SA"/>
              </w:rPr>
              <w:t>投标人针对本项目在实施过程中服务人员可能遇到的各种临时意外情况等各种突发事件，提供应急相应预案，方案详实、可行优秀得10分，良7分，一般3分，没有得0分。</w:t>
            </w:r>
          </w:p>
        </w:tc>
        <w:tc>
          <w:tcPr>
            <w:tcW w:w="712" w:type="dxa"/>
            <w:shd w:val="clear" w:color="auto" w:fill="auto"/>
            <w:vAlign w:val="center"/>
          </w:tcPr>
          <w:p w14:paraId="66A2F21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10</w:t>
            </w:r>
            <w:r>
              <w:rPr>
                <w:rFonts w:hint="eastAsia" w:ascii="新宋体" w:hAnsi="新宋体" w:eastAsia="新宋体" w:cs="新宋体"/>
                <w:color w:val="auto"/>
                <w:sz w:val="22"/>
                <w:szCs w:val="22"/>
                <w:highlight w:val="none"/>
              </w:rPr>
              <w:t>分</w:t>
            </w:r>
          </w:p>
        </w:tc>
      </w:tr>
      <w:tr w14:paraId="2D3A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796" w:type="dxa"/>
            <w:vMerge w:val="continue"/>
            <w:shd w:val="clear" w:color="auto" w:fill="auto"/>
            <w:vAlign w:val="center"/>
          </w:tcPr>
          <w:p w14:paraId="3263D66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p>
        </w:tc>
        <w:tc>
          <w:tcPr>
            <w:tcW w:w="921" w:type="dxa"/>
            <w:vMerge w:val="continue"/>
            <w:shd w:val="clear" w:color="auto" w:fill="auto"/>
            <w:vAlign w:val="center"/>
          </w:tcPr>
          <w:p w14:paraId="52DC2C8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p>
        </w:tc>
        <w:tc>
          <w:tcPr>
            <w:tcW w:w="1906" w:type="dxa"/>
            <w:shd w:val="clear" w:color="auto" w:fill="auto"/>
            <w:vAlign w:val="center"/>
          </w:tcPr>
          <w:p w14:paraId="7235D6F7">
            <w:pPr>
              <w:keepNext w:val="0"/>
              <w:keepLines w:val="0"/>
              <w:pageBreakBefore w:val="0"/>
              <w:widowControl w:val="0"/>
              <w:suppressLineNumbers w:val="0"/>
              <w:kinsoku/>
              <w:wordWrap/>
              <w:overflowPunct/>
              <w:topLinePunct w:val="0"/>
              <w:bidi w:val="0"/>
              <w:snapToGrid/>
              <w:spacing w:before="37" w:beforeAutospacing="0" w:after="0" w:afterAutospacing="0" w:line="264" w:lineRule="auto"/>
              <w:ind w:left="0" w:right="0"/>
              <w:jc w:val="center"/>
              <w:textAlignment w:val="auto"/>
              <w:rPr>
                <w:rFonts w:hint="eastAsia" w:ascii="新宋体" w:hAnsi="新宋体" w:eastAsia="新宋体" w:cs="新宋体"/>
                <w:color w:val="auto"/>
                <w:spacing w:val="0"/>
                <w:kern w:val="2"/>
                <w:sz w:val="22"/>
                <w:szCs w:val="22"/>
                <w:lang w:val="en-US" w:eastAsia="zh-CN" w:bidi="ar-SA"/>
              </w:rPr>
            </w:pPr>
            <w:r>
              <w:rPr>
                <w:rFonts w:hint="eastAsia" w:ascii="新宋体" w:hAnsi="新宋体" w:eastAsia="新宋体" w:cs="新宋体"/>
                <w:color w:val="auto"/>
                <w:spacing w:val="0"/>
                <w:kern w:val="2"/>
                <w:sz w:val="22"/>
                <w:szCs w:val="22"/>
                <w:lang w:val="en-US" w:eastAsia="zh-CN" w:bidi="ar-SA"/>
              </w:rPr>
              <w:t>有关保险的法律服务、法律咨询等措施（5分）</w:t>
            </w:r>
          </w:p>
        </w:tc>
        <w:tc>
          <w:tcPr>
            <w:tcW w:w="4894" w:type="dxa"/>
            <w:shd w:val="clear" w:color="auto" w:fill="auto"/>
            <w:vAlign w:val="center"/>
          </w:tcPr>
          <w:p w14:paraId="557B9913">
            <w:pPr>
              <w:keepNext w:val="0"/>
              <w:keepLines w:val="0"/>
              <w:pageBreakBefore w:val="0"/>
              <w:widowControl w:val="0"/>
              <w:suppressLineNumbers w:val="0"/>
              <w:kinsoku/>
              <w:wordWrap/>
              <w:overflowPunct/>
              <w:topLinePunct w:val="0"/>
              <w:bidi w:val="0"/>
              <w:snapToGrid/>
              <w:spacing w:before="37" w:beforeAutospacing="0" w:after="0" w:afterAutospacing="0" w:line="264" w:lineRule="auto"/>
              <w:ind w:left="0" w:right="0"/>
              <w:textAlignment w:val="auto"/>
              <w:rPr>
                <w:rFonts w:hint="eastAsia" w:ascii="新宋体" w:hAnsi="新宋体" w:eastAsia="新宋体" w:cs="新宋体"/>
                <w:color w:val="auto"/>
                <w:spacing w:val="0"/>
                <w:kern w:val="2"/>
                <w:sz w:val="22"/>
                <w:szCs w:val="22"/>
                <w:lang w:val="en-US" w:eastAsia="zh-CN" w:bidi="ar-SA"/>
              </w:rPr>
            </w:pPr>
            <w:r>
              <w:rPr>
                <w:rFonts w:hint="eastAsia" w:ascii="新宋体" w:hAnsi="新宋体" w:eastAsia="新宋体" w:cs="新宋体"/>
                <w:color w:val="auto"/>
                <w:spacing w:val="0"/>
                <w:kern w:val="2"/>
                <w:sz w:val="22"/>
                <w:szCs w:val="22"/>
                <w:lang w:val="en-US" w:eastAsia="zh-CN" w:bidi="ar-SA"/>
              </w:rPr>
              <w:t>投标人针对项目特点，包括但不限于为被保险人提供有关保险的法律服务、法律咨询等措施，方案详实、可行优秀得5分，良3分，一般1分，没有得0分。</w:t>
            </w:r>
          </w:p>
        </w:tc>
        <w:tc>
          <w:tcPr>
            <w:tcW w:w="712" w:type="dxa"/>
            <w:shd w:val="clear" w:color="auto" w:fill="auto"/>
            <w:vAlign w:val="center"/>
          </w:tcPr>
          <w:p w14:paraId="4606468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5</w:t>
            </w:r>
            <w:r>
              <w:rPr>
                <w:rFonts w:hint="eastAsia" w:ascii="新宋体" w:hAnsi="新宋体" w:eastAsia="新宋体" w:cs="新宋体"/>
                <w:color w:val="auto"/>
                <w:sz w:val="22"/>
                <w:szCs w:val="22"/>
                <w:highlight w:val="none"/>
              </w:rPr>
              <w:t>分</w:t>
            </w:r>
          </w:p>
        </w:tc>
      </w:tr>
      <w:tr w14:paraId="6153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6" w:type="dxa"/>
            <w:vMerge w:val="continue"/>
            <w:shd w:val="clear" w:color="auto" w:fill="auto"/>
            <w:vAlign w:val="center"/>
          </w:tcPr>
          <w:p w14:paraId="36EC700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p>
        </w:tc>
        <w:tc>
          <w:tcPr>
            <w:tcW w:w="921" w:type="dxa"/>
            <w:vMerge w:val="continue"/>
            <w:shd w:val="clear" w:color="auto" w:fill="auto"/>
            <w:vAlign w:val="center"/>
          </w:tcPr>
          <w:p w14:paraId="6E23225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p>
        </w:tc>
        <w:tc>
          <w:tcPr>
            <w:tcW w:w="1906" w:type="dxa"/>
            <w:shd w:val="clear" w:color="auto" w:fill="auto"/>
            <w:vAlign w:val="center"/>
          </w:tcPr>
          <w:p w14:paraId="1429EA02">
            <w:pPr>
              <w:keepNext w:val="0"/>
              <w:keepLines w:val="0"/>
              <w:pageBreakBefore w:val="0"/>
              <w:widowControl w:val="0"/>
              <w:suppressLineNumbers w:val="0"/>
              <w:kinsoku/>
              <w:wordWrap/>
              <w:overflowPunct/>
              <w:topLinePunct w:val="0"/>
              <w:bidi w:val="0"/>
              <w:snapToGrid/>
              <w:spacing w:before="20" w:beforeAutospacing="0" w:after="0" w:afterAutospacing="0" w:line="264" w:lineRule="auto"/>
              <w:ind w:left="20" w:right="0"/>
              <w:jc w:val="center"/>
              <w:textAlignment w:val="auto"/>
              <w:rPr>
                <w:rFonts w:hint="eastAsia" w:ascii="新宋体" w:hAnsi="新宋体" w:eastAsia="新宋体" w:cs="新宋体"/>
                <w:color w:val="auto"/>
                <w:spacing w:val="-2"/>
                <w:sz w:val="22"/>
                <w:szCs w:val="22"/>
              </w:rPr>
            </w:pPr>
            <w:r>
              <w:rPr>
                <w:rFonts w:hint="eastAsia" w:ascii="新宋体" w:hAnsi="新宋体" w:eastAsia="新宋体" w:cs="新宋体"/>
                <w:color w:val="auto"/>
                <w:spacing w:val="-2"/>
                <w:sz w:val="22"/>
                <w:szCs w:val="22"/>
              </w:rPr>
              <w:t>对供应商售后服务能力的评价</w:t>
            </w:r>
          </w:p>
          <w:p w14:paraId="2E8411B7">
            <w:pPr>
              <w:keepNext w:val="0"/>
              <w:keepLines w:val="0"/>
              <w:pageBreakBefore w:val="0"/>
              <w:widowControl w:val="0"/>
              <w:suppressLineNumbers w:val="0"/>
              <w:kinsoku/>
              <w:wordWrap/>
              <w:overflowPunct/>
              <w:topLinePunct w:val="0"/>
              <w:bidi w:val="0"/>
              <w:snapToGrid/>
              <w:spacing w:before="20" w:beforeAutospacing="0" w:after="0" w:afterAutospacing="0" w:line="264" w:lineRule="auto"/>
              <w:ind w:left="20" w:right="0"/>
              <w:jc w:val="center"/>
              <w:textAlignment w:val="auto"/>
              <w:rPr>
                <w:rFonts w:hint="eastAsia" w:ascii="新宋体" w:hAnsi="新宋体" w:eastAsia="新宋体" w:cs="新宋体"/>
                <w:color w:val="auto"/>
                <w:sz w:val="22"/>
                <w:szCs w:val="22"/>
              </w:rPr>
            </w:pPr>
            <w:r>
              <w:rPr>
                <w:rFonts w:hint="eastAsia" w:ascii="新宋体" w:hAnsi="新宋体" w:eastAsia="新宋体" w:cs="新宋体"/>
                <w:color w:val="auto"/>
                <w:spacing w:val="-5"/>
                <w:sz w:val="22"/>
                <w:szCs w:val="22"/>
              </w:rPr>
              <w:t>（</w:t>
            </w:r>
            <w:r>
              <w:rPr>
                <w:rFonts w:hint="eastAsia" w:ascii="新宋体" w:hAnsi="新宋体" w:eastAsia="新宋体" w:cs="新宋体"/>
                <w:color w:val="auto"/>
                <w:spacing w:val="-5"/>
                <w:sz w:val="22"/>
                <w:szCs w:val="22"/>
                <w:lang w:val="en-US" w:eastAsia="zh-CN"/>
              </w:rPr>
              <w:t>10</w:t>
            </w:r>
            <w:r>
              <w:rPr>
                <w:rFonts w:hint="eastAsia" w:ascii="新宋体" w:hAnsi="新宋体" w:eastAsia="新宋体" w:cs="新宋体"/>
                <w:color w:val="auto"/>
                <w:spacing w:val="-5"/>
                <w:sz w:val="22"/>
                <w:szCs w:val="22"/>
              </w:rPr>
              <w:t>分）</w:t>
            </w:r>
          </w:p>
          <w:p w14:paraId="20E6CE5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rPr>
            </w:pPr>
          </w:p>
        </w:tc>
        <w:tc>
          <w:tcPr>
            <w:tcW w:w="4894" w:type="dxa"/>
            <w:shd w:val="clear" w:color="auto" w:fill="auto"/>
            <w:vAlign w:val="center"/>
          </w:tcPr>
          <w:p w14:paraId="7652853A">
            <w:pPr>
              <w:keepNext w:val="0"/>
              <w:keepLines w:val="0"/>
              <w:pageBreakBefore w:val="0"/>
              <w:widowControl w:val="0"/>
              <w:suppressLineNumbers w:val="0"/>
              <w:kinsoku/>
              <w:wordWrap/>
              <w:overflowPunct/>
              <w:topLinePunct w:val="0"/>
              <w:bidi w:val="0"/>
              <w:snapToGrid/>
              <w:spacing w:before="50" w:beforeAutospacing="0" w:after="0" w:afterAutospacing="0" w:line="264" w:lineRule="auto"/>
              <w:ind w:left="0" w:right="240"/>
              <w:textAlignment w:val="auto"/>
              <w:rPr>
                <w:rFonts w:hint="eastAsia" w:ascii="新宋体" w:hAnsi="新宋体" w:eastAsia="新宋体" w:cs="新宋体"/>
                <w:color w:val="auto"/>
                <w:sz w:val="22"/>
                <w:szCs w:val="22"/>
              </w:rPr>
            </w:pPr>
            <w:r>
              <w:rPr>
                <w:rFonts w:hint="eastAsia" w:ascii="新宋体" w:hAnsi="新宋体" w:eastAsia="新宋体" w:cs="新宋体"/>
                <w:color w:val="auto"/>
                <w:spacing w:val="-1"/>
                <w:sz w:val="22"/>
                <w:szCs w:val="22"/>
              </w:rPr>
              <w:t>供应商的售后服务机构水平，提供的售后服务方案和措施完整性、合理性进行评价：</w:t>
            </w:r>
          </w:p>
          <w:p w14:paraId="6D3BC793">
            <w:pPr>
              <w:keepNext w:val="0"/>
              <w:keepLines w:val="0"/>
              <w:pageBreakBefore w:val="0"/>
              <w:widowControl w:val="0"/>
              <w:suppressLineNumbers w:val="0"/>
              <w:kinsoku/>
              <w:wordWrap/>
              <w:overflowPunct/>
              <w:topLinePunct w:val="0"/>
              <w:bidi w:val="0"/>
              <w:snapToGrid/>
              <w:spacing w:before="37" w:beforeAutospacing="0" w:after="0" w:afterAutospacing="0" w:line="264" w:lineRule="auto"/>
              <w:ind w:left="0" w:right="137"/>
              <w:jc w:val="both"/>
              <w:textAlignment w:val="auto"/>
              <w:rPr>
                <w:rFonts w:hint="eastAsia" w:ascii="新宋体" w:hAnsi="新宋体" w:eastAsia="新宋体" w:cs="新宋体"/>
                <w:color w:val="auto"/>
                <w:sz w:val="22"/>
                <w:szCs w:val="22"/>
              </w:rPr>
            </w:pPr>
            <w:r>
              <w:rPr>
                <w:rFonts w:hint="eastAsia" w:ascii="新宋体" w:hAnsi="新宋体" w:eastAsia="新宋体" w:cs="新宋体"/>
                <w:color w:val="auto"/>
                <w:spacing w:val="-1"/>
                <w:sz w:val="22"/>
                <w:szCs w:val="22"/>
              </w:rPr>
              <w:t>售后服务体系完备、完善的，充分满足用户要求且提供优质</w:t>
            </w:r>
            <w:r>
              <w:rPr>
                <w:rFonts w:hint="eastAsia" w:ascii="新宋体" w:hAnsi="新宋体" w:eastAsia="新宋体" w:cs="新宋体"/>
                <w:color w:val="auto"/>
                <w:spacing w:val="-5"/>
                <w:sz w:val="22"/>
                <w:szCs w:val="22"/>
              </w:rPr>
              <w:t>服务，可实现上门服务的，快速反应、及时服务的得</w:t>
            </w:r>
            <w:r>
              <w:rPr>
                <w:rFonts w:hint="eastAsia" w:ascii="新宋体" w:hAnsi="新宋体" w:eastAsia="新宋体" w:cs="新宋体"/>
                <w:color w:val="auto"/>
                <w:spacing w:val="-5"/>
                <w:sz w:val="22"/>
                <w:szCs w:val="22"/>
                <w:lang w:val="en-US" w:eastAsia="zh-CN"/>
              </w:rPr>
              <w:t>10</w:t>
            </w:r>
            <w:r>
              <w:rPr>
                <w:rFonts w:hint="eastAsia" w:ascii="新宋体" w:hAnsi="新宋体" w:eastAsia="新宋体" w:cs="新宋体"/>
                <w:color w:val="auto"/>
                <w:spacing w:val="-6"/>
                <w:sz w:val="22"/>
                <w:szCs w:val="22"/>
              </w:rPr>
              <w:t>分。</w:t>
            </w:r>
            <w:r>
              <w:rPr>
                <w:rFonts w:hint="eastAsia" w:ascii="新宋体" w:hAnsi="新宋体" w:eastAsia="新宋体" w:cs="新宋体"/>
                <w:color w:val="auto"/>
                <w:sz w:val="22"/>
                <w:szCs w:val="22"/>
              </w:rPr>
              <w:t xml:space="preserve"> </w:t>
            </w:r>
          </w:p>
          <w:p w14:paraId="5EEA4DC6">
            <w:pPr>
              <w:keepNext w:val="0"/>
              <w:keepLines w:val="0"/>
              <w:pageBreakBefore w:val="0"/>
              <w:widowControl w:val="0"/>
              <w:suppressLineNumbers w:val="0"/>
              <w:kinsoku/>
              <w:wordWrap/>
              <w:overflowPunct/>
              <w:topLinePunct w:val="0"/>
              <w:bidi w:val="0"/>
              <w:snapToGrid/>
              <w:spacing w:before="37" w:beforeAutospacing="0" w:after="0" w:afterAutospacing="0" w:line="264" w:lineRule="auto"/>
              <w:ind w:left="0" w:right="137"/>
              <w:jc w:val="both"/>
              <w:textAlignment w:val="auto"/>
              <w:rPr>
                <w:rFonts w:hint="eastAsia" w:ascii="新宋体" w:hAnsi="新宋体" w:eastAsia="新宋体" w:cs="新宋体"/>
                <w:color w:val="auto"/>
                <w:sz w:val="22"/>
                <w:szCs w:val="22"/>
              </w:rPr>
            </w:pPr>
            <w:r>
              <w:rPr>
                <w:rFonts w:hint="eastAsia" w:ascii="新宋体" w:hAnsi="新宋体" w:eastAsia="新宋体" w:cs="新宋体"/>
                <w:color w:val="auto"/>
                <w:spacing w:val="-1"/>
                <w:sz w:val="22"/>
                <w:szCs w:val="22"/>
              </w:rPr>
              <w:t>售后服务体系比较完善，能够满足用户基本需要的，得</w:t>
            </w:r>
            <w:r>
              <w:rPr>
                <w:rFonts w:hint="eastAsia" w:ascii="新宋体" w:hAnsi="新宋体" w:eastAsia="新宋体" w:cs="新宋体"/>
                <w:color w:val="auto"/>
                <w:spacing w:val="-1"/>
                <w:sz w:val="22"/>
                <w:szCs w:val="22"/>
                <w:lang w:val="en-US" w:eastAsia="zh-CN"/>
              </w:rPr>
              <w:t>7</w:t>
            </w:r>
            <w:r>
              <w:rPr>
                <w:rFonts w:hint="eastAsia" w:ascii="新宋体" w:hAnsi="新宋体" w:eastAsia="新宋体" w:cs="新宋体"/>
                <w:color w:val="auto"/>
                <w:spacing w:val="-5"/>
                <w:sz w:val="22"/>
                <w:szCs w:val="22"/>
              </w:rPr>
              <w:t>分；</w:t>
            </w:r>
          </w:p>
          <w:p w14:paraId="73F66BBC">
            <w:pPr>
              <w:keepNext w:val="0"/>
              <w:keepLines w:val="0"/>
              <w:pageBreakBefore w:val="0"/>
              <w:widowControl w:val="0"/>
              <w:suppressLineNumbers w:val="0"/>
              <w:kinsoku/>
              <w:wordWrap/>
              <w:overflowPunct/>
              <w:topLinePunct w:val="0"/>
              <w:bidi w:val="0"/>
              <w:snapToGrid/>
              <w:spacing w:before="32" w:beforeAutospacing="0" w:after="0" w:afterAutospacing="0" w:line="264" w:lineRule="auto"/>
              <w:ind w:left="0" w:right="0"/>
              <w:textAlignment w:val="auto"/>
              <w:rPr>
                <w:rFonts w:hint="eastAsia" w:ascii="新宋体" w:hAnsi="新宋体" w:eastAsia="新宋体" w:cs="新宋体"/>
                <w:color w:val="auto"/>
                <w:sz w:val="22"/>
                <w:szCs w:val="22"/>
              </w:rPr>
            </w:pPr>
            <w:r>
              <w:rPr>
                <w:rFonts w:hint="eastAsia" w:ascii="新宋体" w:hAnsi="新宋体" w:eastAsia="新宋体" w:cs="新宋体"/>
                <w:color w:val="auto"/>
                <w:spacing w:val="-1"/>
                <w:sz w:val="22"/>
                <w:szCs w:val="22"/>
              </w:rPr>
              <w:t>售后服务体系基本完善的，得</w:t>
            </w:r>
            <w:r>
              <w:rPr>
                <w:rFonts w:hint="eastAsia" w:ascii="新宋体" w:hAnsi="新宋体" w:eastAsia="新宋体" w:cs="新宋体"/>
                <w:color w:val="auto"/>
                <w:spacing w:val="-1"/>
                <w:sz w:val="22"/>
                <w:szCs w:val="22"/>
                <w:lang w:val="en-US" w:eastAsia="zh-CN"/>
              </w:rPr>
              <w:t>3</w:t>
            </w:r>
            <w:r>
              <w:rPr>
                <w:rFonts w:hint="eastAsia" w:ascii="新宋体" w:hAnsi="新宋体" w:eastAsia="新宋体" w:cs="新宋体"/>
                <w:color w:val="auto"/>
                <w:spacing w:val="-1"/>
                <w:sz w:val="22"/>
                <w:szCs w:val="22"/>
              </w:rPr>
              <w:t>分。</w:t>
            </w:r>
          </w:p>
          <w:p w14:paraId="0BE7BA0D">
            <w:pPr>
              <w:keepNext w:val="0"/>
              <w:keepLines w:val="0"/>
              <w:pageBreakBefore w:val="0"/>
              <w:widowControl w:val="0"/>
              <w:suppressLineNumbers w:val="0"/>
              <w:kinsoku/>
              <w:wordWrap/>
              <w:overflowPunct/>
              <w:topLinePunct w:val="0"/>
              <w:bidi w:val="0"/>
              <w:snapToGrid/>
              <w:spacing w:before="35" w:beforeAutospacing="0" w:after="0" w:afterAutospacing="0" w:line="264" w:lineRule="auto"/>
              <w:ind w:left="0" w:right="240"/>
              <w:textAlignment w:val="auto"/>
              <w:rPr>
                <w:rFonts w:hint="eastAsia" w:ascii="新宋体" w:hAnsi="新宋体" w:eastAsia="新宋体" w:cs="新宋体"/>
                <w:color w:val="auto"/>
                <w:sz w:val="22"/>
                <w:szCs w:val="22"/>
              </w:rPr>
            </w:pPr>
            <w:r>
              <w:rPr>
                <w:rFonts w:hint="eastAsia" w:ascii="新宋体" w:hAnsi="新宋体" w:eastAsia="新宋体" w:cs="新宋体"/>
                <w:color w:val="auto"/>
                <w:spacing w:val="-1"/>
                <w:sz w:val="22"/>
                <w:szCs w:val="22"/>
              </w:rPr>
              <w:t>无法及时响应用户售后服务需求，售后服务体系不完备不得</w:t>
            </w:r>
            <w:r>
              <w:rPr>
                <w:rFonts w:hint="eastAsia" w:ascii="新宋体" w:hAnsi="新宋体" w:eastAsia="新宋体" w:cs="新宋体"/>
                <w:color w:val="auto"/>
                <w:spacing w:val="-7"/>
                <w:sz w:val="22"/>
                <w:szCs w:val="22"/>
              </w:rPr>
              <w:t>分。</w:t>
            </w:r>
          </w:p>
        </w:tc>
        <w:tc>
          <w:tcPr>
            <w:tcW w:w="712" w:type="dxa"/>
            <w:shd w:val="clear" w:color="auto" w:fill="auto"/>
            <w:vAlign w:val="center"/>
          </w:tcPr>
          <w:p w14:paraId="3205C02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4" w:lineRule="auto"/>
              <w:ind w:left="0" w:right="0"/>
              <w:jc w:val="center"/>
              <w:textAlignment w:val="auto"/>
              <w:rPr>
                <w:rFonts w:hint="eastAsia" w:ascii="新宋体" w:hAnsi="新宋体" w:eastAsia="新宋体" w:cs="新宋体"/>
                <w:color w:val="auto"/>
                <w:sz w:val="22"/>
                <w:szCs w:val="22"/>
                <w:lang w:val="en-US" w:eastAsia="zh-CN"/>
              </w:rPr>
            </w:pPr>
            <w:r>
              <w:rPr>
                <w:rFonts w:hint="eastAsia" w:ascii="新宋体" w:hAnsi="新宋体" w:eastAsia="新宋体" w:cs="新宋体"/>
                <w:color w:val="auto"/>
                <w:sz w:val="22"/>
                <w:szCs w:val="22"/>
                <w:lang w:val="en-US" w:eastAsia="zh-CN"/>
              </w:rPr>
              <w:t>10</w:t>
            </w:r>
            <w:r>
              <w:rPr>
                <w:rFonts w:hint="eastAsia" w:ascii="新宋体" w:hAnsi="新宋体" w:eastAsia="新宋体" w:cs="新宋体"/>
                <w:color w:val="auto"/>
                <w:sz w:val="22"/>
                <w:szCs w:val="22"/>
                <w:highlight w:val="none"/>
              </w:rPr>
              <w:t>分</w:t>
            </w:r>
          </w:p>
        </w:tc>
      </w:tr>
    </w:tbl>
    <w:p w14:paraId="08C1BBA5">
      <w:pPr>
        <w:rPr>
          <w:rFonts w:hint="eastAsia" w:ascii="宋体" w:hAnsi="宋体" w:cs="宋体"/>
          <w:color w:val="auto"/>
          <w:kern w:val="2"/>
          <w:sz w:val="36"/>
          <w:szCs w:val="36"/>
          <w:highlight w:val="none"/>
        </w:rPr>
      </w:pPr>
    </w:p>
    <w:bookmarkEnd w:id="43"/>
    <w:bookmarkEnd w:id="44"/>
    <w:p w14:paraId="0F607D15">
      <w:pPr>
        <w:rPr>
          <w:rFonts w:hint="eastAsia" w:ascii="宋体" w:hAnsi="宋体" w:cs="宋体"/>
          <w:color w:val="auto"/>
          <w:kern w:val="2"/>
          <w:sz w:val="36"/>
          <w:szCs w:val="36"/>
          <w:highlight w:val="none"/>
        </w:rPr>
      </w:pPr>
      <w:bookmarkStart w:id="51" w:name="_Toc24291"/>
      <w:r>
        <w:rPr>
          <w:rFonts w:hint="eastAsia" w:ascii="宋体" w:hAnsi="宋体" w:cs="宋体"/>
          <w:color w:val="auto"/>
          <w:kern w:val="2"/>
          <w:sz w:val="36"/>
          <w:szCs w:val="36"/>
          <w:highlight w:val="none"/>
        </w:rPr>
        <w:br w:type="page"/>
      </w:r>
    </w:p>
    <w:p w14:paraId="2AA4FE62">
      <w:pPr>
        <w:pStyle w:val="3"/>
        <w:numPr>
          <w:ilvl w:val="0"/>
          <w:numId w:val="4"/>
        </w:numPr>
        <w:rPr>
          <w:rFonts w:hint="eastAsia" w:ascii="宋体" w:hAnsi="宋体" w:cs="宋体"/>
          <w:color w:val="auto"/>
          <w:kern w:val="2"/>
          <w:sz w:val="36"/>
          <w:szCs w:val="36"/>
          <w:highlight w:val="none"/>
        </w:rPr>
      </w:pPr>
      <w:r>
        <w:rPr>
          <w:rFonts w:hint="eastAsia" w:ascii="宋体" w:hAnsi="宋体" w:cs="宋体"/>
          <w:color w:val="auto"/>
          <w:kern w:val="2"/>
          <w:sz w:val="36"/>
          <w:szCs w:val="36"/>
          <w:highlight w:val="none"/>
        </w:rPr>
        <w:t>合同条款及格式</w:t>
      </w:r>
      <w:bookmarkEnd w:id="51"/>
    </w:p>
    <w:p w14:paraId="4151D0FE">
      <w:pPr>
        <w:rPr>
          <w:rFonts w:ascii="宋体" w:hAnsi="宋体" w:cs="宋体"/>
          <w:color w:val="auto"/>
          <w:highlight w:val="none"/>
        </w:rPr>
      </w:pPr>
    </w:p>
    <w:p w14:paraId="5BDE4978">
      <w:pPr>
        <w:pStyle w:val="2"/>
        <w:jc w:val="center"/>
        <w:rPr>
          <w:rFonts w:hAnsi="宋体"/>
          <w:color w:val="auto"/>
          <w:highlight w:val="none"/>
        </w:rPr>
      </w:pPr>
    </w:p>
    <w:p w14:paraId="7ED5B0E4">
      <w:pPr>
        <w:pStyle w:val="2"/>
        <w:jc w:val="center"/>
        <w:rPr>
          <w:rFonts w:hAnsi="宋体"/>
          <w:color w:val="auto"/>
          <w:highlight w:val="none"/>
        </w:rPr>
      </w:pPr>
      <w:r>
        <w:rPr>
          <w:rFonts w:hint="eastAsia" w:hAnsi="宋体"/>
          <w:color w:val="auto"/>
          <w:highlight w:val="none"/>
          <w:lang w:val="zh-CN"/>
        </w:rPr>
        <w:t>（具体以甲乙双方实际签订为准）</w:t>
      </w:r>
    </w:p>
    <w:p w14:paraId="6F4EA323">
      <w:pPr>
        <w:pStyle w:val="2"/>
        <w:rPr>
          <w:rFonts w:hAnsi="宋体"/>
          <w:color w:val="auto"/>
          <w:highlight w:val="none"/>
        </w:rPr>
      </w:pPr>
    </w:p>
    <w:p w14:paraId="7824333C">
      <w:pPr>
        <w:pStyle w:val="2"/>
        <w:rPr>
          <w:rFonts w:hAnsi="宋体"/>
          <w:color w:val="auto"/>
          <w:highlight w:val="none"/>
        </w:rPr>
      </w:pPr>
    </w:p>
    <w:p w14:paraId="55ABF0F3">
      <w:pPr>
        <w:pStyle w:val="2"/>
        <w:rPr>
          <w:rFonts w:hAnsi="宋体"/>
          <w:color w:val="auto"/>
          <w:highlight w:val="none"/>
        </w:rPr>
      </w:pPr>
    </w:p>
    <w:p w14:paraId="70EDD680">
      <w:pPr>
        <w:pStyle w:val="2"/>
        <w:rPr>
          <w:rFonts w:hAnsi="宋体"/>
          <w:color w:val="auto"/>
          <w:highlight w:val="none"/>
        </w:rPr>
      </w:pPr>
    </w:p>
    <w:p w14:paraId="7161A521">
      <w:pPr>
        <w:pStyle w:val="2"/>
        <w:rPr>
          <w:rFonts w:hAnsi="宋体"/>
          <w:color w:val="auto"/>
          <w:highlight w:val="none"/>
        </w:rPr>
      </w:pPr>
    </w:p>
    <w:p w14:paraId="7A8CA35D">
      <w:pPr>
        <w:pStyle w:val="2"/>
        <w:rPr>
          <w:rFonts w:hAnsi="宋体"/>
          <w:color w:val="auto"/>
          <w:highlight w:val="none"/>
        </w:rPr>
      </w:pPr>
    </w:p>
    <w:p w14:paraId="3FE695E2">
      <w:pPr>
        <w:pStyle w:val="2"/>
        <w:rPr>
          <w:rFonts w:hAnsi="宋体"/>
          <w:color w:val="auto"/>
          <w:highlight w:val="none"/>
        </w:rPr>
      </w:pPr>
    </w:p>
    <w:p w14:paraId="07ECE5E9">
      <w:pPr>
        <w:pStyle w:val="2"/>
        <w:rPr>
          <w:rFonts w:hAnsi="宋体"/>
          <w:color w:val="auto"/>
          <w:highlight w:val="none"/>
        </w:rPr>
      </w:pPr>
    </w:p>
    <w:p w14:paraId="732423C6">
      <w:pPr>
        <w:pStyle w:val="2"/>
        <w:rPr>
          <w:rFonts w:hAnsi="宋体"/>
          <w:color w:val="auto"/>
          <w:highlight w:val="none"/>
        </w:rPr>
      </w:pPr>
    </w:p>
    <w:p w14:paraId="58DA7BF8">
      <w:pPr>
        <w:pStyle w:val="2"/>
        <w:rPr>
          <w:rFonts w:hAnsi="宋体"/>
          <w:color w:val="auto"/>
          <w:highlight w:val="none"/>
        </w:rPr>
      </w:pPr>
    </w:p>
    <w:p w14:paraId="38DAC61D">
      <w:pPr>
        <w:pStyle w:val="2"/>
        <w:rPr>
          <w:rFonts w:hAnsi="宋体"/>
          <w:color w:val="auto"/>
          <w:highlight w:val="none"/>
        </w:rPr>
      </w:pPr>
    </w:p>
    <w:p w14:paraId="28F527F0">
      <w:pPr>
        <w:pStyle w:val="2"/>
        <w:rPr>
          <w:rFonts w:hAnsi="宋体"/>
          <w:color w:val="auto"/>
          <w:highlight w:val="none"/>
        </w:rPr>
      </w:pPr>
    </w:p>
    <w:p w14:paraId="075C44CC">
      <w:pPr>
        <w:pStyle w:val="2"/>
        <w:rPr>
          <w:rFonts w:hAnsi="宋体"/>
          <w:color w:val="auto"/>
          <w:highlight w:val="none"/>
        </w:rPr>
      </w:pPr>
    </w:p>
    <w:p w14:paraId="31893229">
      <w:pPr>
        <w:pStyle w:val="2"/>
        <w:rPr>
          <w:rFonts w:hAnsi="宋体"/>
          <w:color w:val="auto"/>
          <w:highlight w:val="none"/>
        </w:rPr>
      </w:pPr>
    </w:p>
    <w:p w14:paraId="2A8C7CDF">
      <w:pPr>
        <w:pStyle w:val="2"/>
        <w:rPr>
          <w:rFonts w:hAnsi="宋体"/>
          <w:color w:val="auto"/>
          <w:highlight w:val="none"/>
        </w:rPr>
      </w:pPr>
    </w:p>
    <w:p w14:paraId="3A5D8B60">
      <w:pPr>
        <w:pStyle w:val="2"/>
        <w:rPr>
          <w:rFonts w:hAnsi="宋体"/>
          <w:color w:val="auto"/>
          <w:highlight w:val="none"/>
        </w:rPr>
      </w:pPr>
    </w:p>
    <w:p w14:paraId="1A8DFD3C">
      <w:pPr>
        <w:rPr>
          <w:color w:val="auto"/>
          <w:highlight w:val="none"/>
        </w:rPr>
      </w:pPr>
      <w:r>
        <w:rPr>
          <w:rFonts w:hAnsi="宋体"/>
          <w:color w:val="auto"/>
          <w:highlight w:val="none"/>
        </w:rPr>
        <w:br w:type="page"/>
      </w:r>
    </w:p>
    <w:p w14:paraId="5184CA7D">
      <w:pPr>
        <w:pStyle w:val="3"/>
        <w:numPr>
          <w:ilvl w:val="0"/>
          <w:numId w:val="4"/>
        </w:numPr>
        <w:rPr>
          <w:rFonts w:ascii="宋体" w:hAnsi="宋体" w:cs="宋体"/>
          <w:color w:val="auto"/>
          <w:kern w:val="2"/>
          <w:sz w:val="36"/>
          <w:szCs w:val="36"/>
          <w:highlight w:val="none"/>
        </w:rPr>
      </w:pPr>
      <w:r>
        <w:rPr>
          <w:rFonts w:hint="eastAsia" w:ascii="宋体" w:hAnsi="宋体" w:cs="宋体"/>
          <w:color w:val="auto"/>
          <w:kern w:val="2"/>
          <w:sz w:val="36"/>
          <w:szCs w:val="36"/>
          <w:highlight w:val="none"/>
        </w:rPr>
        <w:t xml:space="preserve"> </w:t>
      </w:r>
      <w:bookmarkStart w:id="52" w:name="_Toc29887"/>
      <w:r>
        <w:rPr>
          <w:rFonts w:hint="eastAsia" w:ascii="宋体" w:hAnsi="宋体" w:cs="宋体"/>
          <w:color w:val="auto"/>
          <w:kern w:val="2"/>
          <w:sz w:val="36"/>
          <w:szCs w:val="36"/>
          <w:highlight w:val="none"/>
        </w:rPr>
        <w:t>技术标准及服务需求</w:t>
      </w:r>
      <w:bookmarkEnd w:id="52"/>
    </w:p>
    <w:bookmarkEnd w:id="45"/>
    <w:bookmarkEnd w:id="46"/>
    <w:bookmarkEnd w:id="47"/>
    <w:bookmarkEnd w:id="48"/>
    <w:bookmarkEnd w:id="49"/>
    <w:bookmarkEnd w:id="50"/>
    <w:p w14:paraId="601AA1E4">
      <w:pPr>
        <w:spacing w:line="360" w:lineRule="auto"/>
        <w:rPr>
          <w:rFonts w:hint="eastAsia" w:ascii="宋体" w:hAnsi="宋体" w:eastAsia="宋体" w:cs="宋体"/>
          <w:b/>
          <w:bCs/>
          <w:color w:val="auto"/>
          <w:sz w:val="24"/>
          <w:szCs w:val="24"/>
          <w:lang w:eastAsia="zh-CN"/>
        </w:rPr>
      </w:pPr>
      <w:bookmarkStart w:id="53" w:name="_Toc10173"/>
      <w:bookmarkStart w:id="54" w:name="_Toc14912"/>
      <w:bookmarkStart w:id="55" w:name="_Toc10416"/>
      <w:bookmarkStart w:id="56" w:name="_Toc7526"/>
      <w:bookmarkStart w:id="57" w:name="_Toc28412"/>
      <w:bookmarkStart w:id="58" w:name="_Toc20642"/>
      <w:bookmarkStart w:id="59" w:name="_Toc13878"/>
      <w:bookmarkStart w:id="60" w:name="_Toc2612"/>
      <w:r>
        <w:rPr>
          <w:rFonts w:hint="eastAsia" w:ascii="宋体" w:hAnsi="宋体" w:eastAsia="宋体" w:cs="宋体"/>
          <w:b/>
          <w:bCs/>
          <w:color w:val="auto"/>
          <w:sz w:val="24"/>
          <w:szCs w:val="24"/>
          <w:lang w:eastAsia="zh-CN"/>
        </w:rPr>
        <w:t>一、项目概括：</w:t>
      </w:r>
    </w:p>
    <w:p w14:paraId="12D98FF3">
      <w:pPr>
        <w:adjustRightInd w:val="0"/>
        <w:snapToGri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项目名称：吉林省体育局运动员商业保险采购项目</w:t>
      </w:r>
      <w:r>
        <w:rPr>
          <w:rFonts w:hint="eastAsia" w:ascii="宋体" w:hAnsi="宋体" w:cs="宋体"/>
          <w:color w:val="auto"/>
          <w:sz w:val="24"/>
          <w:szCs w:val="24"/>
          <w:lang w:eastAsia="zh-CN"/>
        </w:rPr>
        <w:t>（二次）</w:t>
      </w:r>
      <w:r>
        <w:rPr>
          <w:rFonts w:hint="eastAsia" w:ascii="宋体" w:hAnsi="宋体" w:eastAsia="宋体" w:cs="宋体"/>
          <w:color w:val="auto"/>
          <w:sz w:val="24"/>
          <w:szCs w:val="24"/>
        </w:rPr>
        <w:t>；</w:t>
      </w:r>
    </w:p>
    <w:p w14:paraId="58556BD6">
      <w:pPr>
        <w:adjustRightInd w:val="0"/>
        <w:snapToGri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采购内容：运动员商业保险采购；</w:t>
      </w:r>
    </w:p>
    <w:p w14:paraId="37849B0E">
      <w:p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服务期限：签订合同后1年</w:t>
      </w:r>
      <w:r>
        <w:rPr>
          <w:rFonts w:hint="eastAsia" w:ascii="宋体" w:hAnsi="宋体" w:eastAsia="宋体" w:cs="宋体"/>
          <w:color w:val="auto"/>
          <w:sz w:val="24"/>
          <w:szCs w:val="24"/>
          <w:highlight w:val="none"/>
          <w:lang w:val="en-US" w:eastAsia="zh-CN"/>
        </w:rPr>
        <w:t>；</w:t>
      </w:r>
    </w:p>
    <w:p w14:paraId="1F9D5F72">
      <w:pPr>
        <w:adjustRightInd w:val="0"/>
        <w:snapToGri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、采购金额：</w:t>
      </w:r>
      <w:r>
        <w:rPr>
          <w:rFonts w:hint="eastAsia" w:ascii="宋体" w:hAnsi="宋体" w:eastAsia="宋体" w:cs="宋体"/>
          <w:color w:val="auto"/>
          <w:sz w:val="24"/>
          <w:szCs w:val="24"/>
          <w:lang w:val="en-US" w:eastAsia="zh-CN"/>
        </w:rPr>
        <w:t>100</w:t>
      </w:r>
      <w:r>
        <w:rPr>
          <w:rFonts w:hint="eastAsia" w:ascii="宋体" w:hAnsi="宋体" w:eastAsia="宋体" w:cs="宋体"/>
          <w:color w:val="auto"/>
          <w:sz w:val="24"/>
          <w:szCs w:val="24"/>
        </w:rPr>
        <w:t>万元</w:t>
      </w:r>
      <w:r>
        <w:rPr>
          <w:rFonts w:hint="eastAsia" w:ascii="宋体" w:hAnsi="宋体" w:eastAsia="宋体" w:cs="宋体"/>
          <w:color w:val="auto"/>
          <w:sz w:val="24"/>
          <w:szCs w:val="24"/>
          <w:lang w:eastAsia="zh-CN"/>
        </w:rPr>
        <w:t>。</w:t>
      </w:r>
    </w:p>
    <w:p w14:paraId="12CFDBC8">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二、服务内容</w:t>
      </w:r>
    </w:p>
    <w:p w14:paraId="52A6D1A7">
      <w:pPr>
        <w:pStyle w:val="18"/>
        <w:spacing w:before="303" w:line="360" w:lineRule="auto"/>
        <w:ind w:left="143"/>
        <w:outlineLvl w:val="0"/>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（一）</w:t>
      </w:r>
      <w:r>
        <w:rPr>
          <w:rFonts w:hint="eastAsia" w:ascii="宋体" w:hAnsi="宋体" w:eastAsia="宋体" w:cs="宋体"/>
          <w:color w:val="auto"/>
          <w:spacing w:val="-3"/>
          <w:sz w:val="24"/>
          <w:szCs w:val="24"/>
        </w:rPr>
        <w:t>职业类别</w:t>
      </w:r>
    </w:p>
    <w:p w14:paraId="47AFFD75">
      <w:pPr>
        <w:spacing w:line="187" w:lineRule="exact"/>
        <w:rPr>
          <w:rFonts w:hint="eastAsia" w:ascii="宋体" w:hAnsi="宋体" w:eastAsia="宋体" w:cs="宋体"/>
          <w:color w:val="auto"/>
          <w:sz w:val="24"/>
          <w:szCs w:val="24"/>
        </w:rPr>
      </w:pPr>
    </w:p>
    <w:tbl>
      <w:tblPr>
        <w:tblStyle w:val="175"/>
        <w:tblW w:w="8953" w:type="dxa"/>
        <w:tblInd w:w="1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12"/>
        <w:gridCol w:w="4024"/>
        <w:gridCol w:w="3317"/>
      </w:tblGrid>
      <w:tr w14:paraId="4C544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atLeast"/>
        </w:trPr>
        <w:tc>
          <w:tcPr>
            <w:tcW w:w="5636" w:type="dxa"/>
            <w:gridSpan w:val="2"/>
            <w:vAlign w:val="center"/>
          </w:tcPr>
          <w:p w14:paraId="3250E082">
            <w:pPr>
              <w:spacing w:before="171" w:line="222" w:lineRule="auto"/>
              <w:jc w:val="center"/>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运动项目</w:t>
            </w:r>
          </w:p>
        </w:tc>
        <w:tc>
          <w:tcPr>
            <w:tcW w:w="3317" w:type="dxa"/>
            <w:vAlign w:val="center"/>
          </w:tcPr>
          <w:p w14:paraId="329F68AC">
            <w:pPr>
              <w:spacing w:before="171" w:line="221" w:lineRule="auto"/>
              <w:jc w:val="center"/>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职业表中职业类别</w:t>
            </w:r>
          </w:p>
        </w:tc>
      </w:tr>
      <w:tr w14:paraId="74BC7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612" w:type="dxa"/>
            <w:vMerge w:val="restart"/>
            <w:tcBorders>
              <w:bottom w:val="nil"/>
            </w:tcBorders>
            <w:vAlign w:val="top"/>
          </w:tcPr>
          <w:p w14:paraId="2EFFD910">
            <w:pPr>
              <w:spacing w:line="259" w:lineRule="auto"/>
              <w:rPr>
                <w:rFonts w:hint="eastAsia" w:ascii="宋体" w:hAnsi="宋体" w:eastAsia="宋体" w:cs="宋体"/>
                <w:color w:val="auto"/>
                <w:sz w:val="24"/>
                <w:szCs w:val="24"/>
              </w:rPr>
            </w:pPr>
          </w:p>
          <w:p w14:paraId="4BFA0EB9">
            <w:pPr>
              <w:spacing w:line="259" w:lineRule="auto"/>
              <w:rPr>
                <w:rFonts w:hint="eastAsia" w:ascii="宋体" w:hAnsi="宋体" w:eastAsia="宋体" w:cs="宋体"/>
                <w:color w:val="auto"/>
                <w:sz w:val="24"/>
                <w:szCs w:val="24"/>
              </w:rPr>
            </w:pPr>
          </w:p>
          <w:p w14:paraId="6B2B4A43">
            <w:pPr>
              <w:spacing w:before="78" w:line="225" w:lineRule="auto"/>
              <w:ind w:left="573"/>
              <w:rPr>
                <w:rFonts w:hint="eastAsia" w:ascii="宋体" w:hAnsi="宋体" w:eastAsia="宋体" w:cs="宋体"/>
                <w:color w:val="auto"/>
                <w:sz w:val="24"/>
                <w:szCs w:val="24"/>
              </w:rPr>
            </w:pPr>
            <w:r>
              <w:rPr>
                <w:rFonts w:hint="eastAsia" w:ascii="宋体" w:hAnsi="宋体" w:eastAsia="宋体" w:cs="宋体"/>
                <w:color w:val="auto"/>
                <w:spacing w:val="-9"/>
                <w:sz w:val="24"/>
                <w:szCs w:val="24"/>
              </w:rPr>
              <w:t>冰上</w:t>
            </w:r>
          </w:p>
        </w:tc>
        <w:tc>
          <w:tcPr>
            <w:tcW w:w="4024" w:type="dxa"/>
            <w:vAlign w:val="center"/>
          </w:tcPr>
          <w:p w14:paraId="27ED22DF">
            <w:pPr>
              <w:spacing w:before="52" w:line="219" w:lineRule="auto"/>
              <w:jc w:val="center"/>
              <w:rPr>
                <w:rFonts w:hint="eastAsia" w:ascii="宋体" w:hAnsi="宋体" w:eastAsia="宋体" w:cs="宋体"/>
                <w:color w:val="auto"/>
                <w:sz w:val="24"/>
                <w:szCs w:val="24"/>
              </w:rPr>
            </w:pPr>
            <w:r>
              <w:rPr>
                <w:rFonts w:hint="eastAsia" w:ascii="宋体" w:hAnsi="宋体" w:eastAsia="宋体" w:cs="宋体"/>
                <w:color w:val="auto"/>
                <w:spacing w:val="-5"/>
                <w:sz w:val="24"/>
                <w:szCs w:val="24"/>
              </w:rPr>
              <w:t>短道速滑</w:t>
            </w:r>
          </w:p>
        </w:tc>
        <w:tc>
          <w:tcPr>
            <w:tcW w:w="3317" w:type="dxa"/>
            <w:vAlign w:val="center"/>
          </w:tcPr>
          <w:p w14:paraId="55ADF23C">
            <w:pPr>
              <w:spacing w:before="52" w:line="219" w:lineRule="auto"/>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3类</w:t>
            </w:r>
          </w:p>
        </w:tc>
      </w:tr>
      <w:tr w14:paraId="60303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1612" w:type="dxa"/>
            <w:vMerge w:val="continue"/>
            <w:tcBorders>
              <w:top w:val="nil"/>
              <w:bottom w:val="nil"/>
            </w:tcBorders>
            <w:vAlign w:val="top"/>
          </w:tcPr>
          <w:p w14:paraId="4F6DD4D7">
            <w:pPr>
              <w:rPr>
                <w:rFonts w:hint="eastAsia" w:ascii="宋体" w:hAnsi="宋体" w:eastAsia="宋体" w:cs="宋体"/>
                <w:color w:val="auto"/>
                <w:sz w:val="24"/>
                <w:szCs w:val="24"/>
              </w:rPr>
            </w:pPr>
          </w:p>
        </w:tc>
        <w:tc>
          <w:tcPr>
            <w:tcW w:w="4024" w:type="dxa"/>
            <w:vAlign w:val="center"/>
          </w:tcPr>
          <w:p w14:paraId="5C086E81">
            <w:pPr>
              <w:spacing w:before="54" w:line="217"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速度滑冰</w:t>
            </w:r>
          </w:p>
        </w:tc>
        <w:tc>
          <w:tcPr>
            <w:tcW w:w="3317" w:type="dxa"/>
            <w:vAlign w:val="center"/>
          </w:tcPr>
          <w:p w14:paraId="62BAA510">
            <w:pPr>
              <w:spacing w:before="54" w:line="217" w:lineRule="auto"/>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3类</w:t>
            </w:r>
          </w:p>
        </w:tc>
      </w:tr>
      <w:tr w14:paraId="5B5A4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trPr>
        <w:tc>
          <w:tcPr>
            <w:tcW w:w="1612" w:type="dxa"/>
            <w:vMerge w:val="continue"/>
            <w:tcBorders>
              <w:top w:val="nil"/>
              <w:bottom w:val="nil"/>
            </w:tcBorders>
            <w:vAlign w:val="top"/>
          </w:tcPr>
          <w:p w14:paraId="38DB8B25">
            <w:pPr>
              <w:rPr>
                <w:rFonts w:hint="eastAsia" w:ascii="宋体" w:hAnsi="宋体" w:eastAsia="宋体" w:cs="宋体"/>
                <w:color w:val="auto"/>
                <w:sz w:val="24"/>
                <w:szCs w:val="24"/>
              </w:rPr>
            </w:pPr>
          </w:p>
        </w:tc>
        <w:tc>
          <w:tcPr>
            <w:tcW w:w="4024" w:type="dxa"/>
            <w:vAlign w:val="center"/>
          </w:tcPr>
          <w:p w14:paraId="319E5A68">
            <w:pPr>
              <w:spacing w:before="58" w:line="215" w:lineRule="auto"/>
              <w:jc w:val="center"/>
              <w:rPr>
                <w:rFonts w:hint="eastAsia" w:ascii="宋体" w:hAnsi="宋体" w:eastAsia="宋体" w:cs="宋体"/>
                <w:color w:val="auto"/>
                <w:sz w:val="24"/>
                <w:szCs w:val="24"/>
              </w:rPr>
            </w:pPr>
            <w:r>
              <w:rPr>
                <w:rFonts w:hint="eastAsia" w:ascii="宋体" w:hAnsi="宋体" w:eastAsia="宋体" w:cs="宋体"/>
                <w:color w:val="auto"/>
                <w:spacing w:val="-5"/>
                <w:sz w:val="24"/>
                <w:szCs w:val="24"/>
              </w:rPr>
              <w:t>花样滑冰</w:t>
            </w:r>
          </w:p>
        </w:tc>
        <w:tc>
          <w:tcPr>
            <w:tcW w:w="3317" w:type="dxa"/>
            <w:vAlign w:val="center"/>
          </w:tcPr>
          <w:p w14:paraId="1E2A9C7A">
            <w:pPr>
              <w:spacing w:before="58" w:line="215" w:lineRule="auto"/>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3类</w:t>
            </w:r>
          </w:p>
        </w:tc>
      </w:tr>
      <w:tr w14:paraId="352EC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1612" w:type="dxa"/>
            <w:vMerge w:val="continue"/>
            <w:tcBorders>
              <w:top w:val="nil"/>
            </w:tcBorders>
            <w:vAlign w:val="top"/>
          </w:tcPr>
          <w:p w14:paraId="721FDAE4">
            <w:pPr>
              <w:rPr>
                <w:rFonts w:hint="eastAsia" w:ascii="宋体" w:hAnsi="宋体" w:eastAsia="宋体" w:cs="宋体"/>
                <w:color w:val="auto"/>
                <w:sz w:val="24"/>
                <w:szCs w:val="24"/>
              </w:rPr>
            </w:pPr>
          </w:p>
        </w:tc>
        <w:tc>
          <w:tcPr>
            <w:tcW w:w="4024" w:type="dxa"/>
            <w:vAlign w:val="center"/>
          </w:tcPr>
          <w:p w14:paraId="34D5397A">
            <w:pPr>
              <w:spacing w:before="60" w:line="219" w:lineRule="auto"/>
              <w:jc w:val="center"/>
              <w:rPr>
                <w:rFonts w:hint="eastAsia" w:ascii="宋体" w:hAnsi="宋体" w:eastAsia="宋体" w:cs="宋体"/>
                <w:color w:val="auto"/>
                <w:sz w:val="24"/>
                <w:szCs w:val="24"/>
              </w:rPr>
            </w:pPr>
            <w:r>
              <w:rPr>
                <w:rFonts w:hint="eastAsia" w:ascii="宋体" w:hAnsi="宋体" w:eastAsia="宋体" w:cs="宋体"/>
                <w:color w:val="auto"/>
                <w:spacing w:val="-9"/>
                <w:sz w:val="24"/>
                <w:szCs w:val="24"/>
              </w:rPr>
              <w:t>冰壶</w:t>
            </w:r>
          </w:p>
        </w:tc>
        <w:tc>
          <w:tcPr>
            <w:tcW w:w="3317" w:type="dxa"/>
            <w:vAlign w:val="center"/>
          </w:tcPr>
          <w:p w14:paraId="43879737">
            <w:pPr>
              <w:spacing w:before="60" w:line="219" w:lineRule="auto"/>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rPr>
              <w:t>类</w:t>
            </w:r>
          </w:p>
        </w:tc>
      </w:tr>
      <w:tr w14:paraId="684CE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1612" w:type="dxa"/>
            <w:vMerge w:val="restart"/>
            <w:tcBorders>
              <w:top w:val="nil"/>
            </w:tcBorders>
            <w:vAlign w:val="top"/>
          </w:tcPr>
          <w:p w14:paraId="08114D1B">
            <w:pPr>
              <w:spacing w:line="246" w:lineRule="auto"/>
              <w:rPr>
                <w:rFonts w:hint="eastAsia" w:ascii="宋体" w:hAnsi="宋体" w:eastAsia="宋体" w:cs="宋体"/>
                <w:color w:val="auto"/>
                <w:sz w:val="24"/>
                <w:szCs w:val="24"/>
              </w:rPr>
            </w:pPr>
          </w:p>
          <w:p w14:paraId="684951D4">
            <w:pPr>
              <w:spacing w:line="246" w:lineRule="auto"/>
              <w:rPr>
                <w:rFonts w:hint="eastAsia" w:ascii="宋体" w:hAnsi="宋体" w:eastAsia="宋体" w:cs="宋体"/>
                <w:color w:val="auto"/>
                <w:sz w:val="24"/>
                <w:szCs w:val="24"/>
              </w:rPr>
            </w:pPr>
          </w:p>
          <w:p w14:paraId="4BDF0C03">
            <w:pPr>
              <w:spacing w:line="246" w:lineRule="auto"/>
              <w:rPr>
                <w:rFonts w:hint="eastAsia" w:ascii="宋体" w:hAnsi="宋体" w:eastAsia="宋体" w:cs="宋体"/>
                <w:color w:val="auto"/>
                <w:sz w:val="24"/>
                <w:szCs w:val="24"/>
              </w:rPr>
            </w:pPr>
          </w:p>
          <w:p w14:paraId="655A8DFB">
            <w:pPr>
              <w:spacing w:line="246" w:lineRule="auto"/>
              <w:rPr>
                <w:rFonts w:hint="eastAsia" w:ascii="宋体" w:hAnsi="宋体" w:eastAsia="宋体" w:cs="宋体"/>
                <w:color w:val="auto"/>
                <w:sz w:val="24"/>
                <w:szCs w:val="24"/>
              </w:rPr>
            </w:pPr>
          </w:p>
          <w:p w14:paraId="1FBFA65D">
            <w:pPr>
              <w:spacing w:line="247" w:lineRule="auto"/>
              <w:rPr>
                <w:rFonts w:hint="eastAsia" w:ascii="宋体" w:hAnsi="宋体" w:eastAsia="宋体" w:cs="宋体"/>
                <w:color w:val="auto"/>
                <w:sz w:val="24"/>
                <w:szCs w:val="24"/>
              </w:rPr>
            </w:pPr>
          </w:p>
          <w:p w14:paraId="6F9BF117">
            <w:pPr>
              <w:spacing w:line="247" w:lineRule="auto"/>
              <w:rPr>
                <w:rFonts w:hint="eastAsia" w:ascii="宋体" w:hAnsi="宋体" w:eastAsia="宋体" w:cs="宋体"/>
                <w:color w:val="auto"/>
                <w:sz w:val="24"/>
                <w:szCs w:val="24"/>
              </w:rPr>
            </w:pPr>
          </w:p>
          <w:p w14:paraId="2C0C7D17">
            <w:pPr>
              <w:spacing w:line="247" w:lineRule="auto"/>
              <w:rPr>
                <w:rFonts w:hint="eastAsia" w:ascii="宋体" w:hAnsi="宋体" w:eastAsia="宋体" w:cs="宋体"/>
                <w:color w:val="auto"/>
                <w:sz w:val="24"/>
                <w:szCs w:val="24"/>
              </w:rPr>
            </w:pPr>
          </w:p>
          <w:p w14:paraId="45A0AE6E">
            <w:pPr>
              <w:spacing w:line="247" w:lineRule="auto"/>
              <w:rPr>
                <w:rFonts w:hint="eastAsia" w:ascii="宋体" w:hAnsi="宋体" w:eastAsia="宋体" w:cs="宋体"/>
                <w:color w:val="auto"/>
                <w:sz w:val="24"/>
                <w:szCs w:val="24"/>
              </w:rPr>
            </w:pPr>
          </w:p>
          <w:p w14:paraId="7AA3F18D">
            <w:pPr>
              <w:spacing w:before="78" w:line="224" w:lineRule="auto"/>
              <w:ind w:left="578"/>
              <w:rPr>
                <w:rFonts w:hint="eastAsia" w:ascii="宋体" w:hAnsi="宋体" w:eastAsia="宋体" w:cs="宋体"/>
                <w:color w:val="auto"/>
                <w:sz w:val="24"/>
                <w:szCs w:val="24"/>
              </w:rPr>
            </w:pPr>
            <w:r>
              <w:rPr>
                <w:rFonts w:hint="eastAsia" w:ascii="宋体" w:hAnsi="宋体" w:eastAsia="宋体" w:cs="宋体"/>
                <w:color w:val="auto"/>
                <w:spacing w:val="-12"/>
                <w:sz w:val="24"/>
                <w:szCs w:val="24"/>
              </w:rPr>
              <w:t>雪上</w:t>
            </w:r>
          </w:p>
        </w:tc>
        <w:tc>
          <w:tcPr>
            <w:tcW w:w="4024" w:type="dxa"/>
            <w:tcBorders>
              <w:top w:val="nil"/>
            </w:tcBorders>
            <w:shd w:val="clear" w:color="auto" w:fill="auto"/>
            <w:vAlign w:val="center"/>
          </w:tcPr>
          <w:p w14:paraId="562D8C61">
            <w:pPr>
              <w:spacing w:before="56" w:line="217"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北欧两项</w:t>
            </w:r>
          </w:p>
        </w:tc>
        <w:tc>
          <w:tcPr>
            <w:tcW w:w="3317" w:type="dxa"/>
            <w:tcBorders>
              <w:top w:val="nil"/>
            </w:tcBorders>
            <w:shd w:val="clear" w:color="auto" w:fill="auto"/>
            <w:vAlign w:val="center"/>
          </w:tcPr>
          <w:p w14:paraId="79A47F7A">
            <w:pPr>
              <w:spacing w:before="41" w:line="224"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r>
      <w:tr w14:paraId="26EEA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1612" w:type="dxa"/>
            <w:vMerge w:val="continue"/>
            <w:vAlign w:val="top"/>
          </w:tcPr>
          <w:p w14:paraId="753A464F">
            <w:pPr>
              <w:spacing w:before="78" w:line="224" w:lineRule="auto"/>
              <w:ind w:left="578"/>
              <w:rPr>
                <w:rFonts w:hint="eastAsia" w:ascii="宋体" w:hAnsi="宋体" w:eastAsia="宋体" w:cs="宋体"/>
                <w:color w:val="auto"/>
                <w:spacing w:val="-12"/>
                <w:sz w:val="24"/>
                <w:szCs w:val="24"/>
              </w:rPr>
            </w:pPr>
          </w:p>
        </w:tc>
        <w:tc>
          <w:tcPr>
            <w:tcW w:w="4024" w:type="dxa"/>
            <w:tcBorders>
              <w:top w:val="nil"/>
            </w:tcBorders>
            <w:shd w:val="clear" w:color="auto" w:fill="auto"/>
            <w:vAlign w:val="center"/>
          </w:tcPr>
          <w:p w14:paraId="5D2959B6">
            <w:pPr>
              <w:spacing w:before="56" w:line="217"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7"/>
                <w:sz w:val="24"/>
                <w:szCs w:val="24"/>
                <w:highlight w:val="none"/>
                <w:lang w:eastAsia="zh-CN"/>
              </w:rPr>
              <w:t>冬季</w:t>
            </w:r>
            <w:r>
              <w:rPr>
                <w:rFonts w:hint="eastAsia" w:ascii="宋体" w:hAnsi="宋体" w:eastAsia="宋体" w:cs="宋体"/>
                <w:color w:val="auto"/>
                <w:spacing w:val="-7"/>
                <w:sz w:val="24"/>
                <w:szCs w:val="24"/>
                <w:highlight w:val="none"/>
              </w:rPr>
              <w:t>两项</w:t>
            </w:r>
          </w:p>
        </w:tc>
        <w:tc>
          <w:tcPr>
            <w:tcW w:w="3317" w:type="dxa"/>
            <w:tcBorders>
              <w:top w:val="nil"/>
            </w:tcBorders>
            <w:shd w:val="clear" w:color="auto" w:fill="auto"/>
            <w:vAlign w:val="center"/>
          </w:tcPr>
          <w:p w14:paraId="204B93A5">
            <w:pPr>
              <w:spacing w:before="41" w:line="2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S类</w:t>
            </w:r>
          </w:p>
        </w:tc>
      </w:tr>
      <w:tr w14:paraId="729D9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1612" w:type="dxa"/>
            <w:vMerge w:val="continue"/>
            <w:vAlign w:val="top"/>
          </w:tcPr>
          <w:p w14:paraId="4D6C0A5C">
            <w:pPr>
              <w:spacing w:before="78" w:line="224" w:lineRule="auto"/>
              <w:ind w:left="578"/>
              <w:rPr>
                <w:rFonts w:hint="eastAsia" w:ascii="宋体" w:hAnsi="宋体" w:eastAsia="宋体" w:cs="宋体"/>
                <w:color w:val="auto"/>
                <w:spacing w:val="-12"/>
                <w:sz w:val="24"/>
                <w:szCs w:val="24"/>
              </w:rPr>
            </w:pPr>
          </w:p>
        </w:tc>
        <w:tc>
          <w:tcPr>
            <w:tcW w:w="4024" w:type="dxa"/>
            <w:tcBorders>
              <w:top w:val="nil"/>
            </w:tcBorders>
            <w:shd w:val="clear" w:color="auto" w:fill="auto"/>
            <w:vAlign w:val="center"/>
          </w:tcPr>
          <w:p w14:paraId="45087A05">
            <w:pPr>
              <w:spacing w:before="58" w:line="216"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高山滑雪</w:t>
            </w:r>
          </w:p>
        </w:tc>
        <w:tc>
          <w:tcPr>
            <w:tcW w:w="3317" w:type="dxa"/>
            <w:tcBorders>
              <w:top w:val="nil"/>
            </w:tcBorders>
            <w:shd w:val="clear" w:color="auto" w:fill="auto"/>
            <w:vAlign w:val="center"/>
          </w:tcPr>
          <w:p w14:paraId="22DBFB70">
            <w:pPr>
              <w:spacing w:before="41" w:line="224"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r>
      <w:tr w14:paraId="68CBC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1612" w:type="dxa"/>
            <w:vMerge w:val="continue"/>
            <w:vAlign w:val="top"/>
          </w:tcPr>
          <w:p w14:paraId="3D9E60A5">
            <w:pPr>
              <w:spacing w:before="78" w:line="224" w:lineRule="auto"/>
              <w:ind w:left="578"/>
              <w:rPr>
                <w:rFonts w:hint="eastAsia" w:ascii="宋体" w:hAnsi="宋体" w:eastAsia="宋体" w:cs="宋体"/>
                <w:color w:val="auto"/>
                <w:spacing w:val="-12"/>
                <w:sz w:val="24"/>
                <w:szCs w:val="24"/>
              </w:rPr>
            </w:pPr>
          </w:p>
        </w:tc>
        <w:tc>
          <w:tcPr>
            <w:tcW w:w="4024" w:type="dxa"/>
            <w:tcBorders>
              <w:top w:val="nil"/>
            </w:tcBorders>
            <w:shd w:val="clear" w:color="auto" w:fill="auto"/>
            <w:vAlign w:val="center"/>
          </w:tcPr>
          <w:p w14:paraId="6AF72831">
            <w:pPr>
              <w:spacing w:before="58" w:line="216"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7"/>
                <w:sz w:val="24"/>
                <w:szCs w:val="24"/>
                <w:highlight w:val="none"/>
              </w:rPr>
              <w:t>滑雪</w:t>
            </w:r>
            <w:r>
              <w:rPr>
                <w:rFonts w:hint="eastAsia" w:ascii="宋体" w:hAnsi="宋体" w:eastAsia="宋体" w:cs="宋体"/>
                <w:color w:val="auto"/>
                <w:spacing w:val="-15"/>
                <w:sz w:val="24"/>
                <w:szCs w:val="24"/>
                <w:highlight w:val="none"/>
                <w:lang w:val="en-US" w:eastAsia="zh-CN"/>
              </w:rPr>
              <w:t>登山</w:t>
            </w:r>
          </w:p>
        </w:tc>
        <w:tc>
          <w:tcPr>
            <w:tcW w:w="3317" w:type="dxa"/>
            <w:tcBorders>
              <w:top w:val="nil"/>
            </w:tcBorders>
            <w:shd w:val="clear" w:color="auto" w:fill="auto"/>
            <w:vAlign w:val="center"/>
          </w:tcPr>
          <w:p w14:paraId="5ED5AAC3">
            <w:pPr>
              <w:spacing w:before="41" w:line="2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S类</w:t>
            </w:r>
          </w:p>
        </w:tc>
      </w:tr>
      <w:tr w14:paraId="28939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1612" w:type="dxa"/>
            <w:vMerge w:val="continue"/>
            <w:vAlign w:val="top"/>
          </w:tcPr>
          <w:p w14:paraId="60449DA5">
            <w:pPr>
              <w:spacing w:before="78" w:line="224" w:lineRule="auto"/>
              <w:ind w:left="578"/>
              <w:rPr>
                <w:rFonts w:hint="eastAsia" w:ascii="宋体" w:hAnsi="宋体" w:eastAsia="宋体" w:cs="宋体"/>
                <w:color w:val="auto"/>
                <w:spacing w:val="-12"/>
                <w:sz w:val="24"/>
                <w:szCs w:val="24"/>
              </w:rPr>
            </w:pPr>
          </w:p>
        </w:tc>
        <w:tc>
          <w:tcPr>
            <w:tcW w:w="4024" w:type="dxa"/>
            <w:tcBorders>
              <w:top w:val="nil"/>
            </w:tcBorders>
            <w:shd w:val="clear" w:color="auto" w:fill="auto"/>
            <w:vAlign w:val="center"/>
          </w:tcPr>
          <w:p w14:paraId="422C1336">
            <w:pPr>
              <w:spacing w:before="48" w:line="221"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4"/>
                <w:sz w:val="24"/>
                <w:szCs w:val="24"/>
              </w:rPr>
              <w:t>跳台滑雪</w:t>
            </w:r>
          </w:p>
        </w:tc>
        <w:tc>
          <w:tcPr>
            <w:tcW w:w="3317" w:type="dxa"/>
            <w:tcBorders>
              <w:top w:val="nil"/>
            </w:tcBorders>
            <w:shd w:val="clear" w:color="auto" w:fill="auto"/>
            <w:vAlign w:val="center"/>
          </w:tcPr>
          <w:p w14:paraId="0491C433">
            <w:pPr>
              <w:spacing w:before="41" w:line="224"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r>
      <w:tr w14:paraId="7FB13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1612" w:type="dxa"/>
            <w:vMerge w:val="continue"/>
            <w:vAlign w:val="top"/>
          </w:tcPr>
          <w:p w14:paraId="41C2478A">
            <w:pPr>
              <w:spacing w:before="78" w:line="224" w:lineRule="auto"/>
              <w:ind w:left="578"/>
              <w:rPr>
                <w:rFonts w:hint="eastAsia" w:ascii="宋体" w:hAnsi="宋体" w:eastAsia="宋体" w:cs="宋体"/>
                <w:color w:val="auto"/>
                <w:spacing w:val="-12"/>
                <w:sz w:val="24"/>
                <w:szCs w:val="24"/>
              </w:rPr>
            </w:pPr>
          </w:p>
        </w:tc>
        <w:tc>
          <w:tcPr>
            <w:tcW w:w="4024" w:type="dxa"/>
            <w:tcBorders>
              <w:top w:val="nil"/>
            </w:tcBorders>
            <w:shd w:val="clear" w:color="auto" w:fill="auto"/>
            <w:vAlign w:val="center"/>
          </w:tcPr>
          <w:p w14:paraId="6D5200C9">
            <w:pPr>
              <w:spacing w:before="49" w:line="222"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4"/>
                <w:sz w:val="24"/>
                <w:szCs w:val="24"/>
              </w:rPr>
              <w:t>越野滑雪</w:t>
            </w:r>
          </w:p>
        </w:tc>
        <w:tc>
          <w:tcPr>
            <w:tcW w:w="3317" w:type="dxa"/>
            <w:tcBorders>
              <w:top w:val="nil"/>
            </w:tcBorders>
            <w:shd w:val="clear" w:color="auto" w:fill="auto"/>
            <w:vAlign w:val="center"/>
          </w:tcPr>
          <w:p w14:paraId="338167AF">
            <w:pPr>
              <w:spacing w:before="41" w:line="224"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r>
      <w:tr w14:paraId="00BCB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612" w:type="dxa"/>
            <w:vMerge w:val="continue"/>
            <w:vAlign w:val="top"/>
          </w:tcPr>
          <w:p w14:paraId="380E1107">
            <w:pPr>
              <w:spacing w:before="78" w:line="224" w:lineRule="auto"/>
              <w:ind w:left="578"/>
              <w:rPr>
                <w:rFonts w:hint="eastAsia" w:ascii="宋体" w:hAnsi="宋体" w:eastAsia="宋体" w:cs="宋体"/>
                <w:color w:val="auto"/>
                <w:spacing w:val="-12"/>
                <w:sz w:val="24"/>
                <w:szCs w:val="24"/>
              </w:rPr>
            </w:pPr>
          </w:p>
        </w:tc>
        <w:tc>
          <w:tcPr>
            <w:tcW w:w="4024" w:type="dxa"/>
            <w:tcBorders>
              <w:top w:val="nil"/>
            </w:tcBorders>
            <w:shd w:val="clear" w:color="auto" w:fill="auto"/>
            <w:vAlign w:val="center"/>
          </w:tcPr>
          <w:p w14:paraId="385C1132">
            <w:pPr>
              <w:spacing w:before="49" w:line="222"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5"/>
                <w:sz w:val="24"/>
                <w:szCs w:val="24"/>
                <w:highlight w:val="none"/>
                <w:lang w:eastAsia="zh-CN"/>
              </w:rPr>
              <w:t>雪橇</w:t>
            </w:r>
          </w:p>
        </w:tc>
        <w:tc>
          <w:tcPr>
            <w:tcW w:w="3317" w:type="dxa"/>
            <w:tcBorders>
              <w:top w:val="nil"/>
            </w:tcBorders>
            <w:shd w:val="clear" w:color="auto" w:fill="auto"/>
            <w:vAlign w:val="center"/>
          </w:tcPr>
          <w:p w14:paraId="7FAF67ED">
            <w:pPr>
              <w:spacing w:before="41" w:line="224"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r>
      <w:tr w14:paraId="3D035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1612" w:type="dxa"/>
            <w:vMerge w:val="continue"/>
            <w:vAlign w:val="top"/>
          </w:tcPr>
          <w:p w14:paraId="7CCCFB1A">
            <w:pPr>
              <w:spacing w:before="78" w:line="224" w:lineRule="auto"/>
              <w:ind w:left="578"/>
              <w:rPr>
                <w:rFonts w:hint="eastAsia" w:ascii="宋体" w:hAnsi="宋体" w:eastAsia="宋体" w:cs="宋体"/>
                <w:color w:val="auto"/>
                <w:spacing w:val="-12"/>
                <w:sz w:val="24"/>
                <w:szCs w:val="24"/>
              </w:rPr>
            </w:pPr>
          </w:p>
        </w:tc>
        <w:tc>
          <w:tcPr>
            <w:tcW w:w="4024" w:type="dxa"/>
            <w:tcBorders>
              <w:top w:val="nil"/>
            </w:tcBorders>
            <w:shd w:val="clear" w:color="auto" w:fill="auto"/>
            <w:vAlign w:val="center"/>
          </w:tcPr>
          <w:p w14:paraId="687533A8">
            <w:pPr>
              <w:spacing w:before="54" w:line="219"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12"/>
                <w:sz w:val="24"/>
                <w:szCs w:val="24"/>
              </w:rPr>
              <w:t>雪车</w:t>
            </w:r>
          </w:p>
        </w:tc>
        <w:tc>
          <w:tcPr>
            <w:tcW w:w="3317" w:type="dxa"/>
            <w:tcBorders>
              <w:top w:val="nil"/>
            </w:tcBorders>
            <w:shd w:val="clear" w:color="auto" w:fill="auto"/>
            <w:vAlign w:val="center"/>
          </w:tcPr>
          <w:p w14:paraId="78EBB837">
            <w:pPr>
              <w:spacing w:before="41" w:line="224" w:lineRule="auto"/>
              <w:jc w:val="center"/>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sz w:val="24"/>
                <w:szCs w:val="24"/>
              </w:rPr>
              <w:t>S类</w:t>
            </w:r>
          </w:p>
        </w:tc>
      </w:tr>
      <w:tr w14:paraId="6F32F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1612" w:type="dxa"/>
            <w:vMerge w:val="continue"/>
            <w:vAlign w:val="top"/>
          </w:tcPr>
          <w:p w14:paraId="226E0661">
            <w:pPr>
              <w:spacing w:before="78" w:line="224" w:lineRule="auto"/>
              <w:ind w:left="578"/>
              <w:rPr>
                <w:rFonts w:hint="eastAsia" w:ascii="宋体" w:hAnsi="宋体" w:eastAsia="宋体" w:cs="宋体"/>
                <w:color w:val="auto"/>
                <w:spacing w:val="-12"/>
                <w:sz w:val="24"/>
                <w:szCs w:val="24"/>
              </w:rPr>
            </w:pPr>
          </w:p>
        </w:tc>
        <w:tc>
          <w:tcPr>
            <w:tcW w:w="4024" w:type="dxa"/>
            <w:tcBorders>
              <w:top w:val="nil"/>
            </w:tcBorders>
            <w:shd w:val="clear" w:color="auto" w:fill="auto"/>
            <w:vAlign w:val="center"/>
          </w:tcPr>
          <w:p w14:paraId="4B48EE71">
            <w:pPr>
              <w:spacing w:before="58" w:line="216"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4"/>
                <w:sz w:val="24"/>
                <w:szCs w:val="24"/>
              </w:rPr>
              <w:t>单板U型场地</w:t>
            </w:r>
          </w:p>
        </w:tc>
        <w:tc>
          <w:tcPr>
            <w:tcW w:w="3317" w:type="dxa"/>
            <w:tcBorders>
              <w:top w:val="nil"/>
            </w:tcBorders>
            <w:shd w:val="clear" w:color="auto" w:fill="auto"/>
            <w:vAlign w:val="center"/>
          </w:tcPr>
          <w:p w14:paraId="67D1B696">
            <w:pPr>
              <w:spacing w:before="42" w:line="224"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r>
      <w:tr w14:paraId="292A6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1612" w:type="dxa"/>
            <w:vMerge w:val="continue"/>
            <w:vAlign w:val="top"/>
          </w:tcPr>
          <w:p w14:paraId="41FC8A1F">
            <w:pPr>
              <w:spacing w:before="78" w:line="224" w:lineRule="auto"/>
              <w:ind w:left="578"/>
              <w:rPr>
                <w:rFonts w:hint="eastAsia" w:ascii="宋体" w:hAnsi="宋体" w:eastAsia="宋体" w:cs="宋体"/>
                <w:color w:val="auto"/>
                <w:spacing w:val="-12"/>
                <w:sz w:val="24"/>
                <w:szCs w:val="24"/>
              </w:rPr>
            </w:pPr>
          </w:p>
        </w:tc>
        <w:tc>
          <w:tcPr>
            <w:tcW w:w="4024" w:type="dxa"/>
            <w:tcBorders>
              <w:top w:val="nil"/>
            </w:tcBorders>
            <w:shd w:val="clear" w:color="auto" w:fill="auto"/>
            <w:vAlign w:val="center"/>
          </w:tcPr>
          <w:p w14:paraId="2F1371FB">
            <w:pPr>
              <w:spacing w:before="58" w:line="216"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eastAsia="zh-CN"/>
              </w:rPr>
              <w:t>单板滑雪障碍追逐</w:t>
            </w:r>
          </w:p>
        </w:tc>
        <w:tc>
          <w:tcPr>
            <w:tcW w:w="3317" w:type="dxa"/>
            <w:tcBorders>
              <w:top w:val="nil"/>
            </w:tcBorders>
            <w:shd w:val="clear" w:color="auto" w:fill="auto"/>
            <w:vAlign w:val="center"/>
          </w:tcPr>
          <w:p w14:paraId="6996C7A3">
            <w:pPr>
              <w:spacing w:before="42" w:line="2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S类</w:t>
            </w:r>
          </w:p>
        </w:tc>
      </w:tr>
      <w:tr w14:paraId="0CD0B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1612" w:type="dxa"/>
            <w:vMerge w:val="continue"/>
            <w:vAlign w:val="top"/>
          </w:tcPr>
          <w:p w14:paraId="3CB8962C">
            <w:pPr>
              <w:spacing w:before="78" w:line="224" w:lineRule="auto"/>
              <w:ind w:left="578"/>
              <w:rPr>
                <w:rFonts w:hint="eastAsia" w:ascii="宋体" w:hAnsi="宋体" w:eastAsia="宋体" w:cs="宋体"/>
                <w:color w:val="auto"/>
                <w:spacing w:val="-12"/>
                <w:sz w:val="24"/>
                <w:szCs w:val="24"/>
              </w:rPr>
            </w:pPr>
          </w:p>
        </w:tc>
        <w:tc>
          <w:tcPr>
            <w:tcW w:w="4024" w:type="dxa"/>
            <w:tcBorders>
              <w:top w:val="nil"/>
            </w:tcBorders>
            <w:shd w:val="clear" w:color="auto" w:fill="auto"/>
            <w:vAlign w:val="center"/>
          </w:tcPr>
          <w:p w14:paraId="2F62780F">
            <w:pPr>
              <w:spacing w:before="51" w:line="221"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5"/>
                <w:sz w:val="24"/>
                <w:szCs w:val="24"/>
              </w:rPr>
              <w:t>自由式大跳台和坡面障碍技巧</w:t>
            </w:r>
          </w:p>
        </w:tc>
        <w:tc>
          <w:tcPr>
            <w:tcW w:w="3317" w:type="dxa"/>
            <w:tcBorders>
              <w:top w:val="nil"/>
            </w:tcBorders>
            <w:shd w:val="clear" w:color="auto" w:fill="auto"/>
            <w:vAlign w:val="center"/>
          </w:tcPr>
          <w:p w14:paraId="29FE3840">
            <w:pPr>
              <w:spacing w:before="42" w:line="224"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r>
      <w:tr w14:paraId="5E13A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1612" w:type="dxa"/>
            <w:vMerge w:val="continue"/>
            <w:vAlign w:val="top"/>
          </w:tcPr>
          <w:p w14:paraId="65031D97">
            <w:pPr>
              <w:spacing w:before="78" w:line="224" w:lineRule="auto"/>
              <w:ind w:left="578"/>
              <w:rPr>
                <w:rFonts w:hint="eastAsia" w:ascii="宋体" w:hAnsi="宋体" w:eastAsia="宋体" w:cs="宋体"/>
                <w:color w:val="auto"/>
                <w:spacing w:val="-12"/>
                <w:sz w:val="24"/>
                <w:szCs w:val="24"/>
              </w:rPr>
            </w:pPr>
          </w:p>
        </w:tc>
        <w:tc>
          <w:tcPr>
            <w:tcW w:w="4024" w:type="dxa"/>
            <w:tcBorders>
              <w:top w:val="nil"/>
            </w:tcBorders>
            <w:shd w:val="clear" w:color="auto" w:fill="auto"/>
            <w:vAlign w:val="center"/>
          </w:tcPr>
          <w:p w14:paraId="31B5066B">
            <w:pPr>
              <w:spacing w:before="50" w:line="222"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9"/>
                <w:sz w:val="24"/>
                <w:szCs w:val="24"/>
              </w:rPr>
              <w:t>自由式U型场地</w:t>
            </w:r>
          </w:p>
        </w:tc>
        <w:tc>
          <w:tcPr>
            <w:tcW w:w="3317" w:type="dxa"/>
            <w:tcBorders>
              <w:top w:val="nil"/>
            </w:tcBorders>
            <w:shd w:val="clear" w:color="auto" w:fill="auto"/>
            <w:vAlign w:val="center"/>
          </w:tcPr>
          <w:p w14:paraId="0076F570">
            <w:pPr>
              <w:spacing w:before="42" w:line="224"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r>
      <w:tr w14:paraId="4E299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1612" w:type="dxa"/>
            <w:vMerge w:val="continue"/>
            <w:vAlign w:val="top"/>
          </w:tcPr>
          <w:p w14:paraId="0558AABD">
            <w:pPr>
              <w:spacing w:before="78" w:line="224" w:lineRule="auto"/>
              <w:ind w:left="578"/>
              <w:rPr>
                <w:rFonts w:hint="eastAsia" w:ascii="宋体" w:hAnsi="宋体" w:eastAsia="宋体" w:cs="宋体"/>
                <w:color w:val="auto"/>
                <w:spacing w:val="-12"/>
                <w:sz w:val="24"/>
                <w:szCs w:val="24"/>
              </w:rPr>
            </w:pPr>
          </w:p>
        </w:tc>
        <w:tc>
          <w:tcPr>
            <w:tcW w:w="4024" w:type="dxa"/>
            <w:tcBorders>
              <w:top w:val="nil"/>
            </w:tcBorders>
            <w:shd w:val="clear" w:color="auto" w:fill="auto"/>
            <w:vAlign w:val="center"/>
          </w:tcPr>
          <w:p w14:paraId="6D9E2C61">
            <w:pPr>
              <w:spacing w:before="50" w:line="222" w:lineRule="auto"/>
              <w:jc w:val="center"/>
              <w:rPr>
                <w:rFonts w:hint="eastAsia" w:ascii="宋体" w:hAnsi="宋体" w:eastAsia="宋体" w:cs="宋体"/>
                <w:color w:val="auto"/>
                <w:spacing w:val="-9"/>
                <w:sz w:val="24"/>
                <w:szCs w:val="24"/>
                <w:highlight w:val="none"/>
              </w:rPr>
            </w:pPr>
            <w:r>
              <w:rPr>
                <w:rFonts w:hint="eastAsia" w:ascii="宋体" w:hAnsi="宋体" w:eastAsia="宋体" w:cs="宋体"/>
                <w:color w:val="auto"/>
                <w:spacing w:val="-11"/>
                <w:sz w:val="24"/>
                <w:szCs w:val="24"/>
                <w:highlight w:val="none"/>
                <w:lang w:eastAsia="zh-CN"/>
              </w:rPr>
              <w:t>单板滑雪平行大回转</w:t>
            </w:r>
          </w:p>
        </w:tc>
        <w:tc>
          <w:tcPr>
            <w:tcW w:w="3317" w:type="dxa"/>
            <w:tcBorders>
              <w:top w:val="nil"/>
            </w:tcBorders>
            <w:shd w:val="clear" w:color="auto" w:fill="auto"/>
            <w:vAlign w:val="center"/>
          </w:tcPr>
          <w:p w14:paraId="3912C07A">
            <w:pPr>
              <w:spacing w:before="37" w:line="2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S类</w:t>
            </w:r>
          </w:p>
        </w:tc>
      </w:tr>
      <w:tr w14:paraId="02743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1612" w:type="dxa"/>
            <w:vMerge w:val="continue"/>
            <w:vAlign w:val="top"/>
          </w:tcPr>
          <w:p w14:paraId="19B76070">
            <w:pPr>
              <w:spacing w:before="78" w:line="224" w:lineRule="auto"/>
              <w:ind w:left="578"/>
              <w:rPr>
                <w:rFonts w:hint="eastAsia" w:ascii="宋体" w:hAnsi="宋体" w:eastAsia="宋体" w:cs="宋体"/>
                <w:color w:val="auto"/>
                <w:spacing w:val="-12"/>
                <w:sz w:val="24"/>
                <w:szCs w:val="24"/>
              </w:rPr>
            </w:pPr>
          </w:p>
        </w:tc>
        <w:tc>
          <w:tcPr>
            <w:tcW w:w="4024" w:type="dxa"/>
            <w:tcBorders>
              <w:top w:val="nil"/>
            </w:tcBorders>
            <w:shd w:val="clear" w:color="auto" w:fill="auto"/>
            <w:vAlign w:val="center"/>
          </w:tcPr>
          <w:p w14:paraId="0822B433">
            <w:pPr>
              <w:spacing w:before="55" w:line="218"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9"/>
                <w:sz w:val="24"/>
                <w:szCs w:val="24"/>
              </w:rPr>
              <w:t>自由式空中技巧</w:t>
            </w:r>
          </w:p>
        </w:tc>
        <w:tc>
          <w:tcPr>
            <w:tcW w:w="3317" w:type="dxa"/>
            <w:tcBorders>
              <w:top w:val="nil"/>
            </w:tcBorders>
            <w:shd w:val="clear" w:color="auto" w:fill="auto"/>
            <w:vAlign w:val="center"/>
          </w:tcPr>
          <w:p w14:paraId="05D60A23">
            <w:pPr>
              <w:spacing w:before="42" w:line="224"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r>
      <w:tr w14:paraId="2748E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1612" w:type="dxa"/>
            <w:vMerge w:val="continue"/>
            <w:vAlign w:val="top"/>
          </w:tcPr>
          <w:p w14:paraId="0C510926">
            <w:pPr>
              <w:spacing w:before="78" w:line="224" w:lineRule="auto"/>
              <w:ind w:left="578"/>
              <w:rPr>
                <w:rFonts w:hint="eastAsia" w:ascii="宋体" w:hAnsi="宋体" w:eastAsia="宋体" w:cs="宋体"/>
                <w:color w:val="auto"/>
                <w:spacing w:val="-12"/>
                <w:sz w:val="24"/>
                <w:szCs w:val="24"/>
              </w:rPr>
            </w:pPr>
          </w:p>
        </w:tc>
        <w:tc>
          <w:tcPr>
            <w:tcW w:w="4024" w:type="dxa"/>
            <w:tcBorders>
              <w:top w:val="nil"/>
            </w:tcBorders>
            <w:shd w:val="clear" w:color="auto" w:fill="auto"/>
            <w:vAlign w:val="center"/>
          </w:tcPr>
          <w:p w14:paraId="5B7ACD24">
            <w:pPr>
              <w:spacing w:before="56" w:line="217"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9"/>
                <w:sz w:val="24"/>
                <w:szCs w:val="24"/>
              </w:rPr>
              <w:t>自由式障碍追逐</w:t>
            </w:r>
          </w:p>
        </w:tc>
        <w:tc>
          <w:tcPr>
            <w:tcW w:w="3317" w:type="dxa"/>
            <w:tcBorders>
              <w:top w:val="nil"/>
            </w:tcBorders>
            <w:shd w:val="clear" w:color="auto" w:fill="auto"/>
            <w:vAlign w:val="center"/>
          </w:tcPr>
          <w:p w14:paraId="6CE50A1D">
            <w:pPr>
              <w:spacing w:before="37" w:line="224"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r>
      <w:tr w14:paraId="752E5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1612" w:type="dxa"/>
            <w:vMerge w:val="continue"/>
            <w:vAlign w:val="top"/>
          </w:tcPr>
          <w:p w14:paraId="5E7C378D">
            <w:pPr>
              <w:spacing w:before="78" w:line="224" w:lineRule="auto"/>
              <w:ind w:left="578"/>
              <w:rPr>
                <w:rFonts w:hint="eastAsia" w:ascii="宋体" w:hAnsi="宋体" w:eastAsia="宋体" w:cs="宋体"/>
                <w:color w:val="auto"/>
                <w:spacing w:val="-12"/>
                <w:sz w:val="24"/>
                <w:szCs w:val="24"/>
              </w:rPr>
            </w:pPr>
          </w:p>
        </w:tc>
        <w:tc>
          <w:tcPr>
            <w:tcW w:w="4024" w:type="dxa"/>
            <w:tcBorders>
              <w:top w:val="nil"/>
            </w:tcBorders>
            <w:shd w:val="clear" w:color="auto" w:fill="auto"/>
            <w:vAlign w:val="center"/>
          </w:tcPr>
          <w:p w14:paraId="493F0149">
            <w:pPr>
              <w:spacing w:before="175" w:line="224"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7"/>
                <w:sz w:val="24"/>
                <w:szCs w:val="24"/>
                <w:highlight w:val="none"/>
                <w:lang w:eastAsia="zh-CN"/>
              </w:rPr>
              <w:t>自由式</w:t>
            </w:r>
            <w:r>
              <w:rPr>
                <w:rFonts w:hint="eastAsia" w:ascii="宋体" w:hAnsi="宋体" w:eastAsia="宋体" w:cs="宋体"/>
                <w:color w:val="auto"/>
                <w:spacing w:val="-7"/>
                <w:sz w:val="24"/>
                <w:szCs w:val="24"/>
                <w:highlight w:val="none"/>
              </w:rPr>
              <w:t>雪上技巧</w:t>
            </w:r>
          </w:p>
        </w:tc>
        <w:tc>
          <w:tcPr>
            <w:tcW w:w="3317" w:type="dxa"/>
            <w:tcBorders>
              <w:top w:val="nil"/>
            </w:tcBorders>
            <w:shd w:val="clear" w:color="auto" w:fill="auto"/>
            <w:vAlign w:val="center"/>
          </w:tcPr>
          <w:p w14:paraId="2C70AB13">
            <w:pPr>
              <w:spacing w:before="56" w:line="217"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S类</w:t>
            </w:r>
          </w:p>
        </w:tc>
      </w:tr>
      <w:tr w14:paraId="4E26D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1612" w:type="dxa"/>
            <w:vMerge w:val="continue"/>
            <w:vAlign w:val="top"/>
          </w:tcPr>
          <w:p w14:paraId="46667240">
            <w:pPr>
              <w:spacing w:before="78" w:line="224" w:lineRule="auto"/>
              <w:ind w:left="578"/>
              <w:rPr>
                <w:rFonts w:hint="eastAsia" w:ascii="宋体" w:hAnsi="宋体" w:eastAsia="宋体" w:cs="宋体"/>
                <w:color w:val="auto"/>
                <w:spacing w:val="-12"/>
                <w:sz w:val="24"/>
                <w:szCs w:val="24"/>
              </w:rPr>
            </w:pPr>
          </w:p>
        </w:tc>
        <w:tc>
          <w:tcPr>
            <w:tcW w:w="4024" w:type="dxa"/>
            <w:tcBorders>
              <w:top w:val="nil"/>
            </w:tcBorders>
            <w:shd w:val="clear" w:color="auto" w:fill="auto"/>
            <w:vAlign w:val="center"/>
          </w:tcPr>
          <w:p w14:paraId="4DA3624A">
            <w:pPr>
              <w:spacing w:before="175" w:line="224" w:lineRule="auto"/>
              <w:jc w:val="center"/>
              <w:rPr>
                <w:rFonts w:hint="eastAsia" w:ascii="宋体" w:hAnsi="宋体" w:eastAsia="宋体" w:cs="宋体"/>
                <w:color w:val="auto"/>
                <w:spacing w:val="-7"/>
                <w:kern w:val="2"/>
                <w:sz w:val="24"/>
                <w:szCs w:val="24"/>
                <w:highlight w:val="none"/>
                <w:lang w:val="en-US" w:eastAsia="zh-CN" w:bidi="ar-SA"/>
              </w:rPr>
            </w:pPr>
            <w:r>
              <w:rPr>
                <w:rFonts w:hint="eastAsia" w:ascii="宋体" w:hAnsi="宋体" w:eastAsia="宋体" w:cs="宋体"/>
                <w:color w:val="auto"/>
                <w:spacing w:val="-7"/>
                <w:sz w:val="24"/>
                <w:szCs w:val="24"/>
                <w:highlight w:val="none"/>
                <w:lang w:eastAsia="zh-CN"/>
              </w:rPr>
              <w:t>单板障碍追逐</w:t>
            </w:r>
          </w:p>
        </w:tc>
        <w:tc>
          <w:tcPr>
            <w:tcW w:w="3317" w:type="dxa"/>
            <w:tcBorders>
              <w:top w:val="nil"/>
            </w:tcBorders>
            <w:shd w:val="clear" w:color="auto" w:fill="auto"/>
            <w:vAlign w:val="center"/>
          </w:tcPr>
          <w:p w14:paraId="2986BFFF">
            <w:pPr>
              <w:spacing w:before="56" w:line="217"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S类</w:t>
            </w:r>
          </w:p>
        </w:tc>
      </w:tr>
      <w:tr w14:paraId="1F0EC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1612" w:type="dxa"/>
            <w:vMerge w:val="continue"/>
            <w:tcBorders>
              <w:bottom w:val="nil"/>
            </w:tcBorders>
            <w:vAlign w:val="top"/>
          </w:tcPr>
          <w:p w14:paraId="64BF540B">
            <w:pPr>
              <w:spacing w:before="78" w:line="224" w:lineRule="auto"/>
              <w:ind w:left="578"/>
              <w:rPr>
                <w:rFonts w:hint="eastAsia" w:ascii="宋体" w:hAnsi="宋体" w:eastAsia="宋体" w:cs="宋体"/>
                <w:color w:val="auto"/>
                <w:sz w:val="24"/>
                <w:szCs w:val="24"/>
              </w:rPr>
            </w:pPr>
          </w:p>
        </w:tc>
        <w:tc>
          <w:tcPr>
            <w:tcW w:w="4024" w:type="dxa"/>
            <w:tcBorders>
              <w:top w:val="nil"/>
            </w:tcBorders>
            <w:vAlign w:val="center"/>
          </w:tcPr>
          <w:p w14:paraId="5106E0F5">
            <w:pPr>
              <w:spacing w:before="56" w:line="211"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单板大跳台</w:t>
            </w:r>
            <w:r>
              <w:rPr>
                <w:rFonts w:hint="eastAsia" w:ascii="宋体" w:hAnsi="宋体" w:eastAsia="宋体" w:cs="宋体"/>
                <w:color w:val="auto"/>
                <w:spacing w:val="-4"/>
                <w:sz w:val="24"/>
                <w:szCs w:val="24"/>
                <w:lang w:eastAsia="zh-CN"/>
              </w:rPr>
              <w:t>和</w:t>
            </w:r>
            <w:r>
              <w:rPr>
                <w:rFonts w:hint="eastAsia" w:ascii="宋体" w:hAnsi="宋体" w:eastAsia="宋体" w:cs="宋体"/>
                <w:color w:val="auto"/>
                <w:spacing w:val="-4"/>
                <w:sz w:val="24"/>
                <w:szCs w:val="24"/>
              </w:rPr>
              <w:t>坡</w:t>
            </w:r>
            <w:r>
              <w:rPr>
                <w:rFonts w:hint="eastAsia" w:ascii="宋体" w:hAnsi="宋体" w:eastAsia="宋体" w:cs="宋体"/>
                <w:color w:val="auto"/>
                <w:spacing w:val="-5"/>
                <w:sz w:val="24"/>
                <w:szCs w:val="24"/>
              </w:rPr>
              <w:t>面障碍技巧</w:t>
            </w:r>
          </w:p>
        </w:tc>
        <w:tc>
          <w:tcPr>
            <w:tcW w:w="3317" w:type="dxa"/>
            <w:tcBorders>
              <w:top w:val="nil"/>
            </w:tcBorders>
            <w:vAlign w:val="center"/>
          </w:tcPr>
          <w:p w14:paraId="740B523C">
            <w:pPr>
              <w:spacing w:before="56" w:line="211" w:lineRule="auto"/>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rPr>
              <w:t>S类</w:t>
            </w:r>
          </w:p>
        </w:tc>
      </w:tr>
      <w:tr w14:paraId="6EEDA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1612" w:type="dxa"/>
            <w:vMerge w:val="restart"/>
            <w:tcBorders>
              <w:bottom w:val="nil"/>
            </w:tcBorders>
            <w:vAlign w:val="top"/>
          </w:tcPr>
          <w:p w14:paraId="15EB8FC4">
            <w:pPr>
              <w:spacing w:line="336" w:lineRule="auto"/>
              <w:rPr>
                <w:rFonts w:hint="eastAsia" w:ascii="宋体" w:hAnsi="宋体" w:eastAsia="宋体" w:cs="宋体"/>
                <w:color w:val="auto"/>
                <w:sz w:val="24"/>
                <w:szCs w:val="24"/>
              </w:rPr>
            </w:pPr>
          </w:p>
          <w:p w14:paraId="0C83FC3F">
            <w:pPr>
              <w:spacing w:line="337" w:lineRule="auto"/>
              <w:rPr>
                <w:rFonts w:hint="eastAsia" w:ascii="宋体" w:hAnsi="宋体" w:eastAsia="宋体" w:cs="宋体"/>
                <w:color w:val="auto"/>
                <w:sz w:val="24"/>
                <w:szCs w:val="24"/>
              </w:rPr>
            </w:pPr>
          </w:p>
          <w:p w14:paraId="570FBF02">
            <w:pPr>
              <w:spacing w:before="78" w:line="223" w:lineRule="auto"/>
              <w:ind w:left="459"/>
              <w:rPr>
                <w:rFonts w:hint="eastAsia" w:ascii="宋体" w:hAnsi="宋体" w:eastAsia="宋体" w:cs="宋体"/>
                <w:color w:val="auto"/>
                <w:sz w:val="24"/>
                <w:szCs w:val="24"/>
              </w:rPr>
            </w:pPr>
            <w:r>
              <w:rPr>
                <w:rFonts w:hint="eastAsia" w:ascii="宋体" w:hAnsi="宋体" w:eastAsia="宋体" w:cs="宋体"/>
                <w:color w:val="auto"/>
                <w:spacing w:val="-8"/>
                <w:sz w:val="24"/>
                <w:szCs w:val="24"/>
              </w:rPr>
              <w:t>重竞技</w:t>
            </w:r>
          </w:p>
        </w:tc>
        <w:tc>
          <w:tcPr>
            <w:tcW w:w="4024" w:type="dxa"/>
            <w:vAlign w:val="center"/>
          </w:tcPr>
          <w:p w14:paraId="52E012CC">
            <w:pPr>
              <w:spacing w:before="59" w:line="215" w:lineRule="auto"/>
              <w:jc w:val="center"/>
              <w:rPr>
                <w:rFonts w:hint="eastAsia" w:ascii="宋体" w:hAnsi="宋体" w:eastAsia="宋体" w:cs="宋体"/>
                <w:color w:val="auto"/>
                <w:sz w:val="24"/>
                <w:szCs w:val="24"/>
              </w:rPr>
            </w:pPr>
            <w:r>
              <w:rPr>
                <w:rFonts w:hint="eastAsia" w:ascii="宋体" w:hAnsi="宋体" w:eastAsia="宋体" w:cs="宋体"/>
                <w:color w:val="auto"/>
                <w:spacing w:val="-9"/>
                <w:sz w:val="24"/>
                <w:szCs w:val="24"/>
              </w:rPr>
              <w:t>举重</w:t>
            </w:r>
          </w:p>
        </w:tc>
        <w:tc>
          <w:tcPr>
            <w:tcW w:w="3317" w:type="dxa"/>
            <w:vAlign w:val="center"/>
          </w:tcPr>
          <w:p w14:paraId="3314FD99">
            <w:pPr>
              <w:spacing w:before="59" w:line="215" w:lineRule="auto"/>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3类</w:t>
            </w:r>
          </w:p>
        </w:tc>
      </w:tr>
      <w:tr w14:paraId="1373D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1612" w:type="dxa"/>
            <w:vMerge w:val="continue"/>
            <w:vAlign w:val="top"/>
          </w:tcPr>
          <w:p w14:paraId="3F430ECF">
            <w:pPr>
              <w:spacing w:before="78" w:line="223" w:lineRule="auto"/>
              <w:ind w:left="459"/>
              <w:rPr>
                <w:rFonts w:hint="eastAsia" w:ascii="宋体" w:hAnsi="宋体" w:eastAsia="宋体" w:cs="宋体"/>
                <w:color w:val="auto"/>
                <w:spacing w:val="-8"/>
                <w:sz w:val="24"/>
                <w:szCs w:val="24"/>
              </w:rPr>
            </w:pPr>
          </w:p>
        </w:tc>
        <w:tc>
          <w:tcPr>
            <w:tcW w:w="4024" w:type="dxa"/>
            <w:shd w:val="clear" w:color="auto" w:fill="auto"/>
            <w:vAlign w:val="center"/>
          </w:tcPr>
          <w:p w14:paraId="33D96B60">
            <w:pPr>
              <w:spacing w:before="62" w:line="213"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跆拳道</w:t>
            </w:r>
          </w:p>
        </w:tc>
        <w:tc>
          <w:tcPr>
            <w:tcW w:w="3317" w:type="dxa"/>
            <w:shd w:val="clear" w:color="auto" w:fill="auto"/>
            <w:vAlign w:val="center"/>
          </w:tcPr>
          <w:p w14:paraId="39DB21F4">
            <w:pPr>
              <w:spacing w:before="62" w:line="213"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r>
      <w:tr w14:paraId="27D49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1612" w:type="dxa"/>
            <w:vMerge w:val="continue"/>
            <w:vAlign w:val="top"/>
          </w:tcPr>
          <w:p w14:paraId="038BA8F9">
            <w:pPr>
              <w:spacing w:before="78" w:line="223" w:lineRule="auto"/>
              <w:ind w:left="459"/>
              <w:rPr>
                <w:rFonts w:hint="eastAsia" w:ascii="宋体" w:hAnsi="宋体" w:eastAsia="宋体" w:cs="宋体"/>
                <w:color w:val="auto"/>
                <w:spacing w:val="-8"/>
                <w:sz w:val="24"/>
                <w:szCs w:val="24"/>
              </w:rPr>
            </w:pPr>
          </w:p>
        </w:tc>
        <w:tc>
          <w:tcPr>
            <w:tcW w:w="4024" w:type="dxa"/>
            <w:shd w:val="clear" w:color="auto" w:fill="auto"/>
            <w:vAlign w:val="center"/>
          </w:tcPr>
          <w:p w14:paraId="028A5E4E">
            <w:pPr>
              <w:spacing w:before="45" w:line="201"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9"/>
                <w:sz w:val="24"/>
                <w:szCs w:val="24"/>
              </w:rPr>
              <w:t>拳击</w:t>
            </w:r>
          </w:p>
        </w:tc>
        <w:tc>
          <w:tcPr>
            <w:tcW w:w="3317" w:type="dxa"/>
            <w:shd w:val="clear" w:color="auto" w:fill="auto"/>
            <w:vAlign w:val="center"/>
          </w:tcPr>
          <w:p w14:paraId="222110EE">
            <w:pPr>
              <w:spacing w:before="45" w:line="201"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r>
      <w:tr w14:paraId="53D6C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1612" w:type="dxa"/>
            <w:vMerge w:val="continue"/>
            <w:vAlign w:val="top"/>
          </w:tcPr>
          <w:p w14:paraId="7D6D78A1">
            <w:pPr>
              <w:spacing w:before="78" w:line="223" w:lineRule="auto"/>
              <w:ind w:left="459"/>
              <w:rPr>
                <w:rFonts w:hint="eastAsia" w:ascii="宋体" w:hAnsi="宋体" w:eastAsia="宋体" w:cs="宋体"/>
                <w:color w:val="auto"/>
                <w:spacing w:val="-8"/>
                <w:sz w:val="24"/>
                <w:szCs w:val="24"/>
              </w:rPr>
            </w:pPr>
          </w:p>
        </w:tc>
        <w:tc>
          <w:tcPr>
            <w:tcW w:w="4024" w:type="dxa"/>
            <w:shd w:val="clear" w:color="auto" w:fill="auto"/>
            <w:vAlign w:val="center"/>
          </w:tcPr>
          <w:p w14:paraId="6C638808">
            <w:pPr>
              <w:spacing w:before="175" w:line="223" w:lineRule="auto"/>
              <w:jc w:val="center"/>
              <w:rPr>
                <w:rFonts w:hint="eastAsia" w:ascii="宋体" w:hAnsi="宋体" w:eastAsia="宋体" w:cs="宋体"/>
                <w:color w:val="auto"/>
                <w:spacing w:val="-9"/>
                <w:sz w:val="24"/>
                <w:szCs w:val="24"/>
                <w:highlight w:val="none"/>
              </w:rPr>
            </w:pPr>
            <w:r>
              <w:rPr>
                <w:rFonts w:hint="eastAsia" w:ascii="宋体" w:hAnsi="宋体" w:eastAsia="宋体" w:cs="宋体"/>
                <w:color w:val="auto"/>
                <w:spacing w:val="-11"/>
                <w:sz w:val="24"/>
                <w:szCs w:val="24"/>
                <w:highlight w:val="none"/>
                <w:lang w:eastAsia="zh-CN"/>
              </w:rPr>
              <w:t>自由式</w:t>
            </w:r>
            <w:r>
              <w:rPr>
                <w:rFonts w:hint="eastAsia" w:ascii="宋体" w:hAnsi="宋体" w:eastAsia="宋体" w:cs="宋体"/>
                <w:color w:val="auto"/>
                <w:spacing w:val="-11"/>
                <w:sz w:val="24"/>
                <w:szCs w:val="24"/>
                <w:highlight w:val="none"/>
              </w:rPr>
              <w:t>摔跤</w:t>
            </w:r>
          </w:p>
        </w:tc>
        <w:tc>
          <w:tcPr>
            <w:tcW w:w="3317" w:type="dxa"/>
            <w:shd w:val="clear" w:color="auto" w:fill="auto"/>
            <w:vAlign w:val="center"/>
          </w:tcPr>
          <w:p w14:paraId="4B36D5A7">
            <w:pPr>
              <w:spacing w:before="45" w:line="201"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7"/>
                <w:sz w:val="24"/>
                <w:szCs w:val="24"/>
              </w:rPr>
              <w:t>5类</w:t>
            </w:r>
          </w:p>
        </w:tc>
      </w:tr>
      <w:tr w14:paraId="57559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1612" w:type="dxa"/>
            <w:vMerge w:val="continue"/>
            <w:vAlign w:val="top"/>
          </w:tcPr>
          <w:p w14:paraId="2FBD8481">
            <w:pPr>
              <w:spacing w:before="78" w:line="223" w:lineRule="auto"/>
              <w:ind w:left="459"/>
              <w:rPr>
                <w:rFonts w:hint="eastAsia" w:ascii="宋体" w:hAnsi="宋体" w:eastAsia="宋体" w:cs="宋体"/>
                <w:color w:val="auto"/>
                <w:spacing w:val="-8"/>
                <w:sz w:val="24"/>
                <w:szCs w:val="24"/>
              </w:rPr>
            </w:pPr>
          </w:p>
        </w:tc>
        <w:tc>
          <w:tcPr>
            <w:tcW w:w="4024" w:type="dxa"/>
            <w:shd w:val="clear" w:color="auto" w:fill="auto"/>
            <w:vAlign w:val="center"/>
          </w:tcPr>
          <w:p w14:paraId="305BE981">
            <w:pPr>
              <w:spacing w:before="175" w:line="223" w:lineRule="auto"/>
              <w:jc w:val="center"/>
              <w:rPr>
                <w:rFonts w:hint="eastAsia" w:ascii="宋体" w:hAnsi="宋体" w:eastAsia="宋体" w:cs="宋体"/>
                <w:color w:val="auto"/>
                <w:spacing w:val="-9"/>
                <w:sz w:val="24"/>
                <w:szCs w:val="24"/>
                <w:highlight w:val="none"/>
              </w:rPr>
            </w:pPr>
            <w:r>
              <w:rPr>
                <w:rFonts w:hint="eastAsia" w:ascii="宋体" w:hAnsi="宋体" w:eastAsia="宋体" w:cs="宋体"/>
                <w:color w:val="auto"/>
                <w:spacing w:val="-11"/>
                <w:sz w:val="24"/>
                <w:szCs w:val="24"/>
                <w:highlight w:val="none"/>
                <w:lang w:eastAsia="zh-CN"/>
              </w:rPr>
              <w:t>古典式摔跤</w:t>
            </w:r>
          </w:p>
        </w:tc>
        <w:tc>
          <w:tcPr>
            <w:tcW w:w="3317" w:type="dxa"/>
            <w:shd w:val="clear" w:color="auto" w:fill="auto"/>
            <w:vAlign w:val="center"/>
          </w:tcPr>
          <w:p w14:paraId="0CE0953A">
            <w:pPr>
              <w:spacing w:before="45" w:line="201"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7"/>
                <w:sz w:val="24"/>
                <w:szCs w:val="24"/>
              </w:rPr>
              <w:t>5类</w:t>
            </w:r>
          </w:p>
        </w:tc>
      </w:tr>
      <w:tr w14:paraId="721E9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612" w:type="dxa"/>
            <w:vMerge w:val="continue"/>
            <w:tcBorders>
              <w:top w:val="nil"/>
              <w:bottom w:val="nil"/>
            </w:tcBorders>
            <w:vAlign w:val="top"/>
          </w:tcPr>
          <w:p w14:paraId="1E756259">
            <w:pPr>
              <w:rPr>
                <w:rFonts w:hint="eastAsia" w:ascii="宋体" w:hAnsi="宋体" w:eastAsia="宋体" w:cs="宋体"/>
                <w:color w:val="auto"/>
                <w:sz w:val="24"/>
                <w:szCs w:val="24"/>
              </w:rPr>
            </w:pPr>
          </w:p>
        </w:tc>
        <w:tc>
          <w:tcPr>
            <w:tcW w:w="4024" w:type="dxa"/>
            <w:vAlign w:val="center"/>
          </w:tcPr>
          <w:p w14:paraId="0BB76AC9">
            <w:pPr>
              <w:spacing w:before="47" w:line="200" w:lineRule="auto"/>
              <w:jc w:val="center"/>
              <w:rPr>
                <w:rFonts w:hint="eastAsia" w:ascii="宋体" w:hAnsi="宋体" w:eastAsia="宋体" w:cs="宋体"/>
                <w:color w:val="auto"/>
                <w:sz w:val="24"/>
                <w:szCs w:val="24"/>
              </w:rPr>
            </w:pPr>
            <w:r>
              <w:rPr>
                <w:rFonts w:hint="eastAsia" w:ascii="宋体" w:hAnsi="宋体" w:eastAsia="宋体" w:cs="宋体"/>
                <w:color w:val="auto"/>
                <w:spacing w:val="-10"/>
                <w:sz w:val="24"/>
                <w:szCs w:val="24"/>
              </w:rPr>
              <w:t>柔道</w:t>
            </w:r>
          </w:p>
        </w:tc>
        <w:tc>
          <w:tcPr>
            <w:tcW w:w="3317" w:type="dxa"/>
            <w:vAlign w:val="center"/>
          </w:tcPr>
          <w:p w14:paraId="61E4A5CF">
            <w:pPr>
              <w:spacing w:before="47" w:line="200" w:lineRule="auto"/>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5类</w:t>
            </w:r>
          </w:p>
        </w:tc>
      </w:tr>
      <w:tr w14:paraId="5FFE0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612" w:type="dxa"/>
            <w:vMerge w:val="restart"/>
            <w:vAlign w:val="center"/>
          </w:tcPr>
          <w:p w14:paraId="05DA4CBA">
            <w:pPr>
              <w:spacing w:before="245" w:line="219" w:lineRule="auto"/>
              <w:ind w:left="245"/>
              <w:jc w:val="both"/>
              <w:rPr>
                <w:rFonts w:hint="eastAsia" w:ascii="宋体" w:hAnsi="宋体" w:eastAsia="宋体" w:cs="宋体"/>
                <w:color w:val="auto"/>
                <w:sz w:val="24"/>
                <w:szCs w:val="24"/>
              </w:rPr>
            </w:pPr>
            <w:r>
              <w:rPr>
                <w:rFonts w:hint="eastAsia" w:ascii="宋体" w:hAnsi="宋体" w:eastAsia="宋体" w:cs="宋体"/>
                <w:color w:val="auto"/>
                <w:spacing w:val="-10"/>
                <w:sz w:val="24"/>
                <w:szCs w:val="24"/>
              </w:rPr>
              <w:t>田径自行车</w:t>
            </w:r>
          </w:p>
        </w:tc>
        <w:tc>
          <w:tcPr>
            <w:tcW w:w="4024" w:type="dxa"/>
            <w:shd w:val="clear" w:color="auto" w:fill="auto"/>
            <w:vAlign w:val="center"/>
          </w:tcPr>
          <w:p w14:paraId="55D5B5A2">
            <w:pPr>
              <w:spacing w:before="63" w:line="213"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25"/>
                <w:sz w:val="24"/>
                <w:szCs w:val="24"/>
              </w:rPr>
              <w:t>田径</w:t>
            </w:r>
          </w:p>
        </w:tc>
        <w:tc>
          <w:tcPr>
            <w:tcW w:w="3317" w:type="dxa"/>
            <w:shd w:val="clear" w:color="auto" w:fill="auto"/>
            <w:vAlign w:val="center"/>
          </w:tcPr>
          <w:p w14:paraId="0B615DA5">
            <w:pPr>
              <w:spacing w:before="63" w:line="213"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7"/>
                <w:sz w:val="24"/>
                <w:szCs w:val="24"/>
              </w:rPr>
              <w:t>3类</w:t>
            </w:r>
          </w:p>
        </w:tc>
      </w:tr>
      <w:tr w14:paraId="5A0EB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612" w:type="dxa"/>
            <w:vMerge w:val="continue"/>
            <w:vAlign w:val="top"/>
          </w:tcPr>
          <w:p w14:paraId="1278050E">
            <w:pPr>
              <w:spacing w:before="245" w:line="219" w:lineRule="auto"/>
              <w:ind w:left="245"/>
              <w:rPr>
                <w:rFonts w:hint="eastAsia" w:ascii="宋体" w:hAnsi="宋体" w:eastAsia="宋体" w:cs="宋体"/>
                <w:color w:val="auto"/>
                <w:spacing w:val="-10"/>
                <w:sz w:val="24"/>
                <w:szCs w:val="24"/>
              </w:rPr>
            </w:pPr>
          </w:p>
        </w:tc>
        <w:tc>
          <w:tcPr>
            <w:tcW w:w="4024" w:type="dxa"/>
            <w:shd w:val="clear" w:color="auto" w:fill="auto"/>
            <w:vAlign w:val="center"/>
          </w:tcPr>
          <w:p w14:paraId="158C3AE2">
            <w:pPr>
              <w:spacing w:before="63" w:line="213" w:lineRule="auto"/>
              <w:jc w:val="center"/>
              <w:rPr>
                <w:rFonts w:hint="eastAsia" w:ascii="宋体" w:hAnsi="宋体" w:eastAsia="宋体" w:cs="宋体"/>
                <w:color w:val="auto"/>
                <w:spacing w:val="-25"/>
                <w:sz w:val="24"/>
                <w:szCs w:val="24"/>
                <w:highlight w:val="none"/>
              </w:rPr>
            </w:pPr>
            <w:r>
              <w:rPr>
                <w:rFonts w:hint="eastAsia" w:ascii="宋体" w:hAnsi="宋体" w:eastAsia="宋体" w:cs="宋体"/>
                <w:color w:val="auto"/>
                <w:spacing w:val="-29"/>
                <w:sz w:val="24"/>
                <w:szCs w:val="24"/>
                <w:highlight w:val="none"/>
                <w:lang w:eastAsia="zh-CN"/>
              </w:rPr>
              <w:t>无线电定向越野</w:t>
            </w:r>
          </w:p>
        </w:tc>
        <w:tc>
          <w:tcPr>
            <w:tcW w:w="3317" w:type="dxa"/>
            <w:shd w:val="clear" w:color="auto" w:fill="auto"/>
            <w:vAlign w:val="center"/>
          </w:tcPr>
          <w:p w14:paraId="12EE2CDC">
            <w:pPr>
              <w:spacing w:before="63" w:line="213" w:lineRule="auto"/>
              <w:jc w:val="center"/>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lang w:val="en-US" w:eastAsia="zh-CN"/>
              </w:rPr>
              <w:t>4</w:t>
            </w:r>
            <w:r>
              <w:rPr>
                <w:rFonts w:hint="eastAsia" w:ascii="宋体" w:hAnsi="宋体" w:eastAsia="宋体" w:cs="宋体"/>
                <w:color w:val="auto"/>
                <w:spacing w:val="-7"/>
                <w:sz w:val="24"/>
                <w:szCs w:val="24"/>
              </w:rPr>
              <w:t>类</w:t>
            </w:r>
          </w:p>
        </w:tc>
      </w:tr>
      <w:tr w14:paraId="1152F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612" w:type="dxa"/>
            <w:vMerge w:val="continue"/>
            <w:tcBorders>
              <w:bottom w:val="single" w:color="auto" w:sz="4" w:space="0"/>
            </w:tcBorders>
            <w:vAlign w:val="top"/>
          </w:tcPr>
          <w:p w14:paraId="22B58208">
            <w:pPr>
              <w:spacing w:before="245" w:line="219" w:lineRule="auto"/>
              <w:ind w:left="245"/>
              <w:rPr>
                <w:rFonts w:hint="eastAsia" w:ascii="宋体" w:hAnsi="宋体" w:eastAsia="宋体" w:cs="宋体"/>
                <w:color w:val="auto"/>
                <w:sz w:val="24"/>
                <w:szCs w:val="24"/>
              </w:rPr>
            </w:pPr>
          </w:p>
        </w:tc>
        <w:tc>
          <w:tcPr>
            <w:tcW w:w="4024" w:type="dxa"/>
            <w:tcBorders>
              <w:bottom w:val="single" w:color="auto" w:sz="4" w:space="0"/>
            </w:tcBorders>
            <w:vAlign w:val="center"/>
          </w:tcPr>
          <w:p w14:paraId="5FDB7C69">
            <w:pPr>
              <w:spacing w:before="63" w:line="213" w:lineRule="auto"/>
              <w:jc w:val="center"/>
              <w:rPr>
                <w:rFonts w:hint="eastAsia" w:ascii="宋体" w:hAnsi="宋体" w:eastAsia="宋体" w:cs="宋体"/>
                <w:color w:val="auto"/>
                <w:sz w:val="24"/>
                <w:szCs w:val="24"/>
              </w:rPr>
            </w:pPr>
            <w:r>
              <w:rPr>
                <w:rFonts w:hint="eastAsia" w:ascii="宋体" w:hAnsi="宋体" w:eastAsia="宋体" w:cs="宋体"/>
                <w:color w:val="auto"/>
                <w:spacing w:val="-21"/>
                <w:sz w:val="24"/>
                <w:szCs w:val="24"/>
              </w:rPr>
              <w:t>自行车</w:t>
            </w:r>
          </w:p>
        </w:tc>
        <w:tc>
          <w:tcPr>
            <w:tcW w:w="3317" w:type="dxa"/>
            <w:vAlign w:val="center"/>
          </w:tcPr>
          <w:p w14:paraId="0577A42D">
            <w:pPr>
              <w:spacing w:before="63" w:line="213" w:lineRule="auto"/>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lang w:val="en-US" w:eastAsia="zh-CN"/>
              </w:rPr>
              <w:t>4</w:t>
            </w:r>
            <w:r>
              <w:rPr>
                <w:rFonts w:hint="eastAsia" w:ascii="宋体" w:hAnsi="宋体" w:eastAsia="宋体" w:cs="宋体"/>
                <w:color w:val="auto"/>
                <w:spacing w:val="-7"/>
                <w:sz w:val="24"/>
                <w:szCs w:val="24"/>
              </w:rPr>
              <w:t>类</w:t>
            </w:r>
          </w:p>
        </w:tc>
      </w:tr>
      <w:tr w14:paraId="19F3C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612" w:type="dxa"/>
            <w:vMerge w:val="restart"/>
            <w:tcBorders>
              <w:top w:val="single" w:color="auto" w:sz="4" w:space="0"/>
            </w:tcBorders>
            <w:vAlign w:val="top"/>
          </w:tcPr>
          <w:p w14:paraId="7711FDFF">
            <w:pPr>
              <w:spacing w:line="355" w:lineRule="auto"/>
              <w:rPr>
                <w:rFonts w:hint="eastAsia" w:ascii="宋体" w:hAnsi="宋体" w:eastAsia="宋体" w:cs="宋体"/>
                <w:color w:val="auto"/>
                <w:sz w:val="24"/>
                <w:szCs w:val="24"/>
              </w:rPr>
            </w:pPr>
          </w:p>
          <w:p w14:paraId="56CC8095">
            <w:pPr>
              <w:spacing w:line="355" w:lineRule="auto"/>
              <w:rPr>
                <w:rFonts w:hint="eastAsia" w:ascii="宋体" w:hAnsi="宋体" w:eastAsia="宋体" w:cs="宋体"/>
                <w:color w:val="auto"/>
                <w:sz w:val="24"/>
                <w:szCs w:val="24"/>
              </w:rPr>
            </w:pPr>
          </w:p>
          <w:p w14:paraId="483DE887">
            <w:pPr>
              <w:spacing w:before="78" w:line="224" w:lineRule="auto"/>
              <w:ind w:left="336"/>
              <w:rPr>
                <w:rFonts w:hint="eastAsia" w:ascii="宋体" w:hAnsi="宋体" w:eastAsia="宋体" w:cs="宋体"/>
                <w:color w:val="auto"/>
                <w:sz w:val="24"/>
                <w:szCs w:val="24"/>
              </w:rPr>
            </w:pPr>
            <w:r>
              <w:rPr>
                <w:rFonts w:hint="eastAsia" w:ascii="宋体" w:hAnsi="宋体" w:eastAsia="宋体" w:cs="宋体"/>
                <w:color w:val="auto"/>
                <w:spacing w:val="-6"/>
                <w:sz w:val="24"/>
                <w:szCs w:val="24"/>
              </w:rPr>
              <w:t>乒曲篮武</w:t>
            </w:r>
          </w:p>
        </w:tc>
        <w:tc>
          <w:tcPr>
            <w:tcW w:w="4024" w:type="dxa"/>
            <w:tcBorders>
              <w:top w:val="single" w:color="auto" w:sz="4" w:space="0"/>
            </w:tcBorders>
            <w:vAlign w:val="center"/>
          </w:tcPr>
          <w:p w14:paraId="7B420A6F">
            <w:pPr>
              <w:spacing w:before="63" w:line="213" w:lineRule="auto"/>
              <w:jc w:val="center"/>
              <w:rPr>
                <w:rFonts w:hint="eastAsia" w:ascii="宋体" w:hAnsi="宋体" w:eastAsia="宋体" w:cs="宋体"/>
                <w:color w:val="auto"/>
                <w:spacing w:val="-21"/>
                <w:sz w:val="24"/>
                <w:szCs w:val="24"/>
                <w:highlight w:val="none"/>
              </w:rPr>
            </w:pPr>
            <w:r>
              <w:rPr>
                <w:rFonts w:hint="eastAsia" w:ascii="宋体" w:hAnsi="宋体" w:eastAsia="宋体" w:cs="宋体"/>
                <w:color w:val="auto"/>
                <w:spacing w:val="-24"/>
                <w:sz w:val="24"/>
                <w:szCs w:val="24"/>
                <w:highlight w:val="none"/>
                <w:lang w:eastAsia="zh-CN"/>
              </w:rPr>
              <w:t>击剑</w:t>
            </w:r>
          </w:p>
        </w:tc>
        <w:tc>
          <w:tcPr>
            <w:tcW w:w="3317" w:type="dxa"/>
            <w:vAlign w:val="center"/>
          </w:tcPr>
          <w:p w14:paraId="63A3F50A">
            <w:pPr>
              <w:spacing w:before="63" w:line="213" w:lineRule="auto"/>
              <w:jc w:val="center"/>
              <w:rPr>
                <w:rFonts w:hint="eastAsia"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4</w:t>
            </w:r>
            <w:r>
              <w:rPr>
                <w:rFonts w:hint="eastAsia" w:ascii="宋体" w:hAnsi="宋体" w:eastAsia="宋体" w:cs="宋体"/>
                <w:color w:val="auto"/>
                <w:spacing w:val="-7"/>
                <w:sz w:val="24"/>
                <w:szCs w:val="24"/>
              </w:rPr>
              <w:t>类</w:t>
            </w:r>
          </w:p>
        </w:tc>
      </w:tr>
      <w:tr w14:paraId="78786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1612" w:type="dxa"/>
            <w:vMerge w:val="continue"/>
            <w:vAlign w:val="top"/>
          </w:tcPr>
          <w:p w14:paraId="7E518BB0">
            <w:pPr>
              <w:spacing w:before="78" w:line="224" w:lineRule="auto"/>
              <w:ind w:left="336"/>
              <w:rPr>
                <w:rFonts w:hint="eastAsia" w:ascii="宋体" w:hAnsi="宋体" w:eastAsia="宋体" w:cs="宋体"/>
                <w:color w:val="auto"/>
                <w:sz w:val="24"/>
                <w:szCs w:val="24"/>
              </w:rPr>
            </w:pPr>
          </w:p>
        </w:tc>
        <w:tc>
          <w:tcPr>
            <w:tcW w:w="4024" w:type="dxa"/>
            <w:vAlign w:val="center"/>
          </w:tcPr>
          <w:p w14:paraId="11904765">
            <w:pPr>
              <w:spacing w:before="61" w:line="214" w:lineRule="auto"/>
              <w:jc w:val="center"/>
              <w:rPr>
                <w:rFonts w:hint="eastAsia" w:ascii="宋体" w:hAnsi="宋体" w:eastAsia="宋体" w:cs="宋体"/>
                <w:color w:val="auto"/>
                <w:sz w:val="24"/>
                <w:szCs w:val="24"/>
              </w:rPr>
            </w:pPr>
            <w:r>
              <w:rPr>
                <w:rFonts w:hint="eastAsia" w:ascii="宋体" w:hAnsi="宋体" w:eastAsia="宋体" w:cs="宋体"/>
                <w:color w:val="auto"/>
                <w:spacing w:val="-10"/>
                <w:sz w:val="24"/>
                <w:szCs w:val="24"/>
              </w:rPr>
              <w:t>篮球</w:t>
            </w:r>
          </w:p>
        </w:tc>
        <w:tc>
          <w:tcPr>
            <w:tcW w:w="3317" w:type="dxa"/>
            <w:vAlign w:val="center"/>
          </w:tcPr>
          <w:p w14:paraId="5AFDDCAE">
            <w:pPr>
              <w:spacing w:before="61" w:line="214" w:lineRule="auto"/>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rPr>
              <w:t>类</w:t>
            </w:r>
          </w:p>
        </w:tc>
      </w:tr>
      <w:tr w14:paraId="2348E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612" w:type="dxa"/>
            <w:vMerge w:val="continue"/>
            <w:vAlign w:val="top"/>
          </w:tcPr>
          <w:p w14:paraId="16428F60">
            <w:pPr>
              <w:spacing w:before="78" w:line="224" w:lineRule="auto"/>
              <w:ind w:left="336"/>
              <w:rPr>
                <w:rFonts w:hint="eastAsia" w:ascii="宋体" w:hAnsi="宋体" w:eastAsia="宋体" w:cs="宋体"/>
                <w:color w:val="auto"/>
                <w:spacing w:val="-6"/>
                <w:sz w:val="24"/>
                <w:szCs w:val="24"/>
              </w:rPr>
            </w:pPr>
          </w:p>
        </w:tc>
        <w:tc>
          <w:tcPr>
            <w:tcW w:w="4024" w:type="dxa"/>
            <w:shd w:val="clear" w:color="auto" w:fill="auto"/>
            <w:vAlign w:val="center"/>
          </w:tcPr>
          <w:p w14:paraId="0109EF84">
            <w:pPr>
              <w:spacing w:before="61" w:line="214"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7"/>
                <w:sz w:val="24"/>
                <w:szCs w:val="24"/>
              </w:rPr>
              <w:t>乒乓球</w:t>
            </w:r>
          </w:p>
        </w:tc>
        <w:tc>
          <w:tcPr>
            <w:tcW w:w="3317" w:type="dxa"/>
            <w:shd w:val="clear" w:color="auto" w:fill="auto"/>
            <w:vAlign w:val="center"/>
          </w:tcPr>
          <w:p w14:paraId="55B1CD4F">
            <w:pPr>
              <w:spacing w:before="61" w:line="214"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2类</w:t>
            </w:r>
          </w:p>
        </w:tc>
      </w:tr>
      <w:tr w14:paraId="2EC9F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612" w:type="dxa"/>
            <w:vMerge w:val="continue"/>
            <w:vAlign w:val="top"/>
          </w:tcPr>
          <w:p w14:paraId="1A8BEBC2">
            <w:pPr>
              <w:spacing w:before="78" w:line="224" w:lineRule="auto"/>
              <w:ind w:left="336"/>
              <w:rPr>
                <w:rFonts w:hint="eastAsia" w:ascii="宋体" w:hAnsi="宋体" w:eastAsia="宋体" w:cs="宋体"/>
                <w:color w:val="auto"/>
                <w:spacing w:val="-6"/>
                <w:sz w:val="24"/>
                <w:szCs w:val="24"/>
              </w:rPr>
            </w:pPr>
          </w:p>
        </w:tc>
        <w:tc>
          <w:tcPr>
            <w:tcW w:w="4024" w:type="dxa"/>
            <w:shd w:val="clear" w:color="auto" w:fill="auto"/>
            <w:vAlign w:val="center"/>
          </w:tcPr>
          <w:p w14:paraId="5D6DDA42">
            <w:pPr>
              <w:spacing w:before="61" w:line="214"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15"/>
                <w:sz w:val="24"/>
                <w:szCs w:val="24"/>
              </w:rPr>
              <w:t>曲棍球</w:t>
            </w:r>
          </w:p>
        </w:tc>
        <w:tc>
          <w:tcPr>
            <w:tcW w:w="3317" w:type="dxa"/>
            <w:shd w:val="clear" w:color="auto" w:fill="auto"/>
            <w:vAlign w:val="center"/>
          </w:tcPr>
          <w:p w14:paraId="5573B149">
            <w:pPr>
              <w:spacing w:before="61" w:line="214"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7"/>
                <w:sz w:val="24"/>
                <w:szCs w:val="24"/>
              </w:rPr>
              <w:t>5类</w:t>
            </w:r>
          </w:p>
        </w:tc>
      </w:tr>
      <w:tr w14:paraId="57495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612" w:type="dxa"/>
            <w:vMerge w:val="continue"/>
            <w:vAlign w:val="top"/>
          </w:tcPr>
          <w:p w14:paraId="0687F747">
            <w:pPr>
              <w:spacing w:before="78" w:line="224" w:lineRule="auto"/>
              <w:ind w:left="336"/>
              <w:rPr>
                <w:rFonts w:hint="eastAsia" w:ascii="宋体" w:hAnsi="宋体" w:eastAsia="宋体" w:cs="宋体"/>
                <w:color w:val="auto"/>
                <w:spacing w:val="-6"/>
                <w:sz w:val="24"/>
                <w:szCs w:val="24"/>
              </w:rPr>
            </w:pPr>
          </w:p>
        </w:tc>
        <w:tc>
          <w:tcPr>
            <w:tcW w:w="4024" w:type="dxa"/>
            <w:shd w:val="clear" w:color="auto" w:fill="auto"/>
            <w:vAlign w:val="center"/>
          </w:tcPr>
          <w:p w14:paraId="0BA9BC36">
            <w:pPr>
              <w:spacing w:before="61" w:line="214"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武术散打</w:t>
            </w:r>
          </w:p>
        </w:tc>
        <w:tc>
          <w:tcPr>
            <w:tcW w:w="3317" w:type="dxa"/>
            <w:shd w:val="clear" w:color="auto" w:fill="auto"/>
            <w:vAlign w:val="center"/>
          </w:tcPr>
          <w:p w14:paraId="1173C85D">
            <w:pPr>
              <w:spacing w:before="61" w:line="214"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lang w:val="en-US" w:eastAsia="zh-CN"/>
              </w:rPr>
              <w:t>5</w:t>
            </w:r>
            <w:r>
              <w:rPr>
                <w:rFonts w:hint="eastAsia" w:ascii="宋体" w:hAnsi="宋体" w:eastAsia="宋体" w:cs="宋体"/>
                <w:color w:val="auto"/>
                <w:spacing w:val="-6"/>
                <w:sz w:val="24"/>
                <w:szCs w:val="24"/>
              </w:rPr>
              <w:t>类</w:t>
            </w:r>
          </w:p>
        </w:tc>
      </w:tr>
      <w:tr w14:paraId="39419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612" w:type="dxa"/>
            <w:vMerge w:val="continue"/>
            <w:vAlign w:val="top"/>
          </w:tcPr>
          <w:p w14:paraId="50E919F3">
            <w:pPr>
              <w:spacing w:before="78" w:line="224" w:lineRule="auto"/>
              <w:ind w:left="336"/>
              <w:rPr>
                <w:rFonts w:hint="eastAsia" w:ascii="宋体" w:hAnsi="宋体" w:eastAsia="宋体" w:cs="宋体"/>
                <w:color w:val="auto"/>
                <w:spacing w:val="-6"/>
                <w:sz w:val="24"/>
                <w:szCs w:val="24"/>
              </w:rPr>
            </w:pPr>
          </w:p>
        </w:tc>
        <w:tc>
          <w:tcPr>
            <w:tcW w:w="4024" w:type="dxa"/>
            <w:shd w:val="clear" w:color="auto" w:fill="auto"/>
            <w:vAlign w:val="center"/>
          </w:tcPr>
          <w:p w14:paraId="4A08EEE7">
            <w:pPr>
              <w:spacing w:before="61" w:line="214"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7"/>
                <w:sz w:val="24"/>
                <w:szCs w:val="24"/>
                <w:highlight w:val="none"/>
                <w:lang w:eastAsia="zh-CN"/>
              </w:rPr>
              <w:t>手球</w:t>
            </w:r>
          </w:p>
        </w:tc>
        <w:tc>
          <w:tcPr>
            <w:tcW w:w="3317" w:type="dxa"/>
            <w:shd w:val="clear" w:color="auto" w:fill="auto"/>
            <w:vAlign w:val="center"/>
          </w:tcPr>
          <w:p w14:paraId="4E9D3343">
            <w:pPr>
              <w:spacing w:before="61" w:line="21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rPr>
              <w:t>类</w:t>
            </w:r>
          </w:p>
        </w:tc>
      </w:tr>
      <w:tr w14:paraId="2C36D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612" w:type="dxa"/>
            <w:vMerge w:val="continue"/>
            <w:tcBorders>
              <w:bottom w:val="nil"/>
            </w:tcBorders>
            <w:vAlign w:val="top"/>
          </w:tcPr>
          <w:p w14:paraId="28B4CDDC">
            <w:pPr>
              <w:rPr>
                <w:rFonts w:hint="eastAsia" w:ascii="宋体" w:hAnsi="宋体" w:eastAsia="宋体" w:cs="宋体"/>
                <w:color w:val="auto"/>
                <w:sz w:val="24"/>
                <w:szCs w:val="24"/>
              </w:rPr>
            </w:pPr>
          </w:p>
        </w:tc>
        <w:tc>
          <w:tcPr>
            <w:tcW w:w="4024" w:type="dxa"/>
            <w:vAlign w:val="center"/>
          </w:tcPr>
          <w:p w14:paraId="51764EFE">
            <w:pPr>
              <w:spacing w:before="61" w:line="214" w:lineRule="auto"/>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rPr>
              <w:t>武术套路</w:t>
            </w:r>
          </w:p>
        </w:tc>
        <w:tc>
          <w:tcPr>
            <w:tcW w:w="3317" w:type="dxa"/>
            <w:vAlign w:val="center"/>
          </w:tcPr>
          <w:p w14:paraId="4EF46594">
            <w:pPr>
              <w:spacing w:before="61" w:line="214" w:lineRule="auto"/>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5类</w:t>
            </w:r>
          </w:p>
        </w:tc>
      </w:tr>
      <w:tr w14:paraId="5AE6F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612" w:type="dxa"/>
            <w:vMerge w:val="restart"/>
            <w:tcBorders>
              <w:bottom w:val="nil"/>
            </w:tcBorders>
            <w:vAlign w:val="top"/>
          </w:tcPr>
          <w:p w14:paraId="20B8E0F2">
            <w:pPr>
              <w:spacing w:before="246" w:line="223" w:lineRule="auto"/>
              <w:ind w:left="584"/>
              <w:rPr>
                <w:rFonts w:hint="eastAsia" w:ascii="宋体" w:hAnsi="宋体" w:eastAsia="宋体" w:cs="宋体"/>
                <w:color w:val="auto"/>
                <w:sz w:val="24"/>
                <w:szCs w:val="24"/>
              </w:rPr>
            </w:pPr>
            <w:r>
              <w:rPr>
                <w:rFonts w:hint="eastAsia" w:ascii="宋体" w:hAnsi="宋体" w:eastAsia="宋体" w:cs="宋体"/>
                <w:color w:val="auto"/>
                <w:spacing w:val="-15"/>
                <w:sz w:val="24"/>
                <w:szCs w:val="24"/>
              </w:rPr>
              <w:t>两射</w:t>
            </w:r>
          </w:p>
        </w:tc>
        <w:tc>
          <w:tcPr>
            <w:tcW w:w="4024" w:type="dxa"/>
            <w:vAlign w:val="center"/>
          </w:tcPr>
          <w:p w14:paraId="1034FD99">
            <w:pPr>
              <w:spacing w:before="64" w:line="212" w:lineRule="auto"/>
              <w:jc w:val="center"/>
              <w:rPr>
                <w:rFonts w:hint="eastAsia" w:ascii="宋体" w:hAnsi="宋体" w:eastAsia="宋体" w:cs="宋体"/>
                <w:color w:val="auto"/>
                <w:sz w:val="24"/>
                <w:szCs w:val="24"/>
              </w:rPr>
            </w:pPr>
            <w:r>
              <w:rPr>
                <w:rFonts w:hint="eastAsia" w:ascii="宋体" w:hAnsi="宋体" w:eastAsia="宋体" w:cs="宋体"/>
                <w:color w:val="auto"/>
                <w:spacing w:val="-8"/>
                <w:sz w:val="24"/>
                <w:szCs w:val="24"/>
              </w:rPr>
              <w:t>射击</w:t>
            </w:r>
          </w:p>
        </w:tc>
        <w:tc>
          <w:tcPr>
            <w:tcW w:w="3317" w:type="dxa"/>
            <w:vAlign w:val="center"/>
          </w:tcPr>
          <w:p w14:paraId="0CA89F1E">
            <w:pPr>
              <w:spacing w:before="64" w:line="212" w:lineRule="auto"/>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rPr>
              <w:t>2类</w:t>
            </w:r>
          </w:p>
        </w:tc>
      </w:tr>
      <w:tr w14:paraId="384D8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612" w:type="dxa"/>
            <w:vMerge w:val="continue"/>
            <w:tcBorders>
              <w:top w:val="nil"/>
            </w:tcBorders>
            <w:vAlign w:val="top"/>
          </w:tcPr>
          <w:p w14:paraId="721FAAFF">
            <w:pPr>
              <w:rPr>
                <w:rFonts w:hint="eastAsia" w:ascii="宋体" w:hAnsi="宋体" w:eastAsia="宋体" w:cs="宋体"/>
                <w:color w:val="auto"/>
                <w:sz w:val="24"/>
                <w:szCs w:val="24"/>
              </w:rPr>
            </w:pPr>
          </w:p>
        </w:tc>
        <w:tc>
          <w:tcPr>
            <w:tcW w:w="4024" w:type="dxa"/>
            <w:vAlign w:val="center"/>
          </w:tcPr>
          <w:p w14:paraId="5879A920">
            <w:pPr>
              <w:spacing w:before="63" w:line="213" w:lineRule="auto"/>
              <w:jc w:val="center"/>
              <w:rPr>
                <w:rFonts w:hint="eastAsia" w:ascii="宋体" w:hAnsi="宋体" w:eastAsia="宋体" w:cs="宋体"/>
                <w:color w:val="auto"/>
                <w:sz w:val="24"/>
                <w:szCs w:val="24"/>
              </w:rPr>
            </w:pPr>
            <w:r>
              <w:rPr>
                <w:rFonts w:hint="eastAsia" w:ascii="宋体" w:hAnsi="宋体" w:eastAsia="宋体" w:cs="宋体"/>
                <w:color w:val="auto"/>
                <w:spacing w:val="-8"/>
                <w:sz w:val="24"/>
                <w:szCs w:val="24"/>
              </w:rPr>
              <w:t>射箭</w:t>
            </w:r>
          </w:p>
        </w:tc>
        <w:tc>
          <w:tcPr>
            <w:tcW w:w="3317" w:type="dxa"/>
            <w:vAlign w:val="center"/>
          </w:tcPr>
          <w:p w14:paraId="254FB2BA">
            <w:pPr>
              <w:spacing w:before="63" w:line="213" w:lineRule="auto"/>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rPr>
              <w:t>类</w:t>
            </w:r>
          </w:p>
        </w:tc>
      </w:tr>
      <w:tr w14:paraId="70556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612" w:type="dxa"/>
            <w:vMerge w:val="restart"/>
            <w:vAlign w:val="top"/>
          </w:tcPr>
          <w:p w14:paraId="48EDD1E8">
            <w:pPr>
              <w:spacing w:line="264" w:lineRule="auto"/>
              <w:rPr>
                <w:rFonts w:hint="eastAsia" w:ascii="宋体" w:hAnsi="宋体" w:eastAsia="宋体" w:cs="宋体"/>
                <w:color w:val="auto"/>
                <w:sz w:val="24"/>
                <w:szCs w:val="24"/>
              </w:rPr>
            </w:pPr>
          </w:p>
          <w:p w14:paraId="7E5FA4E1">
            <w:pPr>
              <w:spacing w:line="265" w:lineRule="auto"/>
              <w:rPr>
                <w:rFonts w:hint="eastAsia" w:ascii="宋体" w:hAnsi="宋体" w:eastAsia="宋体" w:cs="宋体"/>
                <w:color w:val="auto"/>
                <w:sz w:val="24"/>
                <w:szCs w:val="24"/>
              </w:rPr>
            </w:pPr>
          </w:p>
          <w:p w14:paraId="09EB9499">
            <w:pPr>
              <w:spacing w:before="78" w:line="223" w:lineRule="auto"/>
              <w:ind w:left="571"/>
              <w:rPr>
                <w:rFonts w:hint="eastAsia" w:ascii="宋体" w:hAnsi="宋体" w:eastAsia="宋体" w:cs="宋体"/>
                <w:color w:val="auto"/>
                <w:sz w:val="24"/>
                <w:szCs w:val="24"/>
              </w:rPr>
            </w:pPr>
            <w:r>
              <w:rPr>
                <w:rFonts w:hint="eastAsia" w:ascii="宋体" w:hAnsi="宋体" w:eastAsia="宋体" w:cs="宋体"/>
                <w:color w:val="auto"/>
                <w:spacing w:val="-8"/>
                <w:sz w:val="24"/>
                <w:szCs w:val="24"/>
              </w:rPr>
              <w:t>水上</w:t>
            </w:r>
          </w:p>
        </w:tc>
        <w:tc>
          <w:tcPr>
            <w:tcW w:w="4024" w:type="dxa"/>
            <w:vAlign w:val="center"/>
          </w:tcPr>
          <w:p w14:paraId="5D6BD0B1">
            <w:pPr>
              <w:spacing w:before="63" w:line="213" w:lineRule="auto"/>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9"/>
                <w:sz w:val="24"/>
                <w:szCs w:val="24"/>
                <w:highlight w:val="none"/>
                <w:lang w:eastAsia="zh-CN"/>
              </w:rPr>
              <w:t>游泳</w:t>
            </w:r>
          </w:p>
        </w:tc>
        <w:tc>
          <w:tcPr>
            <w:tcW w:w="3317" w:type="dxa"/>
            <w:vAlign w:val="center"/>
          </w:tcPr>
          <w:p w14:paraId="7476ED64">
            <w:pPr>
              <w:spacing w:before="63" w:line="213"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6"/>
                <w:sz w:val="24"/>
                <w:szCs w:val="24"/>
                <w:highlight w:val="none"/>
              </w:rPr>
              <w:t>2类</w:t>
            </w:r>
          </w:p>
        </w:tc>
      </w:tr>
      <w:tr w14:paraId="732F8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612" w:type="dxa"/>
            <w:vMerge w:val="continue"/>
            <w:vAlign w:val="top"/>
          </w:tcPr>
          <w:p w14:paraId="3D8C46A9">
            <w:pPr>
              <w:spacing w:before="78" w:line="223" w:lineRule="auto"/>
              <w:ind w:left="571"/>
              <w:rPr>
                <w:rFonts w:hint="eastAsia" w:ascii="宋体" w:hAnsi="宋体" w:eastAsia="宋体" w:cs="宋体"/>
                <w:color w:val="auto"/>
                <w:spacing w:val="-8"/>
                <w:sz w:val="24"/>
                <w:szCs w:val="24"/>
              </w:rPr>
            </w:pPr>
          </w:p>
        </w:tc>
        <w:tc>
          <w:tcPr>
            <w:tcW w:w="4024" w:type="dxa"/>
            <w:shd w:val="clear" w:color="auto" w:fill="auto"/>
            <w:vAlign w:val="center"/>
          </w:tcPr>
          <w:p w14:paraId="43E53F64">
            <w:pPr>
              <w:spacing w:before="63" w:line="213"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8"/>
                <w:sz w:val="24"/>
                <w:szCs w:val="24"/>
              </w:rPr>
              <w:t>蹼泳</w:t>
            </w:r>
          </w:p>
        </w:tc>
        <w:tc>
          <w:tcPr>
            <w:tcW w:w="3317" w:type="dxa"/>
            <w:shd w:val="clear" w:color="auto" w:fill="auto"/>
            <w:vAlign w:val="center"/>
          </w:tcPr>
          <w:p w14:paraId="3A537876">
            <w:pPr>
              <w:spacing w:before="63" w:line="213"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2类</w:t>
            </w:r>
          </w:p>
        </w:tc>
      </w:tr>
      <w:tr w14:paraId="6FE7C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612" w:type="dxa"/>
            <w:vMerge w:val="continue"/>
            <w:vAlign w:val="top"/>
          </w:tcPr>
          <w:p w14:paraId="47E977B0">
            <w:pPr>
              <w:spacing w:before="78" w:line="223" w:lineRule="auto"/>
              <w:ind w:left="571"/>
              <w:rPr>
                <w:rFonts w:hint="eastAsia" w:ascii="宋体" w:hAnsi="宋体" w:eastAsia="宋体" w:cs="宋体"/>
                <w:color w:val="auto"/>
                <w:sz w:val="24"/>
                <w:szCs w:val="24"/>
              </w:rPr>
            </w:pPr>
          </w:p>
        </w:tc>
        <w:tc>
          <w:tcPr>
            <w:tcW w:w="4024" w:type="dxa"/>
            <w:vAlign w:val="center"/>
          </w:tcPr>
          <w:p w14:paraId="3535BB88">
            <w:pPr>
              <w:spacing w:before="63" w:line="213" w:lineRule="auto"/>
              <w:jc w:val="center"/>
              <w:rPr>
                <w:rFonts w:hint="eastAsia" w:ascii="宋体" w:hAnsi="宋体" w:eastAsia="宋体" w:cs="宋体"/>
                <w:color w:val="auto"/>
                <w:sz w:val="24"/>
                <w:szCs w:val="24"/>
              </w:rPr>
            </w:pPr>
            <w:r>
              <w:rPr>
                <w:rFonts w:hint="eastAsia" w:ascii="宋体" w:hAnsi="宋体" w:eastAsia="宋体" w:cs="宋体"/>
                <w:color w:val="auto"/>
                <w:spacing w:val="-8"/>
                <w:sz w:val="24"/>
                <w:szCs w:val="24"/>
              </w:rPr>
              <w:t>赛艇</w:t>
            </w:r>
          </w:p>
        </w:tc>
        <w:tc>
          <w:tcPr>
            <w:tcW w:w="3317" w:type="dxa"/>
            <w:vAlign w:val="center"/>
          </w:tcPr>
          <w:p w14:paraId="39E3923E">
            <w:pPr>
              <w:spacing w:before="63" w:line="213" w:lineRule="auto"/>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rPr>
              <w:t>类</w:t>
            </w:r>
          </w:p>
        </w:tc>
      </w:tr>
      <w:tr w14:paraId="151F6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612" w:type="dxa"/>
            <w:vMerge w:val="continue"/>
            <w:vAlign w:val="top"/>
          </w:tcPr>
          <w:p w14:paraId="0EC6EE10">
            <w:pPr>
              <w:rPr>
                <w:rFonts w:hint="eastAsia" w:ascii="宋体" w:hAnsi="宋体" w:eastAsia="宋体" w:cs="宋体"/>
                <w:color w:val="auto"/>
                <w:sz w:val="24"/>
                <w:szCs w:val="24"/>
              </w:rPr>
            </w:pPr>
          </w:p>
        </w:tc>
        <w:tc>
          <w:tcPr>
            <w:tcW w:w="4024" w:type="dxa"/>
            <w:vAlign w:val="center"/>
          </w:tcPr>
          <w:p w14:paraId="72577681">
            <w:pPr>
              <w:spacing w:before="63" w:line="21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皮艇</w:t>
            </w:r>
          </w:p>
        </w:tc>
        <w:tc>
          <w:tcPr>
            <w:tcW w:w="3317" w:type="dxa"/>
            <w:vAlign w:val="center"/>
          </w:tcPr>
          <w:p w14:paraId="220983FE">
            <w:pPr>
              <w:spacing w:before="63" w:line="21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类</w:t>
            </w:r>
          </w:p>
        </w:tc>
      </w:tr>
      <w:tr w14:paraId="1326E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612" w:type="dxa"/>
            <w:vMerge w:val="continue"/>
            <w:vAlign w:val="top"/>
          </w:tcPr>
          <w:p w14:paraId="51DDBFC7">
            <w:pPr>
              <w:rPr>
                <w:rFonts w:hint="eastAsia" w:ascii="宋体" w:hAnsi="宋体" w:eastAsia="宋体" w:cs="宋体"/>
                <w:color w:val="auto"/>
                <w:sz w:val="24"/>
                <w:szCs w:val="24"/>
              </w:rPr>
            </w:pPr>
          </w:p>
        </w:tc>
        <w:tc>
          <w:tcPr>
            <w:tcW w:w="4024" w:type="dxa"/>
            <w:tcBorders>
              <w:bottom w:val="single" w:color="auto" w:sz="4" w:space="0"/>
            </w:tcBorders>
            <w:vAlign w:val="center"/>
          </w:tcPr>
          <w:p w14:paraId="4955A028">
            <w:pPr>
              <w:spacing w:before="63" w:line="21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rPr>
              <w:t>静水皮划艇</w:t>
            </w:r>
          </w:p>
        </w:tc>
        <w:tc>
          <w:tcPr>
            <w:tcW w:w="3317" w:type="dxa"/>
            <w:vAlign w:val="center"/>
          </w:tcPr>
          <w:p w14:paraId="01505714">
            <w:pPr>
              <w:spacing w:before="63" w:line="21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类</w:t>
            </w:r>
          </w:p>
        </w:tc>
      </w:tr>
      <w:tr w14:paraId="06A12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612" w:type="dxa"/>
            <w:vMerge w:val="continue"/>
            <w:vAlign w:val="top"/>
          </w:tcPr>
          <w:p w14:paraId="1F3D672C">
            <w:pPr>
              <w:rPr>
                <w:rFonts w:hint="eastAsia" w:ascii="宋体" w:hAnsi="宋体" w:eastAsia="宋体" w:cs="宋体"/>
                <w:color w:val="auto"/>
                <w:sz w:val="24"/>
                <w:szCs w:val="24"/>
              </w:rPr>
            </w:pPr>
          </w:p>
        </w:tc>
        <w:tc>
          <w:tcPr>
            <w:tcW w:w="4024" w:type="dxa"/>
            <w:tcBorders>
              <w:bottom w:val="single" w:color="auto" w:sz="4" w:space="0"/>
            </w:tcBorders>
            <w:shd w:val="clear" w:color="auto" w:fill="auto"/>
            <w:vAlign w:val="center"/>
          </w:tcPr>
          <w:p w14:paraId="76E2BAE2">
            <w:pPr>
              <w:spacing w:before="62" w:line="22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1"/>
                <w:sz w:val="24"/>
                <w:szCs w:val="24"/>
                <w:highlight w:val="none"/>
              </w:rPr>
              <w:t>滑板</w:t>
            </w:r>
          </w:p>
        </w:tc>
        <w:tc>
          <w:tcPr>
            <w:tcW w:w="3317" w:type="dxa"/>
            <w:shd w:val="clear" w:color="auto" w:fill="auto"/>
            <w:vAlign w:val="center"/>
          </w:tcPr>
          <w:p w14:paraId="7B068C6C">
            <w:pPr>
              <w:spacing w:before="62" w:line="22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r>
      <w:tr w14:paraId="646EB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612" w:type="dxa"/>
            <w:vMerge w:val="continue"/>
            <w:tcBorders>
              <w:bottom w:val="single" w:color="auto" w:sz="4" w:space="0"/>
            </w:tcBorders>
            <w:vAlign w:val="top"/>
          </w:tcPr>
          <w:p w14:paraId="05C837FD">
            <w:pPr>
              <w:rPr>
                <w:rFonts w:hint="eastAsia" w:ascii="宋体" w:hAnsi="宋体" w:eastAsia="宋体" w:cs="宋体"/>
                <w:color w:val="auto"/>
                <w:sz w:val="24"/>
                <w:szCs w:val="24"/>
              </w:rPr>
            </w:pPr>
          </w:p>
        </w:tc>
        <w:tc>
          <w:tcPr>
            <w:tcW w:w="4024" w:type="dxa"/>
            <w:tcBorders>
              <w:bottom w:val="single" w:color="auto" w:sz="4" w:space="0"/>
            </w:tcBorders>
            <w:shd w:val="clear" w:color="auto" w:fill="auto"/>
            <w:vAlign w:val="center"/>
          </w:tcPr>
          <w:p w14:paraId="3A43CFEC">
            <w:pPr>
              <w:spacing w:before="176" w:line="224"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速度轮滑</w:t>
            </w:r>
          </w:p>
        </w:tc>
        <w:tc>
          <w:tcPr>
            <w:tcW w:w="3317" w:type="dxa"/>
            <w:shd w:val="clear" w:color="auto" w:fill="auto"/>
            <w:vAlign w:val="center"/>
          </w:tcPr>
          <w:p w14:paraId="31594D77">
            <w:pPr>
              <w:spacing w:before="63" w:line="213"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rPr>
              <w:t>类</w:t>
            </w:r>
          </w:p>
        </w:tc>
      </w:tr>
      <w:tr w14:paraId="320BF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612" w:type="dxa"/>
            <w:tcBorders>
              <w:top w:val="single" w:color="auto" w:sz="4" w:space="0"/>
              <w:bottom w:val="single" w:color="auto" w:sz="4" w:space="0"/>
            </w:tcBorders>
            <w:shd w:val="clear" w:color="auto" w:fill="auto"/>
            <w:vAlign w:val="top"/>
          </w:tcPr>
          <w:p w14:paraId="27CFE04E">
            <w:pPr>
              <w:spacing w:before="63" w:line="213" w:lineRule="auto"/>
              <w:ind w:left="598" w:left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22"/>
                <w:sz w:val="24"/>
                <w:szCs w:val="24"/>
              </w:rPr>
              <w:t>网球</w:t>
            </w:r>
          </w:p>
        </w:tc>
        <w:tc>
          <w:tcPr>
            <w:tcW w:w="4024" w:type="dxa"/>
            <w:tcBorders>
              <w:top w:val="single" w:color="auto" w:sz="4" w:space="0"/>
              <w:bottom w:val="single" w:color="auto" w:sz="4" w:space="0"/>
            </w:tcBorders>
            <w:shd w:val="clear" w:color="auto" w:fill="auto"/>
            <w:vAlign w:val="center"/>
          </w:tcPr>
          <w:p w14:paraId="5E6E02F7">
            <w:pPr>
              <w:spacing w:before="63" w:line="213"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22"/>
                <w:sz w:val="24"/>
                <w:szCs w:val="24"/>
              </w:rPr>
              <w:t>网球</w:t>
            </w:r>
          </w:p>
        </w:tc>
        <w:tc>
          <w:tcPr>
            <w:tcW w:w="3317" w:type="dxa"/>
            <w:shd w:val="clear" w:color="auto" w:fill="auto"/>
            <w:vAlign w:val="center"/>
          </w:tcPr>
          <w:p w14:paraId="41458D20">
            <w:pPr>
              <w:spacing w:before="63" w:line="213"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2类</w:t>
            </w:r>
          </w:p>
        </w:tc>
      </w:tr>
      <w:tr w14:paraId="79B19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612" w:type="dxa"/>
            <w:vMerge w:val="restart"/>
            <w:shd w:val="clear" w:color="auto" w:fill="auto"/>
            <w:vAlign w:val="center"/>
          </w:tcPr>
          <w:p w14:paraId="3D242B5B">
            <w:pPr>
              <w:spacing w:before="63" w:line="213"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棋牌中心</w:t>
            </w:r>
          </w:p>
        </w:tc>
        <w:tc>
          <w:tcPr>
            <w:tcW w:w="4024" w:type="dxa"/>
            <w:shd w:val="clear" w:color="auto" w:fill="auto"/>
            <w:vAlign w:val="center"/>
          </w:tcPr>
          <w:p w14:paraId="1350CCAF">
            <w:pPr>
              <w:spacing w:before="63" w:line="213"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22"/>
                <w:sz w:val="24"/>
                <w:szCs w:val="24"/>
                <w:lang w:eastAsia="zh-CN"/>
              </w:rPr>
              <w:t>围棋</w:t>
            </w:r>
          </w:p>
        </w:tc>
        <w:tc>
          <w:tcPr>
            <w:tcW w:w="3317" w:type="dxa"/>
            <w:shd w:val="clear" w:color="auto" w:fill="auto"/>
            <w:vAlign w:val="center"/>
          </w:tcPr>
          <w:p w14:paraId="42244B86">
            <w:pPr>
              <w:spacing w:before="63" w:line="213"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highlight w:val="none"/>
              </w:rPr>
              <w:t>2类</w:t>
            </w:r>
          </w:p>
        </w:tc>
      </w:tr>
      <w:tr w14:paraId="773B5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612" w:type="dxa"/>
            <w:vMerge w:val="continue"/>
            <w:shd w:val="clear" w:color="auto" w:fill="auto"/>
            <w:vAlign w:val="top"/>
          </w:tcPr>
          <w:p w14:paraId="2045A2D2">
            <w:pPr>
              <w:spacing w:before="63" w:line="213" w:lineRule="auto"/>
              <w:ind w:left="598" w:leftChars="0"/>
              <w:rPr>
                <w:rFonts w:hint="eastAsia" w:ascii="宋体" w:hAnsi="宋体" w:eastAsia="宋体" w:cs="宋体"/>
                <w:color w:val="auto"/>
                <w:kern w:val="2"/>
                <w:sz w:val="24"/>
                <w:szCs w:val="24"/>
                <w:lang w:val="en-US" w:eastAsia="zh-CN" w:bidi="ar-SA"/>
              </w:rPr>
            </w:pPr>
          </w:p>
        </w:tc>
        <w:tc>
          <w:tcPr>
            <w:tcW w:w="4024" w:type="dxa"/>
            <w:shd w:val="clear" w:color="auto" w:fill="auto"/>
            <w:vAlign w:val="center"/>
          </w:tcPr>
          <w:p w14:paraId="5BF19D39">
            <w:pPr>
              <w:spacing w:before="173" w:line="223"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国际象棋</w:t>
            </w:r>
          </w:p>
        </w:tc>
        <w:tc>
          <w:tcPr>
            <w:tcW w:w="3317" w:type="dxa"/>
            <w:shd w:val="clear" w:color="auto" w:fill="auto"/>
            <w:vAlign w:val="center"/>
          </w:tcPr>
          <w:p w14:paraId="42609D81">
            <w:pPr>
              <w:spacing w:before="63" w:line="213"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rPr>
              <w:t>2类</w:t>
            </w:r>
          </w:p>
        </w:tc>
      </w:tr>
    </w:tbl>
    <w:p w14:paraId="16D86061">
      <w:pPr>
        <w:pStyle w:val="18"/>
        <w:spacing w:before="235" w:line="221" w:lineRule="auto"/>
        <w:ind w:left="36"/>
        <w:outlineLvl w:val="0"/>
        <w:rPr>
          <w:rFonts w:hint="eastAsia" w:ascii="宋体" w:hAnsi="宋体" w:eastAsia="宋体" w:cs="宋体"/>
          <w:color w:val="auto"/>
          <w:sz w:val="24"/>
          <w:szCs w:val="24"/>
        </w:rPr>
      </w:pPr>
      <w:r>
        <w:rPr>
          <w:rFonts w:hint="eastAsia" w:ascii="宋体" w:hAnsi="宋体" w:eastAsia="宋体" w:cs="宋体"/>
          <w:color w:val="auto"/>
          <w:spacing w:val="-3"/>
          <w:sz w:val="24"/>
          <w:szCs w:val="24"/>
          <w:lang w:eastAsia="zh-CN"/>
        </w:rPr>
        <w:t>（二）</w:t>
      </w:r>
      <w:r>
        <w:rPr>
          <w:rFonts w:hint="eastAsia" w:ascii="宋体" w:hAnsi="宋体" w:eastAsia="宋体" w:cs="宋体"/>
          <w:color w:val="auto"/>
          <w:spacing w:val="-3"/>
          <w:sz w:val="24"/>
          <w:szCs w:val="24"/>
        </w:rPr>
        <w:t>投保标准</w:t>
      </w:r>
    </w:p>
    <w:p w14:paraId="46F2AB7A">
      <w:pPr>
        <w:spacing w:line="186" w:lineRule="exact"/>
        <w:rPr>
          <w:rFonts w:hint="eastAsia" w:ascii="宋体" w:hAnsi="宋体" w:eastAsia="宋体" w:cs="宋体"/>
          <w:color w:val="auto"/>
          <w:sz w:val="24"/>
          <w:szCs w:val="24"/>
        </w:rPr>
      </w:pPr>
    </w:p>
    <w:tbl>
      <w:tblPr>
        <w:tblStyle w:val="175"/>
        <w:tblW w:w="9100"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23"/>
        <w:gridCol w:w="5"/>
        <w:gridCol w:w="5272"/>
      </w:tblGrid>
      <w:tr w14:paraId="2BDC7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828" w:type="dxa"/>
            <w:gridSpan w:val="2"/>
            <w:vAlign w:val="center"/>
          </w:tcPr>
          <w:p w14:paraId="4410E4E4">
            <w:pPr>
              <w:jc w:val="center"/>
              <w:rPr>
                <w:rFonts w:hint="eastAsia" w:ascii="宋体" w:hAnsi="宋体" w:eastAsia="宋体" w:cs="宋体"/>
                <w:color w:val="auto"/>
                <w:sz w:val="24"/>
                <w:szCs w:val="24"/>
              </w:rPr>
            </w:pPr>
          </w:p>
        </w:tc>
        <w:tc>
          <w:tcPr>
            <w:tcW w:w="5272" w:type="dxa"/>
            <w:vAlign w:val="center"/>
          </w:tcPr>
          <w:p w14:paraId="6E261D2E">
            <w:pPr>
              <w:spacing w:before="173" w:line="222"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保额标准</w:t>
            </w:r>
          </w:p>
        </w:tc>
      </w:tr>
      <w:tr w14:paraId="0E031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3828" w:type="dxa"/>
            <w:gridSpan w:val="2"/>
            <w:vAlign w:val="center"/>
          </w:tcPr>
          <w:p w14:paraId="1AE10640">
            <w:pPr>
              <w:spacing w:before="176" w:line="222" w:lineRule="auto"/>
              <w:jc w:val="center"/>
              <w:rPr>
                <w:rFonts w:hint="eastAsia" w:ascii="宋体" w:hAnsi="宋体" w:eastAsia="宋体" w:cs="宋体"/>
                <w:color w:val="auto"/>
                <w:sz w:val="24"/>
                <w:szCs w:val="24"/>
              </w:rPr>
            </w:pPr>
            <w:r>
              <w:rPr>
                <w:rFonts w:hint="eastAsia" w:ascii="宋体" w:hAnsi="宋体" w:eastAsia="宋体" w:cs="宋体"/>
                <w:color w:val="auto"/>
                <w:spacing w:val="-17"/>
                <w:sz w:val="24"/>
                <w:szCs w:val="24"/>
              </w:rPr>
              <w:t>意外伤害（1-10</w:t>
            </w:r>
            <w:r>
              <w:rPr>
                <w:rFonts w:hint="eastAsia" w:ascii="宋体" w:hAnsi="宋体" w:eastAsia="宋体" w:cs="宋体"/>
                <w:color w:val="auto"/>
                <w:spacing w:val="-56"/>
                <w:sz w:val="24"/>
                <w:szCs w:val="24"/>
              </w:rPr>
              <w:t xml:space="preserve"> </w:t>
            </w:r>
            <w:r>
              <w:rPr>
                <w:rFonts w:hint="eastAsia" w:ascii="宋体" w:hAnsi="宋体" w:eastAsia="宋体" w:cs="宋体"/>
                <w:color w:val="auto"/>
                <w:spacing w:val="-17"/>
                <w:sz w:val="24"/>
                <w:szCs w:val="24"/>
              </w:rPr>
              <w:t>级）</w:t>
            </w:r>
          </w:p>
        </w:tc>
        <w:tc>
          <w:tcPr>
            <w:tcW w:w="5272" w:type="dxa"/>
            <w:vAlign w:val="center"/>
          </w:tcPr>
          <w:p w14:paraId="43C94FD9">
            <w:pPr>
              <w:spacing w:before="176" w:line="227" w:lineRule="auto"/>
              <w:jc w:val="center"/>
              <w:rPr>
                <w:rFonts w:hint="eastAsia" w:ascii="宋体" w:hAnsi="宋体" w:eastAsia="宋体" w:cs="宋体"/>
                <w:color w:val="auto"/>
                <w:sz w:val="24"/>
                <w:szCs w:val="24"/>
              </w:rPr>
            </w:pPr>
            <w:r>
              <w:rPr>
                <w:rFonts w:hint="eastAsia" w:ascii="宋体" w:hAnsi="宋体" w:eastAsia="宋体" w:cs="宋体"/>
                <w:color w:val="auto"/>
                <w:spacing w:val="-3"/>
                <w:sz w:val="24"/>
                <w:szCs w:val="24"/>
              </w:rPr>
              <w:t>40</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3"/>
                <w:sz w:val="24"/>
                <w:szCs w:val="24"/>
              </w:rPr>
              <w:t>万</w:t>
            </w:r>
          </w:p>
        </w:tc>
      </w:tr>
      <w:tr w14:paraId="2CFA4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3828" w:type="dxa"/>
            <w:gridSpan w:val="2"/>
            <w:vAlign w:val="center"/>
          </w:tcPr>
          <w:p w14:paraId="32E6FC65">
            <w:pPr>
              <w:spacing w:before="171" w:line="222"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疾病身故</w:t>
            </w:r>
          </w:p>
        </w:tc>
        <w:tc>
          <w:tcPr>
            <w:tcW w:w="5272" w:type="dxa"/>
            <w:vAlign w:val="center"/>
          </w:tcPr>
          <w:p w14:paraId="6E93DDDD">
            <w:pPr>
              <w:spacing w:before="171" w:line="227" w:lineRule="auto"/>
              <w:jc w:val="center"/>
              <w:rPr>
                <w:rFonts w:hint="eastAsia" w:ascii="宋体" w:hAnsi="宋体" w:eastAsia="宋体" w:cs="宋体"/>
                <w:color w:val="auto"/>
                <w:sz w:val="24"/>
                <w:szCs w:val="24"/>
              </w:rPr>
            </w:pPr>
            <w:r>
              <w:rPr>
                <w:rFonts w:hint="eastAsia" w:ascii="宋体" w:hAnsi="宋体" w:eastAsia="宋体" w:cs="宋体"/>
                <w:color w:val="auto"/>
                <w:spacing w:val="-10"/>
                <w:sz w:val="24"/>
                <w:szCs w:val="24"/>
              </w:rPr>
              <w:t>10</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0"/>
                <w:sz w:val="24"/>
                <w:szCs w:val="24"/>
              </w:rPr>
              <w:t>万</w:t>
            </w:r>
          </w:p>
        </w:tc>
      </w:tr>
      <w:tr w14:paraId="6AD31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823" w:type="dxa"/>
            <w:vAlign w:val="center"/>
          </w:tcPr>
          <w:p w14:paraId="7917E912">
            <w:pPr>
              <w:spacing w:before="172" w:line="222"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意外医疗</w:t>
            </w:r>
          </w:p>
        </w:tc>
        <w:tc>
          <w:tcPr>
            <w:tcW w:w="5277" w:type="dxa"/>
            <w:gridSpan w:val="2"/>
            <w:vAlign w:val="center"/>
          </w:tcPr>
          <w:p w14:paraId="69C2A9DE">
            <w:pPr>
              <w:spacing w:before="172" w:line="224" w:lineRule="auto"/>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rPr>
              <w:t>10</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6"/>
                <w:sz w:val="24"/>
                <w:szCs w:val="24"/>
              </w:rPr>
              <w:t>万（0</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6"/>
                <w:sz w:val="24"/>
                <w:szCs w:val="24"/>
              </w:rPr>
              <w:t>免赔，100%赔付）</w:t>
            </w:r>
          </w:p>
        </w:tc>
      </w:tr>
      <w:tr w14:paraId="4117A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3823" w:type="dxa"/>
            <w:vAlign w:val="center"/>
          </w:tcPr>
          <w:p w14:paraId="1B8A03C7">
            <w:pPr>
              <w:spacing w:before="168" w:line="223"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意外住院津贴</w:t>
            </w:r>
          </w:p>
        </w:tc>
        <w:tc>
          <w:tcPr>
            <w:tcW w:w="5277" w:type="dxa"/>
            <w:gridSpan w:val="2"/>
            <w:vAlign w:val="center"/>
          </w:tcPr>
          <w:p w14:paraId="4A21DC06">
            <w:pPr>
              <w:spacing w:before="168" w:line="223" w:lineRule="auto"/>
              <w:ind w:right="22"/>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rPr>
              <w:t>100</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6"/>
                <w:sz w:val="24"/>
                <w:szCs w:val="24"/>
              </w:rPr>
              <w:t>元/人/天（0</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6"/>
                <w:sz w:val="24"/>
                <w:szCs w:val="24"/>
              </w:rPr>
              <w:t>免赔，年度累计赔付</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6"/>
                <w:sz w:val="24"/>
                <w:szCs w:val="24"/>
              </w:rPr>
              <w:t>180</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6"/>
                <w:sz w:val="24"/>
                <w:szCs w:val="24"/>
              </w:rPr>
              <w:t>天）</w:t>
            </w:r>
          </w:p>
        </w:tc>
      </w:tr>
      <w:tr w14:paraId="48BF5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3823" w:type="dxa"/>
            <w:vAlign w:val="center"/>
          </w:tcPr>
          <w:p w14:paraId="29398EA0">
            <w:pPr>
              <w:spacing w:before="196" w:line="222"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疾病住院津贴</w:t>
            </w:r>
          </w:p>
        </w:tc>
        <w:tc>
          <w:tcPr>
            <w:tcW w:w="5277" w:type="dxa"/>
            <w:gridSpan w:val="2"/>
            <w:vAlign w:val="center"/>
          </w:tcPr>
          <w:p w14:paraId="454F459C">
            <w:pPr>
              <w:spacing w:before="196" w:line="223" w:lineRule="auto"/>
              <w:ind w:right="22"/>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rPr>
              <w:t>100</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6"/>
                <w:sz w:val="24"/>
                <w:szCs w:val="24"/>
              </w:rPr>
              <w:t>元/人/天（0</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6"/>
                <w:sz w:val="24"/>
                <w:szCs w:val="24"/>
              </w:rPr>
              <w:t>免赔，年度累计赔付</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6"/>
                <w:sz w:val="24"/>
                <w:szCs w:val="24"/>
              </w:rPr>
              <w:t>180</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6"/>
                <w:sz w:val="24"/>
                <w:szCs w:val="24"/>
              </w:rPr>
              <w:t>天）</w:t>
            </w:r>
          </w:p>
        </w:tc>
      </w:tr>
    </w:tbl>
    <w:p w14:paraId="60254FD1">
      <w:pPr>
        <w:pStyle w:val="18"/>
        <w:spacing w:before="78" w:line="220" w:lineRule="auto"/>
        <w:ind w:left="28"/>
        <w:outlineLvl w:val="0"/>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（三）</w:t>
      </w:r>
      <w:r>
        <w:rPr>
          <w:rFonts w:hint="eastAsia" w:ascii="宋体" w:hAnsi="宋体" w:eastAsia="宋体" w:cs="宋体"/>
          <w:color w:val="auto"/>
          <w:spacing w:val="-2"/>
          <w:sz w:val="24"/>
          <w:szCs w:val="24"/>
        </w:rPr>
        <w:t>投保人次</w:t>
      </w:r>
    </w:p>
    <w:p w14:paraId="5C794658">
      <w:pPr>
        <w:spacing w:line="186" w:lineRule="exact"/>
        <w:rPr>
          <w:rFonts w:hint="eastAsia" w:ascii="宋体" w:hAnsi="宋体" w:eastAsia="宋体" w:cs="宋体"/>
          <w:color w:val="auto"/>
          <w:sz w:val="24"/>
          <w:szCs w:val="24"/>
        </w:rPr>
      </w:pPr>
    </w:p>
    <w:tbl>
      <w:tblPr>
        <w:tblStyle w:val="175"/>
        <w:tblW w:w="90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695"/>
        <w:gridCol w:w="2505"/>
        <w:gridCol w:w="1710"/>
        <w:gridCol w:w="1316"/>
        <w:gridCol w:w="1099"/>
      </w:tblGrid>
      <w:tr w14:paraId="73C3F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754" w:type="dxa"/>
            <w:vAlign w:val="center"/>
          </w:tcPr>
          <w:p w14:paraId="0DBD68B8">
            <w:pPr>
              <w:keepNext w:val="0"/>
              <w:keepLines w:val="0"/>
              <w:pageBreakBefore w:val="0"/>
              <w:widowControl w:val="0"/>
              <w:kinsoku/>
              <w:wordWrap/>
              <w:overflowPunct/>
              <w:topLinePunct w:val="0"/>
              <w:autoSpaceDE/>
              <w:autoSpaceDN/>
              <w:bidi w:val="0"/>
              <w:adjustRightInd/>
              <w:snapToGrid/>
              <w:spacing w:before="71"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序号</w:t>
            </w:r>
          </w:p>
        </w:tc>
        <w:tc>
          <w:tcPr>
            <w:tcW w:w="1695" w:type="dxa"/>
            <w:vAlign w:val="center"/>
          </w:tcPr>
          <w:p w14:paraId="57B6E631">
            <w:pPr>
              <w:keepNext w:val="0"/>
              <w:keepLines w:val="0"/>
              <w:pageBreakBefore w:val="0"/>
              <w:widowControl w:val="0"/>
              <w:kinsoku/>
              <w:wordWrap/>
              <w:overflowPunct/>
              <w:topLinePunct w:val="0"/>
              <w:autoSpaceDE/>
              <w:autoSpaceDN/>
              <w:bidi w:val="0"/>
              <w:adjustRightInd/>
              <w:snapToGrid/>
              <w:spacing w:before="72"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单位</w:t>
            </w:r>
          </w:p>
        </w:tc>
        <w:tc>
          <w:tcPr>
            <w:tcW w:w="2505" w:type="dxa"/>
            <w:vAlign w:val="center"/>
          </w:tcPr>
          <w:p w14:paraId="6068C8C3">
            <w:pPr>
              <w:keepNext w:val="0"/>
              <w:keepLines w:val="0"/>
              <w:pageBreakBefore w:val="0"/>
              <w:widowControl w:val="0"/>
              <w:kinsoku/>
              <w:wordWrap/>
              <w:overflowPunct/>
              <w:topLinePunct w:val="0"/>
              <w:autoSpaceDE/>
              <w:autoSpaceDN/>
              <w:bidi w:val="0"/>
              <w:adjustRightInd/>
              <w:snapToGrid/>
              <w:spacing w:before="278"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项目</w:t>
            </w:r>
          </w:p>
          <w:p w14:paraId="231DCC5C">
            <w:pPr>
              <w:keepNext w:val="0"/>
              <w:keepLines w:val="0"/>
              <w:pageBreakBefore w:val="0"/>
              <w:widowControl w:val="0"/>
              <w:kinsoku/>
              <w:wordWrap/>
              <w:overflowPunct/>
              <w:topLinePunct w:val="0"/>
              <w:autoSpaceDE/>
              <w:autoSpaceDN/>
              <w:bidi w:val="0"/>
              <w:adjustRightInd/>
              <w:snapToGrid/>
              <w:spacing w:before="46"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（被保险人工种）</w:t>
            </w:r>
          </w:p>
        </w:tc>
        <w:tc>
          <w:tcPr>
            <w:tcW w:w="1710" w:type="dxa"/>
            <w:vAlign w:val="center"/>
          </w:tcPr>
          <w:p w14:paraId="21291747">
            <w:pPr>
              <w:keepNext w:val="0"/>
              <w:keepLines w:val="0"/>
              <w:pageBreakBefore w:val="0"/>
              <w:widowControl w:val="0"/>
              <w:kinsoku/>
              <w:wordWrap/>
              <w:overflowPunct/>
              <w:topLinePunct w:val="0"/>
              <w:autoSpaceDE/>
              <w:autoSpaceDN/>
              <w:bidi w:val="0"/>
              <w:adjustRightInd/>
              <w:snapToGrid/>
              <w:spacing w:before="72"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人数</w:t>
            </w:r>
          </w:p>
        </w:tc>
        <w:tc>
          <w:tcPr>
            <w:tcW w:w="1316" w:type="dxa"/>
            <w:vAlign w:val="center"/>
          </w:tcPr>
          <w:p w14:paraId="23DA6A6F">
            <w:pPr>
              <w:keepNext w:val="0"/>
              <w:keepLines w:val="0"/>
              <w:pageBreakBefore w:val="0"/>
              <w:widowControl w:val="0"/>
              <w:kinsoku/>
              <w:wordWrap/>
              <w:overflowPunct/>
              <w:topLinePunct w:val="0"/>
              <w:autoSpaceDE/>
              <w:autoSpaceDN/>
              <w:bidi w:val="0"/>
              <w:adjustRightInd/>
              <w:snapToGrid/>
              <w:spacing w:before="71"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职业类别</w:t>
            </w:r>
          </w:p>
        </w:tc>
        <w:tc>
          <w:tcPr>
            <w:tcW w:w="1099" w:type="dxa"/>
            <w:vAlign w:val="center"/>
          </w:tcPr>
          <w:p w14:paraId="49168A60">
            <w:pPr>
              <w:keepNext w:val="0"/>
              <w:keepLines w:val="0"/>
              <w:pageBreakBefore w:val="0"/>
              <w:widowControl w:val="0"/>
              <w:kinsoku/>
              <w:wordWrap/>
              <w:overflowPunct/>
              <w:topLinePunct w:val="0"/>
              <w:autoSpaceDE/>
              <w:autoSpaceDN/>
              <w:bidi w:val="0"/>
              <w:adjustRightInd/>
              <w:snapToGrid/>
              <w:spacing w:before="72"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合计</w:t>
            </w:r>
          </w:p>
        </w:tc>
      </w:tr>
      <w:tr w14:paraId="20975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4" w:type="dxa"/>
            <w:vMerge w:val="restart"/>
            <w:tcBorders>
              <w:bottom w:val="nil"/>
            </w:tcBorders>
            <w:vAlign w:val="center"/>
          </w:tcPr>
          <w:p w14:paraId="21F8C7BD">
            <w:pPr>
              <w:keepNext w:val="0"/>
              <w:keepLines w:val="0"/>
              <w:pageBreakBefore w:val="0"/>
              <w:widowControl w:val="0"/>
              <w:kinsoku/>
              <w:wordWrap/>
              <w:overflowPunct/>
              <w:topLinePunct w:val="0"/>
              <w:autoSpaceDE/>
              <w:autoSpaceDN/>
              <w:bidi w:val="0"/>
              <w:adjustRightInd/>
              <w:snapToGrid/>
              <w:spacing w:before="71" w:line="240" w:lineRule="atLeast"/>
              <w:ind w:left="342"/>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1695" w:type="dxa"/>
            <w:vMerge w:val="restart"/>
            <w:tcBorders>
              <w:bottom w:val="nil"/>
            </w:tcBorders>
            <w:vAlign w:val="center"/>
          </w:tcPr>
          <w:p w14:paraId="3C664249">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r>
              <w:rPr>
                <w:rFonts w:hint="eastAsia" w:ascii="宋体" w:hAnsi="宋体" w:eastAsia="宋体" w:cs="宋体"/>
                <w:b/>
                <w:bCs/>
                <w:color w:val="auto"/>
                <w:spacing w:val="-12"/>
                <w:sz w:val="24"/>
                <w:szCs w:val="24"/>
                <w:highlight w:val="none"/>
              </w:rPr>
              <w:t>冰上中心   (</w:t>
            </w:r>
            <w:r>
              <w:rPr>
                <w:rFonts w:hint="eastAsia" w:ascii="宋体" w:hAnsi="宋体" w:eastAsia="宋体" w:cs="宋体"/>
                <w:b/>
                <w:bCs/>
                <w:color w:val="auto"/>
                <w:spacing w:val="-12"/>
                <w:sz w:val="24"/>
                <w:szCs w:val="24"/>
                <w:highlight w:val="none"/>
                <w:lang w:val="en-US" w:eastAsia="zh-CN"/>
              </w:rPr>
              <w:t>204</w:t>
            </w:r>
            <w:r>
              <w:rPr>
                <w:rFonts w:hint="eastAsia" w:ascii="宋体" w:hAnsi="宋体" w:eastAsia="宋体" w:cs="宋体"/>
                <w:b/>
                <w:bCs/>
                <w:color w:val="auto"/>
                <w:spacing w:val="-12"/>
                <w:sz w:val="24"/>
                <w:szCs w:val="24"/>
                <w:highlight w:val="none"/>
              </w:rPr>
              <w:t>人）</w:t>
            </w:r>
          </w:p>
        </w:tc>
        <w:tc>
          <w:tcPr>
            <w:tcW w:w="2505" w:type="dxa"/>
            <w:vAlign w:val="center"/>
          </w:tcPr>
          <w:p w14:paraId="6758B39F">
            <w:pPr>
              <w:keepNext w:val="0"/>
              <w:keepLines w:val="0"/>
              <w:pageBreakBefore w:val="0"/>
              <w:widowControl w:val="0"/>
              <w:kinsoku/>
              <w:wordWrap/>
              <w:overflowPunct/>
              <w:topLinePunct w:val="0"/>
              <w:autoSpaceDE/>
              <w:autoSpaceDN/>
              <w:bidi w:val="0"/>
              <w:adjustRightInd/>
              <w:snapToGrid/>
              <w:spacing w:before="174"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短道速滑</w:t>
            </w:r>
          </w:p>
        </w:tc>
        <w:tc>
          <w:tcPr>
            <w:tcW w:w="1710" w:type="dxa"/>
            <w:vAlign w:val="center"/>
          </w:tcPr>
          <w:p w14:paraId="79F9A159">
            <w:pPr>
              <w:keepNext w:val="0"/>
              <w:keepLines w:val="0"/>
              <w:pageBreakBefore w:val="0"/>
              <w:widowControl w:val="0"/>
              <w:kinsoku/>
              <w:wordWrap/>
              <w:overflowPunct/>
              <w:topLinePunct w:val="0"/>
              <w:autoSpaceDE/>
              <w:autoSpaceDN/>
              <w:bidi w:val="0"/>
              <w:adjustRightInd/>
              <w:snapToGrid/>
              <w:spacing w:before="222"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7"/>
                <w:sz w:val="24"/>
                <w:szCs w:val="24"/>
                <w:highlight w:val="none"/>
                <w:lang w:val="en-US" w:eastAsia="zh-CN"/>
              </w:rPr>
              <w:t>67</w:t>
            </w:r>
          </w:p>
        </w:tc>
        <w:tc>
          <w:tcPr>
            <w:tcW w:w="1316" w:type="dxa"/>
            <w:shd w:val="clear" w:color="auto" w:fill="auto"/>
            <w:vAlign w:val="center"/>
          </w:tcPr>
          <w:p w14:paraId="67811185">
            <w:pPr>
              <w:keepNext w:val="0"/>
              <w:keepLines w:val="0"/>
              <w:pageBreakBefore w:val="0"/>
              <w:widowControl w:val="0"/>
              <w:kinsoku/>
              <w:wordWrap/>
              <w:overflowPunct/>
              <w:topLinePunct w:val="0"/>
              <w:autoSpaceDE/>
              <w:autoSpaceDN/>
              <w:bidi w:val="0"/>
              <w:adjustRightInd/>
              <w:snapToGrid/>
              <w:spacing w:before="52"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7"/>
                <w:sz w:val="24"/>
                <w:szCs w:val="24"/>
              </w:rPr>
              <w:t>3类</w:t>
            </w:r>
          </w:p>
        </w:tc>
        <w:tc>
          <w:tcPr>
            <w:tcW w:w="1099" w:type="dxa"/>
            <w:vAlign w:val="center"/>
          </w:tcPr>
          <w:p w14:paraId="237B2970">
            <w:pPr>
              <w:keepNext w:val="0"/>
              <w:keepLines w:val="0"/>
              <w:pageBreakBefore w:val="0"/>
              <w:widowControl w:val="0"/>
              <w:kinsoku/>
              <w:wordWrap/>
              <w:overflowPunct/>
              <w:topLinePunct w:val="0"/>
              <w:autoSpaceDE/>
              <w:autoSpaceDN/>
              <w:bidi w:val="0"/>
              <w:adjustRightInd/>
              <w:snapToGrid/>
              <w:spacing w:before="222"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67</w:t>
            </w:r>
          </w:p>
        </w:tc>
      </w:tr>
      <w:tr w14:paraId="4E1CE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4" w:type="dxa"/>
            <w:vMerge w:val="continue"/>
            <w:tcBorders>
              <w:top w:val="nil"/>
              <w:bottom w:val="nil"/>
            </w:tcBorders>
            <w:vAlign w:val="top"/>
          </w:tcPr>
          <w:p w14:paraId="282248F2">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b/>
                <w:bCs/>
                <w:color w:val="auto"/>
                <w:sz w:val="24"/>
                <w:szCs w:val="24"/>
                <w:highlight w:val="none"/>
              </w:rPr>
            </w:pPr>
          </w:p>
        </w:tc>
        <w:tc>
          <w:tcPr>
            <w:tcW w:w="1695" w:type="dxa"/>
            <w:vMerge w:val="continue"/>
            <w:tcBorders>
              <w:top w:val="nil"/>
              <w:bottom w:val="nil"/>
            </w:tcBorders>
            <w:vAlign w:val="top"/>
          </w:tcPr>
          <w:p w14:paraId="305E305E">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p>
        </w:tc>
        <w:tc>
          <w:tcPr>
            <w:tcW w:w="2505" w:type="dxa"/>
            <w:vAlign w:val="center"/>
          </w:tcPr>
          <w:p w14:paraId="27DB6695">
            <w:pPr>
              <w:keepNext w:val="0"/>
              <w:keepLines w:val="0"/>
              <w:pageBreakBefore w:val="0"/>
              <w:widowControl w:val="0"/>
              <w:kinsoku/>
              <w:wordWrap/>
              <w:overflowPunct/>
              <w:topLinePunct w:val="0"/>
              <w:autoSpaceDE/>
              <w:autoSpaceDN/>
              <w:bidi w:val="0"/>
              <w:adjustRightInd/>
              <w:snapToGrid/>
              <w:spacing w:before="174"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速度滑冰</w:t>
            </w:r>
          </w:p>
        </w:tc>
        <w:tc>
          <w:tcPr>
            <w:tcW w:w="1710" w:type="dxa"/>
            <w:vAlign w:val="center"/>
          </w:tcPr>
          <w:p w14:paraId="75F0154F">
            <w:pPr>
              <w:keepNext w:val="0"/>
              <w:keepLines w:val="0"/>
              <w:pageBreakBefore w:val="0"/>
              <w:widowControl w:val="0"/>
              <w:kinsoku/>
              <w:wordWrap/>
              <w:overflowPunct/>
              <w:topLinePunct w:val="0"/>
              <w:autoSpaceDE/>
              <w:autoSpaceDN/>
              <w:bidi w:val="0"/>
              <w:adjustRightInd/>
              <w:snapToGrid/>
              <w:spacing w:before="222"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7"/>
                <w:sz w:val="24"/>
                <w:szCs w:val="24"/>
                <w:highlight w:val="none"/>
                <w:lang w:val="en-US" w:eastAsia="zh-CN"/>
              </w:rPr>
              <w:t>64</w:t>
            </w:r>
          </w:p>
        </w:tc>
        <w:tc>
          <w:tcPr>
            <w:tcW w:w="1316" w:type="dxa"/>
            <w:shd w:val="clear" w:color="auto" w:fill="auto"/>
            <w:vAlign w:val="center"/>
          </w:tcPr>
          <w:p w14:paraId="345643C1">
            <w:pPr>
              <w:keepNext w:val="0"/>
              <w:keepLines w:val="0"/>
              <w:pageBreakBefore w:val="0"/>
              <w:widowControl w:val="0"/>
              <w:kinsoku/>
              <w:wordWrap/>
              <w:overflowPunct/>
              <w:topLinePunct w:val="0"/>
              <w:autoSpaceDE/>
              <w:autoSpaceDN/>
              <w:bidi w:val="0"/>
              <w:adjustRightInd/>
              <w:snapToGrid/>
              <w:spacing w:before="54"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7"/>
                <w:sz w:val="24"/>
                <w:szCs w:val="24"/>
              </w:rPr>
              <w:t>3类</w:t>
            </w:r>
          </w:p>
        </w:tc>
        <w:tc>
          <w:tcPr>
            <w:tcW w:w="1099" w:type="dxa"/>
            <w:vAlign w:val="center"/>
          </w:tcPr>
          <w:p w14:paraId="44F8B80A">
            <w:pPr>
              <w:keepNext w:val="0"/>
              <w:keepLines w:val="0"/>
              <w:pageBreakBefore w:val="0"/>
              <w:widowControl w:val="0"/>
              <w:kinsoku/>
              <w:wordWrap/>
              <w:overflowPunct/>
              <w:topLinePunct w:val="0"/>
              <w:autoSpaceDE/>
              <w:autoSpaceDN/>
              <w:bidi w:val="0"/>
              <w:adjustRightInd/>
              <w:snapToGrid/>
              <w:spacing w:before="222"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7"/>
                <w:sz w:val="24"/>
                <w:szCs w:val="24"/>
                <w:highlight w:val="none"/>
                <w:lang w:val="en-US" w:eastAsia="zh-CN"/>
              </w:rPr>
              <w:t>64</w:t>
            </w:r>
          </w:p>
        </w:tc>
      </w:tr>
      <w:tr w14:paraId="5D44D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4" w:type="dxa"/>
            <w:vMerge w:val="continue"/>
            <w:tcBorders>
              <w:top w:val="nil"/>
              <w:bottom w:val="nil"/>
            </w:tcBorders>
            <w:vAlign w:val="top"/>
          </w:tcPr>
          <w:p w14:paraId="5B136447">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b/>
                <w:bCs/>
                <w:color w:val="auto"/>
                <w:sz w:val="24"/>
                <w:szCs w:val="24"/>
                <w:highlight w:val="none"/>
              </w:rPr>
            </w:pPr>
          </w:p>
        </w:tc>
        <w:tc>
          <w:tcPr>
            <w:tcW w:w="1695" w:type="dxa"/>
            <w:vMerge w:val="continue"/>
            <w:tcBorders>
              <w:top w:val="nil"/>
              <w:bottom w:val="nil"/>
            </w:tcBorders>
            <w:vAlign w:val="top"/>
          </w:tcPr>
          <w:p w14:paraId="36CC4BFC">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p>
        </w:tc>
        <w:tc>
          <w:tcPr>
            <w:tcW w:w="2505" w:type="dxa"/>
            <w:vAlign w:val="center"/>
          </w:tcPr>
          <w:p w14:paraId="107EA43F">
            <w:pPr>
              <w:keepNext w:val="0"/>
              <w:keepLines w:val="0"/>
              <w:pageBreakBefore w:val="0"/>
              <w:widowControl w:val="0"/>
              <w:kinsoku/>
              <w:wordWrap/>
              <w:overflowPunct/>
              <w:topLinePunct w:val="0"/>
              <w:autoSpaceDE/>
              <w:autoSpaceDN/>
              <w:bidi w:val="0"/>
              <w:adjustRightInd/>
              <w:snapToGrid/>
              <w:spacing w:before="174"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花样滑冰</w:t>
            </w:r>
          </w:p>
        </w:tc>
        <w:tc>
          <w:tcPr>
            <w:tcW w:w="1710" w:type="dxa"/>
            <w:vAlign w:val="center"/>
          </w:tcPr>
          <w:p w14:paraId="22AE276D">
            <w:pPr>
              <w:keepNext w:val="0"/>
              <w:keepLines w:val="0"/>
              <w:pageBreakBefore w:val="0"/>
              <w:widowControl w:val="0"/>
              <w:kinsoku/>
              <w:wordWrap/>
              <w:overflowPunct/>
              <w:topLinePunct w:val="0"/>
              <w:autoSpaceDE/>
              <w:autoSpaceDN/>
              <w:bidi w:val="0"/>
              <w:adjustRightInd/>
              <w:snapToGrid/>
              <w:spacing w:before="222"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43</w:t>
            </w:r>
          </w:p>
        </w:tc>
        <w:tc>
          <w:tcPr>
            <w:tcW w:w="1316" w:type="dxa"/>
            <w:shd w:val="clear" w:color="auto" w:fill="auto"/>
            <w:vAlign w:val="center"/>
          </w:tcPr>
          <w:p w14:paraId="1F0FE817">
            <w:pPr>
              <w:keepNext w:val="0"/>
              <w:keepLines w:val="0"/>
              <w:pageBreakBefore w:val="0"/>
              <w:widowControl w:val="0"/>
              <w:kinsoku/>
              <w:wordWrap/>
              <w:overflowPunct/>
              <w:topLinePunct w:val="0"/>
              <w:autoSpaceDE/>
              <w:autoSpaceDN/>
              <w:bidi w:val="0"/>
              <w:adjustRightInd/>
              <w:snapToGrid/>
              <w:spacing w:before="58"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7"/>
                <w:sz w:val="24"/>
                <w:szCs w:val="24"/>
              </w:rPr>
              <w:t>3类</w:t>
            </w:r>
          </w:p>
        </w:tc>
        <w:tc>
          <w:tcPr>
            <w:tcW w:w="1099" w:type="dxa"/>
            <w:vAlign w:val="center"/>
          </w:tcPr>
          <w:p w14:paraId="7123B637">
            <w:pPr>
              <w:keepNext w:val="0"/>
              <w:keepLines w:val="0"/>
              <w:pageBreakBefore w:val="0"/>
              <w:widowControl w:val="0"/>
              <w:kinsoku/>
              <w:wordWrap/>
              <w:overflowPunct/>
              <w:topLinePunct w:val="0"/>
              <w:autoSpaceDE/>
              <w:autoSpaceDN/>
              <w:bidi w:val="0"/>
              <w:adjustRightInd/>
              <w:snapToGrid/>
              <w:spacing w:before="222"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43</w:t>
            </w:r>
          </w:p>
        </w:tc>
      </w:tr>
      <w:tr w14:paraId="18328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54" w:type="dxa"/>
            <w:vMerge w:val="continue"/>
            <w:tcBorders>
              <w:top w:val="nil"/>
            </w:tcBorders>
            <w:vAlign w:val="top"/>
          </w:tcPr>
          <w:p w14:paraId="1FD54306">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b/>
                <w:bCs/>
                <w:color w:val="auto"/>
                <w:sz w:val="24"/>
                <w:szCs w:val="24"/>
                <w:highlight w:val="none"/>
              </w:rPr>
            </w:pPr>
          </w:p>
        </w:tc>
        <w:tc>
          <w:tcPr>
            <w:tcW w:w="1695" w:type="dxa"/>
            <w:vMerge w:val="continue"/>
            <w:tcBorders>
              <w:top w:val="nil"/>
            </w:tcBorders>
            <w:vAlign w:val="top"/>
          </w:tcPr>
          <w:p w14:paraId="2C39CFD9">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p>
        </w:tc>
        <w:tc>
          <w:tcPr>
            <w:tcW w:w="2505" w:type="dxa"/>
            <w:vAlign w:val="center"/>
          </w:tcPr>
          <w:p w14:paraId="672CA570">
            <w:pPr>
              <w:keepNext w:val="0"/>
              <w:keepLines w:val="0"/>
              <w:pageBreakBefore w:val="0"/>
              <w:widowControl w:val="0"/>
              <w:kinsoku/>
              <w:wordWrap/>
              <w:overflowPunct/>
              <w:topLinePunct w:val="0"/>
              <w:autoSpaceDE/>
              <w:autoSpaceDN/>
              <w:bidi w:val="0"/>
              <w:adjustRightInd/>
              <w:snapToGrid/>
              <w:spacing w:before="173"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冰壶</w:t>
            </w:r>
          </w:p>
        </w:tc>
        <w:tc>
          <w:tcPr>
            <w:tcW w:w="1710" w:type="dxa"/>
            <w:vAlign w:val="center"/>
          </w:tcPr>
          <w:p w14:paraId="51E03B17">
            <w:pPr>
              <w:keepNext w:val="0"/>
              <w:keepLines w:val="0"/>
              <w:pageBreakBefore w:val="0"/>
              <w:widowControl w:val="0"/>
              <w:kinsoku/>
              <w:wordWrap/>
              <w:overflowPunct/>
              <w:topLinePunct w:val="0"/>
              <w:autoSpaceDE/>
              <w:autoSpaceDN/>
              <w:bidi w:val="0"/>
              <w:adjustRightInd/>
              <w:snapToGrid/>
              <w:spacing w:before="222"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30</w:t>
            </w:r>
          </w:p>
        </w:tc>
        <w:tc>
          <w:tcPr>
            <w:tcW w:w="1316" w:type="dxa"/>
            <w:shd w:val="clear" w:color="auto" w:fill="auto"/>
            <w:vAlign w:val="center"/>
          </w:tcPr>
          <w:p w14:paraId="0CF97B93">
            <w:pPr>
              <w:keepNext w:val="0"/>
              <w:keepLines w:val="0"/>
              <w:pageBreakBefore w:val="0"/>
              <w:widowControl w:val="0"/>
              <w:kinsoku/>
              <w:wordWrap/>
              <w:overflowPunct/>
              <w:topLinePunct w:val="0"/>
              <w:autoSpaceDE/>
              <w:autoSpaceDN/>
              <w:bidi w:val="0"/>
              <w:adjustRightInd/>
              <w:snapToGrid/>
              <w:spacing w:before="60"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rPr>
              <w:t>类</w:t>
            </w:r>
          </w:p>
        </w:tc>
        <w:tc>
          <w:tcPr>
            <w:tcW w:w="1099" w:type="dxa"/>
            <w:vAlign w:val="center"/>
          </w:tcPr>
          <w:p w14:paraId="1EA1C9B6">
            <w:pPr>
              <w:keepNext w:val="0"/>
              <w:keepLines w:val="0"/>
              <w:pageBreakBefore w:val="0"/>
              <w:widowControl w:val="0"/>
              <w:kinsoku/>
              <w:wordWrap/>
              <w:overflowPunct/>
              <w:topLinePunct w:val="0"/>
              <w:autoSpaceDE/>
              <w:autoSpaceDN/>
              <w:bidi w:val="0"/>
              <w:adjustRightInd/>
              <w:snapToGrid/>
              <w:spacing w:before="222"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30</w:t>
            </w:r>
          </w:p>
        </w:tc>
      </w:tr>
      <w:tr w14:paraId="67B5D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54" w:type="dxa"/>
            <w:vMerge w:val="restart"/>
            <w:vAlign w:val="center"/>
          </w:tcPr>
          <w:p w14:paraId="185360CC">
            <w:pPr>
              <w:keepNext w:val="0"/>
              <w:keepLines w:val="0"/>
              <w:pageBreakBefore w:val="0"/>
              <w:widowControl w:val="0"/>
              <w:kinsoku/>
              <w:wordWrap/>
              <w:overflowPunct/>
              <w:topLinePunct w:val="0"/>
              <w:autoSpaceDE/>
              <w:autoSpaceDN/>
              <w:bidi w:val="0"/>
              <w:adjustRightInd/>
              <w:snapToGrid/>
              <w:spacing w:before="72" w:line="240" w:lineRule="atLeast"/>
              <w:ind w:left="329"/>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1695" w:type="dxa"/>
            <w:vMerge w:val="restart"/>
            <w:vAlign w:val="center"/>
          </w:tcPr>
          <w:p w14:paraId="43F33E70">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p>
          <w:p w14:paraId="0662BFD9">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p>
          <w:p w14:paraId="441146E5">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p>
          <w:p w14:paraId="1ED01A2F">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p>
          <w:p w14:paraId="1E5161C0">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p>
          <w:p w14:paraId="3A2483A4">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p>
          <w:p w14:paraId="7295D697">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r>
              <w:rPr>
                <w:rFonts w:hint="eastAsia" w:ascii="宋体" w:hAnsi="宋体" w:eastAsia="宋体" w:cs="宋体"/>
                <w:b/>
                <w:bCs/>
                <w:color w:val="auto"/>
                <w:spacing w:val="-12"/>
                <w:sz w:val="24"/>
                <w:szCs w:val="24"/>
                <w:highlight w:val="none"/>
              </w:rPr>
              <w:t xml:space="preserve">雪上中心  </w:t>
            </w:r>
          </w:p>
          <w:p w14:paraId="59B4CB89">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r>
              <w:rPr>
                <w:rFonts w:hint="eastAsia" w:ascii="宋体" w:hAnsi="宋体" w:eastAsia="宋体" w:cs="宋体"/>
                <w:b/>
                <w:bCs/>
                <w:color w:val="auto"/>
                <w:spacing w:val="-12"/>
                <w:sz w:val="24"/>
                <w:szCs w:val="24"/>
                <w:highlight w:val="none"/>
              </w:rPr>
              <w:t xml:space="preserve"> （</w:t>
            </w:r>
            <w:r>
              <w:rPr>
                <w:rFonts w:hint="eastAsia" w:ascii="宋体" w:hAnsi="宋体" w:eastAsia="宋体" w:cs="宋体"/>
                <w:b/>
                <w:bCs/>
                <w:color w:val="auto"/>
                <w:spacing w:val="-12"/>
                <w:sz w:val="24"/>
                <w:szCs w:val="24"/>
                <w:highlight w:val="none"/>
                <w:lang w:val="en-US" w:eastAsia="zh-CN"/>
              </w:rPr>
              <w:t>170</w:t>
            </w:r>
            <w:r>
              <w:rPr>
                <w:rFonts w:hint="eastAsia" w:ascii="宋体" w:hAnsi="宋体" w:eastAsia="宋体" w:cs="宋体"/>
                <w:b/>
                <w:bCs/>
                <w:color w:val="auto"/>
                <w:spacing w:val="-12"/>
                <w:sz w:val="24"/>
                <w:szCs w:val="24"/>
                <w:highlight w:val="none"/>
              </w:rPr>
              <w:t>人）</w:t>
            </w:r>
          </w:p>
          <w:p w14:paraId="7AFBCF13">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p>
          <w:p w14:paraId="28FFEA1A">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p>
          <w:p w14:paraId="771369D7">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p>
          <w:p w14:paraId="3786131C">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p>
          <w:p w14:paraId="2B7E4B7E">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p>
          <w:p w14:paraId="311A0E8F">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p>
          <w:p w14:paraId="7E3B74B0">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p>
          <w:p w14:paraId="11DEF3A9">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p>
          <w:p w14:paraId="0D827AEE">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p>
          <w:p w14:paraId="64301F9C">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p>
          <w:p w14:paraId="2F124420">
            <w:pPr>
              <w:keepNext w:val="0"/>
              <w:keepLines w:val="0"/>
              <w:pageBreakBefore w:val="0"/>
              <w:widowControl w:val="0"/>
              <w:kinsoku/>
              <w:wordWrap/>
              <w:overflowPunct/>
              <w:topLinePunct w:val="0"/>
              <w:autoSpaceDE/>
              <w:autoSpaceDN/>
              <w:bidi w:val="0"/>
              <w:adjustRightInd/>
              <w:snapToGrid/>
              <w:spacing w:before="78" w:line="240" w:lineRule="atLeast"/>
              <w:ind w:right="198"/>
              <w:jc w:val="center"/>
              <w:textAlignment w:val="auto"/>
              <w:rPr>
                <w:rFonts w:hint="eastAsia" w:ascii="宋体" w:hAnsi="宋体" w:eastAsia="宋体" w:cs="宋体"/>
                <w:b/>
                <w:bCs/>
                <w:color w:val="auto"/>
                <w:spacing w:val="-12"/>
                <w:sz w:val="24"/>
                <w:szCs w:val="24"/>
                <w:highlight w:val="none"/>
              </w:rPr>
            </w:pPr>
          </w:p>
        </w:tc>
        <w:tc>
          <w:tcPr>
            <w:tcW w:w="2505" w:type="dxa"/>
            <w:shd w:val="clear" w:color="auto" w:fill="auto"/>
            <w:vAlign w:val="center"/>
          </w:tcPr>
          <w:p w14:paraId="21096BF8">
            <w:pPr>
              <w:keepNext w:val="0"/>
              <w:keepLines w:val="0"/>
              <w:pageBreakBefore w:val="0"/>
              <w:widowControl w:val="0"/>
              <w:kinsoku/>
              <w:wordWrap/>
              <w:overflowPunct/>
              <w:topLinePunct w:val="0"/>
              <w:autoSpaceDE/>
              <w:autoSpaceDN/>
              <w:bidi w:val="0"/>
              <w:adjustRightInd/>
              <w:snapToGrid/>
              <w:spacing w:before="172"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7"/>
                <w:sz w:val="24"/>
                <w:szCs w:val="24"/>
                <w:highlight w:val="none"/>
              </w:rPr>
              <w:t>北欧两项</w:t>
            </w:r>
          </w:p>
        </w:tc>
        <w:tc>
          <w:tcPr>
            <w:tcW w:w="1710" w:type="dxa"/>
            <w:shd w:val="clear" w:color="auto" w:fill="auto"/>
            <w:vAlign w:val="center"/>
          </w:tcPr>
          <w:p w14:paraId="7E744316">
            <w:pPr>
              <w:keepNext w:val="0"/>
              <w:keepLines w:val="0"/>
              <w:pageBreakBefore w:val="0"/>
              <w:widowControl w:val="0"/>
              <w:kinsoku/>
              <w:wordWrap/>
              <w:overflowPunct/>
              <w:topLinePunct w:val="0"/>
              <w:autoSpaceDE/>
              <w:autoSpaceDN/>
              <w:bidi w:val="0"/>
              <w:adjustRightInd/>
              <w:snapToGrid/>
              <w:spacing w:before="220"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5"/>
                <w:sz w:val="24"/>
                <w:szCs w:val="24"/>
                <w:highlight w:val="none"/>
                <w:lang w:val="en-US" w:eastAsia="zh-CN"/>
              </w:rPr>
              <w:t>9</w:t>
            </w:r>
          </w:p>
        </w:tc>
        <w:tc>
          <w:tcPr>
            <w:tcW w:w="1316" w:type="dxa"/>
            <w:shd w:val="clear" w:color="auto" w:fill="auto"/>
            <w:vAlign w:val="center"/>
          </w:tcPr>
          <w:p w14:paraId="7C95DCBA">
            <w:pPr>
              <w:keepNext w:val="0"/>
              <w:keepLines w:val="0"/>
              <w:pageBreakBefore w:val="0"/>
              <w:widowControl w:val="0"/>
              <w:kinsoku/>
              <w:wordWrap/>
              <w:overflowPunct/>
              <w:topLinePunct w:val="0"/>
              <w:autoSpaceDE/>
              <w:autoSpaceDN/>
              <w:bidi w:val="0"/>
              <w:adjustRightInd/>
              <w:snapToGrid/>
              <w:spacing w:before="41"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c>
          <w:tcPr>
            <w:tcW w:w="1099" w:type="dxa"/>
            <w:shd w:val="clear" w:color="auto" w:fill="auto"/>
            <w:vAlign w:val="center"/>
          </w:tcPr>
          <w:p w14:paraId="42DBE059">
            <w:pPr>
              <w:keepNext w:val="0"/>
              <w:keepLines w:val="0"/>
              <w:pageBreakBefore w:val="0"/>
              <w:widowControl w:val="0"/>
              <w:kinsoku/>
              <w:wordWrap/>
              <w:overflowPunct/>
              <w:topLinePunct w:val="0"/>
              <w:autoSpaceDE/>
              <w:autoSpaceDN/>
              <w:bidi w:val="0"/>
              <w:adjustRightInd/>
              <w:snapToGrid/>
              <w:spacing w:before="220"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5"/>
                <w:sz w:val="24"/>
                <w:szCs w:val="24"/>
                <w:highlight w:val="none"/>
                <w:lang w:val="en-US" w:eastAsia="zh-CN"/>
              </w:rPr>
              <w:t>9</w:t>
            </w:r>
          </w:p>
        </w:tc>
      </w:tr>
      <w:tr w14:paraId="4823A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54" w:type="dxa"/>
            <w:vMerge w:val="continue"/>
            <w:vAlign w:val="top"/>
          </w:tcPr>
          <w:p w14:paraId="6F668822">
            <w:pPr>
              <w:keepNext w:val="0"/>
              <w:keepLines w:val="0"/>
              <w:pageBreakBefore w:val="0"/>
              <w:widowControl w:val="0"/>
              <w:kinsoku/>
              <w:wordWrap/>
              <w:overflowPunct/>
              <w:topLinePunct w:val="0"/>
              <w:autoSpaceDE/>
              <w:autoSpaceDN/>
              <w:bidi w:val="0"/>
              <w:adjustRightInd/>
              <w:snapToGrid/>
              <w:spacing w:before="72" w:line="240" w:lineRule="atLeast"/>
              <w:ind w:left="329"/>
              <w:textAlignment w:val="auto"/>
              <w:rPr>
                <w:rFonts w:hint="eastAsia" w:ascii="宋体" w:hAnsi="宋体" w:eastAsia="宋体" w:cs="宋体"/>
                <w:color w:val="auto"/>
                <w:sz w:val="24"/>
                <w:szCs w:val="24"/>
                <w:highlight w:val="none"/>
              </w:rPr>
            </w:pPr>
          </w:p>
        </w:tc>
        <w:tc>
          <w:tcPr>
            <w:tcW w:w="1695" w:type="dxa"/>
            <w:vMerge w:val="continue"/>
            <w:vAlign w:val="center"/>
          </w:tcPr>
          <w:p w14:paraId="3AFAC02A">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pacing w:val="-14"/>
                <w:sz w:val="24"/>
                <w:szCs w:val="24"/>
                <w:highlight w:val="none"/>
              </w:rPr>
            </w:pPr>
          </w:p>
        </w:tc>
        <w:tc>
          <w:tcPr>
            <w:tcW w:w="2505" w:type="dxa"/>
            <w:shd w:val="clear" w:color="auto" w:fill="auto"/>
            <w:vAlign w:val="center"/>
          </w:tcPr>
          <w:p w14:paraId="1EF30466">
            <w:pPr>
              <w:keepNext w:val="0"/>
              <w:keepLines w:val="0"/>
              <w:pageBreakBefore w:val="0"/>
              <w:widowControl w:val="0"/>
              <w:kinsoku/>
              <w:wordWrap/>
              <w:overflowPunct/>
              <w:topLinePunct w:val="0"/>
              <w:autoSpaceDE/>
              <w:autoSpaceDN/>
              <w:bidi w:val="0"/>
              <w:adjustRightInd/>
              <w:snapToGrid/>
              <w:spacing w:before="172" w:line="240" w:lineRule="atLeast"/>
              <w:jc w:val="center"/>
              <w:textAlignment w:val="auto"/>
              <w:rPr>
                <w:rFonts w:hint="eastAsia"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lang w:eastAsia="zh-CN"/>
              </w:rPr>
              <w:t>冬季</w:t>
            </w:r>
            <w:r>
              <w:rPr>
                <w:rFonts w:hint="eastAsia" w:ascii="宋体" w:hAnsi="宋体" w:eastAsia="宋体" w:cs="宋体"/>
                <w:color w:val="auto"/>
                <w:spacing w:val="-7"/>
                <w:sz w:val="24"/>
                <w:szCs w:val="24"/>
                <w:highlight w:val="none"/>
              </w:rPr>
              <w:t>两项</w:t>
            </w:r>
          </w:p>
        </w:tc>
        <w:tc>
          <w:tcPr>
            <w:tcW w:w="1710" w:type="dxa"/>
            <w:shd w:val="clear" w:color="auto" w:fill="auto"/>
            <w:vAlign w:val="center"/>
          </w:tcPr>
          <w:p w14:paraId="3FB36A45">
            <w:pPr>
              <w:keepNext w:val="0"/>
              <w:keepLines w:val="0"/>
              <w:pageBreakBefore w:val="0"/>
              <w:widowControl w:val="0"/>
              <w:kinsoku/>
              <w:wordWrap/>
              <w:overflowPunct/>
              <w:topLinePunct w:val="0"/>
              <w:autoSpaceDE/>
              <w:autoSpaceDN/>
              <w:bidi w:val="0"/>
              <w:adjustRightInd/>
              <w:snapToGrid/>
              <w:spacing w:before="220" w:line="240" w:lineRule="atLeast"/>
              <w:jc w:val="center"/>
              <w:textAlignment w:val="auto"/>
              <w:rPr>
                <w:rFonts w:hint="default"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10</w:t>
            </w:r>
          </w:p>
        </w:tc>
        <w:tc>
          <w:tcPr>
            <w:tcW w:w="1316" w:type="dxa"/>
            <w:shd w:val="clear" w:color="auto" w:fill="auto"/>
            <w:vAlign w:val="center"/>
          </w:tcPr>
          <w:p w14:paraId="09EFF432">
            <w:pPr>
              <w:keepNext w:val="0"/>
              <w:keepLines w:val="0"/>
              <w:pageBreakBefore w:val="0"/>
              <w:widowControl w:val="0"/>
              <w:kinsoku/>
              <w:wordWrap/>
              <w:overflowPunct/>
              <w:topLinePunct w:val="0"/>
              <w:autoSpaceDE/>
              <w:autoSpaceDN/>
              <w:bidi w:val="0"/>
              <w:adjustRightInd/>
              <w:snapToGrid/>
              <w:spacing w:before="41" w:line="240" w:lineRule="atLeast"/>
              <w:jc w:val="center"/>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sz w:val="24"/>
                <w:szCs w:val="24"/>
              </w:rPr>
              <w:t>S类</w:t>
            </w:r>
          </w:p>
        </w:tc>
        <w:tc>
          <w:tcPr>
            <w:tcW w:w="1099" w:type="dxa"/>
            <w:shd w:val="clear" w:color="auto" w:fill="auto"/>
            <w:vAlign w:val="center"/>
          </w:tcPr>
          <w:p w14:paraId="14614939">
            <w:pPr>
              <w:keepNext w:val="0"/>
              <w:keepLines w:val="0"/>
              <w:pageBreakBefore w:val="0"/>
              <w:widowControl w:val="0"/>
              <w:kinsoku/>
              <w:wordWrap/>
              <w:overflowPunct/>
              <w:topLinePunct w:val="0"/>
              <w:autoSpaceDE/>
              <w:autoSpaceDN/>
              <w:bidi w:val="0"/>
              <w:adjustRightInd/>
              <w:snapToGrid/>
              <w:spacing w:before="220" w:line="240" w:lineRule="atLeast"/>
              <w:jc w:val="center"/>
              <w:textAlignment w:val="auto"/>
              <w:rPr>
                <w:rFonts w:hint="default"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10</w:t>
            </w:r>
          </w:p>
        </w:tc>
      </w:tr>
      <w:tr w14:paraId="53F4E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754" w:type="dxa"/>
            <w:vMerge w:val="continue"/>
            <w:vAlign w:val="top"/>
          </w:tcPr>
          <w:p w14:paraId="6BEA00F5">
            <w:pPr>
              <w:keepNext w:val="0"/>
              <w:keepLines w:val="0"/>
              <w:pageBreakBefore w:val="0"/>
              <w:widowControl w:val="0"/>
              <w:kinsoku/>
              <w:wordWrap/>
              <w:overflowPunct/>
              <w:topLinePunct w:val="0"/>
              <w:autoSpaceDE/>
              <w:autoSpaceDN/>
              <w:bidi w:val="0"/>
              <w:adjustRightInd/>
              <w:snapToGrid/>
              <w:spacing w:before="72" w:line="240" w:lineRule="atLeast"/>
              <w:ind w:left="329"/>
              <w:textAlignment w:val="auto"/>
              <w:rPr>
                <w:rFonts w:hint="eastAsia" w:ascii="宋体" w:hAnsi="宋体" w:eastAsia="宋体" w:cs="宋体"/>
                <w:color w:val="auto"/>
                <w:sz w:val="24"/>
                <w:szCs w:val="24"/>
                <w:highlight w:val="none"/>
              </w:rPr>
            </w:pPr>
          </w:p>
        </w:tc>
        <w:tc>
          <w:tcPr>
            <w:tcW w:w="1695" w:type="dxa"/>
            <w:vMerge w:val="continue"/>
            <w:vAlign w:val="center"/>
          </w:tcPr>
          <w:p w14:paraId="031E12E8">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pacing w:val="-14"/>
                <w:sz w:val="24"/>
                <w:szCs w:val="24"/>
                <w:highlight w:val="none"/>
              </w:rPr>
            </w:pPr>
          </w:p>
        </w:tc>
        <w:tc>
          <w:tcPr>
            <w:tcW w:w="2505" w:type="dxa"/>
            <w:shd w:val="clear" w:color="auto" w:fill="auto"/>
            <w:vAlign w:val="center"/>
          </w:tcPr>
          <w:p w14:paraId="2AA58F81">
            <w:pPr>
              <w:keepNext w:val="0"/>
              <w:keepLines w:val="0"/>
              <w:pageBreakBefore w:val="0"/>
              <w:widowControl w:val="0"/>
              <w:kinsoku/>
              <w:wordWrap/>
              <w:overflowPunct/>
              <w:topLinePunct w:val="0"/>
              <w:autoSpaceDE/>
              <w:autoSpaceDN/>
              <w:bidi w:val="0"/>
              <w:adjustRightInd/>
              <w:snapToGrid/>
              <w:spacing w:before="175"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7"/>
                <w:sz w:val="24"/>
                <w:szCs w:val="24"/>
                <w:highlight w:val="none"/>
              </w:rPr>
              <w:t>高山滑雪</w:t>
            </w:r>
          </w:p>
        </w:tc>
        <w:tc>
          <w:tcPr>
            <w:tcW w:w="1710" w:type="dxa"/>
            <w:shd w:val="clear" w:color="auto" w:fill="auto"/>
            <w:vAlign w:val="center"/>
          </w:tcPr>
          <w:p w14:paraId="32902B5A">
            <w:pPr>
              <w:keepNext w:val="0"/>
              <w:keepLines w:val="0"/>
              <w:pageBreakBefore w:val="0"/>
              <w:widowControl w:val="0"/>
              <w:kinsoku/>
              <w:wordWrap/>
              <w:overflowPunct/>
              <w:topLinePunct w:val="0"/>
              <w:autoSpaceDE/>
              <w:autoSpaceDN/>
              <w:bidi w:val="0"/>
              <w:adjustRightInd/>
              <w:snapToGrid/>
              <w:spacing w:before="223" w:line="2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5"/>
                <w:sz w:val="24"/>
                <w:szCs w:val="24"/>
                <w:highlight w:val="none"/>
                <w:lang w:val="en-US" w:eastAsia="zh-CN"/>
              </w:rPr>
              <w:t>18</w:t>
            </w:r>
          </w:p>
        </w:tc>
        <w:tc>
          <w:tcPr>
            <w:tcW w:w="1316" w:type="dxa"/>
            <w:shd w:val="clear" w:color="auto" w:fill="auto"/>
            <w:vAlign w:val="center"/>
          </w:tcPr>
          <w:p w14:paraId="5B2EEC54">
            <w:pPr>
              <w:keepNext w:val="0"/>
              <w:keepLines w:val="0"/>
              <w:pageBreakBefore w:val="0"/>
              <w:widowControl w:val="0"/>
              <w:kinsoku/>
              <w:wordWrap/>
              <w:overflowPunct/>
              <w:topLinePunct w:val="0"/>
              <w:autoSpaceDE/>
              <w:autoSpaceDN/>
              <w:bidi w:val="0"/>
              <w:adjustRightInd/>
              <w:snapToGrid/>
              <w:spacing w:before="41"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c>
          <w:tcPr>
            <w:tcW w:w="1099" w:type="dxa"/>
            <w:shd w:val="clear" w:color="auto" w:fill="auto"/>
            <w:vAlign w:val="center"/>
          </w:tcPr>
          <w:p w14:paraId="6BD2AE8F">
            <w:pPr>
              <w:keepNext w:val="0"/>
              <w:keepLines w:val="0"/>
              <w:pageBreakBefore w:val="0"/>
              <w:widowControl w:val="0"/>
              <w:kinsoku/>
              <w:wordWrap/>
              <w:overflowPunct/>
              <w:topLinePunct w:val="0"/>
              <w:autoSpaceDE/>
              <w:autoSpaceDN/>
              <w:bidi w:val="0"/>
              <w:adjustRightInd/>
              <w:snapToGrid/>
              <w:spacing w:before="223" w:line="2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5"/>
                <w:sz w:val="24"/>
                <w:szCs w:val="24"/>
                <w:highlight w:val="none"/>
                <w:lang w:val="en-US" w:eastAsia="zh-CN"/>
              </w:rPr>
              <w:t>18</w:t>
            </w:r>
          </w:p>
        </w:tc>
      </w:tr>
      <w:tr w14:paraId="6015B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754" w:type="dxa"/>
            <w:vMerge w:val="continue"/>
            <w:vAlign w:val="top"/>
          </w:tcPr>
          <w:p w14:paraId="290F247C">
            <w:pPr>
              <w:keepNext w:val="0"/>
              <w:keepLines w:val="0"/>
              <w:pageBreakBefore w:val="0"/>
              <w:widowControl w:val="0"/>
              <w:kinsoku/>
              <w:wordWrap/>
              <w:overflowPunct/>
              <w:topLinePunct w:val="0"/>
              <w:autoSpaceDE/>
              <w:autoSpaceDN/>
              <w:bidi w:val="0"/>
              <w:adjustRightInd/>
              <w:snapToGrid/>
              <w:spacing w:before="72" w:line="240" w:lineRule="atLeast"/>
              <w:ind w:left="329"/>
              <w:textAlignment w:val="auto"/>
              <w:rPr>
                <w:rFonts w:hint="eastAsia" w:ascii="宋体" w:hAnsi="宋体" w:eastAsia="宋体" w:cs="宋体"/>
                <w:color w:val="auto"/>
                <w:sz w:val="24"/>
                <w:szCs w:val="24"/>
                <w:highlight w:val="none"/>
              </w:rPr>
            </w:pPr>
          </w:p>
        </w:tc>
        <w:tc>
          <w:tcPr>
            <w:tcW w:w="1695" w:type="dxa"/>
            <w:vMerge w:val="continue"/>
            <w:vAlign w:val="center"/>
          </w:tcPr>
          <w:p w14:paraId="35799303">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pacing w:val="-14"/>
                <w:sz w:val="24"/>
                <w:szCs w:val="24"/>
                <w:highlight w:val="none"/>
              </w:rPr>
            </w:pPr>
          </w:p>
        </w:tc>
        <w:tc>
          <w:tcPr>
            <w:tcW w:w="2505" w:type="dxa"/>
            <w:shd w:val="clear" w:color="auto" w:fill="auto"/>
            <w:vAlign w:val="center"/>
          </w:tcPr>
          <w:p w14:paraId="7DA4C461">
            <w:pPr>
              <w:keepNext w:val="0"/>
              <w:keepLines w:val="0"/>
              <w:pageBreakBefore w:val="0"/>
              <w:widowControl w:val="0"/>
              <w:kinsoku/>
              <w:wordWrap/>
              <w:overflowPunct/>
              <w:topLinePunct w:val="0"/>
              <w:autoSpaceDE/>
              <w:autoSpaceDN/>
              <w:bidi w:val="0"/>
              <w:adjustRightInd/>
              <w:snapToGrid/>
              <w:spacing w:before="175" w:line="240" w:lineRule="atLeast"/>
              <w:jc w:val="center"/>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滑雪</w:t>
            </w:r>
            <w:r>
              <w:rPr>
                <w:rFonts w:hint="eastAsia" w:ascii="宋体" w:hAnsi="宋体" w:eastAsia="宋体" w:cs="宋体"/>
                <w:color w:val="auto"/>
                <w:spacing w:val="-15"/>
                <w:sz w:val="24"/>
                <w:szCs w:val="24"/>
                <w:highlight w:val="none"/>
                <w:lang w:val="en-US" w:eastAsia="zh-CN"/>
              </w:rPr>
              <w:t>登山</w:t>
            </w:r>
          </w:p>
        </w:tc>
        <w:tc>
          <w:tcPr>
            <w:tcW w:w="1710" w:type="dxa"/>
            <w:shd w:val="clear" w:color="auto" w:fill="auto"/>
            <w:vAlign w:val="center"/>
          </w:tcPr>
          <w:p w14:paraId="27E4AC5B">
            <w:pPr>
              <w:keepNext w:val="0"/>
              <w:keepLines w:val="0"/>
              <w:pageBreakBefore w:val="0"/>
              <w:widowControl w:val="0"/>
              <w:kinsoku/>
              <w:wordWrap/>
              <w:overflowPunct/>
              <w:topLinePunct w:val="0"/>
              <w:autoSpaceDE/>
              <w:autoSpaceDN/>
              <w:bidi w:val="0"/>
              <w:adjustRightInd/>
              <w:snapToGrid/>
              <w:spacing w:before="223" w:line="240" w:lineRule="atLeast"/>
              <w:jc w:val="center"/>
              <w:textAlignment w:val="auto"/>
              <w:rPr>
                <w:rFonts w:hint="default"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10</w:t>
            </w:r>
          </w:p>
        </w:tc>
        <w:tc>
          <w:tcPr>
            <w:tcW w:w="1316" w:type="dxa"/>
            <w:shd w:val="clear" w:color="auto" w:fill="auto"/>
            <w:vAlign w:val="center"/>
          </w:tcPr>
          <w:p w14:paraId="58025E04">
            <w:pPr>
              <w:keepNext w:val="0"/>
              <w:keepLines w:val="0"/>
              <w:pageBreakBefore w:val="0"/>
              <w:widowControl w:val="0"/>
              <w:kinsoku/>
              <w:wordWrap/>
              <w:overflowPunct/>
              <w:topLinePunct w:val="0"/>
              <w:autoSpaceDE/>
              <w:autoSpaceDN/>
              <w:bidi w:val="0"/>
              <w:adjustRightInd/>
              <w:snapToGrid/>
              <w:spacing w:before="41" w:line="240" w:lineRule="atLeast"/>
              <w:jc w:val="center"/>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sz w:val="24"/>
                <w:szCs w:val="24"/>
              </w:rPr>
              <w:t>S类</w:t>
            </w:r>
          </w:p>
        </w:tc>
        <w:tc>
          <w:tcPr>
            <w:tcW w:w="1099" w:type="dxa"/>
            <w:shd w:val="clear" w:color="auto" w:fill="auto"/>
            <w:vAlign w:val="center"/>
          </w:tcPr>
          <w:p w14:paraId="64AF0613">
            <w:pPr>
              <w:keepNext w:val="0"/>
              <w:keepLines w:val="0"/>
              <w:pageBreakBefore w:val="0"/>
              <w:widowControl w:val="0"/>
              <w:kinsoku/>
              <w:wordWrap/>
              <w:overflowPunct/>
              <w:topLinePunct w:val="0"/>
              <w:autoSpaceDE/>
              <w:autoSpaceDN/>
              <w:bidi w:val="0"/>
              <w:adjustRightInd/>
              <w:snapToGrid/>
              <w:spacing w:before="223" w:line="240" w:lineRule="atLeast"/>
              <w:jc w:val="center"/>
              <w:textAlignment w:val="auto"/>
              <w:rPr>
                <w:rFonts w:hint="default"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10</w:t>
            </w:r>
          </w:p>
        </w:tc>
      </w:tr>
      <w:tr w14:paraId="0DA8D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754" w:type="dxa"/>
            <w:vMerge w:val="continue"/>
            <w:vAlign w:val="top"/>
          </w:tcPr>
          <w:p w14:paraId="2EF0C857">
            <w:pPr>
              <w:keepNext w:val="0"/>
              <w:keepLines w:val="0"/>
              <w:pageBreakBefore w:val="0"/>
              <w:widowControl w:val="0"/>
              <w:kinsoku/>
              <w:wordWrap/>
              <w:overflowPunct/>
              <w:topLinePunct w:val="0"/>
              <w:autoSpaceDE/>
              <w:autoSpaceDN/>
              <w:bidi w:val="0"/>
              <w:adjustRightInd/>
              <w:snapToGrid/>
              <w:spacing w:before="72" w:line="240" w:lineRule="atLeast"/>
              <w:ind w:left="329"/>
              <w:textAlignment w:val="auto"/>
              <w:rPr>
                <w:rFonts w:hint="eastAsia" w:ascii="宋体" w:hAnsi="宋体" w:eastAsia="宋体" w:cs="宋体"/>
                <w:color w:val="auto"/>
                <w:sz w:val="24"/>
                <w:szCs w:val="24"/>
                <w:highlight w:val="none"/>
              </w:rPr>
            </w:pPr>
          </w:p>
        </w:tc>
        <w:tc>
          <w:tcPr>
            <w:tcW w:w="1695" w:type="dxa"/>
            <w:vMerge w:val="continue"/>
            <w:vAlign w:val="center"/>
          </w:tcPr>
          <w:p w14:paraId="271D9F8B">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pacing w:val="-14"/>
                <w:sz w:val="24"/>
                <w:szCs w:val="24"/>
                <w:highlight w:val="none"/>
              </w:rPr>
            </w:pPr>
          </w:p>
        </w:tc>
        <w:tc>
          <w:tcPr>
            <w:tcW w:w="2505" w:type="dxa"/>
            <w:shd w:val="clear" w:color="auto" w:fill="auto"/>
            <w:vAlign w:val="center"/>
          </w:tcPr>
          <w:p w14:paraId="6FBF9F4C">
            <w:pPr>
              <w:keepNext w:val="0"/>
              <w:keepLines w:val="0"/>
              <w:pageBreakBefore w:val="0"/>
              <w:widowControl w:val="0"/>
              <w:kinsoku/>
              <w:wordWrap/>
              <w:overflowPunct/>
              <w:topLinePunct w:val="0"/>
              <w:autoSpaceDE/>
              <w:autoSpaceDN/>
              <w:bidi w:val="0"/>
              <w:adjustRightInd/>
              <w:snapToGrid/>
              <w:spacing w:before="175"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5"/>
                <w:sz w:val="24"/>
                <w:szCs w:val="24"/>
                <w:highlight w:val="none"/>
              </w:rPr>
              <w:t>跳台滑雪</w:t>
            </w:r>
          </w:p>
        </w:tc>
        <w:tc>
          <w:tcPr>
            <w:tcW w:w="1710" w:type="dxa"/>
            <w:shd w:val="clear" w:color="auto" w:fill="auto"/>
            <w:vAlign w:val="center"/>
          </w:tcPr>
          <w:p w14:paraId="0981F88A">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5"/>
                <w:sz w:val="24"/>
                <w:szCs w:val="24"/>
                <w:highlight w:val="none"/>
                <w:lang w:val="en-US" w:eastAsia="zh-CN"/>
              </w:rPr>
              <w:t>12</w:t>
            </w:r>
          </w:p>
        </w:tc>
        <w:tc>
          <w:tcPr>
            <w:tcW w:w="1316" w:type="dxa"/>
            <w:shd w:val="clear" w:color="auto" w:fill="auto"/>
            <w:vAlign w:val="center"/>
          </w:tcPr>
          <w:p w14:paraId="0D54A4D2">
            <w:pPr>
              <w:keepNext w:val="0"/>
              <w:keepLines w:val="0"/>
              <w:pageBreakBefore w:val="0"/>
              <w:widowControl w:val="0"/>
              <w:kinsoku/>
              <w:wordWrap/>
              <w:overflowPunct/>
              <w:topLinePunct w:val="0"/>
              <w:autoSpaceDE/>
              <w:autoSpaceDN/>
              <w:bidi w:val="0"/>
              <w:adjustRightInd/>
              <w:snapToGrid/>
              <w:spacing w:before="41"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c>
          <w:tcPr>
            <w:tcW w:w="1099" w:type="dxa"/>
            <w:shd w:val="clear" w:color="auto" w:fill="auto"/>
            <w:vAlign w:val="center"/>
          </w:tcPr>
          <w:p w14:paraId="30DE27B4">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5"/>
                <w:sz w:val="24"/>
                <w:szCs w:val="24"/>
                <w:highlight w:val="none"/>
                <w:lang w:val="en-US" w:eastAsia="zh-CN"/>
              </w:rPr>
              <w:t>12</w:t>
            </w:r>
          </w:p>
        </w:tc>
      </w:tr>
      <w:tr w14:paraId="663C2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54" w:type="dxa"/>
            <w:vMerge w:val="continue"/>
            <w:vAlign w:val="top"/>
          </w:tcPr>
          <w:p w14:paraId="598B8195">
            <w:pPr>
              <w:keepNext w:val="0"/>
              <w:keepLines w:val="0"/>
              <w:pageBreakBefore w:val="0"/>
              <w:widowControl w:val="0"/>
              <w:kinsoku/>
              <w:wordWrap/>
              <w:overflowPunct/>
              <w:topLinePunct w:val="0"/>
              <w:autoSpaceDE/>
              <w:autoSpaceDN/>
              <w:bidi w:val="0"/>
              <w:adjustRightInd/>
              <w:snapToGrid/>
              <w:spacing w:before="72" w:line="240" w:lineRule="atLeast"/>
              <w:ind w:left="329"/>
              <w:textAlignment w:val="auto"/>
              <w:rPr>
                <w:rFonts w:hint="eastAsia" w:ascii="宋体" w:hAnsi="宋体" w:eastAsia="宋体" w:cs="宋体"/>
                <w:color w:val="auto"/>
                <w:sz w:val="24"/>
                <w:szCs w:val="24"/>
                <w:highlight w:val="none"/>
              </w:rPr>
            </w:pPr>
          </w:p>
        </w:tc>
        <w:tc>
          <w:tcPr>
            <w:tcW w:w="1695" w:type="dxa"/>
            <w:vMerge w:val="continue"/>
            <w:vAlign w:val="center"/>
          </w:tcPr>
          <w:p w14:paraId="197993B3">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pacing w:val="-14"/>
                <w:sz w:val="24"/>
                <w:szCs w:val="24"/>
                <w:highlight w:val="none"/>
              </w:rPr>
            </w:pPr>
          </w:p>
        </w:tc>
        <w:tc>
          <w:tcPr>
            <w:tcW w:w="2505" w:type="dxa"/>
            <w:shd w:val="clear" w:color="auto" w:fill="auto"/>
            <w:vAlign w:val="center"/>
          </w:tcPr>
          <w:p w14:paraId="2B2F7790">
            <w:pPr>
              <w:keepNext w:val="0"/>
              <w:keepLines w:val="0"/>
              <w:pageBreakBefore w:val="0"/>
              <w:widowControl w:val="0"/>
              <w:kinsoku/>
              <w:wordWrap/>
              <w:overflowPunct/>
              <w:topLinePunct w:val="0"/>
              <w:autoSpaceDE/>
              <w:autoSpaceDN/>
              <w:bidi w:val="0"/>
              <w:adjustRightInd/>
              <w:snapToGrid/>
              <w:spacing w:before="176"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5"/>
                <w:sz w:val="24"/>
                <w:szCs w:val="24"/>
                <w:highlight w:val="none"/>
              </w:rPr>
              <w:t>越野滑雪</w:t>
            </w:r>
          </w:p>
        </w:tc>
        <w:tc>
          <w:tcPr>
            <w:tcW w:w="1710" w:type="dxa"/>
            <w:shd w:val="clear" w:color="auto" w:fill="auto"/>
            <w:vAlign w:val="center"/>
          </w:tcPr>
          <w:p w14:paraId="6B72BFB0">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5"/>
                <w:sz w:val="24"/>
                <w:szCs w:val="24"/>
                <w:highlight w:val="none"/>
                <w:lang w:val="en-US" w:eastAsia="zh-CN"/>
              </w:rPr>
              <w:t>12</w:t>
            </w:r>
          </w:p>
        </w:tc>
        <w:tc>
          <w:tcPr>
            <w:tcW w:w="1316" w:type="dxa"/>
            <w:shd w:val="clear" w:color="auto" w:fill="auto"/>
            <w:vAlign w:val="center"/>
          </w:tcPr>
          <w:p w14:paraId="6541C436">
            <w:pPr>
              <w:keepNext w:val="0"/>
              <w:keepLines w:val="0"/>
              <w:pageBreakBefore w:val="0"/>
              <w:widowControl w:val="0"/>
              <w:kinsoku/>
              <w:wordWrap/>
              <w:overflowPunct/>
              <w:topLinePunct w:val="0"/>
              <w:autoSpaceDE/>
              <w:autoSpaceDN/>
              <w:bidi w:val="0"/>
              <w:adjustRightInd/>
              <w:snapToGrid/>
              <w:spacing w:before="41"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c>
          <w:tcPr>
            <w:tcW w:w="1099" w:type="dxa"/>
            <w:shd w:val="clear" w:color="auto" w:fill="auto"/>
            <w:vAlign w:val="center"/>
          </w:tcPr>
          <w:p w14:paraId="7429DF47">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5"/>
                <w:sz w:val="24"/>
                <w:szCs w:val="24"/>
                <w:highlight w:val="none"/>
                <w:lang w:val="en-US" w:eastAsia="zh-CN"/>
              </w:rPr>
              <w:t>12</w:t>
            </w:r>
          </w:p>
        </w:tc>
      </w:tr>
      <w:tr w14:paraId="4CE86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54" w:type="dxa"/>
            <w:vMerge w:val="continue"/>
            <w:vAlign w:val="top"/>
          </w:tcPr>
          <w:p w14:paraId="37DBAE05">
            <w:pPr>
              <w:keepNext w:val="0"/>
              <w:keepLines w:val="0"/>
              <w:pageBreakBefore w:val="0"/>
              <w:widowControl w:val="0"/>
              <w:kinsoku/>
              <w:wordWrap/>
              <w:overflowPunct/>
              <w:topLinePunct w:val="0"/>
              <w:autoSpaceDE/>
              <w:autoSpaceDN/>
              <w:bidi w:val="0"/>
              <w:adjustRightInd/>
              <w:snapToGrid/>
              <w:spacing w:before="72" w:line="240" w:lineRule="atLeast"/>
              <w:ind w:left="329"/>
              <w:textAlignment w:val="auto"/>
              <w:rPr>
                <w:rFonts w:hint="eastAsia" w:ascii="宋体" w:hAnsi="宋体" w:eastAsia="宋体" w:cs="宋体"/>
                <w:color w:val="auto"/>
                <w:sz w:val="24"/>
                <w:szCs w:val="24"/>
                <w:highlight w:val="none"/>
              </w:rPr>
            </w:pPr>
          </w:p>
        </w:tc>
        <w:tc>
          <w:tcPr>
            <w:tcW w:w="1695" w:type="dxa"/>
            <w:vMerge w:val="continue"/>
            <w:vAlign w:val="center"/>
          </w:tcPr>
          <w:p w14:paraId="3B47AEDD">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pacing w:val="-14"/>
                <w:sz w:val="24"/>
                <w:szCs w:val="24"/>
                <w:highlight w:val="none"/>
              </w:rPr>
            </w:pPr>
          </w:p>
        </w:tc>
        <w:tc>
          <w:tcPr>
            <w:tcW w:w="2505" w:type="dxa"/>
            <w:shd w:val="clear" w:color="auto" w:fill="auto"/>
            <w:vAlign w:val="center"/>
          </w:tcPr>
          <w:p w14:paraId="265947BD">
            <w:pPr>
              <w:keepNext w:val="0"/>
              <w:keepLines w:val="0"/>
              <w:pageBreakBefore w:val="0"/>
              <w:widowControl w:val="0"/>
              <w:kinsoku/>
              <w:wordWrap/>
              <w:overflowPunct/>
              <w:topLinePunct w:val="0"/>
              <w:autoSpaceDE/>
              <w:autoSpaceDN/>
              <w:bidi w:val="0"/>
              <w:adjustRightInd/>
              <w:snapToGrid/>
              <w:spacing w:before="176" w:line="240" w:lineRule="atLeast"/>
              <w:jc w:val="center"/>
              <w:textAlignment w:val="auto"/>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雪橇</w:t>
            </w:r>
          </w:p>
        </w:tc>
        <w:tc>
          <w:tcPr>
            <w:tcW w:w="1710" w:type="dxa"/>
            <w:shd w:val="clear" w:color="auto" w:fill="auto"/>
            <w:vAlign w:val="center"/>
          </w:tcPr>
          <w:p w14:paraId="23E0AE44">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2</w:t>
            </w:r>
          </w:p>
        </w:tc>
        <w:tc>
          <w:tcPr>
            <w:tcW w:w="1316" w:type="dxa"/>
            <w:shd w:val="clear" w:color="auto" w:fill="auto"/>
            <w:vAlign w:val="center"/>
          </w:tcPr>
          <w:p w14:paraId="46C354BD">
            <w:pPr>
              <w:keepNext w:val="0"/>
              <w:keepLines w:val="0"/>
              <w:pageBreakBefore w:val="0"/>
              <w:widowControl w:val="0"/>
              <w:kinsoku/>
              <w:wordWrap/>
              <w:overflowPunct/>
              <w:topLinePunct w:val="0"/>
              <w:autoSpaceDE/>
              <w:autoSpaceDN/>
              <w:bidi w:val="0"/>
              <w:adjustRightInd/>
              <w:snapToGrid/>
              <w:spacing w:before="41"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c>
          <w:tcPr>
            <w:tcW w:w="1099" w:type="dxa"/>
            <w:shd w:val="clear" w:color="auto" w:fill="auto"/>
            <w:vAlign w:val="center"/>
          </w:tcPr>
          <w:p w14:paraId="3EB0BF05">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2</w:t>
            </w:r>
          </w:p>
        </w:tc>
      </w:tr>
      <w:tr w14:paraId="76608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trPr>
        <w:tc>
          <w:tcPr>
            <w:tcW w:w="754" w:type="dxa"/>
            <w:vMerge w:val="continue"/>
            <w:vAlign w:val="top"/>
          </w:tcPr>
          <w:p w14:paraId="543D791A">
            <w:pPr>
              <w:keepNext w:val="0"/>
              <w:keepLines w:val="0"/>
              <w:pageBreakBefore w:val="0"/>
              <w:widowControl w:val="0"/>
              <w:kinsoku/>
              <w:wordWrap/>
              <w:overflowPunct/>
              <w:topLinePunct w:val="0"/>
              <w:autoSpaceDE/>
              <w:autoSpaceDN/>
              <w:bidi w:val="0"/>
              <w:adjustRightInd/>
              <w:snapToGrid/>
              <w:spacing w:before="72" w:line="240" w:lineRule="atLeast"/>
              <w:ind w:left="329"/>
              <w:textAlignment w:val="auto"/>
              <w:rPr>
                <w:rFonts w:hint="eastAsia" w:ascii="宋体" w:hAnsi="宋体" w:eastAsia="宋体" w:cs="宋体"/>
                <w:color w:val="auto"/>
                <w:sz w:val="24"/>
                <w:szCs w:val="24"/>
                <w:highlight w:val="none"/>
              </w:rPr>
            </w:pPr>
          </w:p>
        </w:tc>
        <w:tc>
          <w:tcPr>
            <w:tcW w:w="1695" w:type="dxa"/>
            <w:vMerge w:val="continue"/>
            <w:vAlign w:val="center"/>
          </w:tcPr>
          <w:p w14:paraId="4523A840">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pacing w:val="-14"/>
                <w:sz w:val="24"/>
                <w:szCs w:val="24"/>
                <w:highlight w:val="none"/>
              </w:rPr>
            </w:pPr>
          </w:p>
        </w:tc>
        <w:tc>
          <w:tcPr>
            <w:tcW w:w="2505" w:type="dxa"/>
            <w:shd w:val="clear" w:color="auto" w:fill="auto"/>
            <w:vAlign w:val="center"/>
          </w:tcPr>
          <w:p w14:paraId="6BE2EAC5">
            <w:pPr>
              <w:keepNext w:val="0"/>
              <w:keepLines w:val="0"/>
              <w:pageBreakBefore w:val="0"/>
              <w:widowControl w:val="0"/>
              <w:kinsoku/>
              <w:wordWrap/>
              <w:overflowPunct/>
              <w:topLinePunct w:val="0"/>
              <w:autoSpaceDE/>
              <w:autoSpaceDN/>
              <w:bidi w:val="0"/>
              <w:adjustRightInd/>
              <w:snapToGrid/>
              <w:spacing w:before="176" w:line="240" w:lineRule="atLeast"/>
              <w:jc w:val="center"/>
              <w:textAlignment w:val="auto"/>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雪车</w:t>
            </w:r>
          </w:p>
        </w:tc>
        <w:tc>
          <w:tcPr>
            <w:tcW w:w="1710" w:type="dxa"/>
            <w:shd w:val="clear" w:color="auto" w:fill="auto"/>
            <w:vAlign w:val="center"/>
          </w:tcPr>
          <w:p w14:paraId="7EE316AD">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10</w:t>
            </w:r>
          </w:p>
        </w:tc>
        <w:tc>
          <w:tcPr>
            <w:tcW w:w="1316" w:type="dxa"/>
            <w:shd w:val="clear" w:color="auto" w:fill="auto"/>
            <w:vAlign w:val="center"/>
          </w:tcPr>
          <w:p w14:paraId="62A5F9E8">
            <w:pPr>
              <w:keepNext w:val="0"/>
              <w:keepLines w:val="0"/>
              <w:pageBreakBefore w:val="0"/>
              <w:widowControl w:val="0"/>
              <w:kinsoku/>
              <w:wordWrap/>
              <w:overflowPunct/>
              <w:topLinePunct w:val="0"/>
              <w:autoSpaceDE/>
              <w:autoSpaceDN/>
              <w:bidi w:val="0"/>
              <w:adjustRightInd/>
              <w:snapToGrid/>
              <w:spacing w:before="41" w:line="240" w:lineRule="atLeast"/>
              <w:jc w:val="center"/>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sz w:val="24"/>
                <w:szCs w:val="24"/>
              </w:rPr>
              <w:t>S类</w:t>
            </w:r>
          </w:p>
        </w:tc>
        <w:tc>
          <w:tcPr>
            <w:tcW w:w="1099" w:type="dxa"/>
            <w:shd w:val="clear" w:color="auto" w:fill="auto"/>
            <w:vAlign w:val="center"/>
          </w:tcPr>
          <w:p w14:paraId="5284C8EF">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10</w:t>
            </w:r>
          </w:p>
        </w:tc>
      </w:tr>
      <w:tr w14:paraId="37A2C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54" w:type="dxa"/>
            <w:vMerge w:val="continue"/>
            <w:vAlign w:val="top"/>
          </w:tcPr>
          <w:p w14:paraId="510BF16F">
            <w:pPr>
              <w:keepNext w:val="0"/>
              <w:keepLines w:val="0"/>
              <w:pageBreakBefore w:val="0"/>
              <w:widowControl w:val="0"/>
              <w:kinsoku/>
              <w:wordWrap/>
              <w:overflowPunct/>
              <w:topLinePunct w:val="0"/>
              <w:autoSpaceDE/>
              <w:autoSpaceDN/>
              <w:bidi w:val="0"/>
              <w:adjustRightInd/>
              <w:snapToGrid/>
              <w:spacing w:before="72" w:line="240" w:lineRule="atLeast"/>
              <w:ind w:left="329"/>
              <w:textAlignment w:val="auto"/>
              <w:rPr>
                <w:rFonts w:hint="eastAsia" w:ascii="宋体" w:hAnsi="宋体" w:eastAsia="宋体" w:cs="宋体"/>
                <w:color w:val="auto"/>
                <w:sz w:val="24"/>
                <w:szCs w:val="24"/>
                <w:highlight w:val="none"/>
              </w:rPr>
            </w:pPr>
          </w:p>
        </w:tc>
        <w:tc>
          <w:tcPr>
            <w:tcW w:w="1695" w:type="dxa"/>
            <w:vMerge w:val="continue"/>
            <w:vAlign w:val="center"/>
          </w:tcPr>
          <w:p w14:paraId="305ACE48">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pacing w:val="-14"/>
                <w:sz w:val="24"/>
                <w:szCs w:val="24"/>
                <w:highlight w:val="none"/>
              </w:rPr>
            </w:pPr>
          </w:p>
        </w:tc>
        <w:tc>
          <w:tcPr>
            <w:tcW w:w="2505" w:type="dxa"/>
            <w:shd w:val="clear" w:color="auto" w:fill="auto"/>
            <w:vAlign w:val="center"/>
          </w:tcPr>
          <w:p w14:paraId="7782D7B9">
            <w:pPr>
              <w:keepNext w:val="0"/>
              <w:keepLines w:val="0"/>
              <w:pageBreakBefore w:val="0"/>
              <w:widowControl w:val="0"/>
              <w:kinsoku/>
              <w:wordWrap/>
              <w:overflowPunct/>
              <w:topLinePunct w:val="0"/>
              <w:autoSpaceDE/>
              <w:autoSpaceDN/>
              <w:bidi w:val="0"/>
              <w:adjustRightInd/>
              <w:snapToGrid/>
              <w:spacing w:before="174"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4"/>
                <w:sz w:val="24"/>
                <w:szCs w:val="24"/>
                <w:highlight w:val="none"/>
              </w:rPr>
              <w:t>单板U型场地</w:t>
            </w:r>
          </w:p>
        </w:tc>
        <w:tc>
          <w:tcPr>
            <w:tcW w:w="1710" w:type="dxa"/>
            <w:shd w:val="clear" w:color="auto" w:fill="auto"/>
            <w:vAlign w:val="center"/>
          </w:tcPr>
          <w:p w14:paraId="19A31905">
            <w:pPr>
              <w:keepNext w:val="0"/>
              <w:keepLines w:val="0"/>
              <w:pageBreakBefore w:val="0"/>
              <w:widowControl w:val="0"/>
              <w:kinsoku/>
              <w:wordWrap/>
              <w:overflowPunct/>
              <w:topLinePunct w:val="0"/>
              <w:autoSpaceDE/>
              <w:autoSpaceDN/>
              <w:bidi w:val="0"/>
              <w:adjustRightInd/>
              <w:snapToGrid/>
              <w:spacing w:before="223"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316" w:type="dxa"/>
            <w:shd w:val="clear" w:color="auto" w:fill="auto"/>
            <w:vAlign w:val="center"/>
          </w:tcPr>
          <w:p w14:paraId="44112F67">
            <w:pPr>
              <w:keepNext w:val="0"/>
              <w:keepLines w:val="0"/>
              <w:pageBreakBefore w:val="0"/>
              <w:widowControl w:val="0"/>
              <w:kinsoku/>
              <w:wordWrap/>
              <w:overflowPunct/>
              <w:topLinePunct w:val="0"/>
              <w:autoSpaceDE/>
              <w:autoSpaceDN/>
              <w:bidi w:val="0"/>
              <w:adjustRightInd/>
              <w:snapToGrid/>
              <w:spacing w:before="42"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c>
          <w:tcPr>
            <w:tcW w:w="1099" w:type="dxa"/>
            <w:shd w:val="clear" w:color="auto" w:fill="auto"/>
            <w:vAlign w:val="center"/>
          </w:tcPr>
          <w:p w14:paraId="3918B1A2">
            <w:pPr>
              <w:keepNext w:val="0"/>
              <w:keepLines w:val="0"/>
              <w:pageBreakBefore w:val="0"/>
              <w:widowControl w:val="0"/>
              <w:kinsoku/>
              <w:wordWrap/>
              <w:overflowPunct/>
              <w:topLinePunct w:val="0"/>
              <w:autoSpaceDE/>
              <w:autoSpaceDN/>
              <w:bidi w:val="0"/>
              <w:adjustRightInd/>
              <w:snapToGrid/>
              <w:spacing w:before="223"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r>
      <w:tr w14:paraId="05268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54" w:type="dxa"/>
            <w:vMerge w:val="continue"/>
            <w:vAlign w:val="top"/>
          </w:tcPr>
          <w:p w14:paraId="0C154C59">
            <w:pPr>
              <w:keepNext w:val="0"/>
              <w:keepLines w:val="0"/>
              <w:pageBreakBefore w:val="0"/>
              <w:widowControl w:val="0"/>
              <w:kinsoku/>
              <w:wordWrap/>
              <w:overflowPunct/>
              <w:topLinePunct w:val="0"/>
              <w:autoSpaceDE/>
              <w:autoSpaceDN/>
              <w:bidi w:val="0"/>
              <w:adjustRightInd/>
              <w:snapToGrid/>
              <w:spacing w:before="72" w:line="240" w:lineRule="atLeast"/>
              <w:ind w:left="329"/>
              <w:textAlignment w:val="auto"/>
              <w:rPr>
                <w:rFonts w:hint="eastAsia" w:ascii="宋体" w:hAnsi="宋体" w:eastAsia="宋体" w:cs="宋体"/>
                <w:color w:val="auto"/>
                <w:sz w:val="24"/>
                <w:szCs w:val="24"/>
                <w:highlight w:val="none"/>
              </w:rPr>
            </w:pPr>
          </w:p>
        </w:tc>
        <w:tc>
          <w:tcPr>
            <w:tcW w:w="1695" w:type="dxa"/>
            <w:vMerge w:val="continue"/>
            <w:vAlign w:val="center"/>
          </w:tcPr>
          <w:p w14:paraId="7EA13335">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pacing w:val="-14"/>
                <w:sz w:val="24"/>
                <w:szCs w:val="24"/>
                <w:highlight w:val="none"/>
              </w:rPr>
            </w:pPr>
          </w:p>
        </w:tc>
        <w:tc>
          <w:tcPr>
            <w:tcW w:w="2505" w:type="dxa"/>
            <w:shd w:val="clear" w:color="auto" w:fill="auto"/>
            <w:vAlign w:val="center"/>
          </w:tcPr>
          <w:p w14:paraId="51FDB151">
            <w:pPr>
              <w:keepNext w:val="0"/>
              <w:keepLines w:val="0"/>
              <w:pageBreakBefore w:val="0"/>
              <w:widowControl w:val="0"/>
              <w:kinsoku/>
              <w:wordWrap/>
              <w:overflowPunct/>
              <w:topLinePunct w:val="0"/>
              <w:autoSpaceDE/>
              <w:autoSpaceDN/>
              <w:bidi w:val="0"/>
              <w:adjustRightInd/>
              <w:snapToGrid/>
              <w:spacing w:before="174" w:line="240" w:lineRule="atLeast"/>
              <w:jc w:val="center"/>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单板滑雪障碍追逐</w:t>
            </w:r>
          </w:p>
        </w:tc>
        <w:tc>
          <w:tcPr>
            <w:tcW w:w="1710" w:type="dxa"/>
            <w:shd w:val="clear" w:color="auto" w:fill="auto"/>
            <w:vAlign w:val="center"/>
          </w:tcPr>
          <w:p w14:paraId="3BAC0F56">
            <w:pPr>
              <w:keepNext w:val="0"/>
              <w:keepLines w:val="0"/>
              <w:pageBreakBefore w:val="0"/>
              <w:widowControl w:val="0"/>
              <w:kinsoku/>
              <w:wordWrap/>
              <w:overflowPunct/>
              <w:topLinePunct w:val="0"/>
              <w:autoSpaceDE/>
              <w:autoSpaceDN/>
              <w:bidi w:val="0"/>
              <w:adjustRightInd/>
              <w:snapToGrid/>
              <w:spacing w:before="223"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316" w:type="dxa"/>
            <w:shd w:val="clear" w:color="auto" w:fill="auto"/>
            <w:vAlign w:val="center"/>
          </w:tcPr>
          <w:p w14:paraId="1F864C94">
            <w:pPr>
              <w:keepNext w:val="0"/>
              <w:keepLines w:val="0"/>
              <w:pageBreakBefore w:val="0"/>
              <w:widowControl w:val="0"/>
              <w:kinsoku/>
              <w:wordWrap/>
              <w:overflowPunct/>
              <w:topLinePunct w:val="0"/>
              <w:autoSpaceDE/>
              <w:autoSpaceDN/>
              <w:bidi w:val="0"/>
              <w:adjustRightInd/>
              <w:snapToGrid/>
              <w:spacing w:before="42" w:line="240" w:lineRule="atLeast"/>
              <w:jc w:val="center"/>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sz w:val="24"/>
                <w:szCs w:val="24"/>
              </w:rPr>
              <w:t>S类</w:t>
            </w:r>
          </w:p>
        </w:tc>
        <w:tc>
          <w:tcPr>
            <w:tcW w:w="1099" w:type="dxa"/>
            <w:shd w:val="clear" w:color="auto" w:fill="auto"/>
            <w:vAlign w:val="center"/>
          </w:tcPr>
          <w:p w14:paraId="30A5C51F">
            <w:pPr>
              <w:keepNext w:val="0"/>
              <w:keepLines w:val="0"/>
              <w:pageBreakBefore w:val="0"/>
              <w:widowControl w:val="0"/>
              <w:kinsoku/>
              <w:wordWrap/>
              <w:overflowPunct/>
              <w:topLinePunct w:val="0"/>
              <w:autoSpaceDE/>
              <w:autoSpaceDN/>
              <w:bidi w:val="0"/>
              <w:adjustRightInd/>
              <w:snapToGrid/>
              <w:spacing w:before="223"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0726C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754" w:type="dxa"/>
            <w:vMerge w:val="continue"/>
            <w:vAlign w:val="top"/>
          </w:tcPr>
          <w:p w14:paraId="23A883A1">
            <w:pPr>
              <w:keepNext w:val="0"/>
              <w:keepLines w:val="0"/>
              <w:pageBreakBefore w:val="0"/>
              <w:widowControl w:val="0"/>
              <w:kinsoku/>
              <w:wordWrap/>
              <w:overflowPunct/>
              <w:topLinePunct w:val="0"/>
              <w:autoSpaceDE/>
              <w:autoSpaceDN/>
              <w:bidi w:val="0"/>
              <w:adjustRightInd/>
              <w:snapToGrid/>
              <w:spacing w:before="72" w:line="240" w:lineRule="atLeast"/>
              <w:ind w:left="329"/>
              <w:textAlignment w:val="auto"/>
              <w:rPr>
                <w:rFonts w:hint="eastAsia" w:ascii="宋体" w:hAnsi="宋体" w:eastAsia="宋体" w:cs="宋体"/>
                <w:color w:val="auto"/>
                <w:sz w:val="24"/>
                <w:szCs w:val="24"/>
                <w:highlight w:val="none"/>
              </w:rPr>
            </w:pPr>
          </w:p>
        </w:tc>
        <w:tc>
          <w:tcPr>
            <w:tcW w:w="1695" w:type="dxa"/>
            <w:vMerge w:val="continue"/>
            <w:vAlign w:val="center"/>
          </w:tcPr>
          <w:p w14:paraId="0DB0E1E3">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pacing w:val="-14"/>
                <w:sz w:val="24"/>
                <w:szCs w:val="24"/>
                <w:highlight w:val="none"/>
              </w:rPr>
            </w:pPr>
          </w:p>
        </w:tc>
        <w:tc>
          <w:tcPr>
            <w:tcW w:w="2505" w:type="dxa"/>
            <w:shd w:val="clear" w:color="auto" w:fill="auto"/>
            <w:vAlign w:val="center"/>
          </w:tcPr>
          <w:p w14:paraId="186950E6">
            <w:pPr>
              <w:keepNext w:val="0"/>
              <w:keepLines w:val="0"/>
              <w:pageBreakBefore w:val="0"/>
              <w:widowControl w:val="0"/>
              <w:kinsoku/>
              <w:wordWrap/>
              <w:overflowPunct/>
              <w:topLinePunct w:val="0"/>
              <w:autoSpaceDE/>
              <w:autoSpaceDN/>
              <w:bidi w:val="0"/>
              <w:adjustRightInd/>
              <w:snapToGrid/>
              <w:spacing w:before="177" w:line="240" w:lineRule="atLeast"/>
              <w:ind w:right="12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1"/>
                <w:sz w:val="24"/>
                <w:szCs w:val="24"/>
                <w:highlight w:val="none"/>
              </w:rPr>
              <w:t>自由式大跳台和</w:t>
            </w:r>
            <w:r>
              <w:rPr>
                <w:rFonts w:hint="eastAsia" w:ascii="宋体" w:hAnsi="宋体" w:eastAsia="宋体" w:cs="宋体"/>
                <w:color w:val="auto"/>
                <w:spacing w:val="-3"/>
                <w:sz w:val="24"/>
                <w:szCs w:val="24"/>
                <w:highlight w:val="none"/>
              </w:rPr>
              <w:t>坡面障碍技巧</w:t>
            </w:r>
          </w:p>
        </w:tc>
        <w:tc>
          <w:tcPr>
            <w:tcW w:w="1710" w:type="dxa"/>
            <w:shd w:val="clear" w:color="auto" w:fill="auto"/>
            <w:vAlign w:val="center"/>
          </w:tcPr>
          <w:p w14:paraId="4D7DE1E2">
            <w:pPr>
              <w:keepNext w:val="0"/>
              <w:keepLines w:val="0"/>
              <w:pageBreakBefore w:val="0"/>
              <w:widowControl w:val="0"/>
              <w:kinsoku/>
              <w:wordWrap/>
              <w:overflowPunct/>
              <w:topLinePunct w:val="0"/>
              <w:autoSpaceDE/>
              <w:autoSpaceDN/>
              <w:bidi w:val="0"/>
              <w:adjustRightInd/>
              <w:snapToGrid/>
              <w:spacing w:before="91"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1316" w:type="dxa"/>
            <w:shd w:val="clear" w:color="auto" w:fill="auto"/>
            <w:vAlign w:val="center"/>
          </w:tcPr>
          <w:p w14:paraId="29F8A448">
            <w:pPr>
              <w:keepNext w:val="0"/>
              <w:keepLines w:val="0"/>
              <w:pageBreakBefore w:val="0"/>
              <w:widowControl w:val="0"/>
              <w:kinsoku/>
              <w:wordWrap/>
              <w:overflowPunct/>
              <w:topLinePunct w:val="0"/>
              <w:autoSpaceDE/>
              <w:autoSpaceDN/>
              <w:bidi w:val="0"/>
              <w:adjustRightInd/>
              <w:snapToGrid/>
              <w:spacing w:before="42"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c>
          <w:tcPr>
            <w:tcW w:w="1099" w:type="dxa"/>
            <w:shd w:val="clear" w:color="auto" w:fill="auto"/>
            <w:vAlign w:val="center"/>
          </w:tcPr>
          <w:p w14:paraId="748ACB87">
            <w:pPr>
              <w:keepNext w:val="0"/>
              <w:keepLines w:val="0"/>
              <w:pageBreakBefore w:val="0"/>
              <w:widowControl w:val="0"/>
              <w:kinsoku/>
              <w:wordWrap/>
              <w:overflowPunct/>
              <w:topLinePunct w:val="0"/>
              <w:autoSpaceDE/>
              <w:autoSpaceDN/>
              <w:bidi w:val="0"/>
              <w:adjustRightInd/>
              <w:snapToGrid/>
              <w:spacing w:before="91"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r>
      <w:tr w14:paraId="75144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54" w:type="dxa"/>
            <w:vMerge w:val="continue"/>
            <w:vAlign w:val="top"/>
          </w:tcPr>
          <w:p w14:paraId="2F032F46">
            <w:pPr>
              <w:keepNext w:val="0"/>
              <w:keepLines w:val="0"/>
              <w:pageBreakBefore w:val="0"/>
              <w:widowControl w:val="0"/>
              <w:kinsoku/>
              <w:wordWrap/>
              <w:overflowPunct/>
              <w:topLinePunct w:val="0"/>
              <w:autoSpaceDE/>
              <w:autoSpaceDN/>
              <w:bidi w:val="0"/>
              <w:adjustRightInd/>
              <w:snapToGrid/>
              <w:spacing w:before="72" w:line="240" w:lineRule="atLeast"/>
              <w:ind w:left="329"/>
              <w:textAlignment w:val="auto"/>
              <w:rPr>
                <w:rFonts w:hint="eastAsia" w:ascii="宋体" w:hAnsi="宋体" w:eastAsia="宋体" w:cs="宋体"/>
                <w:color w:val="auto"/>
                <w:sz w:val="24"/>
                <w:szCs w:val="24"/>
                <w:highlight w:val="none"/>
              </w:rPr>
            </w:pPr>
          </w:p>
        </w:tc>
        <w:tc>
          <w:tcPr>
            <w:tcW w:w="1695" w:type="dxa"/>
            <w:vMerge w:val="continue"/>
            <w:vAlign w:val="center"/>
          </w:tcPr>
          <w:p w14:paraId="752DF003">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pacing w:val="-14"/>
                <w:sz w:val="24"/>
                <w:szCs w:val="24"/>
                <w:highlight w:val="none"/>
              </w:rPr>
            </w:pPr>
          </w:p>
        </w:tc>
        <w:tc>
          <w:tcPr>
            <w:tcW w:w="2505" w:type="dxa"/>
            <w:shd w:val="clear" w:color="auto" w:fill="auto"/>
            <w:vAlign w:val="center"/>
          </w:tcPr>
          <w:p w14:paraId="33213DE7">
            <w:pPr>
              <w:keepNext w:val="0"/>
              <w:keepLines w:val="0"/>
              <w:pageBreakBefore w:val="0"/>
              <w:widowControl w:val="0"/>
              <w:kinsoku/>
              <w:wordWrap/>
              <w:overflowPunct/>
              <w:topLinePunct w:val="0"/>
              <w:autoSpaceDE/>
              <w:autoSpaceDN/>
              <w:bidi w:val="0"/>
              <w:adjustRightInd/>
              <w:snapToGrid/>
              <w:spacing w:before="254"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1"/>
                <w:sz w:val="24"/>
                <w:szCs w:val="24"/>
                <w:highlight w:val="none"/>
              </w:rPr>
              <w:t>自由式U型场地</w:t>
            </w:r>
          </w:p>
        </w:tc>
        <w:tc>
          <w:tcPr>
            <w:tcW w:w="1710" w:type="dxa"/>
            <w:shd w:val="clear" w:color="auto" w:fill="auto"/>
            <w:vAlign w:val="center"/>
          </w:tcPr>
          <w:p w14:paraId="46C4F4C1">
            <w:pPr>
              <w:keepNext w:val="0"/>
              <w:keepLines w:val="0"/>
              <w:pageBreakBefore w:val="0"/>
              <w:widowControl w:val="0"/>
              <w:kinsoku/>
              <w:wordWrap/>
              <w:overflowPunct/>
              <w:topLinePunct w:val="0"/>
              <w:autoSpaceDE/>
              <w:autoSpaceDN/>
              <w:bidi w:val="0"/>
              <w:adjustRightInd/>
              <w:snapToGrid/>
              <w:spacing w:before="302"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1316" w:type="dxa"/>
            <w:shd w:val="clear" w:color="auto" w:fill="auto"/>
            <w:vAlign w:val="center"/>
          </w:tcPr>
          <w:p w14:paraId="7BA664EE">
            <w:pPr>
              <w:keepNext w:val="0"/>
              <w:keepLines w:val="0"/>
              <w:pageBreakBefore w:val="0"/>
              <w:widowControl w:val="0"/>
              <w:kinsoku/>
              <w:wordWrap/>
              <w:overflowPunct/>
              <w:topLinePunct w:val="0"/>
              <w:autoSpaceDE/>
              <w:autoSpaceDN/>
              <w:bidi w:val="0"/>
              <w:adjustRightInd/>
              <w:snapToGrid/>
              <w:spacing w:before="42"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c>
          <w:tcPr>
            <w:tcW w:w="1099" w:type="dxa"/>
            <w:shd w:val="clear" w:color="auto" w:fill="auto"/>
            <w:vAlign w:val="center"/>
          </w:tcPr>
          <w:p w14:paraId="360EA4BE">
            <w:pPr>
              <w:keepNext w:val="0"/>
              <w:keepLines w:val="0"/>
              <w:pageBreakBefore w:val="0"/>
              <w:widowControl w:val="0"/>
              <w:kinsoku/>
              <w:wordWrap/>
              <w:overflowPunct/>
              <w:topLinePunct w:val="0"/>
              <w:autoSpaceDE/>
              <w:autoSpaceDN/>
              <w:bidi w:val="0"/>
              <w:adjustRightInd/>
              <w:snapToGrid/>
              <w:spacing w:before="302"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r>
      <w:tr w14:paraId="394DF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54" w:type="dxa"/>
            <w:vMerge w:val="continue"/>
            <w:vAlign w:val="top"/>
          </w:tcPr>
          <w:p w14:paraId="28E2E8B8">
            <w:pPr>
              <w:keepNext w:val="0"/>
              <w:keepLines w:val="0"/>
              <w:pageBreakBefore w:val="0"/>
              <w:widowControl w:val="0"/>
              <w:kinsoku/>
              <w:wordWrap/>
              <w:overflowPunct/>
              <w:topLinePunct w:val="0"/>
              <w:autoSpaceDE/>
              <w:autoSpaceDN/>
              <w:bidi w:val="0"/>
              <w:adjustRightInd/>
              <w:snapToGrid/>
              <w:spacing w:before="72" w:line="240" w:lineRule="atLeast"/>
              <w:ind w:left="329"/>
              <w:textAlignment w:val="auto"/>
              <w:rPr>
                <w:rFonts w:hint="eastAsia" w:ascii="宋体" w:hAnsi="宋体" w:eastAsia="宋体" w:cs="宋体"/>
                <w:color w:val="auto"/>
                <w:sz w:val="24"/>
                <w:szCs w:val="24"/>
                <w:highlight w:val="none"/>
              </w:rPr>
            </w:pPr>
          </w:p>
        </w:tc>
        <w:tc>
          <w:tcPr>
            <w:tcW w:w="1695" w:type="dxa"/>
            <w:vMerge w:val="continue"/>
            <w:vAlign w:val="center"/>
          </w:tcPr>
          <w:p w14:paraId="468B7F24">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pacing w:val="-14"/>
                <w:sz w:val="24"/>
                <w:szCs w:val="24"/>
                <w:highlight w:val="none"/>
              </w:rPr>
            </w:pPr>
          </w:p>
        </w:tc>
        <w:tc>
          <w:tcPr>
            <w:tcW w:w="2505" w:type="dxa"/>
            <w:shd w:val="clear" w:color="auto" w:fill="auto"/>
            <w:vAlign w:val="center"/>
          </w:tcPr>
          <w:p w14:paraId="48DF7F2F">
            <w:pPr>
              <w:keepNext w:val="0"/>
              <w:keepLines w:val="0"/>
              <w:pageBreakBefore w:val="0"/>
              <w:widowControl w:val="0"/>
              <w:kinsoku/>
              <w:wordWrap/>
              <w:overflowPunct/>
              <w:topLinePunct w:val="0"/>
              <w:autoSpaceDE/>
              <w:autoSpaceDN/>
              <w:bidi w:val="0"/>
              <w:adjustRightInd/>
              <w:snapToGrid/>
              <w:spacing w:before="254" w:line="240" w:lineRule="atLeast"/>
              <w:jc w:val="center"/>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单板滑雪平行大回转</w:t>
            </w:r>
          </w:p>
        </w:tc>
        <w:tc>
          <w:tcPr>
            <w:tcW w:w="1710" w:type="dxa"/>
            <w:shd w:val="clear" w:color="auto" w:fill="auto"/>
            <w:vAlign w:val="center"/>
          </w:tcPr>
          <w:p w14:paraId="09CEA19B">
            <w:pPr>
              <w:keepNext w:val="0"/>
              <w:keepLines w:val="0"/>
              <w:pageBreakBefore w:val="0"/>
              <w:widowControl w:val="0"/>
              <w:kinsoku/>
              <w:wordWrap/>
              <w:overflowPunct/>
              <w:topLinePunct w:val="0"/>
              <w:autoSpaceDE/>
              <w:autoSpaceDN/>
              <w:bidi w:val="0"/>
              <w:adjustRightInd/>
              <w:snapToGrid/>
              <w:spacing w:before="302"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316" w:type="dxa"/>
            <w:shd w:val="clear" w:color="auto" w:fill="auto"/>
            <w:vAlign w:val="center"/>
          </w:tcPr>
          <w:p w14:paraId="119BEFD1">
            <w:pPr>
              <w:keepNext w:val="0"/>
              <w:keepLines w:val="0"/>
              <w:pageBreakBefore w:val="0"/>
              <w:widowControl w:val="0"/>
              <w:kinsoku/>
              <w:wordWrap/>
              <w:overflowPunct/>
              <w:topLinePunct w:val="0"/>
              <w:autoSpaceDE/>
              <w:autoSpaceDN/>
              <w:bidi w:val="0"/>
              <w:adjustRightInd/>
              <w:snapToGrid/>
              <w:spacing w:before="37" w:line="240" w:lineRule="atLeast"/>
              <w:jc w:val="center"/>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sz w:val="24"/>
                <w:szCs w:val="24"/>
              </w:rPr>
              <w:t>S类</w:t>
            </w:r>
          </w:p>
        </w:tc>
        <w:tc>
          <w:tcPr>
            <w:tcW w:w="1099" w:type="dxa"/>
            <w:shd w:val="clear" w:color="auto" w:fill="auto"/>
            <w:vAlign w:val="center"/>
          </w:tcPr>
          <w:p w14:paraId="79DB91A8">
            <w:pPr>
              <w:keepNext w:val="0"/>
              <w:keepLines w:val="0"/>
              <w:pageBreakBefore w:val="0"/>
              <w:widowControl w:val="0"/>
              <w:kinsoku/>
              <w:wordWrap/>
              <w:overflowPunct/>
              <w:topLinePunct w:val="0"/>
              <w:autoSpaceDE/>
              <w:autoSpaceDN/>
              <w:bidi w:val="0"/>
              <w:adjustRightInd/>
              <w:snapToGrid/>
              <w:spacing w:before="302"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r>
      <w:tr w14:paraId="5ADB8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54" w:type="dxa"/>
            <w:vMerge w:val="continue"/>
            <w:vAlign w:val="top"/>
          </w:tcPr>
          <w:p w14:paraId="0DEB1833">
            <w:pPr>
              <w:keepNext w:val="0"/>
              <w:keepLines w:val="0"/>
              <w:pageBreakBefore w:val="0"/>
              <w:widowControl w:val="0"/>
              <w:kinsoku/>
              <w:wordWrap/>
              <w:overflowPunct/>
              <w:topLinePunct w:val="0"/>
              <w:autoSpaceDE/>
              <w:autoSpaceDN/>
              <w:bidi w:val="0"/>
              <w:adjustRightInd/>
              <w:snapToGrid/>
              <w:spacing w:before="72" w:line="240" w:lineRule="atLeast"/>
              <w:ind w:left="329"/>
              <w:textAlignment w:val="auto"/>
              <w:rPr>
                <w:rFonts w:hint="eastAsia" w:ascii="宋体" w:hAnsi="宋体" w:eastAsia="宋体" w:cs="宋体"/>
                <w:color w:val="auto"/>
                <w:sz w:val="24"/>
                <w:szCs w:val="24"/>
                <w:highlight w:val="none"/>
              </w:rPr>
            </w:pPr>
          </w:p>
        </w:tc>
        <w:tc>
          <w:tcPr>
            <w:tcW w:w="1695" w:type="dxa"/>
            <w:vMerge w:val="continue"/>
            <w:vAlign w:val="center"/>
          </w:tcPr>
          <w:p w14:paraId="40F85DF5">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pacing w:val="-14"/>
                <w:sz w:val="24"/>
                <w:szCs w:val="24"/>
                <w:highlight w:val="none"/>
              </w:rPr>
            </w:pPr>
          </w:p>
        </w:tc>
        <w:tc>
          <w:tcPr>
            <w:tcW w:w="2505" w:type="dxa"/>
            <w:shd w:val="clear" w:color="auto" w:fill="auto"/>
            <w:vAlign w:val="center"/>
          </w:tcPr>
          <w:p w14:paraId="043CA987">
            <w:pPr>
              <w:keepNext w:val="0"/>
              <w:keepLines w:val="0"/>
              <w:pageBreakBefore w:val="0"/>
              <w:widowControl w:val="0"/>
              <w:kinsoku/>
              <w:wordWrap/>
              <w:overflowPunct/>
              <w:topLinePunct w:val="0"/>
              <w:autoSpaceDE/>
              <w:autoSpaceDN/>
              <w:bidi w:val="0"/>
              <w:adjustRightInd/>
              <w:snapToGrid/>
              <w:spacing w:before="274"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1"/>
                <w:sz w:val="24"/>
                <w:szCs w:val="24"/>
                <w:highlight w:val="none"/>
              </w:rPr>
              <w:t>自由式空中技巧</w:t>
            </w:r>
          </w:p>
        </w:tc>
        <w:tc>
          <w:tcPr>
            <w:tcW w:w="1710" w:type="dxa"/>
            <w:shd w:val="clear" w:color="auto" w:fill="auto"/>
            <w:vAlign w:val="center"/>
          </w:tcPr>
          <w:p w14:paraId="5CDA43FA">
            <w:pPr>
              <w:keepNext w:val="0"/>
              <w:keepLines w:val="0"/>
              <w:pageBreakBefore w:val="0"/>
              <w:widowControl w:val="0"/>
              <w:kinsoku/>
              <w:wordWrap/>
              <w:overflowPunct/>
              <w:topLinePunct w:val="0"/>
              <w:autoSpaceDE/>
              <w:autoSpaceDN/>
              <w:bidi w:val="0"/>
              <w:adjustRightInd/>
              <w:snapToGrid/>
              <w:spacing w:before="322" w:line="2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1316" w:type="dxa"/>
            <w:shd w:val="clear" w:color="auto" w:fill="auto"/>
            <w:vAlign w:val="center"/>
          </w:tcPr>
          <w:p w14:paraId="0571CD9A">
            <w:pPr>
              <w:keepNext w:val="0"/>
              <w:keepLines w:val="0"/>
              <w:pageBreakBefore w:val="0"/>
              <w:widowControl w:val="0"/>
              <w:kinsoku/>
              <w:wordWrap/>
              <w:overflowPunct/>
              <w:topLinePunct w:val="0"/>
              <w:autoSpaceDE/>
              <w:autoSpaceDN/>
              <w:bidi w:val="0"/>
              <w:adjustRightInd/>
              <w:snapToGrid/>
              <w:spacing w:before="42"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c>
          <w:tcPr>
            <w:tcW w:w="1099" w:type="dxa"/>
            <w:shd w:val="clear" w:color="auto" w:fill="auto"/>
            <w:vAlign w:val="center"/>
          </w:tcPr>
          <w:p w14:paraId="720AFDCA">
            <w:pPr>
              <w:keepNext w:val="0"/>
              <w:keepLines w:val="0"/>
              <w:pageBreakBefore w:val="0"/>
              <w:widowControl w:val="0"/>
              <w:kinsoku/>
              <w:wordWrap/>
              <w:overflowPunct/>
              <w:topLinePunct w:val="0"/>
              <w:autoSpaceDE/>
              <w:autoSpaceDN/>
              <w:bidi w:val="0"/>
              <w:adjustRightInd/>
              <w:snapToGrid/>
              <w:spacing w:before="322" w:line="2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r>
      <w:tr w14:paraId="2CBF6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54" w:type="dxa"/>
            <w:vMerge w:val="continue"/>
            <w:vAlign w:val="top"/>
          </w:tcPr>
          <w:p w14:paraId="6251A95C">
            <w:pPr>
              <w:keepNext w:val="0"/>
              <w:keepLines w:val="0"/>
              <w:pageBreakBefore w:val="0"/>
              <w:widowControl w:val="0"/>
              <w:kinsoku/>
              <w:wordWrap/>
              <w:overflowPunct/>
              <w:topLinePunct w:val="0"/>
              <w:autoSpaceDE/>
              <w:autoSpaceDN/>
              <w:bidi w:val="0"/>
              <w:adjustRightInd/>
              <w:snapToGrid/>
              <w:spacing w:before="72" w:line="240" w:lineRule="atLeast"/>
              <w:ind w:left="329"/>
              <w:textAlignment w:val="auto"/>
              <w:rPr>
                <w:rFonts w:hint="eastAsia" w:ascii="宋体" w:hAnsi="宋体" w:eastAsia="宋体" w:cs="宋体"/>
                <w:color w:val="auto"/>
                <w:sz w:val="24"/>
                <w:szCs w:val="24"/>
                <w:highlight w:val="none"/>
              </w:rPr>
            </w:pPr>
          </w:p>
        </w:tc>
        <w:tc>
          <w:tcPr>
            <w:tcW w:w="1695" w:type="dxa"/>
            <w:vMerge w:val="continue"/>
            <w:vAlign w:val="center"/>
          </w:tcPr>
          <w:p w14:paraId="469B5C53">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pacing w:val="-14"/>
                <w:sz w:val="24"/>
                <w:szCs w:val="24"/>
                <w:highlight w:val="none"/>
              </w:rPr>
            </w:pPr>
          </w:p>
        </w:tc>
        <w:tc>
          <w:tcPr>
            <w:tcW w:w="2505" w:type="dxa"/>
            <w:shd w:val="clear" w:color="auto" w:fill="auto"/>
            <w:vAlign w:val="center"/>
          </w:tcPr>
          <w:p w14:paraId="2A4C72B8">
            <w:pPr>
              <w:keepNext w:val="0"/>
              <w:keepLines w:val="0"/>
              <w:pageBreakBefore w:val="0"/>
              <w:widowControl w:val="0"/>
              <w:kinsoku/>
              <w:wordWrap/>
              <w:overflowPunct/>
              <w:topLinePunct w:val="0"/>
              <w:autoSpaceDE/>
              <w:autoSpaceDN/>
              <w:bidi w:val="0"/>
              <w:adjustRightInd/>
              <w:snapToGrid/>
              <w:spacing w:before="285"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1"/>
                <w:sz w:val="24"/>
                <w:szCs w:val="24"/>
                <w:highlight w:val="none"/>
              </w:rPr>
              <w:t>自由式障碍追逐</w:t>
            </w:r>
          </w:p>
        </w:tc>
        <w:tc>
          <w:tcPr>
            <w:tcW w:w="1710" w:type="dxa"/>
            <w:shd w:val="clear" w:color="auto" w:fill="auto"/>
            <w:vAlign w:val="center"/>
          </w:tcPr>
          <w:p w14:paraId="0106163F">
            <w:pPr>
              <w:keepNext w:val="0"/>
              <w:keepLines w:val="0"/>
              <w:pageBreakBefore w:val="0"/>
              <w:widowControl w:val="0"/>
              <w:kinsoku/>
              <w:wordWrap/>
              <w:overflowPunct/>
              <w:topLinePunct w:val="0"/>
              <w:autoSpaceDE/>
              <w:autoSpaceDN/>
              <w:bidi w:val="0"/>
              <w:adjustRightInd/>
              <w:snapToGrid/>
              <w:spacing w:before="91" w:line="2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5"/>
                <w:sz w:val="24"/>
                <w:szCs w:val="24"/>
                <w:highlight w:val="none"/>
                <w:lang w:val="en-US" w:eastAsia="zh-CN"/>
              </w:rPr>
              <w:t>17</w:t>
            </w:r>
          </w:p>
        </w:tc>
        <w:tc>
          <w:tcPr>
            <w:tcW w:w="1316" w:type="dxa"/>
            <w:shd w:val="clear" w:color="auto" w:fill="auto"/>
            <w:vAlign w:val="center"/>
          </w:tcPr>
          <w:p w14:paraId="1433C7D9">
            <w:pPr>
              <w:keepNext w:val="0"/>
              <w:keepLines w:val="0"/>
              <w:pageBreakBefore w:val="0"/>
              <w:widowControl w:val="0"/>
              <w:kinsoku/>
              <w:wordWrap/>
              <w:overflowPunct/>
              <w:topLinePunct w:val="0"/>
              <w:autoSpaceDE/>
              <w:autoSpaceDN/>
              <w:bidi w:val="0"/>
              <w:adjustRightInd/>
              <w:snapToGrid/>
              <w:spacing w:before="37"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c>
          <w:tcPr>
            <w:tcW w:w="1099" w:type="dxa"/>
            <w:shd w:val="clear" w:color="auto" w:fill="auto"/>
            <w:vAlign w:val="center"/>
          </w:tcPr>
          <w:p w14:paraId="1DE8472F">
            <w:pPr>
              <w:keepNext w:val="0"/>
              <w:keepLines w:val="0"/>
              <w:pageBreakBefore w:val="0"/>
              <w:widowControl w:val="0"/>
              <w:kinsoku/>
              <w:wordWrap/>
              <w:overflowPunct/>
              <w:topLinePunct w:val="0"/>
              <w:autoSpaceDE/>
              <w:autoSpaceDN/>
              <w:bidi w:val="0"/>
              <w:adjustRightInd/>
              <w:snapToGrid/>
              <w:spacing w:before="91" w:line="2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17</w:t>
            </w:r>
          </w:p>
        </w:tc>
      </w:tr>
      <w:tr w14:paraId="2BC50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754" w:type="dxa"/>
            <w:vMerge w:val="continue"/>
            <w:vAlign w:val="top"/>
          </w:tcPr>
          <w:p w14:paraId="76C9B73B">
            <w:pPr>
              <w:keepNext w:val="0"/>
              <w:keepLines w:val="0"/>
              <w:pageBreakBefore w:val="0"/>
              <w:widowControl w:val="0"/>
              <w:kinsoku/>
              <w:wordWrap/>
              <w:overflowPunct/>
              <w:topLinePunct w:val="0"/>
              <w:autoSpaceDE/>
              <w:autoSpaceDN/>
              <w:bidi w:val="0"/>
              <w:adjustRightInd/>
              <w:snapToGrid/>
              <w:spacing w:before="72" w:line="240" w:lineRule="atLeast"/>
              <w:ind w:left="329"/>
              <w:textAlignment w:val="auto"/>
              <w:rPr>
                <w:rFonts w:hint="eastAsia" w:ascii="宋体" w:hAnsi="宋体" w:eastAsia="宋体" w:cs="宋体"/>
                <w:color w:val="auto"/>
                <w:sz w:val="24"/>
                <w:szCs w:val="24"/>
                <w:highlight w:val="none"/>
              </w:rPr>
            </w:pPr>
          </w:p>
        </w:tc>
        <w:tc>
          <w:tcPr>
            <w:tcW w:w="1695" w:type="dxa"/>
            <w:vMerge w:val="continue"/>
            <w:vAlign w:val="center"/>
          </w:tcPr>
          <w:p w14:paraId="696A351D">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pacing w:val="-14"/>
                <w:sz w:val="24"/>
                <w:szCs w:val="24"/>
                <w:highlight w:val="none"/>
              </w:rPr>
            </w:pPr>
          </w:p>
        </w:tc>
        <w:tc>
          <w:tcPr>
            <w:tcW w:w="2505" w:type="dxa"/>
            <w:shd w:val="clear" w:color="auto" w:fill="auto"/>
            <w:vAlign w:val="center"/>
          </w:tcPr>
          <w:p w14:paraId="5E2E8031">
            <w:pPr>
              <w:keepNext w:val="0"/>
              <w:keepLines w:val="0"/>
              <w:pageBreakBefore w:val="0"/>
              <w:widowControl w:val="0"/>
              <w:kinsoku/>
              <w:wordWrap/>
              <w:overflowPunct/>
              <w:topLinePunct w:val="0"/>
              <w:autoSpaceDE/>
              <w:autoSpaceDN/>
              <w:bidi w:val="0"/>
              <w:adjustRightInd/>
              <w:snapToGrid/>
              <w:spacing w:before="175"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7"/>
                <w:sz w:val="24"/>
                <w:szCs w:val="24"/>
                <w:highlight w:val="none"/>
                <w:lang w:eastAsia="zh-CN"/>
              </w:rPr>
              <w:t>自由式</w:t>
            </w:r>
            <w:r>
              <w:rPr>
                <w:rFonts w:hint="eastAsia" w:ascii="宋体" w:hAnsi="宋体" w:eastAsia="宋体" w:cs="宋体"/>
                <w:color w:val="auto"/>
                <w:spacing w:val="-7"/>
                <w:sz w:val="24"/>
                <w:szCs w:val="24"/>
                <w:highlight w:val="none"/>
              </w:rPr>
              <w:t>雪上技巧</w:t>
            </w:r>
          </w:p>
        </w:tc>
        <w:tc>
          <w:tcPr>
            <w:tcW w:w="1710" w:type="dxa"/>
            <w:shd w:val="clear" w:color="auto" w:fill="auto"/>
            <w:vAlign w:val="center"/>
          </w:tcPr>
          <w:p w14:paraId="3FF37FE7">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5"/>
                <w:sz w:val="24"/>
                <w:szCs w:val="24"/>
                <w:highlight w:val="none"/>
                <w:lang w:val="en-US" w:eastAsia="zh-CN"/>
              </w:rPr>
              <w:t>10</w:t>
            </w:r>
          </w:p>
        </w:tc>
        <w:tc>
          <w:tcPr>
            <w:tcW w:w="1316" w:type="dxa"/>
            <w:shd w:val="clear" w:color="auto" w:fill="auto"/>
            <w:vAlign w:val="center"/>
          </w:tcPr>
          <w:p w14:paraId="08570740">
            <w:pPr>
              <w:keepNext w:val="0"/>
              <w:keepLines w:val="0"/>
              <w:pageBreakBefore w:val="0"/>
              <w:widowControl w:val="0"/>
              <w:kinsoku/>
              <w:wordWrap/>
              <w:overflowPunct/>
              <w:topLinePunct w:val="0"/>
              <w:autoSpaceDE/>
              <w:autoSpaceDN/>
              <w:bidi w:val="0"/>
              <w:adjustRightInd/>
              <w:snapToGrid/>
              <w:spacing w:before="56" w:line="240" w:lineRule="atLeast"/>
              <w:jc w:val="center"/>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sz w:val="24"/>
                <w:szCs w:val="24"/>
              </w:rPr>
              <w:t>S类</w:t>
            </w:r>
          </w:p>
        </w:tc>
        <w:tc>
          <w:tcPr>
            <w:tcW w:w="1099" w:type="dxa"/>
            <w:shd w:val="clear" w:color="auto" w:fill="auto"/>
            <w:vAlign w:val="center"/>
          </w:tcPr>
          <w:p w14:paraId="6A20844E">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5"/>
                <w:sz w:val="24"/>
                <w:szCs w:val="24"/>
                <w:highlight w:val="none"/>
                <w:lang w:val="en-US" w:eastAsia="zh-CN"/>
              </w:rPr>
              <w:t>10</w:t>
            </w:r>
          </w:p>
        </w:tc>
      </w:tr>
      <w:tr w14:paraId="39DC8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54" w:type="dxa"/>
            <w:vMerge w:val="continue"/>
            <w:vAlign w:val="top"/>
          </w:tcPr>
          <w:p w14:paraId="2115F3D2">
            <w:pPr>
              <w:keepNext w:val="0"/>
              <w:keepLines w:val="0"/>
              <w:pageBreakBefore w:val="0"/>
              <w:widowControl w:val="0"/>
              <w:kinsoku/>
              <w:wordWrap/>
              <w:overflowPunct/>
              <w:topLinePunct w:val="0"/>
              <w:autoSpaceDE/>
              <w:autoSpaceDN/>
              <w:bidi w:val="0"/>
              <w:adjustRightInd/>
              <w:snapToGrid/>
              <w:spacing w:before="72" w:line="240" w:lineRule="atLeast"/>
              <w:ind w:left="329"/>
              <w:textAlignment w:val="auto"/>
              <w:rPr>
                <w:rFonts w:hint="eastAsia" w:ascii="宋体" w:hAnsi="宋体" w:eastAsia="宋体" w:cs="宋体"/>
                <w:color w:val="auto"/>
                <w:sz w:val="24"/>
                <w:szCs w:val="24"/>
                <w:highlight w:val="none"/>
              </w:rPr>
            </w:pPr>
          </w:p>
        </w:tc>
        <w:tc>
          <w:tcPr>
            <w:tcW w:w="1695" w:type="dxa"/>
            <w:vMerge w:val="continue"/>
            <w:vAlign w:val="center"/>
          </w:tcPr>
          <w:p w14:paraId="4ABE829D">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pacing w:val="-14"/>
                <w:sz w:val="24"/>
                <w:szCs w:val="24"/>
                <w:highlight w:val="none"/>
              </w:rPr>
            </w:pPr>
          </w:p>
        </w:tc>
        <w:tc>
          <w:tcPr>
            <w:tcW w:w="2505" w:type="dxa"/>
            <w:shd w:val="clear" w:color="auto" w:fill="auto"/>
            <w:vAlign w:val="center"/>
          </w:tcPr>
          <w:p w14:paraId="1737D7EC">
            <w:pPr>
              <w:keepNext w:val="0"/>
              <w:keepLines w:val="0"/>
              <w:pageBreakBefore w:val="0"/>
              <w:widowControl w:val="0"/>
              <w:kinsoku/>
              <w:wordWrap/>
              <w:overflowPunct/>
              <w:topLinePunct w:val="0"/>
              <w:autoSpaceDE/>
              <w:autoSpaceDN/>
              <w:bidi w:val="0"/>
              <w:adjustRightInd/>
              <w:snapToGrid/>
              <w:spacing w:before="175" w:line="240" w:lineRule="atLeast"/>
              <w:jc w:val="center"/>
              <w:textAlignment w:val="auto"/>
              <w:rPr>
                <w:rFonts w:hint="eastAsia"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lang w:eastAsia="zh-CN"/>
              </w:rPr>
              <w:t>单板障碍追逐</w:t>
            </w:r>
          </w:p>
        </w:tc>
        <w:tc>
          <w:tcPr>
            <w:tcW w:w="1710" w:type="dxa"/>
            <w:shd w:val="clear" w:color="auto" w:fill="auto"/>
            <w:vAlign w:val="center"/>
          </w:tcPr>
          <w:p w14:paraId="204F13C9">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8</w:t>
            </w:r>
          </w:p>
        </w:tc>
        <w:tc>
          <w:tcPr>
            <w:tcW w:w="1316" w:type="dxa"/>
            <w:shd w:val="clear" w:color="auto" w:fill="auto"/>
            <w:vAlign w:val="center"/>
          </w:tcPr>
          <w:p w14:paraId="5AD7F9EC">
            <w:pPr>
              <w:keepNext w:val="0"/>
              <w:keepLines w:val="0"/>
              <w:pageBreakBefore w:val="0"/>
              <w:widowControl w:val="0"/>
              <w:kinsoku/>
              <w:wordWrap/>
              <w:overflowPunct/>
              <w:topLinePunct w:val="0"/>
              <w:autoSpaceDE/>
              <w:autoSpaceDN/>
              <w:bidi w:val="0"/>
              <w:adjustRightInd/>
              <w:snapToGrid/>
              <w:spacing w:before="56" w:line="240" w:lineRule="atLeast"/>
              <w:jc w:val="center"/>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sz w:val="24"/>
                <w:szCs w:val="24"/>
              </w:rPr>
              <w:t>S类</w:t>
            </w:r>
          </w:p>
        </w:tc>
        <w:tc>
          <w:tcPr>
            <w:tcW w:w="1099" w:type="dxa"/>
            <w:shd w:val="clear" w:color="auto" w:fill="auto"/>
            <w:vAlign w:val="center"/>
          </w:tcPr>
          <w:p w14:paraId="464C4D60">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8</w:t>
            </w:r>
          </w:p>
        </w:tc>
      </w:tr>
      <w:tr w14:paraId="770D6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54" w:type="dxa"/>
            <w:vMerge w:val="continue"/>
            <w:tcBorders>
              <w:bottom w:val="single" w:color="auto" w:sz="4" w:space="0"/>
            </w:tcBorders>
            <w:vAlign w:val="top"/>
          </w:tcPr>
          <w:p w14:paraId="7208D560">
            <w:pPr>
              <w:keepNext w:val="0"/>
              <w:keepLines w:val="0"/>
              <w:pageBreakBefore w:val="0"/>
              <w:widowControl w:val="0"/>
              <w:kinsoku/>
              <w:wordWrap/>
              <w:overflowPunct/>
              <w:topLinePunct w:val="0"/>
              <w:autoSpaceDE/>
              <w:autoSpaceDN/>
              <w:bidi w:val="0"/>
              <w:adjustRightInd/>
              <w:snapToGrid/>
              <w:spacing w:before="72" w:line="240" w:lineRule="atLeast"/>
              <w:ind w:left="329"/>
              <w:textAlignment w:val="auto"/>
              <w:rPr>
                <w:rFonts w:hint="eastAsia" w:ascii="宋体" w:hAnsi="宋体" w:eastAsia="宋体" w:cs="宋体"/>
                <w:color w:val="auto"/>
                <w:sz w:val="24"/>
                <w:szCs w:val="24"/>
                <w:highlight w:val="none"/>
              </w:rPr>
            </w:pPr>
          </w:p>
        </w:tc>
        <w:tc>
          <w:tcPr>
            <w:tcW w:w="1695" w:type="dxa"/>
            <w:vMerge w:val="continue"/>
            <w:tcBorders>
              <w:bottom w:val="single" w:color="auto" w:sz="4" w:space="0"/>
            </w:tcBorders>
            <w:vAlign w:val="center"/>
          </w:tcPr>
          <w:p w14:paraId="7EFC79FD">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color w:val="auto"/>
                <w:sz w:val="24"/>
                <w:szCs w:val="24"/>
                <w:highlight w:val="none"/>
              </w:rPr>
            </w:pPr>
          </w:p>
        </w:tc>
        <w:tc>
          <w:tcPr>
            <w:tcW w:w="2505" w:type="dxa"/>
            <w:vAlign w:val="center"/>
          </w:tcPr>
          <w:p w14:paraId="0D9A108C">
            <w:pPr>
              <w:keepNext w:val="0"/>
              <w:keepLines w:val="0"/>
              <w:pageBreakBefore w:val="0"/>
              <w:widowControl w:val="0"/>
              <w:kinsoku/>
              <w:wordWrap/>
              <w:overflowPunct/>
              <w:topLinePunct w:val="0"/>
              <w:autoSpaceDE/>
              <w:autoSpaceDN/>
              <w:bidi w:val="0"/>
              <w:adjustRightInd/>
              <w:snapToGrid/>
              <w:spacing w:before="174" w:line="240" w:lineRule="atLeast"/>
              <w:ind w:right="12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单板大跳台</w:t>
            </w:r>
            <w:r>
              <w:rPr>
                <w:rFonts w:hint="eastAsia" w:ascii="宋体" w:hAnsi="宋体" w:eastAsia="宋体" w:cs="宋体"/>
                <w:color w:val="auto"/>
                <w:spacing w:val="-4"/>
                <w:sz w:val="24"/>
                <w:szCs w:val="24"/>
                <w:highlight w:val="none"/>
                <w:lang w:eastAsia="zh-CN"/>
              </w:rPr>
              <w:t>和</w:t>
            </w:r>
            <w:r>
              <w:rPr>
                <w:rFonts w:hint="eastAsia" w:ascii="宋体" w:hAnsi="宋体" w:eastAsia="宋体" w:cs="宋体"/>
                <w:color w:val="auto"/>
                <w:spacing w:val="-4"/>
                <w:sz w:val="24"/>
                <w:szCs w:val="24"/>
                <w:highlight w:val="none"/>
              </w:rPr>
              <w:t>坡</w:t>
            </w:r>
            <w:r>
              <w:rPr>
                <w:rFonts w:hint="eastAsia" w:ascii="宋体" w:hAnsi="宋体" w:eastAsia="宋体" w:cs="宋体"/>
                <w:color w:val="auto"/>
                <w:spacing w:val="-5"/>
                <w:sz w:val="24"/>
                <w:szCs w:val="24"/>
                <w:highlight w:val="none"/>
              </w:rPr>
              <w:t>面障碍技巧</w:t>
            </w:r>
          </w:p>
        </w:tc>
        <w:tc>
          <w:tcPr>
            <w:tcW w:w="1710" w:type="dxa"/>
            <w:vAlign w:val="center"/>
          </w:tcPr>
          <w:p w14:paraId="76679295">
            <w:pPr>
              <w:keepNext w:val="0"/>
              <w:keepLines w:val="0"/>
              <w:pageBreakBefore w:val="0"/>
              <w:widowControl w:val="0"/>
              <w:kinsoku/>
              <w:wordWrap/>
              <w:overflowPunct/>
              <w:topLinePunct w:val="0"/>
              <w:autoSpaceDE/>
              <w:autoSpaceDN/>
              <w:bidi w:val="0"/>
              <w:adjustRightInd/>
              <w:snapToGrid/>
              <w:spacing w:before="91"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316" w:type="dxa"/>
            <w:shd w:val="clear" w:color="auto" w:fill="auto"/>
            <w:vAlign w:val="center"/>
          </w:tcPr>
          <w:p w14:paraId="0E925831">
            <w:pPr>
              <w:keepNext w:val="0"/>
              <w:keepLines w:val="0"/>
              <w:pageBreakBefore w:val="0"/>
              <w:widowControl w:val="0"/>
              <w:kinsoku/>
              <w:wordWrap/>
              <w:overflowPunct/>
              <w:topLinePunct w:val="0"/>
              <w:autoSpaceDE/>
              <w:autoSpaceDN/>
              <w:bidi w:val="0"/>
              <w:adjustRightInd/>
              <w:snapToGrid/>
              <w:spacing w:before="56"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c>
          <w:tcPr>
            <w:tcW w:w="1099" w:type="dxa"/>
            <w:vAlign w:val="center"/>
          </w:tcPr>
          <w:p w14:paraId="26B1DB76">
            <w:pPr>
              <w:keepNext w:val="0"/>
              <w:keepLines w:val="0"/>
              <w:pageBreakBefore w:val="0"/>
              <w:widowControl w:val="0"/>
              <w:kinsoku/>
              <w:wordWrap/>
              <w:overflowPunct/>
              <w:topLinePunct w:val="0"/>
              <w:autoSpaceDE/>
              <w:autoSpaceDN/>
              <w:bidi w:val="0"/>
              <w:adjustRightInd/>
              <w:snapToGrid/>
              <w:spacing w:before="91"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r>
      <w:tr w14:paraId="6DAD3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54" w:type="dxa"/>
            <w:vMerge w:val="restart"/>
            <w:tcBorders>
              <w:top w:val="single" w:color="auto" w:sz="4" w:space="0"/>
              <w:bottom w:val="single" w:color="auto" w:sz="4" w:space="0"/>
            </w:tcBorders>
            <w:vAlign w:val="center"/>
          </w:tcPr>
          <w:p w14:paraId="090320EF">
            <w:pPr>
              <w:keepNext w:val="0"/>
              <w:keepLines w:val="0"/>
              <w:pageBreakBefore w:val="0"/>
              <w:widowControl w:val="0"/>
              <w:kinsoku/>
              <w:wordWrap/>
              <w:overflowPunct/>
              <w:topLinePunct w:val="0"/>
              <w:autoSpaceDE/>
              <w:autoSpaceDN/>
              <w:bidi w:val="0"/>
              <w:adjustRightInd/>
              <w:snapToGrid/>
              <w:spacing w:before="72" w:line="240" w:lineRule="atLeast"/>
              <w:ind w:left="33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1695" w:type="dxa"/>
            <w:vMerge w:val="restart"/>
            <w:tcBorders>
              <w:top w:val="single" w:color="auto" w:sz="4" w:space="0"/>
              <w:bottom w:val="single" w:color="auto" w:sz="4" w:space="0"/>
            </w:tcBorders>
            <w:vAlign w:val="center"/>
          </w:tcPr>
          <w:p w14:paraId="796EC336">
            <w:pPr>
              <w:keepNext w:val="0"/>
              <w:keepLines w:val="0"/>
              <w:pageBreakBefore w:val="0"/>
              <w:widowControl w:val="0"/>
              <w:kinsoku/>
              <w:wordWrap/>
              <w:overflowPunct/>
              <w:topLinePunct w:val="0"/>
              <w:autoSpaceDE/>
              <w:autoSpaceDN/>
              <w:bidi w:val="0"/>
              <w:adjustRightInd/>
              <w:snapToGrid/>
              <w:spacing w:before="78" w:line="240" w:lineRule="atLeast"/>
              <w:ind w:left="317"/>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10"/>
                <w:sz w:val="24"/>
                <w:szCs w:val="24"/>
                <w:highlight w:val="none"/>
              </w:rPr>
              <w:t>重竞技</w:t>
            </w:r>
            <w:r>
              <w:rPr>
                <w:rFonts w:hint="eastAsia" w:ascii="宋体" w:hAnsi="宋体" w:eastAsia="宋体" w:cs="宋体"/>
                <w:b/>
                <w:bCs/>
                <w:color w:val="auto"/>
                <w:spacing w:val="-26"/>
                <w:sz w:val="24"/>
                <w:szCs w:val="24"/>
                <w:highlight w:val="none"/>
              </w:rPr>
              <w:t>中心</w:t>
            </w:r>
          </w:p>
          <w:p w14:paraId="44446012">
            <w:pPr>
              <w:keepNext w:val="0"/>
              <w:keepLines w:val="0"/>
              <w:pageBreakBefore w:val="0"/>
              <w:widowControl w:val="0"/>
              <w:kinsoku/>
              <w:wordWrap/>
              <w:overflowPunct/>
              <w:topLinePunct w:val="0"/>
              <w:autoSpaceDE/>
              <w:autoSpaceDN/>
              <w:bidi w:val="0"/>
              <w:adjustRightInd/>
              <w:snapToGrid/>
              <w:spacing w:before="22" w:line="240" w:lineRule="atLeast"/>
              <w:ind w:left="132"/>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6"/>
                <w:sz w:val="24"/>
                <w:szCs w:val="24"/>
                <w:highlight w:val="none"/>
                <w:lang w:val="en-US" w:eastAsia="zh-CN"/>
              </w:rPr>
              <w:t>9</w:t>
            </w:r>
            <w:r>
              <w:rPr>
                <w:rFonts w:hint="eastAsia" w:ascii="宋体" w:hAnsi="宋体" w:cs="宋体"/>
                <w:b/>
                <w:bCs/>
                <w:color w:val="auto"/>
                <w:spacing w:val="-6"/>
                <w:sz w:val="24"/>
                <w:szCs w:val="24"/>
                <w:highlight w:val="none"/>
                <w:lang w:val="en-US" w:eastAsia="zh-CN"/>
              </w:rPr>
              <w:t>8</w:t>
            </w:r>
            <w:r>
              <w:rPr>
                <w:rFonts w:hint="eastAsia" w:ascii="宋体" w:hAnsi="宋体" w:eastAsia="宋体" w:cs="宋体"/>
                <w:b/>
                <w:bCs/>
                <w:color w:val="auto"/>
                <w:spacing w:val="-6"/>
                <w:sz w:val="24"/>
                <w:szCs w:val="24"/>
                <w:highlight w:val="none"/>
              </w:rPr>
              <w:t>人）</w:t>
            </w:r>
          </w:p>
        </w:tc>
        <w:tc>
          <w:tcPr>
            <w:tcW w:w="2505" w:type="dxa"/>
            <w:vAlign w:val="center"/>
          </w:tcPr>
          <w:p w14:paraId="6976112F">
            <w:pPr>
              <w:keepNext w:val="0"/>
              <w:keepLines w:val="0"/>
              <w:pageBreakBefore w:val="0"/>
              <w:widowControl w:val="0"/>
              <w:kinsoku/>
              <w:wordWrap/>
              <w:overflowPunct/>
              <w:topLinePunct w:val="0"/>
              <w:autoSpaceDE/>
              <w:autoSpaceDN/>
              <w:bidi w:val="0"/>
              <w:adjustRightInd/>
              <w:snapToGrid/>
              <w:spacing w:before="175"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举重</w:t>
            </w:r>
          </w:p>
        </w:tc>
        <w:tc>
          <w:tcPr>
            <w:tcW w:w="1710" w:type="dxa"/>
            <w:vAlign w:val="center"/>
          </w:tcPr>
          <w:p w14:paraId="45E78634">
            <w:pPr>
              <w:keepNext w:val="0"/>
              <w:keepLines w:val="0"/>
              <w:pageBreakBefore w:val="0"/>
              <w:widowControl w:val="0"/>
              <w:kinsoku/>
              <w:wordWrap/>
              <w:overflowPunct/>
              <w:topLinePunct w:val="0"/>
              <w:autoSpaceDE/>
              <w:autoSpaceDN/>
              <w:bidi w:val="0"/>
              <w:adjustRightInd/>
              <w:snapToGrid/>
              <w:spacing w:before="223"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7"/>
                <w:sz w:val="24"/>
                <w:szCs w:val="24"/>
                <w:highlight w:val="none"/>
                <w:lang w:val="en-US" w:eastAsia="zh-CN"/>
              </w:rPr>
              <w:t>30</w:t>
            </w:r>
          </w:p>
        </w:tc>
        <w:tc>
          <w:tcPr>
            <w:tcW w:w="1316" w:type="dxa"/>
            <w:shd w:val="clear" w:color="auto" w:fill="auto"/>
            <w:vAlign w:val="center"/>
          </w:tcPr>
          <w:p w14:paraId="0C3FBD34">
            <w:pPr>
              <w:keepNext w:val="0"/>
              <w:keepLines w:val="0"/>
              <w:pageBreakBefore w:val="0"/>
              <w:widowControl w:val="0"/>
              <w:kinsoku/>
              <w:wordWrap/>
              <w:overflowPunct/>
              <w:topLinePunct w:val="0"/>
              <w:autoSpaceDE/>
              <w:autoSpaceDN/>
              <w:bidi w:val="0"/>
              <w:adjustRightInd/>
              <w:snapToGrid/>
              <w:spacing w:before="59"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7"/>
                <w:sz w:val="24"/>
                <w:szCs w:val="24"/>
              </w:rPr>
              <w:t>3类</w:t>
            </w:r>
          </w:p>
        </w:tc>
        <w:tc>
          <w:tcPr>
            <w:tcW w:w="1099" w:type="dxa"/>
            <w:vAlign w:val="center"/>
          </w:tcPr>
          <w:p w14:paraId="0EAABFA0">
            <w:pPr>
              <w:keepNext w:val="0"/>
              <w:keepLines w:val="0"/>
              <w:pageBreakBefore w:val="0"/>
              <w:widowControl w:val="0"/>
              <w:kinsoku/>
              <w:wordWrap/>
              <w:overflowPunct/>
              <w:topLinePunct w:val="0"/>
              <w:autoSpaceDE/>
              <w:autoSpaceDN/>
              <w:bidi w:val="0"/>
              <w:adjustRightInd/>
              <w:snapToGrid/>
              <w:spacing w:before="223"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7"/>
                <w:sz w:val="24"/>
                <w:szCs w:val="24"/>
                <w:highlight w:val="none"/>
                <w:lang w:val="en-US" w:eastAsia="zh-CN"/>
              </w:rPr>
              <w:t>30</w:t>
            </w:r>
          </w:p>
        </w:tc>
      </w:tr>
      <w:tr w14:paraId="03693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4" w:type="dxa"/>
            <w:vMerge w:val="continue"/>
            <w:vAlign w:val="center"/>
          </w:tcPr>
          <w:p w14:paraId="3C78936F">
            <w:pPr>
              <w:keepNext w:val="0"/>
              <w:keepLines w:val="0"/>
              <w:pageBreakBefore w:val="0"/>
              <w:widowControl w:val="0"/>
              <w:kinsoku/>
              <w:wordWrap/>
              <w:overflowPunct/>
              <w:topLinePunct w:val="0"/>
              <w:autoSpaceDE/>
              <w:autoSpaceDN/>
              <w:bidi w:val="0"/>
              <w:adjustRightInd/>
              <w:snapToGrid/>
              <w:spacing w:before="72" w:line="240" w:lineRule="atLeast"/>
              <w:ind w:left="330"/>
              <w:jc w:val="center"/>
              <w:textAlignment w:val="auto"/>
              <w:rPr>
                <w:rFonts w:hint="eastAsia" w:ascii="宋体" w:hAnsi="宋体" w:eastAsia="宋体" w:cs="宋体"/>
                <w:b/>
                <w:bCs/>
                <w:color w:val="auto"/>
                <w:sz w:val="24"/>
                <w:szCs w:val="24"/>
                <w:highlight w:val="none"/>
              </w:rPr>
            </w:pPr>
          </w:p>
        </w:tc>
        <w:tc>
          <w:tcPr>
            <w:tcW w:w="1695" w:type="dxa"/>
            <w:vMerge w:val="continue"/>
            <w:vAlign w:val="center"/>
          </w:tcPr>
          <w:p w14:paraId="6F4CAFCF">
            <w:pPr>
              <w:keepNext w:val="0"/>
              <w:keepLines w:val="0"/>
              <w:pageBreakBefore w:val="0"/>
              <w:widowControl w:val="0"/>
              <w:kinsoku/>
              <w:wordWrap/>
              <w:overflowPunct/>
              <w:topLinePunct w:val="0"/>
              <w:autoSpaceDE/>
              <w:autoSpaceDN/>
              <w:bidi w:val="0"/>
              <w:adjustRightInd/>
              <w:snapToGrid/>
              <w:spacing w:before="22" w:line="240" w:lineRule="atLeast"/>
              <w:ind w:left="132"/>
              <w:jc w:val="center"/>
              <w:textAlignment w:val="auto"/>
              <w:rPr>
                <w:rFonts w:hint="eastAsia" w:ascii="宋体" w:hAnsi="宋体" w:eastAsia="宋体" w:cs="宋体"/>
                <w:b/>
                <w:bCs/>
                <w:color w:val="auto"/>
                <w:spacing w:val="-6"/>
                <w:sz w:val="24"/>
                <w:szCs w:val="24"/>
                <w:highlight w:val="none"/>
              </w:rPr>
            </w:pPr>
          </w:p>
        </w:tc>
        <w:tc>
          <w:tcPr>
            <w:tcW w:w="2505" w:type="dxa"/>
            <w:shd w:val="clear" w:color="auto" w:fill="auto"/>
            <w:vAlign w:val="center"/>
          </w:tcPr>
          <w:p w14:paraId="7875B601">
            <w:pPr>
              <w:keepNext w:val="0"/>
              <w:keepLines w:val="0"/>
              <w:pageBreakBefore w:val="0"/>
              <w:widowControl w:val="0"/>
              <w:kinsoku/>
              <w:wordWrap/>
              <w:overflowPunct/>
              <w:topLinePunct w:val="0"/>
              <w:autoSpaceDE/>
              <w:autoSpaceDN/>
              <w:bidi w:val="0"/>
              <w:adjustRightInd/>
              <w:snapToGrid/>
              <w:spacing w:before="177"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rPr>
              <w:t>跆拳道</w:t>
            </w:r>
          </w:p>
        </w:tc>
        <w:tc>
          <w:tcPr>
            <w:tcW w:w="1710" w:type="dxa"/>
            <w:shd w:val="clear" w:color="auto" w:fill="auto"/>
            <w:vAlign w:val="center"/>
          </w:tcPr>
          <w:p w14:paraId="495FA0CB">
            <w:pPr>
              <w:keepNext w:val="0"/>
              <w:keepLines w:val="0"/>
              <w:pageBreakBefore w:val="0"/>
              <w:widowControl w:val="0"/>
              <w:kinsoku/>
              <w:wordWrap/>
              <w:overflowPunct/>
              <w:topLinePunct w:val="0"/>
              <w:autoSpaceDE/>
              <w:autoSpaceDN/>
              <w:bidi w:val="0"/>
              <w:adjustRightInd/>
              <w:snapToGrid/>
              <w:spacing w:before="228"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316" w:type="dxa"/>
            <w:shd w:val="clear" w:color="auto" w:fill="auto"/>
            <w:vAlign w:val="center"/>
          </w:tcPr>
          <w:p w14:paraId="1D15F9F8">
            <w:pPr>
              <w:keepNext w:val="0"/>
              <w:keepLines w:val="0"/>
              <w:pageBreakBefore w:val="0"/>
              <w:widowControl w:val="0"/>
              <w:kinsoku/>
              <w:wordWrap/>
              <w:overflowPunct/>
              <w:topLinePunct w:val="0"/>
              <w:autoSpaceDE/>
              <w:autoSpaceDN/>
              <w:bidi w:val="0"/>
              <w:adjustRightInd/>
              <w:snapToGrid/>
              <w:spacing w:before="62"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c>
          <w:tcPr>
            <w:tcW w:w="1099" w:type="dxa"/>
            <w:shd w:val="clear" w:color="auto" w:fill="auto"/>
            <w:vAlign w:val="center"/>
          </w:tcPr>
          <w:p w14:paraId="6F3CC6EB">
            <w:pPr>
              <w:keepNext w:val="0"/>
              <w:keepLines w:val="0"/>
              <w:pageBreakBefore w:val="0"/>
              <w:widowControl w:val="0"/>
              <w:kinsoku/>
              <w:wordWrap/>
              <w:overflowPunct/>
              <w:topLinePunct w:val="0"/>
              <w:autoSpaceDE/>
              <w:autoSpaceDN/>
              <w:bidi w:val="0"/>
              <w:adjustRightInd/>
              <w:snapToGrid/>
              <w:spacing w:before="228"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r>
      <w:tr w14:paraId="0FA55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4" w:type="dxa"/>
            <w:vMerge w:val="continue"/>
            <w:vAlign w:val="center"/>
          </w:tcPr>
          <w:p w14:paraId="0B1E5562">
            <w:pPr>
              <w:keepNext w:val="0"/>
              <w:keepLines w:val="0"/>
              <w:pageBreakBefore w:val="0"/>
              <w:widowControl w:val="0"/>
              <w:kinsoku/>
              <w:wordWrap/>
              <w:overflowPunct/>
              <w:topLinePunct w:val="0"/>
              <w:autoSpaceDE/>
              <w:autoSpaceDN/>
              <w:bidi w:val="0"/>
              <w:adjustRightInd/>
              <w:snapToGrid/>
              <w:spacing w:before="72" w:line="240" w:lineRule="atLeast"/>
              <w:ind w:left="330"/>
              <w:jc w:val="center"/>
              <w:textAlignment w:val="auto"/>
              <w:rPr>
                <w:rFonts w:hint="eastAsia" w:ascii="宋体" w:hAnsi="宋体" w:eastAsia="宋体" w:cs="宋体"/>
                <w:b/>
                <w:bCs/>
                <w:color w:val="auto"/>
                <w:sz w:val="24"/>
                <w:szCs w:val="24"/>
                <w:highlight w:val="none"/>
              </w:rPr>
            </w:pPr>
          </w:p>
        </w:tc>
        <w:tc>
          <w:tcPr>
            <w:tcW w:w="1695" w:type="dxa"/>
            <w:vMerge w:val="continue"/>
            <w:vAlign w:val="center"/>
          </w:tcPr>
          <w:p w14:paraId="6B88BB44">
            <w:pPr>
              <w:keepNext w:val="0"/>
              <w:keepLines w:val="0"/>
              <w:pageBreakBefore w:val="0"/>
              <w:widowControl w:val="0"/>
              <w:kinsoku/>
              <w:wordWrap/>
              <w:overflowPunct/>
              <w:topLinePunct w:val="0"/>
              <w:autoSpaceDE/>
              <w:autoSpaceDN/>
              <w:bidi w:val="0"/>
              <w:adjustRightInd/>
              <w:snapToGrid/>
              <w:spacing w:before="22" w:line="240" w:lineRule="atLeast"/>
              <w:ind w:left="132"/>
              <w:jc w:val="center"/>
              <w:textAlignment w:val="auto"/>
              <w:rPr>
                <w:rFonts w:hint="eastAsia" w:ascii="宋体" w:hAnsi="宋体" w:eastAsia="宋体" w:cs="宋体"/>
                <w:b/>
                <w:bCs/>
                <w:color w:val="auto"/>
                <w:spacing w:val="-6"/>
                <w:sz w:val="24"/>
                <w:szCs w:val="24"/>
                <w:highlight w:val="none"/>
              </w:rPr>
            </w:pPr>
          </w:p>
        </w:tc>
        <w:tc>
          <w:tcPr>
            <w:tcW w:w="2505" w:type="dxa"/>
            <w:shd w:val="clear" w:color="auto" w:fill="auto"/>
            <w:vAlign w:val="center"/>
          </w:tcPr>
          <w:p w14:paraId="27FDE360">
            <w:pPr>
              <w:keepNext w:val="0"/>
              <w:keepLines w:val="0"/>
              <w:pageBreakBefore w:val="0"/>
              <w:widowControl w:val="0"/>
              <w:kinsoku/>
              <w:wordWrap/>
              <w:overflowPunct/>
              <w:topLinePunct w:val="0"/>
              <w:autoSpaceDE/>
              <w:autoSpaceDN/>
              <w:bidi w:val="0"/>
              <w:adjustRightInd/>
              <w:snapToGrid/>
              <w:spacing w:before="175"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0"/>
                <w:sz w:val="24"/>
                <w:szCs w:val="24"/>
                <w:highlight w:val="none"/>
              </w:rPr>
              <w:t>拳击</w:t>
            </w:r>
          </w:p>
        </w:tc>
        <w:tc>
          <w:tcPr>
            <w:tcW w:w="1710" w:type="dxa"/>
            <w:shd w:val="clear" w:color="auto" w:fill="auto"/>
            <w:vAlign w:val="center"/>
          </w:tcPr>
          <w:p w14:paraId="2535049C">
            <w:pPr>
              <w:keepNext w:val="0"/>
              <w:keepLines w:val="0"/>
              <w:pageBreakBefore w:val="0"/>
              <w:widowControl w:val="0"/>
              <w:kinsoku/>
              <w:wordWrap/>
              <w:overflowPunct/>
              <w:topLinePunct w:val="0"/>
              <w:autoSpaceDE/>
              <w:autoSpaceDN/>
              <w:bidi w:val="0"/>
              <w:adjustRightInd/>
              <w:snapToGrid/>
              <w:spacing w:before="223"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5"/>
                <w:sz w:val="24"/>
                <w:szCs w:val="24"/>
                <w:highlight w:val="none"/>
                <w:lang w:val="en-US" w:eastAsia="zh-CN"/>
              </w:rPr>
              <w:t>8</w:t>
            </w:r>
          </w:p>
        </w:tc>
        <w:tc>
          <w:tcPr>
            <w:tcW w:w="1316" w:type="dxa"/>
            <w:shd w:val="clear" w:color="auto" w:fill="auto"/>
            <w:vAlign w:val="center"/>
          </w:tcPr>
          <w:p w14:paraId="5AF04282">
            <w:pPr>
              <w:keepNext w:val="0"/>
              <w:keepLines w:val="0"/>
              <w:pageBreakBefore w:val="0"/>
              <w:widowControl w:val="0"/>
              <w:kinsoku/>
              <w:wordWrap/>
              <w:overflowPunct/>
              <w:topLinePunct w:val="0"/>
              <w:autoSpaceDE/>
              <w:autoSpaceDN/>
              <w:bidi w:val="0"/>
              <w:adjustRightInd/>
              <w:snapToGrid/>
              <w:spacing w:before="45"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c>
          <w:tcPr>
            <w:tcW w:w="1099" w:type="dxa"/>
            <w:shd w:val="clear" w:color="auto" w:fill="auto"/>
            <w:vAlign w:val="center"/>
          </w:tcPr>
          <w:p w14:paraId="2F13D995">
            <w:pPr>
              <w:keepNext w:val="0"/>
              <w:keepLines w:val="0"/>
              <w:pageBreakBefore w:val="0"/>
              <w:widowControl w:val="0"/>
              <w:kinsoku/>
              <w:wordWrap/>
              <w:overflowPunct/>
              <w:topLinePunct w:val="0"/>
              <w:autoSpaceDE/>
              <w:autoSpaceDN/>
              <w:bidi w:val="0"/>
              <w:adjustRightInd/>
              <w:snapToGrid/>
              <w:spacing w:before="223"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5"/>
                <w:sz w:val="24"/>
                <w:szCs w:val="24"/>
                <w:highlight w:val="none"/>
                <w:lang w:val="en-US" w:eastAsia="zh-CN"/>
              </w:rPr>
              <w:t>8</w:t>
            </w:r>
          </w:p>
        </w:tc>
      </w:tr>
      <w:tr w14:paraId="293F6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4" w:type="dxa"/>
            <w:vMerge w:val="continue"/>
            <w:tcBorders>
              <w:top w:val="single" w:color="auto" w:sz="4" w:space="0"/>
              <w:bottom w:val="single" w:color="auto" w:sz="4" w:space="0"/>
            </w:tcBorders>
            <w:vAlign w:val="center"/>
          </w:tcPr>
          <w:p w14:paraId="4902A1F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4"/>
                <w:szCs w:val="24"/>
                <w:highlight w:val="none"/>
              </w:rPr>
            </w:pPr>
          </w:p>
        </w:tc>
        <w:tc>
          <w:tcPr>
            <w:tcW w:w="1695" w:type="dxa"/>
            <w:vMerge w:val="continue"/>
            <w:tcBorders>
              <w:top w:val="single" w:color="auto" w:sz="4" w:space="0"/>
              <w:bottom w:val="single" w:color="auto" w:sz="4" w:space="0"/>
            </w:tcBorders>
            <w:vAlign w:val="center"/>
          </w:tcPr>
          <w:p w14:paraId="070C488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4"/>
                <w:szCs w:val="24"/>
                <w:highlight w:val="none"/>
              </w:rPr>
            </w:pPr>
          </w:p>
        </w:tc>
        <w:tc>
          <w:tcPr>
            <w:tcW w:w="2505" w:type="dxa"/>
            <w:vAlign w:val="center"/>
          </w:tcPr>
          <w:p w14:paraId="06314E4C">
            <w:pPr>
              <w:keepNext w:val="0"/>
              <w:keepLines w:val="0"/>
              <w:pageBreakBefore w:val="0"/>
              <w:widowControl w:val="0"/>
              <w:kinsoku/>
              <w:wordWrap/>
              <w:overflowPunct/>
              <w:topLinePunct w:val="0"/>
              <w:autoSpaceDE/>
              <w:autoSpaceDN/>
              <w:bidi w:val="0"/>
              <w:adjustRightInd/>
              <w:snapToGrid/>
              <w:spacing w:before="175"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lang w:eastAsia="zh-CN"/>
              </w:rPr>
              <w:t>自由式</w:t>
            </w:r>
            <w:r>
              <w:rPr>
                <w:rFonts w:hint="eastAsia" w:ascii="宋体" w:hAnsi="宋体" w:eastAsia="宋体" w:cs="宋体"/>
                <w:color w:val="auto"/>
                <w:spacing w:val="-11"/>
                <w:sz w:val="24"/>
                <w:szCs w:val="24"/>
                <w:highlight w:val="none"/>
              </w:rPr>
              <w:t>摔跤</w:t>
            </w:r>
          </w:p>
        </w:tc>
        <w:tc>
          <w:tcPr>
            <w:tcW w:w="1710" w:type="dxa"/>
            <w:vAlign w:val="center"/>
          </w:tcPr>
          <w:p w14:paraId="08E0864E">
            <w:pPr>
              <w:keepNext w:val="0"/>
              <w:keepLines w:val="0"/>
              <w:pageBreakBefore w:val="0"/>
              <w:widowControl w:val="0"/>
              <w:kinsoku/>
              <w:wordWrap/>
              <w:overflowPunct/>
              <w:topLinePunct w:val="0"/>
              <w:autoSpaceDE/>
              <w:autoSpaceDN/>
              <w:bidi w:val="0"/>
              <w:adjustRightInd/>
              <w:snapToGrid/>
              <w:spacing w:before="223"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5"/>
                <w:sz w:val="24"/>
                <w:szCs w:val="24"/>
                <w:highlight w:val="none"/>
                <w:lang w:val="en-US" w:eastAsia="zh-CN"/>
              </w:rPr>
              <w:t>34</w:t>
            </w:r>
          </w:p>
        </w:tc>
        <w:tc>
          <w:tcPr>
            <w:tcW w:w="1316" w:type="dxa"/>
            <w:shd w:val="clear" w:color="auto" w:fill="auto"/>
            <w:vAlign w:val="center"/>
          </w:tcPr>
          <w:p w14:paraId="01D7528B">
            <w:pPr>
              <w:keepNext w:val="0"/>
              <w:keepLines w:val="0"/>
              <w:pageBreakBefore w:val="0"/>
              <w:widowControl w:val="0"/>
              <w:kinsoku/>
              <w:wordWrap/>
              <w:overflowPunct/>
              <w:topLinePunct w:val="0"/>
              <w:autoSpaceDE/>
              <w:autoSpaceDN/>
              <w:bidi w:val="0"/>
              <w:adjustRightInd/>
              <w:snapToGrid/>
              <w:spacing w:before="45" w:line="240" w:lineRule="atLeast"/>
              <w:jc w:val="center"/>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7"/>
                <w:sz w:val="24"/>
                <w:szCs w:val="24"/>
              </w:rPr>
              <w:t>5类</w:t>
            </w:r>
          </w:p>
        </w:tc>
        <w:tc>
          <w:tcPr>
            <w:tcW w:w="1099" w:type="dxa"/>
            <w:vAlign w:val="center"/>
          </w:tcPr>
          <w:p w14:paraId="29E2A916">
            <w:pPr>
              <w:keepNext w:val="0"/>
              <w:keepLines w:val="0"/>
              <w:pageBreakBefore w:val="0"/>
              <w:widowControl w:val="0"/>
              <w:kinsoku/>
              <w:wordWrap/>
              <w:overflowPunct/>
              <w:topLinePunct w:val="0"/>
              <w:autoSpaceDE/>
              <w:autoSpaceDN/>
              <w:bidi w:val="0"/>
              <w:adjustRightInd/>
              <w:snapToGrid/>
              <w:spacing w:before="223"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5"/>
                <w:sz w:val="24"/>
                <w:szCs w:val="24"/>
                <w:highlight w:val="none"/>
                <w:lang w:val="en-US" w:eastAsia="zh-CN"/>
              </w:rPr>
              <w:t>34</w:t>
            </w:r>
          </w:p>
        </w:tc>
      </w:tr>
      <w:tr w14:paraId="18907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4" w:type="dxa"/>
            <w:vMerge w:val="continue"/>
            <w:tcBorders>
              <w:top w:val="single" w:color="auto" w:sz="4" w:space="0"/>
              <w:bottom w:val="single" w:color="auto" w:sz="4" w:space="0"/>
            </w:tcBorders>
            <w:vAlign w:val="center"/>
          </w:tcPr>
          <w:p w14:paraId="0292566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4"/>
                <w:szCs w:val="24"/>
                <w:highlight w:val="none"/>
              </w:rPr>
            </w:pPr>
          </w:p>
        </w:tc>
        <w:tc>
          <w:tcPr>
            <w:tcW w:w="1695" w:type="dxa"/>
            <w:vMerge w:val="continue"/>
            <w:tcBorders>
              <w:top w:val="single" w:color="auto" w:sz="4" w:space="0"/>
              <w:bottom w:val="single" w:color="auto" w:sz="4" w:space="0"/>
            </w:tcBorders>
            <w:vAlign w:val="center"/>
          </w:tcPr>
          <w:p w14:paraId="51B3872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4"/>
                <w:szCs w:val="24"/>
                <w:highlight w:val="none"/>
              </w:rPr>
            </w:pPr>
          </w:p>
        </w:tc>
        <w:tc>
          <w:tcPr>
            <w:tcW w:w="2505" w:type="dxa"/>
            <w:vAlign w:val="center"/>
          </w:tcPr>
          <w:p w14:paraId="25358083">
            <w:pPr>
              <w:keepNext w:val="0"/>
              <w:keepLines w:val="0"/>
              <w:pageBreakBefore w:val="0"/>
              <w:widowControl w:val="0"/>
              <w:kinsoku/>
              <w:wordWrap/>
              <w:overflowPunct/>
              <w:topLinePunct w:val="0"/>
              <w:autoSpaceDE/>
              <w:autoSpaceDN/>
              <w:bidi w:val="0"/>
              <w:adjustRightInd/>
              <w:snapToGrid/>
              <w:spacing w:before="175" w:line="240" w:lineRule="atLeast"/>
              <w:jc w:val="center"/>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eastAsia="zh-CN"/>
              </w:rPr>
              <w:t>古典式摔跤</w:t>
            </w:r>
          </w:p>
        </w:tc>
        <w:tc>
          <w:tcPr>
            <w:tcW w:w="1710" w:type="dxa"/>
            <w:vAlign w:val="center"/>
          </w:tcPr>
          <w:p w14:paraId="20563E7D">
            <w:pPr>
              <w:keepNext w:val="0"/>
              <w:keepLines w:val="0"/>
              <w:pageBreakBefore w:val="0"/>
              <w:widowControl w:val="0"/>
              <w:kinsoku/>
              <w:wordWrap/>
              <w:overflowPunct/>
              <w:topLinePunct w:val="0"/>
              <w:autoSpaceDE/>
              <w:autoSpaceDN/>
              <w:bidi w:val="0"/>
              <w:adjustRightInd/>
              <w:snapToGrid/>
              <w:spacing w:before="223" w:line="240" w:lineRule="atLeast"/>
              <w:jc w:val="center"/>
              <w:textAlignment w:val="auto"/>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10</w:t>
            </w:r>
          </w:p>
        </w:tc>
        <w:tc>
          <w:tcPr>
            <w:tcW w:w="1316" w:type="dxa"/>
            <w:shd w:val="clear" w:color="auto" w:fill="auto"/>
            <w:vAlign w:val="center"/>
          </w:tcPr>
          <w:p w14:paraId="302AC89F">
            <w:pPr>
              <w:keepNext w:val="0"/>
              <w:keepLines w:val="0"/>
              <w:pageBreakBefore w:val="0"/>
              <w:widowControl w:val="0"/>
              <w:kinsoku/>
              <w:wordWrap/>
              <w:overflowPunct/>
              <w:topLinePunct w:val="0"/>
              <w:autoSpaceDE/>
              <w:autoSpaceDN/>
              <w:bidi w:val="0"/>
              <w:adjustRightInd/>
              <w:snapToGrid/>
              <w:spacing w:before="45" w:line="240" w:lineRule="atLeast"/>
              <w:jc w:val="center"/>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7"/>
                <w:sz w:val="24"/>
                <w:szCs w:val="24"/>
              </w:rPr>
              <w:t>5类</w:t>
            </w:r>
          </w:p>
        </w:tc>
        <w:tc>
          <w:tcPr>
            <w:tcW w:w="1099" w:type="dxa"/>
            <w:vAlign w:val="center"/>
          </w:tcPr>
          <w:p w14:paraId="14A509BB">
            <w:pPr>
              <w:keepNext w:val="0"/>
              <w:keepLines w:val="0"/>
              <w:pageBreakBefore w:val="0"/>
              <w:widowControl w:val="0"/>
              <w:kinsoku/>
              <w:wordWrap/>
              <w:overflowPunct/>
              <w:topLinePunct w:val="0"/>
              <w:autoSpaceDE/>
              <w:autoSpaceDN/>
              <w:bidi w:val="0"/>
              <w:adjustRightInd/>
              <w:snapToGrid/>
              <w:spacing w:before="223" w:line="240" w:lineRule="atLeast"/>
              <w:jc w:val="center"/>
              <w:textAlignment w:val="auto"/>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10</w:t>
            </w:r>
          </w:p>
        </w:tc>
      </w:tr>
      <w:tr w14:paraId="22A46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4" w:type="dxa"/>
            <w:vMerge w:val="continue"/>
            <w:tcBorders>
              <w:top w:val="single" w:color="auto" w:sz="4" w:space="0"/>
              <w:bottom w:val="single" w:color="auto" w:sz="4" w:space="0"/>
            </w:tcBorders>
            <w:vAlign w:val="center"/>
          </w:tcPr>
          <w:p w14:paraId="2BF6328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4"/>
                <w:szCs w:val="24"/>
                <w:highlight w:val="none"/>
              </w:rPr>
            </w:pPr>
          </w:p>
        </w:tc>
        <w:tc>
          <w:tcPr>
            <w:tcW w:w="1695" w:type="dxa"/>
            <w:vMerge w:val="continue"/>
            <w:tcBorders>
              <w:top w:val="single" w:color="auto" w:sz="4" w:space="0"/>
              <w:bottom w:val="single" w:color="auto" w:sz="4" w:space="0"/>
            </w:tcBorders>
            <w:vAlign w:val="center"/>
          </w:tcPr>
          <w:p w14:paraId="45E5582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4"/>
                <w:szCs w:val="24"/>
                <w:highlight w:val="none"/>
              </w:rPr>
            </w:pPr>
          </w:p>
        </w:tc>
        <w:tc>
          <w:tcPr>
            <w:tcW w:w="2505" w:type="dxa"/>
            <w:vAlign w:val="center"/>
          </w:tcPr>
          <w:p w14:paraId="3063161F">
            <w:pPr>
              <w:keepNext w:val="0"/>
              <w:keepLines w:val="0"/>
              <w:pageBreakBefore w:val="0"/>
              <w:widowControl w:val="0"/>
              <w:kinsoku/>
              <w:wordWrap/>
              <w:overflowPunct/>
              <w:topLinePunct w:val="0"/>
              <w:autoSpaceDE/>
              <w:autoSpaceDN/>
              <w:bidi w:val="0"/>
              <w:adjustRightInd/>
              <w:snapToGrid/>
              <w:spacing w:before="175"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柔道</w:t>
            </w:r>
          </w:p>
        </w:tc>
        <w:tc>
          <w:tcPr>
            <w:tcW w:w="1710" w:type="dxa"/>
            <w:vAlign w:val="center"/>
          </w:tcPr>
          <w:p w14:paraId="7DCBDA37">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12</w:t>
            </w:r>
          </w:p>
        </w:tc>
        <w:tc>
          <w:tcPr>
            <w:tcW w:w="1316" w:type="dxa"/>
            <w:shd w:val="clear" w:color="auto" w:fill="auto"/>
            <w:vAlign w:val="center"/>
          </w:tcPr>
          <w:p w14:paraId="766DCB05">
            <w:pPr>
              <w:keepNext w:val="0"/>
              <w:keepLines w:val="0"/>
              <w:pageBreakBefore w:val="0"/>
              <w:widowControl w:val="0"/>
              <w:kinsoku/>
              <w:wordWrap/>
              <w:overflowPunct/>
              <w:topLinePunct w:val="0"/>
              <w:autoSpaceDE/>
              <w:autoSpaceDN/>
              <w:bidi w:val="0"/>
              <w:adjustRightInd/>
              <w:snapToGrid/>
              <w:spacing w:before="47"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7"/>
                <w:sz w:val="24"/>
                <w:szCs w:val="24"/>
              </w:rPr>
              <w:t>5类</w:t>
            </w:r>
          </w:p>
        </w:tc>
        <w:tc>
          <w:tcPr>
            <w:tcW w:w="1099" w:type="dxa"/>
            <w:vAlign w:val="center"/>
          </w:tcPr>
          <w:p w14:paraId="2C848BC0">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12</w:t>
            </w:r>
          </w:p>
        </w:tc>
      </w:tr>
      <w:tr w14:paraId="5373E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4" w:type="dxa"/>
            <w:vMerge w:val="restart"/>
            <w:tcBorders>
              <w:top w:val="single" w:color="auto" w:sz="4" w:space="0"/>
            </w:tcBorders>
            <w:vAlign w:val="center"/>
          </w:tcPr>
          <w:p w14:paraId="0246552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4"/>
                <w:szCs w:val="24"/>
                <w:highlight w:val="none"/>
              </w:rPr>
            </w:pPr>
          </w:p>
          <w:p w14:paraId="0470CC9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4"/>
                <w:szCs w:val="24"/>
                <w:highlight w:val="none"/>
              </w:rPr>
            </w:pPr>
          </w:p>
          <w:p w14:paraId="70324807">
            <w:pPr>
              <w:keepNext w:val="0"/>
              <w:keepLines w:val="0"/>
              <w:pageBreakBefore w:val="0"/>
              <w:widowControl w:val="0"/>
              <w:kinsoku/>
              <w:wordWrap/>
              <w:overflowPunct/>
              <w:topLinePunct w:val="0"/>
              <w:autoSpaceDE/>
              <w:autoSpaceDN/>
              <w:bidi w:val="0"/>
              <w:adjustRightInd/>
              <w:snapToGrid/>
              <w:spacing w:before="72" w:line="240" w:lineRule="atLeast"/>
              <w:ind w:left="325"/>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1695" w:type="dxa"/>
            <w:vMerge w:val="restart"/>
            <w:tcBorders>
              <w:top w:val="single" w:color="auto" w:sz="4" w:space="0"/>
            </w:tcBorders>
            <w:vAlign w:val="center"/>
          </w:tcPr>
          <w:p w14:paraId="0FF6D248">
            <w:pPr>
              <w:keepNext w:val="0"/>
              <w:keepLines w:val="0"/>
              <w:pageBreakBefore w:val="0"/>
              <w:widowControl w:val="0"/>
              <w:kinsoku/>
              <w:wordWrap/>
              <w:overflowPunct/>
              <w:topLinePunct w:val="0"/>
              <w:autoSpaceDE/>
              <w:autoSpaceDN/>
              <w:bidi w:val="0"/>
              <w:adjustRightInd/>
              <w:snapToGrid/>
              <w:spacing w:before="203" w:line="240" w:lineRule="atLeas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田自</w:t>
            </w:r>
            <w:r>
              <w:rPr>
                <w:rFonts w:hint="eastAsia" w:ascii="宋体" w:hAnsi="宋体" w:eastAsia="宋体" w:cs="宋体"/>
                <w:b/>
                <w:bCs/>
                <w:color w:val="auto"/>
                <w:spacing w:val="-26"/>
                <w:sz w:val="24"/>
                <w:szCs w:val="24"/>
                <w:highlight w:val="none"/>
              </w:rPr>
              <w:t>中心</w:t>
            </w:r>
          </w:p>
          <w:p w14:paraId="465EECD3">
            <w:pPr>
              <w:keepNext w:val="0"/>
              <w:keepLines w:val="0"/>
              <w:pageBreakBefore w:val="0"/>
              <w:widowControl w:val="0"/>
              <w:kinsoku/>
              <w:wordWrap/>
              <w:overflowPunct/>
              <w:topLinePunct w:val="0"/>
              <w:autoSpaceDE/>
              <w:autoSpaceDN/>
              <w:bidi w:val="0"/>
              <w:adjustRightInd/>
              <w:snapToGrid/>
              <w:spacing w:before="203" w:line="240" w:lineRule="atLeas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9"/>
                <w:sz w:val="24"/>
                <w:szCs w:val="24"/>
                <w:highlight w:val="none"/>
              </w:rPr>
              <w:t>（</w:t>
            </w:r>
            <w:r>
              <w:rPr>
                <w:rFonts w:hint="eastAsia" w:ascii="宋体" w:hAnsi="宋体" w:eastAsia="宋体" w:cs="宋体"/>
                <w:b/>
                <w:bCs/>
                <w:color w:val="auto"/>
                <w:spacing w:val="-9"/>
                <w:sz w:val="24"/>
                <w:szCs w:val="24"/>
                <w:highlight w:val="none"/>
                <w:lang w:val="en-US" w:eastAsia="zh-CN"/>
              </w:rPr>
              <w:t>141</w:t>
            </w:r>
            <w:r>
              <w:rPr>
                <w:rFonts w:hint="eastAsia" w:ascii="宋体" w:hAnsi="宋体" w:eastAsia="宋体" w:cs="宋体"/>
                <w:b/>
                <w:bCs/>
                <w:color w:val="auto"/>
                <w:spacing w:val="-9"/>
                <w:sz w:val="24"/>
                <w:szCs w:val="24"/>
                <w:highlight w:val="none"/>
              </w:rPr>
              <w:t>人）</w:t>
            </w:r>
          </w:p>
        </w:tc>
        <w:tc>
          <w:tcPr>
            <w:tcW w:w="2505" w:type="dxa"/>
            <w:vAlign w:val="center"/>
          </w:tcPr>
          <w:p w14:paraId="74B3046E">
            <w:pPr>
              <w:keepNext w:val="0"/>
              <w:keepLines w:val="0"/>
              <w:pageBreakBefore w:val="0"/>
              <w:widowControl w:val="0"/>
              <w:kinsoku/>
              <w:wordWrap/>
              <w:overflowPunct/>
              <w:topLinePunct w:val="0"/>
              <w:autoSpaceDE/>
              <w:autoSpaceDN/>
              <w:bidi w:val="0"/>
              <w:adjustRightInd/>
              <w:snapToGrid/>
              <w:spacing w:before="177"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9"/>
                <w:sz w:val="24"/>
                <w:szCs w:val="24"/>
                <w:highlight w:val="none"/>
              </w:rPr>
              <w:t>田径</w:t>
            </w:r>
          </w:p>
        </w:tc>
        <w:tc>
          <w:tcPr>
            <w:tcW w:w="1710" w:type="dxa"/>
            <w:vAlign w:val="center"/>
          </w:tcPr>
          <w:p w14:paraId="6709E38C">
            <w:pPr>
              <w:keepNext w:val="0"/>
              <w:keepLines w:val="0"/>
              <w:pageBreakBefore w:val="0"/>
              <w:widowControl w:val="0"/>
              <w:kinsoku/>
              <w:wordWrap/>
              <w:overflowPunct/>
              <w:topLinePunct w:val="0"/>
              <w:autoSpaceDE/>
              <w:autoSpaceDN/>
              <w:bidi w:val="0"/>
              <w:adjustRightInd/>
              <w:snapToGrid/>
              <w:spacing w:before="225"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5"/>
                <w:sz w:val="24"/>
                <w:szCs w:val="24"/>
                <w:highlight w:val="none"/>
                <w:lang w:val="en-US" w:eastAsia="zh-CN"/>
              </w:rPr>
              <w:t>80</w:t>
            </w:r>
          </w:p>
        </w:tc>
        <w:tc>
          <w:tcPr>
            <w:tcW w:w="1316" w:type="dxa"/>
            <w:shd w:val="clear" w:color="auto" w:fill="auto"/>
            <w:vAlign w:val="center"/>
          </w:tcPr>
          <w:p w14:paraId="4E226533">
            <w:pPr>
              <w:keepNext w:val="0"/>
              <w:keepLines w:val="0"/>
              <w:pageBreakBefore w:val="0"/>
              <w:widowControl w:val="0"/>
              <w:kinsoku/>
              <w:wordWrap/>
              <w:overflowPunct/>
              <w:topLinePunct w:val="0"/>
              <w:autoSpaceDE/>
              <w:autoSpaceDN/>
              <w:bidi w:val="0"/>
              <w:adjustRightInd/>
              <w:snapToGrid/>
              <w:spacing w:before="63"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7"/>
                <w:sz w:val="24"/>
                <w:szCs w:val="24"/>
              </w:rPr>
              <w:t>3类</w:t>
            </w:r>
          </w:p>
        </w:tc>
        <w:tc>
          <w:tcPr>
            <w:tcW w:w="1099" w:type="dxa"/>
            <w:vAlign w:val="center"/>
          </w:tcPr>
          <w:p w14:paraId="608AE737">
            <w:pPr>
              <w:keepNext w:val="0"/>
              <w:keepLines w:val="0"/>
              <w:pageBreakBefore w:val="0"/>
              <w:widowControl w:val="0"/>
              <w:kinsoku/>
              <w:wordWrap/>
              <w:overflowPunct/>
              <w:topLinePunct w:val="0"/>
              <w:autoSpaceDE/>
              <w:autoSpaceDN/>
              <w:bidi w:val="0"/>
              <w:adjustRightInd/>
              <w:snapToGrid/>
              <w:spacing w:before="225"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5"/>
                <w:sz w:val="24"/>
                <w:szCs w:val="24"/>
                <w:highlight w:val="none"/>
                <w:lang w:val="en-US" w:eastAsia="zh-CN"/>
              </w:rPr>
              <w:t>80</w:t>
            </w:r>
          </w:p>
        </w:tc>
      </w:tr>
      <w:tr w14:paraId="407C3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54" w:type="dxa"/>
            <w:vMerge w:val="continue"/>
            <w:vAlign w:val="top"/>
          </w:tcPr>
          <w:p w14:paraId="2ABF2F50">
            <w:pPr>
              <w:keepNext w:val="0"/>
              <w:keepLines w:val="0"/>
              <w:pageBreakBefore w:val="0"/>
              <w:widowControl w:val="0"/>
              <w:kinsoku/>
              <w:wordWrap/>
              <w:overflowPunct/>
              <w:topLinePunct w:val="0"/>
              <w:autoSpaceDE/>
              <w:autoSpaceDN/>
              <w:bidi w:val="0"/>
              <w:adjustRightInd/>
              <w:snapToGrid/>
              <w:spacing w:before="72" w:line="240" w:lineRule="atLeast"/>
              <w:ind w:left="325"/>
              <w:textAlignment w:val="auto"/>
              <w:rPr>
                <w:rFonts w:hint="eastAsia" w:ascii="宋体" w:hAnsi="宋体" w:eastAsia="宋体" w:cs="宋体"/>
                <w:color w:val="auto"/>
                <w:sz w:val="24"/>
                <w:szCs w:val="24"/>
                <w:highlight w:val="none"/>
              </w:rPr>
            </w:pPr>
          </w:p>
        </w:tc>
        <w:tc>
          <w:tcPr>
            <w:tcW w:w="1695" w:type="dxa"/>
            <w:vMerge w:val="continue"/>
            <w:vAlign w:val="center"/>
          </w:tcPr>
          <w:p w14:paraId="6133FD2E">
            <w:pPr>
              <w:keepNext w:val="0"/>
              <w:keepLines w:val="0"/>
              <w:pageBreakBefore w:val="0"/>
              <w:widowControl w:val="0"/>
              <w:kinsoku/>
              <w:wordWrap/>
              <w:overflowPunct/>
              <w:topLinePunct w:val="0"/>
              <w:autoSpaceDE/>
              <w:autoSpaceDN/>
              <w:bidi w:val="0"/>
              <w:adjustRightInd/>
              <w:snapToGrid/>
              <w:spacing w:before="203" w:line="240" w:lineRule="atLeast"/>
              <w:jc w:val="center"/>
              <w:textAlignment w:val="auto"/>
              <w:rPr>
                <w:rFonts w:hint="eastAsia" w:ascii="宋体" w:hAnsi="宋体" w:eastAsia="宋体" w:cs="宋体"/>
                <w:b/>
                <w:bCs/>
                <w:color w:val="auto"/>
                <w:spacing w:val="3"/>
                <w:sz w:val="24"/>
                <w:szCs w:val="24"/>
                <w:highlight w:val="none"/>
              </w:rPr>
            </w:pPr>
          </w:p>
        </w:tc>
        <w:tc>
          <w:tcPr>
            <w:tcW w:w="2505" w:type="dxa"/>
            <w:vAlign w:val="center"/>
          </w:tcPr>
          <w:p w14:paraId="30A1172E">
            <w:pPr>
              <w:keepNext w:val="0"/>
              <w:keepLines w:val="0"/>
              <w:pageBreakBefore w:val="0"/>
              <w:widowControl w:val="0"/>
              <w:kinsoku/>
              <w:wordWrap/>
              <w:overflowPunct/>
              <w:topLinePunct w:val="0"/>
              <w:autoSpaceDE/>
              <w:autoSpaceDN/>
              <w:bidi w:val="0"/>
              <w:adjustRightInd/>
              <w:snapToGrid/>
              <w:spacing w:before="177" w:line="240" w:lineRule="atLeast"/>
              <w:jc w:val="center"/>
              <w:textAlignment w:val="auto"/>
              <w:rPr>
                <w:rFonts w:hint="eastAsia" w:ascii="宋体" w:hAnsi="宋体" w:eastAsia="宋体" w:cs="宋体"/>
                <w:color w:val="auto"/>
                <w:spacing w:val="-29"/>
                <w:sz w:val="24"/>
                <w:szCs w:val="24"/>
                <w:highlight w:val="none"/>
                <w:lang w:eastAsia="zh-CN"/>
              </w:rPr>
            </w:pPr>
            <w:r>
              <w:rPr>
                <w:rFonts w:hint="eastAsia" w:ascii="宋体" w:hAnsi="宋体" w:eastAsia="宋体" w:cs="宋体"/>
                <w:color w:val="auto"/>
                <w:spacing w:val="-29"/>
                <w:sz w:val="24"/>
                <w:szCs w:val="24"/>
                <w:highlight w:val="none"/>
                <w:lang w:eastAsia="zh-CN"/>
              </w:rPr>
              <w:t>无线电定向越野</w:t>
            </w:r>
          </w:p>
        </w:tc>
        <w:tc>
          <w:tcPr>
            <w:tcW w:w="1710" w:type="dxa"/>
            <w:vAlign w:val="center"/>
          </w:tcPr>
          <w:p w14:paraId="7C177DF4">
            <w:pPr>
              <w:keepNext w:val="0"/>
              <w:keepLines w:val="0"/>
              <w:pageBreakBefore w:val="0"/>
              <w:widowControl w:val="0"/>
              <w:kinsoku/>
              <w:wordWrap/>
              <w:overflowPunct/>
              <w:topLinePunct w:val="0"/>
              <w:autoSpaceDE/>
              <w:autoSpaceDN/>
              <w:bidi w:val="0"/>
              <w:adjustRightInd/>
              <w:snapToGrid/>
              <w:spacing w:before="225" w:line="240" w:lineRule="atLeast"/>
              <w:jc w:val="center"/>
              <w:textAlignment w:val="auto"/>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3</w:t>
            </w:r>
          </w:p>
        </w:tc>
        <w:tc>
          <w:tcPr>
            <w:tcW w:w="1316" w:type="dxa"/>
            <w:shd w:val="clear" w:color="auto" w:fill="auto"/>
            <w:vAlign w:val="center"/>
          </w:tcPr>
          <w:p w14:paraId="6307AFFE">
            <w:pPr>
              <w:keepNext w:val="0"/>
              <w:keepLines w:val="0"/>
              <w:pageBreakBefore w:val="0"/>
              <w:widowControl w:val="0"/>
              <w:kinsoku/>
              <w:wordWrap/>
              <w:overflowPunct/>
              <w:topLinePunct w:val="0"/>
              <w:autoSpaceDE/>
              <w:autoSpaceDN/>
              <w:bidi w:val="0"/>
              <w:adjustRightInd/>
              <w:snapToGrid/>
              <w:spacing w:before="63" w:line="240" w:lineRule="atLeast"/>
              <w:jc w:val="center"/>
              <w:textAlignment w:val="auto"/>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sz w:val="24"/>
                <w:szCs w:val="24"/>
                <w:lang w:val="en-US" w:eastAsia="zh-CN"/>
              </w:rPr>
              <w:t>4</w:t>
            </w:r>
            <w:r>
              <w:rPr>
                <w:rFonts w:hint="eastAsia" w:ascii="宋体" w:hAnsi="宋体" w:eastAsia="宋体" w:cs="宋体"/>
                <w:color w:val="auto"/>
                <w:spacing w:val="-7"/>
                <w:sz w:val="24"/>
                <w:szCs w:val="24"/>
              </w:rPr>
              <w:t>类</w:t>
            </w:r>
          </w:p>
        </w:tc>
        <w:tc>
          <w:tcPr>
            <w:tcW w:w="1099" w:type="dxa"/>
            <w:vAlign w:val="center"/>
          </w:tcPr>
          <w:p w14:paraId="07C795F4">
            <w:pPr>
              <w:keepNext w:val="0"/>
              <w:keepLines w:val="0"/>
              <w:pageBreakBefore w:val="0"/>
              <w:widowControl w:val="0"/>
              <w:kinsoku/>
              <w:wordWrap/>
              <w:overflowPunct/>
              <w:topLinePunct w:val="0"/>
              <w:autoSpaceDE/>
              <w:autoSpaceDN/>
              <w:bidi w:val="0"/>
              <w:adjustRightInd/>
              <w:snapToGrid/>
              <w:spacing w:before="225" w:line="240" w:lineRule="atLeast"/>
              <w:jc w:val="center"/>
              <w:textAlignment w:val="auto"/>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3</w:t>
            </w:r>
          </w:p>
        </w:tc>
      </w:tr>
      <w:tr w14:paraId="1C667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754" w:type="dxa"/>
            <w:vMerge w:val="continue"/>
            <w:tcBorders>
              <w:bottom w:val="single" w:color="auto" w:sz="4" w:space="0"/>
            </w:tcBorders>
            <w:vAlign w:val="top"/>
          </w:tcPr>
          <w:p w14:paraId="4F9276CF">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4"/>
                <w:szCs w:val="24"/>
                <w:highlight w:val="none"/>
              </w:rPr>
            </w:pPr>
          </w:p>
        </w:tc>
        <w:tc>
          <w:tcPr>
            <w:tcW w:w="1695" w:type="dxa"/>
            <w:vMerge w:val="continue"/>
            <w:tcBorders>
              <w:bottom w:val="single" w:color="auto" w:sz="4" w:space="0"/>
            </w:tcBorders>
            <w:vAlign w:val="top"/>
          </w:tcPr>
          <w:p w14:paraId="61CCD4C4">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4"/>
                <w:szCs w:val="24"/>
                <w:highlight w:val="none"/>
              </w:rPr>
            </w:pPr>
          </w:p>
        </w:tc>
        <w:tc>
          <w:tcPr>
            <w:tcW w:w="2505" w:type="dxa"/>
            <w:tcBorders>
              <w:bottom w:val="single" w:color="auto" w:sz="4" w:space="0"/>
            </w:tcBorders>
            <w:vAlign w:val="center"/>
          </w:tcPr>
          <w:p w14:paraId="70E89524">
            <w:pPr>
              <w:keepNext w:val="0"/>
              <w:keepLines w:val="0"/>
              <w:pageBreakBefore w:val="0"/>
              <w:widowControl w:val="0"/>
              <w:kinsoku/>
              <w:wordWrap/>
              <w:overflowPunct/>
              <w:topLinePunct w:val="0"/>
              <w:autoSpaceDE/>
              <w:autoSpaceDN/>
              <w:bidi w:val="0"/>
              <w:adjustRightInd/>
              <w:snapToGrid/>
              <w:spacing w:before="176"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自行车</w:t>
            </w:r>
          </w:p>
        </w:tc>
        <w:tc>
          <w:tcPr>
            <w:tcW w:w="1710" w:type="dxa"/>
            <w:vAlign w:val="center"/>
          </w:tcPr>
          <w:p w14:paraId="4F08E585">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4"/>
                <w:sz w:val="24"/>
                <w:szCs w:val="24"/>
                <w:highlight w:val="none"/>
                <w:lang w:val="en-US" w:eastAsia="zh-CN"/>
              </w:rPr>
              <w:t>58</w:t>
            </w:r>
          </w:p>
        </w:tc>
        <w:tc>
          <w:tcPr>
            <w:tcW w:w="1316" w:type="dxa"/>
            <w:shd w:val="clear" w:color="auto" w:fill="auto"/>
            <w:vAlign w:val="center"/>
          </w:tcPr>
          <w:p w14:paraId="23755FE1">
            <w:pPr>
              <w:keepNext w:val="0"/>
              <w:keepLines w:val="0"/>
              <w:pageBreakBefore w:val="0"/>
              <w:widowControl w:val="0"/>
              <w:kinsoku/>
              <w:wordWrap/>
              <w:overflowPunct/>
              <w:topLinePunct w:val="0"/>
              <w:autoSpaceDE/>
              <w:autoSpaceDN/>
              <w:bidi w:val="0"/>
              <w:adjustRightInd/>
              <w:snapToGrid/>
              <w:spacing w:before="63"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7"/>
                <w:sz w:val="24"/>
                <w:szCs w:val="24"/>
                <w:lang w:val="en-US" w:eastAsia="zh-CN"/>
              </w:rPr>
              <w:t>4</w:t>
            </w:r>
            <w:r>
              <w:rPr>
                <w:rFonts w:hint="eastAsia" w:ascii="宋体" w:hAnsi="宋体" w:eastAsia="宋体" w:cs="宋体"/>
                <w:color w:val="auto"/>
                <w:spacing w:val="-7"/>
                <w:sz w:val="24"/>
                <w:szCs w:val="24"/>
              </w:rPr>
              <w:t>类</w:t>
            </w:r>
          </w:p>
        </w:tc>
        <w:tc>
          <w:tcPr>
            <w:tcW w:w="1099" w:type="dxa"/>
            <w:vAlign w:val="center"/>
          </w:tcPr>
          <w:p w14:paraId="1C12C0F6">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4"/>
                <w:sz w:val="24"/>
                <w:szCs w:val="24"/>
                <w:highlight w:val="none"/>
                <w:lang w:val="en-US" w:eastAsia="zh-CN"/>
              </w:rPr>
              <w:t>58</w:t>
            </w:r>
          </w:p>
        </w:tc>
      </w:tr>
      <w:tr w14:paraId="25BB7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54" w:type="dxa"/>
            <w:vMerge w:val="restart"/>
            <w:tcBorders>
              <w:top w:val="single" w:color="auto" w:sz="4" w:space="0"/>
            </w:tcBorders>
            <w:vAlign w:val="center"/>
          </w:tcPr>
          <w:p w14:paraId="6B427BA7">
            <w:pPr>
              <w:keepNext w:val="0"/>
              <w:keepLines w:val="0"/>
              <w:pageBreakBefore w:val="0"/>
              <w:widowControl w:val="0"/>
              <w:kinsoku/>
              <w:wordWrap/>
              <w:overflowPunct/>
              <w:topLinePunct w:val="0"/>
              <w:autoSpaceDE/>
              <w:autoSpaceDN/>
              <w:bidi w:val="0"/>
              <w:adjustRightInd/>
              <w:snapToGrid/>
              <w:spacing w:before="72" w:line="240" w:lineRule="atLeast"/>
              <w:ind w:left="33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1695" w:type="dxa"/>
            <w:vMerge w:val="restart"/>
            <w:tcBorders>
              <w:top w:val="single" w:color="auto" w:sz="4" w:space="0"/>
            </w:tcBorders>
            <w:vAlign w:val="center"/>
          </w:tcPr>
          <w:p w14:paraId="3FE2D2D3">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13"/>
                <w:sz w:val="24"/>
                <w:szCs w:val="24"/>
                <w:highlight w:val="none"/>
              </w:rPr>
              <w:t>乒曲</w:t>
            </w:r>
            <w:r>
              <w:rPr>
                <w:rFonts w:hint="eastAsia" w:ascii="宋体" w:hAnsi="宋体" w:eastAsia="宋体" w:cs="宋体"/>
                <w:b/>
                <w:bCs/>
                <w:color w:val="auto"/>
                <w:spacing w:val="-14"/>
                <w:sz w:val="24"/>
                <w:szCs w:val="24"/>
                <w:highlight w:val="none"/>
              </w:rPr>
              <w:t>蓝武</w:t>
            </w:r>
            <w:r>
              <w:rPr>
                <w:rFonts w:hint="eastAsia" w:ascii="宋体" w:hAnsi="宋体" w:eastAsia="宋体" w:cs="宋体"/>
                <w:b/>
                <w:bCs/>
                <w:color w:val="auto"/>
                <w:spacing w:val="-26"/>
                <w:sz w:val="24"/>
                <w:szCs w:val="24"/>
                <w:highlight w:val="none"/>
              </w:rPr>
              <w:t>中心</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pacing w:val="-9"/>
                <w:sz w:val="24"/>
                <w:szCs w:val="24"/>
                <w:highlight w:val="none"/>
              </w:rPr>
              <w:t>（</w:t>
            </w:r>
            <w:r>
              <w:rPr>
                <w:rFonts w:hint="eastAsia" w:ascii="宋体" w:hAnsi="宋体" w:eastAsia="宋体" w:cs="宋体"/>
                <w:b/>
                <w:bCs/>
                <w:color w:val="auto"/>
                <w:spacing w:val="-9"/>
                <w:sz w:val="24"/>
                <w:szCs w:val="24"/>
                <w:highlight w:val="none"/>
                <w:lang w:val="en-US" w:eastAsia="zh-CN"/>
              </w:rPr>
              <w:t>158</w:t>
            </w:r>
            <w:r>
              <w:rPr>
                <w:rFonts w:hint="eastAsia" w:ascii="宋体" w:hAnsi="宋体" w:eastAsia="宋体" w:cs="宋体"/>
                <w:b/>
                <w:bCs/>
                <w:color w:val="auto"/>
                <w:spacing w:val="-9"/>
                <w:sz w:val="24"/>
                <w:szCs w:val="24"/>
                <w:highlight w:val="none"/>
              </w:rPr>
              <w:t>人）</w:t>
            </w:r>
          </w:p>
        </w:tc>
        <w:tc>
          <w:tcPr>
            <w:tcW w:w="2505" w:type="dxa"/>
            <w:tcBorders>
              <w:top w:val="single" w:color="auto" w:sz="4" w:space="0"/>
            </w:tcBorders>
            <w:vAlign w:val="center"/>
          </w:tcPr>
          <w:p w14:paraId="08DB3A2F">
            <w:pPr>
              <w:keepNext w:val="0"/>
              <w:keepLines w:val="0"/>
              <w:pageBreakBefore w:val="0"/>
              <w:widowControl w:val="0"/>
              <w:kinsoku/>
              <w:wordWrap/>
              <w:overflowPunct/>
              <w:topLinePunct w:val="0"/>
              <w:autoSpaceDE/>
              <w:autoSpaceDN/>
              <w:bidi w:val="0"/>
              <w:adjustRightInd/>
              <w:snapToGrid/>
              <w:spacing w:before="176" w:line="240" w:lineRule="atLeast"/>
              <w:jc w:val="center"/>
              <w:textAlignment w:val="auto"/>
              <w:rPr>
                <w:rFonts w:hint="eastAsia" w:ascii="宋体" w:hAnsi="宋体" w:eastAsia="宋体" w:cs="宋体"/>
                <w:color w:val="auto"/>
                <w:spacing w:val="-24"/>
                <w:sz w:val="24"/>
                <w:szCs w:val="24"/>
                <w:highlight w:val="none"/>
                <w:lang w:eastAsia="zh-CN"/>
              </w:rPr>
            </w:pPr>
            <w:r>
              <w:rPr>
                <w:rFonts w:hint="eastAsia" w:ascii="宋体" w:hAnsi="宋体" w:eastAsia="宋体" w:cs="宋体"/>
                <w:color w:val="auto"/>
                <w:spacing w:val="-24"/>
                <w:sz w:val="24"/>
                <w:szCs w:val="24"/>
                <w:highlight w:val="none"/>
                <w:lang w:eastAsia="zh-CN"/>
              </w:rPr>
              <w:t>击剑</w:t>
            </w:r>
          </w:p>
        </w:tc>
        <w:tc>
          <w:tcPr>
            <w:tcW w:w="1710" w:type="dxa"/>
            <w:vAlign w:val="center"/>
          </w:tcPr>
          <w:p w14:paraId="43D06691">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7</w:t>
            </w:r>
          </w:p>
        </w:tc>
        <w:tc>
          <w:tcPr>
            <w:tcW w:w="1316" w:type="dxa"/>
            <w:shd w:val="clear" w:color="auto" w:fill="auto"/>
            <w:vAlign w:val="center"/>
          </w:tcPr>
          <w:p w14:paraId="1114FF7D">
            <w:pPr>
              <w:keepNext w:val="0"/>
              <w:keepLines w:val="0"/>
              <w:pageBreakBefore w:val="0"/>
              <w:widowControl w:val="0"/>
              <w:kinsoku/>
              <w:wordWrap/>
              <w:overflowPunct/>
              <w:topLinePunct w:val="0"/>
              <w:autoSpaceDE/>
              <w:autoSpaceDN/>
              <w:bidi w:val="0"/>
              <w:adjustRightInd/>
              <w:snapToGrid/>
              <w:spacing w:before="63" w:line="240" w:lineRule="atLeast"/>
              <w:jc w:val="center"/>
              <w:textAlignment w:val="auto"/>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sz w:val="24"/>
                <w:szCs w:val="24"/>
                <w:lang w:val="en-US" w:eastAsia="zh-CN"/>
              </w:rPr>
              <w:t>4</w:t>
            </w:r>
            <w:r>
              <w:rPr>
                <w:rFonts w:hint="eastAsia" w:ascii="宋体" w:hAnsi="宋体" w:eastAsia="宋体" w:cs="宋体"/>
                <w:color w:val="auto"/>
                <w:spacing w:val="-7"/>
                <w:sz w:val="24"/>
                <w:szCs w:val="24"/>
              </w:rPr>
              <w:t>类</w:t>
            </w:r>
          </w:p>
        </w:tc>
        <w:tc>
          <w:tcPr>
            <w:tcW w:w="1099" w:type="dxa"/>
            <w:vAlign w:val="center"/>
          </w:tcPr>
          <w:p w14:paraId="5AB98207">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7</w:t>
            </w:r>
          </w:p>
        </w:tc>
      </w:tr>
      <w:tr w14:paraId="33AD6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4" w:type="dxa"/>
            <w:vMerge w:val="continue"/>
            <w:vAlign w:val="center"/>
          </w:tcPr>
          <w:p w14:paraId="639E500B">
            <w:pPr>
              <w:keepNext w:val="0"/>
              <w:keepLines w:val="0"/>
              <w:pageBreakBefore w:val="0"/>
              <w:widowControl w:val="0"/>
              <w:kinsoku/>
              <w:wordWrap/>
              <w:overflowPunct/>
              <w:topLinePunct w:val="0"/>
              <w:autoSpaceDE/>
              <w:autoSpaceDN/>
              <w:bidi w:val="0"/>
              <w:adjustRightInd/>
              <w:snapToGrid/>
              <w:spacing w:before="72" w:line="240" w:lineRule="atLeast"/>
              <w:ind w:left="330"/>
              <w:jc w:val="both"/>
              <w:textAlignment w:val="auto"/>
              <w:rPr>
                <w:rFonts w:hint="eastAsia" w:ascii="宋体" w:hAnsi="宋体" w:eastAsia="宋体" w:cs="宋体"/>
                <w:b/>
                <w:bCs/>
                <w:color w:val="auto"/>
                <w:sz w:val="24"/>
                <w:szCs w:val="24"/>
                <w:highlight w:val="none"/>
              </w:rPr>
            </w:pPr>
          </w:p>
        </w:tc>
        <w:tc>
          <w:tcPr>
            <w:tcW w:w="1695" w:type="dxa"/>
            <w:vMerge w:val="continue"/>
            <w:vAlign w:val="center"/>
          </w:tcPr>
          <w:p w14:paraId="0F78D132">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z w:val="24"/>
                <w:szCs w:val="24"/>
                <w:highlight w:val="none"/>
              </w:rPr>
            </w:pPr>
          </w:p>
        </w:tc>
        <w:tc>
          <w:tcPr>
            <w:tcW w:w="2505" w:type="dxa"/>
            <w:vAlign w:val="center"/>
          </w:tcPr>
          <w:p w14:paraId="48288862">
            <w:pPr>
              <w:keepNext w:val="0"/>
              <w:keepLines w:val="0"/>
              <w:pageBreakBefore w:val="0"/>
              <w:widowControl w:val="0"/>
              <w:kinsoku/>
              <w:wordWrap/>
              <w:overflowPunct/>
              <w:topLinePunct w:val="0"/>
              <w:autoSpaceDE/>
              <w:autoSpaceDN/>
              <w:bidi w:val="0"/>
              <w:adjustRightInd/>
              <w:snapToGrid/>
              <w:spacing w:before="176"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篮球</w:t>
            </w:r>
          </w:p>
        </w:tc>
        <w:tc>
          <w:tcPr>
            <w:tcW w:w="1710" w:type="dxa"/>
            <w:vAlign w:val="center"/>
          </w:tcPr>
          <w:p w14:paraId="7116B3C3">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5"/>
                <w:sz w:val="24"/>
                <w:szCs w:val="24"/>
                <w:highlight w:val="none"/>
                <w:lang w:val="en-US" w:eastAsia="zh-CN"/>
              </w:rPr>
              <w:t>17</w:t>
            </w:r>
          </w:p>
        </w:tc>
        <w:tc>
          <w:tcPr>
            <w:tcW w:w="1316" w:type="dxa"/>
            <w:shd w:val="clear" w:color="auto" w:fill="auto"/>
            <w:vAlign w:val="center"/>
          </w:tcPr>
          <w:p w14:paraId="40055D07">
            <w:pPr>
              <w:keepNext w:val="0"/>
              <w:keepLines w:val="0"/>
              <w:pageBreakBefore w:val="0"/>
              <w:widowControl w:val="0"/>
              <w:kinsoku/>
              <w:wordWrap/>
              <w:overflowPunct/>
              <w:topLinePunct w:val="0"/>
              <w:autoSpaceDE/>
              <w:autoSpaceDN/>
              <w:bidi w:val="0"/>
              <w:adjustRightInd/>
              <w:snapToGrid/>
              <w:spacing w:before="61"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rPr>
              <w:t>类</w:t>
            </w:r>
          </w:p>
        </w:tc>
        <w:tc>
          <w:tcPr>
            <w:tcW w:w="1099" w:type="dxa"/>
            <w:vAlign w:val="center"/>
          </w:tcPr>
          <w:p w14:paraId="76B2484B">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5"/>
                <w:sz w:val="24"/>
                <w:szCs w:val="24"/>
                <w:highlight w:val="none"/>
                <w:lang w:val="en-US" w:eastAsia="zh-CN"/>
              </w:rPr>
              <w:t>17</w:t>
            </w:r>
          </w:p>
        </w:tc>
      </w:tr>
      <w:tr w14:paraId="45BF5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4" w:type="dxa"/>
            <w:vMerge w:val="continue"/>
            <w:vAlign w:val="top"/>
          </w:tcPr>
          <w:p w14:paraId="55EA2689">
            <w:pPr>
              <w:keepNext w:val="0"/>
              <w:keepLines w:val="0"/>
              <w:pageBreakBefore w:val="0"/>
              <w:widowControl w:val="0"/>
              <w:kinsoku/>
              <w:wordWrap/>
              <w:overflowPunct/>
              <w:topLinePunct w:val="0"/>
              <w:autoSpaceDE/>
              <w:autoSpaceDN/>
              <w:bidi w:val="0"/>
              <w:adjustRightInd/>
              <w:snapToGrid/>
              <w:spacing w:before="72" w:line="240" w:lineRule="atLeast"/>
              <w:ind w:left="330"/>
              <w:textAlignment w:val="auto"/>
              <w:rPr>
                <w:rFonts w:hint="eastAsia" w:ascii="宋体" w:hAnsi="宋体" w:eastAsia="宋体" w:cs="宋体"/>
                <w:b/>
                <w:bCs/>
                <w:color w:val="auto"/>
                <w:sz w:val="24"/>
                <w:szCs w:val="24"/>
                <w:highlight w:val="none"/>
              </w:rPr>
            </w:pPr>
          </w:p>
        </w:tc>
        <w:tc>
          <w:tcPr>
            <w:tcW w:w="1695" w:type="dxa"/>
            <w:vMerge w:val="continue"/>
            <w:vAlign w:val="center"/>
          </w:tcPr>
          <w:p w14:paraId="49408CF9">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pacing w:val="-13"/>
                <w:sz w:val="24"/>
                <w:szCs w:val="24"/>
                <w:highlight w:val="none"/>
              </w:rPr>
            </w:pPr>
          </w:p>
        </w:tc>
        <w:tc>
          <w:tcPr>
            <w:tcW w:w="2505" w:type="dxa"/>
            <w:shd w:val="clear" w:color="auto" w:fill="auto"/>
            <w:vAlign w:val="center"/>
          </w:tcPr>
          <w:p w14:paraId="485F20AD">
            <w:pPr>
              <w:keepNext w:val="0"/>
              <w:keepLines w:val="0"/>
              <w:pageBreakBefore w:val="0"/>
              <w:widowControl w:val="0"/>
              <w:kinsoku/>
              <w:wordWrap/>
              <w:overflowPunct/>
              <w:topLinePunct w:val="0"/>
              <w:autoSpaceDE/>
              <w:autoSpaceDN/>
              <w:bidi w:val="0"/>
              <w:adjustRightInd/>
              <w:snapToGrid/>
              <w:spacing w:before="177"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8"/>
                <w:sz w:val="24"/>
                <w:szCs w:val="24"/>
                <w:highlight w:val="none"/>
              </w:rPr>
              <w:t>乒乓球</w:t>
            </w:r>
          </w:p>
        </w:tc>
        <w:tc>
          <w:tcPr>
            <w:tcW w:w="1710" w:type="dxa"/>
            <w:shd w:val="clear" w:color="auto" w:fill="auto"/>
            <w:vAlign w:val="center"/>
          </w:tcPr>
          <w:p w14:paraId="75DD1D10">
            <w:pPr>
              <w:keepNext w:val="0"/>
              <w:keepLines w:val="0"/>
              <w:pageBreakBefore w:val="0"/>
              <w:widowControl w:val="0"/>
              <w:kinsoku/>
              <w:wordWrap/>
              <w:overflowPunct/>
              <w:topLinePunct w:val="0"/>
              <w:autoSpaceDE/>
              <w:autoSpaceDN/>
              <w:bidi w:val="0"/>
              <w:adjustRightInd/>
              <w:snapToGrid/>
              <w:spacing w:before="228" w:line="2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30</w:t>
            </w:r>
          </w:p>
        </w:tc>
        <w:tc>
          <w:tcPr>
            <w:tcW w:w="1316" w:type="dxa"/>
            <w:shd w:val="clear" w:color="auto" w:fill="auto"/>
            <w:vAlign w:val="center"/>
          </w:tcPr>
          <w:p w14:paraId="169E4960">
            <w:pPr>
              <w:keepNext w:val="0"/>
              <w:keepLines w:val="0"/>
              <w:pageBreakBefore w:val="0"/>
              <w:widowControl w:val="0"/>
              <w:kinsoku/>
              <w:wordWrap/>
              <w:overflowPunct/>
              <w:topLinePunct w:val="0"/>
              <w:autoSpaceDE/>
              <w:autoSpaceDN/>
              <w:bidi w:val="0"/>
              <w:adjustRightInd/>
              <w:snapToGrid/>
              <w:spacing w:before="61"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2类</w:t>
            </w:r>
          </w:p>
        </w:tc>
        <w:tc>
          <w:tcPr>
            <w:tcW w:w="1099" w:type="dxa"/>
            <w:shd w:val="clear" w:color="auto" w:fill="auto"/>
            <w:vAlign w:val="center"/>
          </w:tcPr>
          <w:p w14:paraId="5C861CD9">
            <w:pPr>
              <w:keepNext w:val="0"/>
              <w:keepLines w:val="0"/>
              <w:pageBreakBefore w:val="0"/>
              <w:widowControl w:val="0"/>
              <w:kinsoku/>
              <w:wordWrap/>
              <w:overflowPunct/>
              <w:topLinePunct w:val="0"/>
              <w:autoSpaceDE/>
              <w:autoSpaceDN/>
              <w:bidi w:val="0"/>
              <w:adjustRightInd/>
              <w:snapToGrid/>
              <w:spacing w:before="228" w:line="2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30</w:t>
            </w:r>
          </w:p>
        </w:tc>
      </w:tr>
      <w:tr w14:paraId="301BB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4" w:type="dxa"/>
            <w:vMerge w:val="continue"/>
            <w:vAlign w:val="top"/>
          </w:tcPr>
          <w:p w14:paraId="54D7924E">
            <w:pPr>
              <w:keepNext w:val="0"/>
              <w:keepLines w:val="0"/>
              <w:pageBreakBefore w:val="0"/>
              <w:widowControl w:val="0"/>
              <w:kinsoku/>
              <w:wordWrap/>
              <w:overflowPunct/>
              <w:topLinePunct w:val="0"/>
              <w:autoSpaceDE/>
              <w:autoSpaceDN/>
              <w:bidi w:val="0"/>
              <w:adjustRightInd/>
              <w:snapToGrid/>
              <w:spacing w:before="72" w:line="240" w:lineRule="atLeast"/>
              <w:ind w:left="330"/>
              <w:textAlignment w:val="auto"/>
              <w:rPr>
                <w:rFonts w:hint="eastAsia" w:ascii="宋体" w:hAnsi="宋体" w:eastAsia="宋体" w:cs="宋体"/>
                <w:b/>
                <w:bCs/>
                <w:color w:val="auto"/>
                <w:sz w:val="24"/>
                <w:szCs w:val="24"/>
                <w:highlight w:val="none"/>
              </w:rPr>
            </w:pPr>
          </w:p>
        </w:tc>
        <w:tc>
          <w:tcPr>
            <w:tcW w:w="1695" w:type="dxa"/>
            <w:vMerge w:val="continue"/>
            <w:vAlign w:val="center"/>
          </w:tcPr>
          <w:p w14:paraId="0A9EED17">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pacing w:val="-13"/>
                <w:sz w:val="24"/>
                <w:szCs w:val="24"/>
                <w:highlight w:val="none"/>
              </w:rPr>
            </w:pPr>
          </w:p>
        </w:tc>
        <w:tc>
          <w:tcPr>
            <w:tcW w:w="2505" w:type="dxa"/>
            <w:shd w:val="clear" w:color="auto" w:fill="auto"/>
            <w:vAlign w:val="center"/>
          </w:tcPr>
          <w:p w14:paraId="1795C0A4">
            <w:pPr>
              <w:keepNext w:val="0"/>
              <w:keepLines w:val="0"/>
              <w:pageBreakBefore w:val="0"/>
              <w:widowControl w:val="0"/>
              <w:kinsoku/>
              <w:wordWrap/>
              <w:overflowPunct/>
              <w:topLinePunct w:val="0"/>
              <w:autoSpaceDE/>
              <w:autoSpaceDN/>
              <w:bidi w:val="0"/>
              <w:adjustRightInd/>
              <w:snapToGrid/>
              <w:spacing w:before="178"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6"/>
                <w:sz w:val="24"/>
                <w:szCs w:val="24"/>
                <w:highlight w:val="none"/>
              </w:rPr>
              <w:t>曲棍球</w:t>
            </w:r>
          </w:p>
        </w:tc>
        <w:tc>
          <w:tcPr>
            <w:tcW w:w="1710" w:type="dxa"/>
            <w:shd w:val="clear" w:color="auto" w:fill="auto"/>
            <w:vAlign w:val="center"/>
          </w:tcPr>
          <w:p w14:paraId="179A481A">
            <w:pPr>
              <w:keepNext w:val="0"/>
              <w:keepLines w:val="0"/>
              <w:pageBreakBefore w:val="0"/>
              <w:widowControl w:val="0"/>
              <w:kinsoku/>
              <w:wordWrap/>
              <w:overflowPunct/>
              <w:topLinePunct w:val="0"/>
              <w:autoSpaceDE/>
              <w:autoSpaceDN/>
              <w:bidi w:val="0"/>
              <w:adjustRightInd/>
              <w:snapToGrid/>
              <w:spacing w:before="225"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rPr>
              <w:t>29</w:t>
            </w:r>
          </w:p>
        </w:tc>
        <w:tc>
          <w:tcPr>
            <w:tcW w:w="1316" w:type="dxa"/>
            <w:shd w:val="clear" w:color="auto" w:fill="auto"/>
            <w:vAlign w:val="center"/>
          </w:tcPr>
          <w:p w14:paraId="7775284A">
            <w:pPr>
              <w:keepNext w:val="0"/>
              <w:keepLines w:val="0"/>
              <w:pageBreakBefore w:val="0"/>
              <w:widowControl w:val="0"/>
              <w:kinsoku/>
              <w:wordWrap/>
              <w:overflowPunct/>
              <w:topLinePunct w:val="0"/>
              <w:autoSpaceDE/>
              <w:autoSpaceDN/>
              <w:bidi w:val="0"/>
              <w:adjustRightInd/>
              <w:snapToGrid/>
              <w:spacing w:before="61"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7"/>
                <w:sz w:val="24"/>
                <w:szCs w:val="24"/>
              </w:rPr>
              <w:t>5类</w:t>
            </w:r>
          </w:p>
        </w:tc>
        <w:tc>
          <w:tcPr>
            <w:tcW w:w="1099" w:type="dxa"/>
            <w:shd w:val="clear" w:color="auto" w:fill="auto"/>
            <w:vAlign w:val="center"/>
          </w:tcPr>
          <w:p w14:paraId="0F6F5A57">
            <w:pPr>
              <w:keepNext w:val="0"/>
              <w:keepLines w:val="0"/>
              <w:pageBreakBefore w:val="0"/>
              <w:widowControl w:val="0"/>
              <w:kinsoku/>
              <w:wordWrap/>
              <w:overflowPunct/>
              <w:topLinePunct w:val="0"/>
              <w:autoSpaceDE/>
              <w:autoSpaceDN/>
              <w:bidi w:val="0"/>
              <w:adjustRightInd/>
              <w:snapToGrid/>
              <w:spacing w:before="225"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rPr>
              <w:t>29</w:t>
            </w:r>
          </w:p>
        </w:tc>
      </w:tr>
      <w:tr w14:paraId="438D2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4" w:type="dxa"/>
            <w:vMerge w:val="continue"/>
            <w:vAlign w:val="top"/>
          </w:tcPr>
          <w:p w14:paraId="61B805E1">
            <w:pPr>
              <w:keepNext w:val="0"/>
              <w:keepLines w:val="0"/>
              <w:pageBreakBefore w:val="0"/>
              <w:widowControl w:val="0"/>
              <w:kinsoku/>
              <w:wordWrap/>
              <w:overflowPunct/>
              <w:topLinePunct w:val="0"/>
              <w:autoSpaceDE/>
              <w:autoSpaceDN/>
              <w:bidi w:val="0"/>
              <w:adjustRightInd/>
              <w:snapToGrid/>
              <w:spacing w:before="72" w:line="240" w:lineRule="atLeast"/>
              <w:ind w:left="330"/>
              <w:textAlignment w:val="auto"/>
              <w:rPr>
                <w:rFonts w:hint="eastAsia" w:ascii="宋体" w:hAnsi="宋体" w:eastAsia="宋体" w:cs="宋体"/>
                <w:b/>
                <w:bCs/>
                <w:color w:val="auto"/>
                <w:sz w:val="24"/>
                <w:szCs w:val="24"/>
                <w:highlight w:val="none"/>
              </w:rPr>
            </w:pPr>
          </w:p>
        </w:tc>
        <w:tc>
          <w:tcPr>
            <w:tcW w:w="1695" w:type="dxa"/>
            <w:vMerge w:val="continue"/>
            <w:vAlign w:val="center"/>
          </w:tcPr>
          <w:p w14:paraId="13C7A8F8">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pacing w:val="-13"/>
                <w:sz w:val="24"/>
                <w:szCs w:val="24"/>
                <w:highlight w:val="none"/>
              </w:rPr>
            </w:pPr>
          </w:p>
        </w:tc>
        <w:tc>
          <w:tcPr>
            <w:tcW w:w="2505" w:type="dxa"/>
            <w:shd w:val="clear" w:color="auto" w:fill="auto"/>
            <w:vAlign w:val="center"/>
          </w:tcPr>
          <w:p w14:paraId="05E595C0">
            <w:pPr>
              <w:keepNext w:val="0"/>
              <w:keepLines w:val="0"/>
              <w:pageBreakBefore w:val="0"/>
              <w:widowControl w:val="0"/>
              <w:kinsoku/>
              <w:wordWrap/>
              <w:overflowPunct/>
              <w:topLinePunct w:val="0"/>
              <w:autoSpaceDE/>
              <w:autoSpaceDN/>
              <w:bidi w:val="0"/>
              <w:adjustRightInd/>
              <w:snapToGrid/>
              <w:spacing w:before="175"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7"/>
                <w:sz w:val="24"/>
                <w:szCs w:val="24"/>
                <w:highlight w:val="none"/>
              </w:rPr>
              <w:t>武术散打</w:t>
            </w:r>
          </w:p>
        </w:tc>
        <w:tc>
          <w:tcPr>
            <w:tcW w:w="1710" w:type="dxa"/>
            <w:shd w:val="clear" w:color="auto" w:fill="auto"/>
            <w:vAlign w:val="center"/>
          </w:tcPr>
          <w:p w14:paraId="4675230A">
            <w:pPr>
              <w:keepNext w:val="0"/>
              <w:keepLines w:val="0"/>
              <w:pageBreakBefore w:val="0"/>
              <w:widowControl w:val="0"/>
              <w:kinsoku/>
              <w:wordWrap/>
              <w:overflowPunct/>
              <w:topLinePunct w:val="0"/>
              <w:autoSpaceDE/>
              <w:autoSpaceDN/>
              <w:bidi w:val="0"/>
              <w:adjustRightInd/>
              <w:snapToGrid/>
              <w:spacing w:before="223" w:line="2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7"/>
                <w:sz w:val="24"/>
                <w:szCs w:val="24"/>
                <w:highlight w:val="none"/>
                <w:lang w:val="en-US" w:eastAsia="zh-CN"/>
              </w:rPr>
              <w:t>37</w:t>
            </w:r>
          </w:p>
        </w:tc>
        <w:tc>
          <w:tcPr>
            <w:tcW w:w="1316" w:type="dxa"/>
            <w:shd w:val="clear" w:color="auto" w:fill="auto"/>
            <w:vAlign w:val="center"/>
          </w:tcPr>
          <w:p w14:paraId="7A69D636">
            <w:pPr>
              <w:keepNext w:val="0"/>
              <w:keepLines w:val="0"/>
              <w:pageBreakBefore w:val="0"/>
              <w:widowControl w:val="0"/>
              <w:kinsoku/>
              <w:wordWrap/>
              <w:overflowPunct/>
              <w:topLinePunct w:val="0"/>
              <w:autoSpaceDE/>
              <w:autoSpaceDN/>
              <w:bidi w:val="0"/>
              <w:adjustRightInd/>
              <w:snapToGrid/>
              <w:spacing w:before="61"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lang w:val="en-US" w:eastAsia="zh-CN"/>
              </w:rPr>
              <w:t>5</w:t>
            </w:r>
            <w:r>
              <w:rPr>
                <w:rFonts w:hint="eastAsia" w:ascii="宋体" w:hAnsi="宋体" w:eastAsia="宋体" w:cs="宋体"/>
                <w:color w:val="auto"/>
                <w:spacing w:val="-6"/>
                <w:sz w:val="24"/>
                <w:szCs w:val="24"/>
              </w:rPr>
              <w:t>类</w:t>
            </w:r>
          </w:p>
        </w:tc>
        <w:tc>
          <w:tcPr>
            <w:tcW w:w="1099" w:type="dxa"/>
            <w:shd w:val="clear" w:color="auto" w:fill="auto"/>
            <w:vAlign w:val="center"/>
          </w:tcPr>
          <w:p w14:paraId="72BDD541">
            <w:pPr>
              <w:keepNext w:val="0"/>
              <w:keepLines w:val="0"/>
              <w:pageBreakBefore w:val="0"/>
              <w:widowControl w:val="0"/>
              <w:kinsoku/>
              <w:wordWrap/>
              <w:overflowPunct/>
              <w:topLinePunct w:val="0"/>
              <w:autoSpaceDE/>
              <w:autoSpaceDN/>
              <w:bidi w:val="0"/>
              <w:adjustRightInd/>
              <w:snapToGrid/>
              <w:spacing w:before="223" w:line="240" w:lineRule="atLeas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7"/>
                <w:sz w:val="24"/>
                <w:szCs w:val="24"/>
                <w:highlight w:val="none"/>
                <w:lang w:val="en-US" w:eastAsia="zh-CN"/>
              </w:rPr>
              <w:t>37</w:t>
            </w:r>
          </w:p>
        </w:tc>
      </w:tr>
      <w:tr w14:paraId="3C5B9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4" w:type="dxa"/>
            <w:vMerge w:val="continue"/>
            <w:vAlign w:val="top"/>
          </w:tcPr>
          <w:p w14:paraId="60B46595">
            <w:pPr>
              <w:keepNext w:val="0"/>
              <w:keepLines w:val="0"/>
              <w:pageBreakBefore w:val="0"/>
              <w:widowControl w:val="0"/>
              <w:kinsoku/>
              <w:wordWrap/>
              <w:overflowPunct/>
              <w:topLinePunct w:val="0"/>
              <w:autoSpaceDE/>
              <w:autoSpaceDN/>
              <w:bidi w:val="0"/>
              <w:adjustRightInd/>
              <w:snapToGrid/>
              <w:spacing w:before="72" w:line="240" w:lineRule="atLeast"/>
              <w:ind w:left="330"/>
              <w:textAlignment w:val="auto"/>
              <w:rPr>
                <w:rFonts w:hint="eastAsia" w:ascii="宋体" w:hAnsi="宋体" w:eastAsia="宋体" w:cs="宋体"/>
                <w:b/>
                <w:bCs/>
                <w:color w:val="auto"/>
                <w:sz w:val="24"/>
                <w:szCs w:val="24"/>
                <w:highlight w:val="none"/>
              </w:rPr>
            </w:pPr>
          </w:p>
        </w:tc>
        <w:tc>
          <w:tcPr>
            <w:tcW w:w="1695" w:type="dxa"/>
            <w:vMerge w:val="continue"/>
            <w:vAlign w:val="center"/>
          </w:tcPr>
          <w:p w14:paraId="25471C4A">
            <w:pPr>
              <w:keepNext w:val="0"/>
              <w:keepLines w:val="0"/>
              <w:pageBreakBefore w:val="0"/>
              <w:widowControl w:val="0"/>
              <w:kinsoku/>
              <w:wordWrap/>
              <w:overflowPunct/>
              <w:topLinePunct w:val="0"/>
              <w:autoSpaceDE/>
              <w:autoSpaceDN/>
              <w:bidi w:val="0"/>
              <w:adjustRightInd/>
              <w:snapToGrid/>
              <w:spacing w:before="78" w:line="240" w:lineRule="atLeast"/>
              <w:jc w:val="center"/>
              <w:textAlignment w:val="auto"/>
              <w:rPr>
                <w:rFonts w:hint="eastAsia" w:ascii="宋体" w:hAnsi="宋体" w:eastAsia="宋体" w:cs="宋体"/>
                <w:b/>
                <w:bCs/>
                <w:color w:val="auto"/>
                <w:spacing w:val="-13"/>
                <w:sz w:val="24"/>
                <w:szCs w:val="24"/>
                <w:highlight w:val="none"/>
              </w:rPr>
            </w:pPr>
          </w:p>
        </w:tc>
        <w:tc>
          <w:tcPr>
            <w:tcW w:w="2505" w:type="dxa"/>
            <w:shd w:val="clear" w:color="auto" w:fill="auto"/>
            <w:vAlign w:val="center"/>
          </w:tcPr>
          <w:p w14:paraId="60EFA4E9">
            <w:pPr>
              <w:keepNext w:val="0"/>
              <w:keepLines w:val="0"/>
              <w:pageBreakBefore w:val="0"/>
              <w:widowControl w:val="0"/>
              <w:kinsoku/>
              <w:wordWrap/>
              <w:overflowPunct/>
              <w:topLinePunct w:val="0"/>
              <w:autoSpaceDE/>
              <w:autoSpaceDN/>
              <w:bidi w:val="0"/>
              <w:adjustRightInd/>
              <w:snapToGrid/>
              <w:spacing w:before="175" w:line="240" w:lineRule="atLeast"/>
              <w:jc w:val="center"/>
              <w:textAlignment w:val="auto"/>
              <w:rPr>
                <w:rFonts w:hint="eastAsia"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lang w:eastAsia="zh-CN"/>
              </w:rPr>
              <w:t>手球</w:t>
            </w:r>
          </w:p>
        </w:tc>
        <w:tc>
          <w:tcPr>
            <w:tcW w:w="1710" w:type="dxa"/>
            <w:shd w:val="clear" w:color="auto" w:fill="auto"/>
            <w:vAlign w:val="center"/>
          </w:tcPr>
          <w:p w14:paraId="796DB220">
            <w:pPr>
              <w:keepNext w:val="0"/>
              <w:keepLines w:val="0"/>
              <w:pageBreakBefore w:val="0"/>
              <w:widowControl w:val="0"/>
              <w:kinsoku/>
              <w:wordWrap/>
              <w:overflowPunct/>
              <w:topLinePunct w:val="0"/>
              <w:autoSpaceDE/>
              <w:autoSpaceDN/>
              <w:bidi w:val="0"/>
              <w:adjustRightInd/>
              <w:snapToGrid/>
              <w:spacing w:before="223" w:line="240" w:lineRule="atLeast"/>
              <w:jc w:val="center"/>
              <w:textAlignment w:val="auto"/>
              <w:rPr>
                <w:rFonts w:hint="default"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16</w:t>
            </w:r>
          </w:p>
        </w:tc>
        <w:tc>
          <w:tcPr>
            <w:tcW w:w="1316" w:type="dxa"/>
            <w:shd w:val="clear" w:color="auto" w:fill="auto"/>
            <w:vAlign w:val="center"/>
          </w:tcPr>
          <w:p w14:paraId="2C08E665">
            <w:pPr>
              <w:keepNext w:val="0"/>
              <w:keepLines w:val="0"/>
              <w:pageBreakBefore w:val="0"/>
              <w:widowControl w:val="0"/>
              <w:kinsoku/>
              <w:wordWrap/>
              <w:overflowPunct/>
              <w:topLinePunct w:val="0"/>
              <w:autoSpaceDE/>
              <w:autoSpaceDN/>
              <w:bidi w:val="0"/>
              <w:adjustRightInd/>
              <w:snapToGrid/>
              <w:spacing w:before="61" w:line="240" w:lineRule="atLeast"/>
              <w:jc w:val="center"/>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rPr>
              <w:t>类</w:t>
            </w:r>
          </w:p>
        </w:tc>
        <w:tc>
          <w:tcPr>
            <w:tcW w:w="1099" w:type="dxa"/>
            <w:shd w:val="clear" w:color="auto" w:fill="auto"/>
            <w:vAlign w:val="center"/>
          </w:tcPr>
          <w:p w14:paraId="48FF3E40">
            <w:pPr>
              <w:keepNext w:val="0"/>
              <w:keepLines w:val="0"/>
              <w:pageBreakBefore w:val="0"/>
              <w:widowControl w:val="0"/>
              <w:kinsoku/>
              <w:wordWrap/>
              <w:overflowPunct/>
              <w:topLinePunct w:val="0"/>
              <w:autoSpaceDE/>
              <w:autoSpaceDN/>
              <w:bidi w:val="0"/>
              <w:adjustRightInd/>
              <w:snapToGrid/>
              <w:spacing w:before="223" w:line="240" w:lineRule="atLeast"/>
              <w:jc w:val="center"/>
              <w:textAlignment w:val="auto"/>
              <w:rPr>
                <w:rFonts w:hint="default"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16</w:t>
            </w:r>
          </w:p>
        </w:tc>
      </w:tr>
      <w:tr w14:paraId="1691B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4" w:type="dxa"/>
            <w:vMerge w:val="continue"/>
            <w:tcBorders>
              <w:bottom w:val="single" w:color="auto" w:sz="4" w:space="0"/>
            </w:tcBorders>
            <w:vAlign w:val="top"/>
          </w:tcPr>
          <w:p w14:paraId="748D0A37">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b/>
                <w:bCs/>
                <w:color w:val="auto"/>
                <w:sz w:val="24"/>
                <w:szCs w:val="24"/>
                <w:highlight w:val="none"/>
              </w:rPr>
            </w:pPr>
          </w:p>
        </w:tc>
        <w:tc>
          <w:tcPr>
            <w:tcW w:w="1695" w:type="dxa"/>
            <w:vMerge w:val="continue"/>
            <w:tcBorders>
              <w:bottom w:val="single" w:color="auto" w:sz="4" w:space="0"/>
            </w:tcBorders>
            <w:vAlign w:val="top"/>
          </w:tcPr>
          <w:p w14:paraId="240FDC28">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b/>
                <w:bCs/>
                <w:color w:val="auto"/>
                <w:sz w:val="24"/>
                <w:szCs w:val="24"/>
                <w:highlight w:val="none"/>
              </w:rPr>
            </w:pPr>
          </w:p>
        </w:tc>
        <w:tc>
          <w:tcPr>
            <w:tcW w:w="2505" w:type="dxa"/>
            <w:vAlign w:val="center"/>
          </w:tcPr>
          <w:p w14:paraId="391471F5">
            <w:pPr>
              <w:keepNext w:val="0"/>
              <w:keepLines w:val="0"/>
              <w:pageBreakBefore w:val="0"/>
              <w:widowControl w:val="0"/>
              <w:kinsoku/>
              <w:wordWrap/>
              <w:overflowPunct/>
              <w:topLinePunct w:val="0"/>
              <w:autoSpaceDE/>
              <w:autoSpaceDN/>
              <w:bidi w:val="0"/>
              <w:adjustRightInd/>
              <w:snapToGrid/>
              <w:spacing w:before="175"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武术套路</w:t>
            </w:r>
          </w:p>
        </w:tc>
        <w:tc>
          <w:tcPr>
            <w:tcW w:w="1710" w:type="dxa"/>
            <w:vAlign w:val="center"/>
          </w:tcPr>
          <w:p w14:paraId="41EB837C">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5"/>
                <w:sz w:val="24"/>
                <w:szCs w:val="24"/>
                <w:highlight w:val="none"/>
                <w:lang w:val="en-US" w:eastAsia="zh-CN"/>
              </w:rPr>
              <w:t>22</w:t>
            </w:r>
          </w:p>
        </w:tc>
        <w:tc>
          <w:tcPr>
            <w:tcW w:w="1316" w:type="dxa"/>
            <w:shd w:val="clear" w:color="auto" w:fill="auto"/>
            <w:vAlign w:val="center"/>
          </w:tcPr>
          <w:p w14:paraId="6DF8B238">
            <w:pPr>
              <w:keepNext w:val="0"/>
              <w:keepLines w:val="0"/>
              <w:pageBreakBefore w:val="0"/>
              <w:widowControl w:val="0"/>
              <w:kinsoku/>
              <w:wordWrap/>
              <w:overflowPunct/>
              <w:topLinePunct w:val="0"/>
              <w:autoSpaceDE/>
              <w:autoSpaceDN/>
              <w:bidi w:val="0"/>
              <w:adjustRightInd/>
              <w:snapToGrid/>
              <w:spacing w:before="61"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7"/>
                <w:sz w:val="24"/>
                <w:szCs w:val="24"/>
              </w:rPr>
              <w:t>5类</w:t>
            </w:r>
          </w:p>
        </w:tc>
        <w:tc>
          <w:tcPr>
            <w:tcW w:w="1099" w:type="dxa"/>
            <w:vAlign w:val="center"/>
          </w:tcPr>
          <w:p w14:paraId="3A5890BA">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5"/>
                <w:sz w:val="24"/>
                <w:szCs w:val="24"/>
                <w:highlight w:val="none"/>
                <w:lang w:val="en-US" w:eastAsia="zh-CN"/>
              </w:rPr>
              <w:t>22</w:t>
            </w:r>
          </w:p>
        </w:tc>
      </w:tr>
      <w:tr w14:paraId="7DA39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4" w:type="dxa"/>
            <w:vMerge w:val="restart"/>
            <w:tcBorders>
              <w:top w:val="single" w:color="auto" w:sz="4" w:space="0"/>
              <w:bottom w:val="single" w:color="auto" w:sz="4" w:space="0"/>
            </w:tcBorders>
            <w:vAlign w:val="center"/>
          </w:tcPr>
          <w:p w14:paraId="0C74F473">
            <w:pPr>
              <w:keepNext w:val="0"/>
              <w:keepLines w:val="0"/>
              <w:pageBreakBefore w:val="0"/>
              <w:widowControl w:val="0"/>
              <w:kinsoku/>
              <w:wordWrap/>
              <w:overflowPunct/>
              <w:topLinePunct w:val="0"/>
              <w:autoSpaceDE/>
              <w:autoSpaceDN/>
              <w:bidi w:val="0"/>
              <w:adjustRightInd/>
              <w:snapToGrid/>
              <w:spacing w:before="72" w:line="240" w:lineRule="atLeast"/>
              <w:ind w:left="328"/>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p>
        </w:tc>
        <w:tc>
          <w:tcPr>
            <w:tcW w:w="1695" w:type="dxa"/>
            <w:vMerge w:val="restart"/>
            <w:tcBorders>
              <w:top w:val="single" w:color="auto" w:sz="4" w:space="0"/>
              <w:bottom w:val="single" w:color="auto" w:sz="4" w:space="0"/>
            </w:tcBorders>
            <w:vAlign w:val="center"/>
          </w:tcPr>
          <w:p w14:paraId="21CDAD60">
            <w:pPr>
              <w:keepNext w:val="0"/>
              <w:keepLines w:val="0"/>
              <w:pageBreakBefore w:val="0"/>
              <w:widowControl w:val="0"/>
              <w:tabs>
                <w:tab w:val="left" w:pos="460"/>
              </w:tabs>
              <w:kinsoku/>
              <w:wordWrap/>
              <w:overflowPunct/>
              <w:topLinePunct w:val="0"/>
              <w:autoSpaceDE/>
              <w:autoSpaceDN/>
              <w:bidi w:val="0"/>
              <w:adjustRightInd/>
              <w:snapToGrid/>
              <w:spacing w:before="200" w:line="240" w:lineRule="atLeast"/>
              <w:ind w:right="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17"/>
                <w:sz w:val="24"/>
                <w:szCs w:val="24"/>
                <w:highlight w:val="none"/>
              </w:rPr>
              <w:t>两射</w:t>
            </w:r>
            <w:r>
              <w:rPr>
                <w:rFonts w:hint="eastAsia" w:ascii="宋体" w:hAnsi="宋体" w:eastAsia="宋体" w:cs="宋体"/>
                <w:b/>
                <w:bCs/>
                <w:color w:val="auto"/>
                <w:spacing w:val="-26"/>
                <w:sz w:val="24"/>
                <w:szCs w:val="24"/>
                <w:highlight w:val="none"/>
              </w:rPr>
              <w:t>中心</w:t>
            </w:r>
            <w:r>
              <w:rPr>
                <w:rFonts w:hint="eastAsia" w:ascii="宋体" w:hAnsi="宋体" w:eastAsia="宋体" w:cs="宋体"/>
                <w:b/>
                <w:bCs/>
                <w:color w:val="auto"/>
                <w:sz w:val="24"/>
                <w:szCs w:val="24"/>
                <w:highlight w:val="none"/>
              </w:rPr>
              <w:t xml:space="preserve">  </w:t>
            </w:r>
          </w:p>
          <w:p w14:paraId="550D0710">
            <w:pPr>
              <w:keepNext w:val="0"/>
              <w:keepLines w:val="0"/>
              <w:pageBreakBefore w:val="0"/>
              <w:widowControl w:val="0"/>
              <w:tabs>
                <w:tab w:val="left" w:pos="460"/>
              </w:tabs>
              <w:kinsoku/>
              <w:wordWrap/>
              <w:overflowPunct/>
              <w:topLinePunct w:val="0"/>
              <w:autoSpaceDE/>
              <w:autoSpaceDN/>
              <w:bidi w:val="0"/>
              <w:adjustRightInd/>
              <w:snapToGrid/>
              <w:spacing w:before="200" w:line="240" w:lineRule="atLeast"/>
              <w:ind w:right="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11"/>
                <w:sz w:val="24"/>
                <w:szCs w:val="24"/>
                <w:highlight w:val="none"/>
              </w:rPr>
              <w:t>（</w:t>
            </w:r>
            <w:r>
              <w:rPr>
                <w:rFonts w:hint="eastAsia" w:ascii="宋体" w:hAnsi="宋体" w:cs="宋体"/>
                <w:b/>
                <w:bCs/>
                <w:color w:val="auto"/>
                <w:spacing w:val="-11"/>
                <w:sz w:val="24"/>
                <w:szCs w:val="24"/>
                <w:highlight w:val="none"/>
                <w:lang w:val="en-US" w:eastAsia="zh-CN"/>
              </w:rPr>
              <w:t>80</w:t>
            </w:r>
            <w:r>
              <w:rPr>
                <w:rFonts w:hint="eastAsia" w:ascii="宋体" w:hAnsi="宋体" w:eastAsia="宋体" w:cs="宋体"/>
                <w:b/>
                <w:bCs/>
                <w:color w:val="auto"/>
                <w:spacing w:val="-11"/>
                <w:sz w:val="24"/>
                <w:szCs w:val="24"/>
                <w:highlight w:val="none"/>
              </w:rPr>
              <w:t>人）</w:t>
            </w:r>
          </w:p>
        </w:tc>
        <w:tc>
          <w:tcPr>
            <w:tcW w:w="2505" w:type="dxa"/>
            <w:vAlign w:val="center"/>
          </w:tcPr>
          <w:p w14:paraId="6FB8141C">
            <w:pPr>
              <w:keepNext w:val="0"/>
              <w:keepLines w:val="0"/>
              <w:pageBreakBefore w:val="0"/>
              <w:widowControl w:val="0"/>
              <w:kinsoku/>
              <w:wordWrap/>
              <w:overflowPunct/>
              <w:topLinePunct w:val="0"/>
              <w:autoSpaceDE/>
              <w:autoSpaceDN/>
              <w:bidi w:val="0"/>
              <w:adjustRightInd/>
              <w:snapToGrid/>
              <w:spacing w:before="176"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射击</w:t>
            </w:r>
          </w:p>
        </w:tc>
        <w:tc>
          <w:tcPr>
            <w:tcW w:w="1710" w:type="dxa"/>
            <w:vAlign w:val="center"/>
          </w:tcPr>
          <w:p w14:paraId="2C1AF6BB">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7"/>
                <w:sz w:val="24"/>
                <w:szCs w:val="24"/>
                <w:highlight w:val="none"/>
                <w:lang w:val="en-US" w:eastAsia="zh-CN"/>
              </w:rPr>
              <w:t>56</w:t>
            </w:r>
          </w:p>
        </w:tc>
        <w:tc>
          <w:tcPr>
            <w:tcW w:w="1316" w:type="dxa"/>
            <w:shd w:val="clear" w:color="auto" w:fill="auto"/>
            <w:vAlign w:val="center"/>
          </w:tcPr>
          <w:p w14:paraId="02BDCDA5">
            <w:pPr>
              <w:keepNext w:val="0"/>
              <w:keepLines w:val="0"/>
              <w:pageBreakBefore w:val="0"/>
              <w:widowControl w:val="0"/>
              <w:kinsoku/>
              <w:wordWrap/>
              <w:overflowPunct/>
              <w:topLinePunct w:val="0"/>
              <w:autoSpaceDE/>
              <w:autoSpaceDN/>
              <w:bidi w:val="0"/>
              <w:adjustRightInd/>
              <w:snapToGrid/>
              <w:spacing w:before="64"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2类</w:t>
            </w:r>
          </w:p>
        </w:tc>
        <w:tc>
          <w:tcPr>
            <w:tcW w:w="1099" w:type="dxa"/>
            <w:vAlign w:val="center"/>
          </w:tcPr>
          <w:p w14:paraId="64B35C9D">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7"/>
                <w:sz w:val="24"/>
                <w:szCs w:val="24"/>
                <w:highlight w:val="none"/>
                <w:lang w:val="en-US" w:eastAsia="zh-CN"/>
              </w:rPr>
              <w:t>56</w:t>
            </w:r>
          </w:p>
        </w:tc>
      </w:tr>
      <w:tr w14:paraId="3BDE3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4" w:type="dxa"/>
            <w:vMerge w:val="continue"/>
            <w:tcBorders>
              <w:top w:val="single" w:color="auto" w:sz="4" w:space="0"/>
              <w:bottom w:val="single" w:color="auto" w:sz="4" w:space="0"/>
            </w:tcBorders>
            <w:vAlign w:val="center"/>
          </w:tcPr>
          <w:p w14:paraId="06D11AE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4"/>
                <w:szCs w:val="24"/>
                <w:highlight w:val="none"/>
              </w:rPr>
            </w:pPr>
          </w:p>
        </w:tc>
        <w:tc>
          <w:tcPr>
            <w:tcW w:w="1695" w:type="dxa"/>
            <w:vMerge w:val="continue"/>
            <w:tcBorders>
              <w:top w:val="single" w:color="auto" w:sz="4" w:space="0"/>
              <w:bottom w:val="single" w:color="auto" w:sz="4" w:space="0"/>
            </w:tcBorders>
            <w:vAlign w:val="center"/>
          </w:tcPr>
          <w:p w14:paraId="786789C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4"/>
                <w:szCs w:val="24"/>
                <w:highlight w:val="none"/>
              </w:rPr>
            </w:pPr>
          </w:p>
        </w:tc>
        <w:tc>
          <w:tcPr>
            <w:tcW w:w="2505" w:type="dxa"/>
            <w:vAlign w:val="center"/>
          </w:tcPr>
          <w:p w14:paraId="3BD7658F">
            <w:pPr>
              <w:keepNext w:val="0"/>
              <w:keepLines w:val="0"/>
              <w:pageBreakBefore w:val="0"/>
              <w:widowControl w:val="0"/>
              <w:kinsoku/>
              <w:wordWrap/>
              <w:overflowPunct/>
              <w:topLinePunct w:val="0"/>
              <w:autoSpaceDE/>
              <w:autoSpaceDN/>
              <w:bidi w:val="0"/>
              <w:adjustRightInd/>
              <w:snapToGrid/>
              <w:spacing w:before="175"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射箭</w:t>
            </w:r>
          </w:p>
        </w:tc>
        <w:tc>
          <w:tcPr>
            <w:tcW w:w="1710" w:type="dxa"/>
            <w:vAlign w:val="center"/>
          </w:tcPr>
          <w:p w14:paraId="17BEDF3B">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24</w:t>
            </w:r>
          </w:p>
        </w:tc>
        <w:tc>
          <w:tcPr>
            <w:tcW w:w="1316" w:type="dxa"/>
            <w:shd w:val="clear" w:color="auto" w:fill="auto"/>
            <w:vAlign w:val="center"/>
          </w:tcPr>
          <w:p w14:paraId="02D33E36">
            <w:pPr>
              <w:keepNext w:val="0"/>
              <w:keepLines w:val="0"/>
              <w:pageBreakBefore w:val="0"/>
              <w:widowControl w:val="0"/>
              <w:kinsoku/>
              <w:wordWrap/>
              <w:overflowPunct/>
              <w:topLinePunct w:val="0"/>
              <w:autoSpaceDE/>
              <w:autoSpaceDN/>
              <w:bidi w:val="0"/>
              <w:adjustRightInd/>
              <w:snapToGrid/>
              <w:spacing w:before="63"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rPr>
              <w:t>类</w:t>
            </w:r>
          </w:p>
        </w:tc>
        <w:tc>
          <w:tcPr>
            <w:tcW w:w="1099" w:type="dxa"/>
            <w:vAlign w:val="center"/>
          </w:tcPr>
          <w:p w14:paraId="5EA177BB">
            <w:pPr>
              <w:keepNext w:val="0"/>
              <w:keepLines w:val="0"/>
              <w:pageBreakBefore w:val="0"/>
              <w:widowControl w:val="0"/>
              <w:kinsoku/>
              <w:wordWrap/>
              <w:overflowPunct/>
              <w:topLinePunct w:val="0"/>
              <w:autoSpaceDE/>
              <w:autoSpaceDN/>
              <w:bidi w:val="0"/>
              <w:adjustRightInd/>
              <w:snapToGrid/>
              <w:spacing w:before="224"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24</w:t>
            </w:r>
          </w:p>
        </w:tc>
      </w:tr>
      <w:tr w14:paraId="32FD9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4" w:type="dxa"/>
            <w:vMerge w:val="restart"/>
            <w:vAlign w:val="center"/>
          </w:tcPr>
          <w:p w14:paraId="6BABEDC4">
            <w:pPr>
              <w:keepNext w:val="0"/>
              <w:keepLines w:val="0"/>
              <w:pageBreakBefore w:val="0"/>
              <w:widowControl w:val="0"/>
              <w:kinsoku/>
              <w:wordWrap/>
              <w:overflowPunct/>
              <w:topLinePunct w:val="0"/>
              <w:autoSpaceDE/>
              <w:autoSpaceDN/>
              <w:bidi w:val="0"/>
              <w:adjustRightInd/>
              <w:snapToGrid/>
              <w:spacing w:before="72" w:line="240" w:lineRule="atLeast"/>
              <w:ind w:left="327"/>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7</w:t>
            </w:r>
          </w:p>
        </w:tc>
        <w:tc>
          <w:tcPr>
            <w:tcW w:w="1695" w:type="dxa"/>
            <w:vMerge w:val="restart"/>
            <w:vAlign w:val="center"/>
          </w:tcPr>
          <w:p w14:paraId="137E8273">
            <w:pPr>
              <w:keepNext w:val="0"/>
              <w:keepLines w:val="0"/>
              <w:pageBreakBefore w:val="0"/>
              <w:widowControl w:val="0"/>
              <w:tabs>
                <w:tab w:val="left" w:pos="460"/>
              </w:tabs>
              <w:kinsoku/>
              <w:wordWrap/>
              <w:overflowPunct/>
              <w:topLinePunct w:val="0"/>
              <w:autoSpaceDE/>
              <w:autoSpaceDN/>
              <w:bidi w:val="0"/>
              <w:adjustRightInd/>
              <w:snapToGrid/>
              <w:spacing w:before="201" w:line="240" w:lineRule="atLeast"/>
              <w:ind w:right="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11"/>
                <w:sz w:val="24"/>
                <w:szCs w:val="24"/>
                <w:highlight w:val="none"/>
              </w:rPr>
              <w:t>水上</w:t>
            </w:r>
            <w:r>
              <w:rPr>
                <w:rFonts w:hint="eastAsia" w:ascii="宋体" w:hAnsi="宋体" w:eastAsia="宋体" w:cs="宋体"/>
                <w:b/>
                <w:bCs/>
                <w:color w:val="auto"/>
                <w:spacing w:val="-26"/>
                <w:sz w:val="24"/>
                <w:szCs w:val="24"/>
                <w:highlight w:val="none"/>
              </w:rPr>
              <w:t>中心</w:t>
            </w:r>
            <w:r>
              <w:rPr>
                <w:rFonts w:hint="eastAsia" w:ascii="宋体" w:hAnsi="宋体" w:eastAsia="宋体" w:cs="宋体"/>
                <w:b/>
                <w:bCs/>
                <w:color w:val="auto"/>
                <w:sz w:val="24"/>
                <w:szCs w:val="24"/>
                <w:highlight w:val="none"/>
              </w:rPr>
              <w:t xml:space="preserve"> </w:t>
            </w:r>
          </w:p>
          <w:p w14:paraId="72AEC72E">
            <w:pPr>
              <w:keepNext w:val="0"/>
              <w:keepLines w:val="0"/>
              <w:pageBreakBefore w:val="0"/>
              <w:widowControl w:val="0"/>
              <w:tabs>
                <w:tab w:val="left" w:pos="460"/>
              </w:tabs>
              <w:kinsoku/>
              <w:wordWrap/>
              <w:overflowPunct/>
              <w:topLinePunct w:val="0"/>
              <w:autoSpaceDE/>
              <w:autoSpaceDN/>
              <w:bidi w:val="0"/>
              <w:adjustRightInd/>
              <w:snapToGrid/>
              <w:spacing w:before="201" w:line="240" w:lineRule="atLeast"/>
              <w:ind w:right="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pacing w:val="-11"/>
                <w:sz w:val="24"/>
                <w:szCs w:val="24"/>
                <w:highlight w:val="none"/>
              </w:rPr>
              <w:t>（</w:t>
            </w:r>
            <w:r>
              <w:rPr>
                <w:rFonts w:hint="eastAsia" w:ascii="宋体" w:hAnsi="宋体" w:eastAsia="宋体" w:cs="宋体"/>
                <w:b/>
                <w:bCs/>
                <w:color w:val="auto"/>
                <w:spacing w:val="-11"/>
                <w:sz w:val="24"/>
                <w:szCs w:val="24"/>
                <w:highlight w:val="none"/>
                <w:lang w:val="en-US" w:eastAsia="zh-CN"/>
              </w:rPr>
              <w:t>102</w:t>
            </w:r>
            <w:r>
              <w:rPr>
                <w:rFonts w:hint="eastAsia" w:ascii="宋体" w:hAnsi="宋体" w:eastAsia="宋体" w:cs="宋体"/>
                <w:b/>
                <w:bCs/>
                <w:color w:val="auto"/>
                <w:spacing w:val="-11"/>
                <w:sz w:val="24"/>
                <w:szCs w:val="24"/>
                <w:highlight w:val="none"/>
              </w:rPr>
              <w:t>人）</w:t>
            </w:r>
          </w:p>
        </w:tc>
        <w:tc>
          <w:tcPr>
            <w:tcW w:w="2505" w:type="dxa"/>
            <w:vAlign w:val="center"/>
          </w:tcPr>
          <w:p w14:paraId="6441CD47">
            <w:pPr>
              <w:keepNext w:val="0"/>
              <w:keepLines w:val="0"/>
              <w:pageBreakBefore w:val="0"/>
              <w:widowControl w:val="0"/>
              <w:kinsoku/>
              <w:wordWrap/>
              <w:overflowPunct/>
              <w:topLinePunct w:val="0"/>
              <w:autoSpaceDE/>
              <w:autoSpaceDN/>
              <w:bidi w:val="0"/>
              <w:adjustRightInd/>
              <w:snapToGrid/>
              <w:spacing w:before="176" w:line="240" w:lineRule="atLeast"/>
              <w:jc w:val="center"/>
              <w:textAlignment w:val="auto"/>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spacing w:val="-9"/>
                <w:sz w:val="24"/>
                <w:szCs w:val="24"/>
                <w:highlight w:val="none"/>
                <w:lang w:eastAsia="zh-CN"/>
              </w:rPr>
              <w:t>游泳</w:t>
            </w:r>
          </w:p>
        </w:tc>
        <w:tc>
          <w:tcPr>
            <w:tcW w:w="1710" w:type="dxa"/>
            <w:vAlign w:val="center"/>
          </w:tcPr>
          <w:p w14:paraId="048970C8">
            <w:pPr>
              <w:keepNext w:val="0"/>
              <w:keepLines w:val="0"/>
              <w:pageBreakBefore w:val="0"/>
              <w:widowControl w:val="0"/>
              <w:kinsoku/>
              <w:wordWrap/>
              <w:overflowPunct/>
              <w:topLinePunct w:val="0"/>
              <w:autoSpaceDE/>
              <w:autoSpaceDN/>
              <w:bidi w:val="0"/>
              <w:adjustRightInd/>
              <w:snapToGrid/>
              <w:spacing w:before="225" w:line="240" w:lineRule="atLeast"/>
              <w:jc w:val="center"/>
              <w:textAlignment w:val="auto"/>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10</w:t>
            </w:r>
          </w:p>
        </w:tc>
        <w:tc>
          <w:tcPr>
            <w:tcW w:w="1316" w:type="dxa"/>
            <w:shd w:val="clear" w:color="auto" w:fill="auto"/>
            <w:vAlign w:val="center"/>
          </w:tcPr>
          <w:p w14:paraId="2F32FF57">
            <w:pPr>
              <w:keepNext w:val="0"/>
              <w:keepLines w:val="0"/>
              <w:pageBreakBefore w:val="0"/>
              <w:widowControl w:val="0"/>
              <w:kinsoku/>
              <w:wordWrap/>
              <w:overflowPunct/>
              <w:topLinePunct w:val="0"/>
              <w:autoSpaceDE/>
              <w:autoSpaceDN/>
              <w:bidi w:val="0"/>
              <w:adjustRightInd/>
              <w:snapToGrid/>
              <w:spacing w:before="63" w:line="240" w:lineRule="atLeast"/>
              <w:jc w:val="center"/>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6"/>
                <w:sz w:val="24"/>
                <w:szCs w:val="24"/>
                <w:highlight w:val="none"/>
              </w:rPr>
              <w:t>2类</w:t>
            </w:r>
          </w:p>
        </w:tc>
        <w:tc>
          <w:tcPr>
            <w:tcW w:w="1099" w:type="dxa"/>
            <w:vAlign w:val="center"/>
          </w:tcPr>
          <w:p w14:paraId="32A3C829">
            <w:pPr>
              <w:keepNext w:val="0"/>
              <w:keepLines w:val="0"/>
              <w:pageBreakBefore w:val="0"/>
              <w:widowControl w:val="0"/>
              <w:kinsoku/>
              <w:wordWrap/>
              <w:overflowPunct/>
              <w:topLinePunct w:val="0"/>
              <w:autoSpaceDE/>
              <w:autoSpaceDN/>
              <w:bidi w:val="0"/>
              <w:adjustRightInd/>
              <w:snapToGrid/>
              <w:spacing w:before="225" w:line="240" w:lineRule="atLeast"/>
              <w:jc w:val="center"/>
              <w:textAlignment w:val="auto"/>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10</w:t>
            </w:r>
          </w:p>
        </w:tc>
      </w:tr>
      <w:tr w14:paraId="7D254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4" w:type="dxa"/>
            <w:vMerge w:val="continue"/>
            <w:vAlign w:val="top"/>
          </w:tcPr>
          <w:p w14:paraId="75E46993">
            <w:pPr>
              <w:keepNext w:val="0"/>
              <w:keepLines w:val="0"/>
              <w:pageBreakBefore w:val="0"/>
              <w:widowControl w:val="0"/>
              <w:kinsoku/>
              <w:wordWrap/>
              <w:overflowPunct/>
              <w:topLinePunct w:val="0"/>
              <w:autoSpaceDE/>
              <w:autoSpaceDN/>
              <w:bidi w:val="0"/>
              <w:adjustRightInd/>
              <w:snapToGrid/>
              <w:spacing w:before="72" w:line="240" w:lineRule="atLeast"/>
              <w:ind w:left="327"/>
              <w:textAlignment w:val="auto"/>
              <w:rPr>
                <w:rFonts w:hint="eastAsia" w:ascii="宋体" w:hAnsi="宋体" w:eastAsia="宋体" w:cs="宋体"/>
                <w:b/>
                <w:bCs/>
                <w:color w:val="auto"/>
                <w:sz w:val="24"/>
                <w:szCs w:val="24"/>
                <w:highlight w:val="none"/>
              </w:rPr>
            </w:pPr>
          </w:p>
        </w:tc>
        <w:tc>
          <w:tcPr>
            <w:tcW w:w="1695" w:type="dxa"/>
            <w:vMerge w:val="continue"/>
            <w:vAlign w:val="center"/>
          </w:tcPr>
          <w:p w14:paraId="0326CC6A">
            <w:pPr>
              <w:keepNext w:val="0"/>
              <w:keepLines w:val="0"/>
              <w:pageBreakBefore w:val="0"/>
              <w:widowControl w:val="0"/>
              <w:tabs>
                <w:tab w:val="left" w:pos="460"/>
              </w:tabs>
              <w:kinsoku/>
              <w:wordWrap/>
              <w:overflowPunct/>
              <w:topLinePunct w:val="0"/>
              <w:autoSpaceDE/>
              <w:autoSpaceDN/>
              <w:bidi w:val="0"/>
              <w:adjustRightInd/>
              <w:snapToGrid/>
              <w:spacing w:before="201" w:line="240" w:lineRule="atLeast"/>
              <w:ind w:right="200"/>
              <w:jc w:val="center"/>
              <w:textAlignment w:val="auto"/>
              <w:rPr>
                <w:rFonts w:hint="eastAsia" w:ascii="宋体" w:hAnsi="宋体" w:eastAsia="宋体" w:cs="宋体"/>
                <w:b/>
                <w:bCs/>
                <w:color w:val="auto"/>
                <w:spacing w:val="-11"/>
                <w:sz w:val="24"/>
                <w:szCs w:val="24"/>
                <w:highlight w:val="none"/>
              </w:rPr>
            </w:pPr>
          </w:p>
        </w:tc>
        <w:tc>
          <w:tcPr>
            <w:tcW w:w="2505" w:type="dxa"/>
            <w:shd w:val="clear" w:color="auto" w:fill="auto"/>
            <w:vAlign w:val="center"/>
          </w:tcPr>
          <w:p w14:paraId="267148C5">
            <w:pPr>
              <w:keepNext w:val="0"/>
              <w:keepLines w:val="0"/>
              <w:pageBreakBefore w:val="0"/>
              <w:widowControl w:val="0"/>
              <w:kinsoku/>
              <w:wordWrap/>
              <w:overflowPunct/>
              <w:topLinePunct w:val="0"/>
              <w:autoSpaceDE/>
              <w:autoSpaceDN/>
              <w:bidi w:val="0"/>
              <w:adjustRightInd/>
              <w:snapToGrid/>
              <w:spacing w:before="176"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8"/>
                <w:sz w:val="24"/>
                <w:szCs w:val="24"/>
                <w:highlight w:val="none"/>
              </w:rPr>
              <w:t>蹼泳</w:t>
            </w:r>
          </w:p>
        </w:tc>
        <w:tc>
          <w:tcPr>
            <w:tcW w:w="1710" w:type="dxa"/>
            <w:shd w:val="clear" w:color="auto" w:fill="auto"/>
            <w:vAlign w:val="center"/>
          </w:tcPr>
          <w:p w14:paraId="4BD55F49">
            <w:pPr>
              <w:keepNext w:val="0"/>
              <w:keepLines w:val="0"/>
              <w:pageBreakBefore w:val="0"/>
              <w:widowControl w:val="0"/>
              <w:kinsoku/>
              <w:wordWrap/>
              <w:overflowPunct/>
              <w:topLinePunct w:val="0"/>
              <w:autoSpaceDE/>
              <w:autoSpaceDN/>
              <w:bidi w:val="0"/>
              <w:adjustRightInd/>
              <w:snapToGrid/>
              <w:spacing w:before="228"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316" w:type="dxa"/>
            <w:shd w:val="clear" w:color="auto" w:fill="auto"/>
            <w:vAlign w:val="center"/>
          </w:tcPr>
          <w:p w14:paraId="2BA58377">
            <w:pPr>
              <w:keepNext w:val="0"/>
              <w:keepLines w:val="0"/>
              <w:pageBreakBefore w:val="0"/>
              <w:widowControl w:val="0"/>
              <w:kinsoku/>
              <w:wordWrap/>
              <w:overflowPunct/>
              <w:topLinePunct w:val="0"/>
              <w:autoSpaceDE/>
              <w:autoSpaceDN/>
              <w:bidi w:val="0"/>
              <w:adjustRightInd/>
              <w:snapToGrid/>
              <w:spacing w:before="63"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2类</w:t>
            </w:r>
          </w:p>
        </w:tc>
        <w:tc>
          <w:tcPr>
            <w:tcW w:w="1099" w:type="dxa"/>
            <w:shd w:val="clear" w:color="auto" w:fill="auto"/>
            <w:vAlign w:val="center"/>
          </w:tcPr>
          <w:p w14:paraId="6B9232ED">
            <w:pPr>
              <w:keepNext w:val="0"/>
              <w:keepLines w:val="0"/>
              <w:pageBreakBefore w:val="0"/>
              <w:widowControl w:val="0"/>
              <w:kinsoku/>
              <w:wordWrap/>
              <w:overflowPunct/>
              <w:topLinePunct w:val="0"/>
              <w:autoSpaceDE/>
              <w:autoSpaceDN/>
              <w:bidi w:val="0"/>
              <w:adjustRightInd/>
              <w:snapToGrid/>
              <w:spacing w:before="228"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r>
      <w:tr w14:paraId="68D3A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4" w:type="dxa"/>
            <w:vMerge w:val="continue"/>
            <w:vAlign w:val="top"/>
          </w:tcPr>
          <w:p w14:paraId="5CDD3B17">
            <w:pPr>
              <w:keepNext w:val="0"/>
              <w:keepLines w:val="0"/>
              <w:pageBreakBefore w:val="0"/>
              <w:widowControl w:val="0"/>
              <w:kinsoku/>
              <w:wordWrap/>
              <w:overflowPunct/>
              <w:topLinePunct w:val="0"/>
              <w:autoSpaceDE/>
              <w:autoSpaceDN/>
              <w:bidi w:val="0"/>
              <w:adjustRightInd/>
              <w:snapToGrid/>
              <w:spacing w:before="72" w:line="240" w:lineRule="atLeast"/>
              <w:ind w:left="327"/>
              <w:textAlignment w:val="auto"/>
              <w:rPr>
                <w:rFonts w:hint="eastAsia" w:ascii="宋体" w:hAnsi="宋体" w:eastAsia="宋体" w:cs="宋体"/>
                <w:b/>
                <w:bCs/>
                <w:color w:val="auto"/>
                <w:sz w:val="24"/>
                <w:szCs w:val="24"/>
                <w:highlight w:val="none"/>
              </w:rPr>
            </w:pPr>
          </w:p>
        </w:tc>
        <w:tc>
          <w:tcPr>
            <w:tcW w:w="1695" w:type="dxa"/>
            <w:vMerge w:val="continue"/>
            <w:vAlign w:val="center"/>
          </w:tcPr>
          <w:p w14:paraId="549F9CA9">
            <w:pPr>
              <w:keepNext w:val="0"/>
              <w:keepLines w:val="0"/>
              <w:pageBreakBefore w:val="0"/>
              <w:widowControl w:val="0"/>
              <w:tabs>
                <w:tab w:val="left" w:pos="460"/>
              </w:tabs>
              <w:kinsoku/>
              <w:wordWrap/>
              <w:overflowPunct/>
              <w:topLinePunct w:val="0"/>
              <w:autoSpaceDE/>
              <w:autoSpaceDN/>
              <w:bidi w:val="0"/>
              <w:adjustRightInd/>
              <w:snapToGrid/>
              <w:spacing w:before="201" w:line="240" w:lineRule="atLeast"/>
              <w:ind w:right="200"/>
              <w:jc w:val="center"/>
              <w:textAlignment w:val="auto"/>
              <w:rPr>
                <w:rFonts w:hint="eastAsia" w:ascii="宋体" w:hAnsi="宋体" w:eastAsia="宋体" w:cs="宋体"/>
                <w:b/>
                <w:bCs/>
                <w:color w:val="auto"/>
                <w:sz w:val="24"/>
                <w:szCs w:val="24"/>
                <w:highlight w:val="none"/>
              </w:rPr>
            </w:pPr>
          </w:p>
        </w:tc>
        <w:tc>
          <w:tcPr>
            <w:tcW w:w="2505" w:type="dxa"/>
            <w:vAlign w:val="center"/>
          </w:tcPr>
          <w:p w14:paraId="7F8F879E">
            <w:pPr>
              <w:keepNext w:val="0"/>
              <w:keepLines w:val="0"/>
              <w:pageBreakBefore w:val="0"/>
              <w:widowControl w:val="0"/>
              <w:kinsoku/>
              <w:wordWrap/>
              <w:overflowPunct/>
              <w:topLinePunct w:val="0"/>
              <w:autoSpaceDE/>
              <w:autoSpaceDN/>
              <w:bidi w:val="0"/>
              <w:adjustRightInd/>
              <w:snapToGrid/>
              <w:spacing w:before="176"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赛艇</w:t>
            </w:r>
          </w:p>
        </w:tc>
        <w:tc>
          <w:tcPr>
            <w:tcW w:w="1710" w:type="dxa"/>
            <w:vAlign w:val="center"/>
          </w:tcPr>
          <w:p w14:paraId="2EEF24E1">
            <w:pPr>
              <w:keepNext w:val="0"/>
              <w:keepLines w:val="0"/>
              <w:pageBreakBefore w:val="0"/>
              <w:widowControl w:val="0"/>
              <w:kinsoku/>
              <w:wordWrap/>
              <w:overflowPunct/>
              <w:topLinePunct w:val="0"/>
              <w:autoSpaceDE/>
              <w:autoSpaceDN/>
              <w:bidi w:val="0"/>
              <w:adjustRightInd/>
              <w:snapToGrid/>
              <w:spacing w:before="225"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13</w:t>
            </w:r>
          </w:p>
        </w:tc>
        <w:tc>
          <w:tcPr>
            <w:tcW w:w="1316" w:type="dxa"/>
            <w:shd w:val="clear" w:color="auto" w:fill="auto"/>
            <w:vAlign w:val="center"/>
          </w:tcPr>
          <w:p w14:paraId="0D43F2AD">
            <w:pPr>
              <w:keepNext w:val="0"/>
              <w:keepLines w:val="0"/>
              <w:pageBreakBefore w:val="0"/>
              <w:widowControl w:val="0"/>
              <w:kinsoku/>
              <w:wordWrap/>
              <w:overflowPunct/>
              <w:topLinePunct w:val="0"/>
              <w:autoSpaceDE/>
              <w:autoSpaceDN/>
              <w:bidi w:val="0"/>
              <w:adjustRightInd/>
              <w:snapToGrid/>
              <w:spacing w:before="63"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rPr>
              <w:t>类</w:t>
            </w:r>
          </w:p>
        </w:tc>
        <w:tc>
          <w:tcPr>
            <w:tcW w:w="1099" w:type="dxa"/>
            <w:vAlign w:val="center"/>
          </w:tcPr>
          <w:p w14:paraId="40C00301">
            <w:pPr>
              <w:keepNext w:val="0"/>
              <w:keepLines w:val="0"/>
              <w:pageBreakBefore w:val="0"/>
              <w:widowControl w:val="0"/>
              <w:kinsoku/>
              <w:wordWrap/>
              <w:overflowPunct/>
              <w:topLinePunct w:val="0"/>
              <w:autoSpaceDE/>
              <w:autoSpaceDN/>
              <w:bidi w:val="0"/>
              <w:adjustRightInd/>
              <w:snapToGrid/>
              <w:spacing w:before="225"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13</w:t>
            </w:r>
          </w:p>
        </w:tc>
      </w:tr>
      <w:tr w14:paraId="6B2E7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54" w:type="dxa"/>
            <w:vMerge w:val="continue"/>
            <w:vAlign w:val="top"/>
          </w:tcPr>
          <w:p w14:paraId="4576F298">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b/>
                <w:bCs/>
                <w:color w:val="auto"/>
                <w:sz w:val="24"/>
                <w:szCs w:val="24"/>
                <w:highlight w:val="none"/>
              </w:rPr>
            </w:pPr>
          </w:p>
        </w:tc>
        <w:tc>
          <w:tcPr>
            <w:tcW w:w="1695" w:type="dxa"/>
            <w:vMerge w:val="continue"/>
            <w:vAlign w:val="top"/>
          </w:tcPr>
          <w:p w14:paraId="0E7E8DCD">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b/>
                <w:bCs/>
                <w:color w:val="auto"/>
                <w:sz w:val="24"/>
                <w:szCs w:val="24"/>
                <w:highlight w:val="none"/>
              </w:rPr>
            </w:pPr>
          </w:p>
        </w:tc>
        <w:tc>
          <w:tcPr>
            <w:tcW w:w="2505" w:type="dxa"/>
            <w:vAlign w:val="center"/>
          </w:tcPr>
          <w:p w14:paraId="49BF60CF">
            <w:pPr>
              <w:keepNext w:val="0"/>
              <w:keepLines w:val="0"/>
              <w:pageBreakBefore w:val="0"/>
              <w:widowControl w:val="0"/>
              <w:kinsoku/>
              <w:wordWrap/>
              <w:overflowPunct/>
              <w:topLinePunct w:val="0"/>
              <w:autoSpaceDE/>
              <w:autoSpaceDN/>
              <w:bidi w:val="0"/>
              <w:adjustRightInd/>
              <w:snapToGrid/>
              <w:spacing w:before="176"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皮艇</w:t>
            </w:r>
          </w:p>
        </w:tc>
        <w:tc>
          <w:tcPr>
            <w:tcW w:w="1710" w:type="dxa"/>
            <w:vAlign w:val="center"/>
          </w:tcPr>
          <w:p w14:paraId="6EA71C4C">
            <w:pPr>
              <w:keepNext w:val="0"/>
              <w:keepLines w:val="0"/>
              <w:pageBreakBefore w:val="0"/>
              <w:widowControl w:val="0"/>
              <w:kinsoku/>
              <w:wordWrap/>
              <w:overflowPunct/>
              <w:topLinePunct w:val="0"/>
              <w:autoSpaceDE/>
              <w:autoSpaceDN/>
              <w:bidi w:val="0"/>
              <w:adjustRightInd/>
              <w:snapToGrid/>
              <w:spacing w:before="225"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5"/>
                <w:sz w:val="24"/>
                <w:szCs w:val="24"/>
                <w:highlight w:val="none"/>
                <w:lang w:val="en-US" w:eastAsia="zh-CN"/>
              </w:rPr>
              <w:t>23</w:t>
            </w:r>
          </w:p>
        </w:tc>
        <w:tc>
          <w:tcPr>
            <w:tcW w:w="1316" w:type="dxa"/>
            <w:shd w:val="clear" w:color="auto" w:fill="auto"/>
            <w:vAlign w:val="center"/>
          </w:tcPr>
          <w:p w14:paraId="5AB788F7">
            <w:pPr>
              <w:keepNext w:val="0"/>
              <w:keepLines w:val="0"/>
              <w:pageBreakBefore w:val="0"/>
              <w:widowControl w:val="0"/>
              <w:kinsoku/>
              <w:wordWrap/>
              <w:overflowPunct/>
              <w:topLinePunct w:val="0"/>
              <w:autoSpaceDE/>
              <w:autoSpaceDN/>
              <w:bidi w:val="0"/>
              <w:adjustRightInd/>
              <w:snapToGrid/>
              <w:spacing w:before="63"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类</w:t>
            </w:r>
          </w:p>
        </w:tc>
        <w:tc>
          <w:tcPr>
            <w:tcW w:w="1099" w:type="dxa"/>
            <w:vAlign w:val="center"/>
          </w:tcPr>
          <w:p w14:paraId="7F469676">
            <w:pPr>
              <w:keepNext w:val="0"/>
              <w:keepLines w:val="0"/>
              <w:pageBreakBefore w:val="0"/>
              <w:widowControl w:val="0"/>
              <w:kinsoku/>
              <w:wordWrap/>
              <w:overflowPunct/>
              <w:topLinePunct w:val="0"/>
              <w:autoSpaceDE/>
              <w:autoSpaceDN/>
              <w:bidi w:val="0"/>
              <w:adjustRightInd/>
              <w:snapToGrid/>
              <w:spacing w:before="225"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5"/>
                <w:sz w:val="24"/>
                <w:szCs w:val="24"/>
                <w:highlight w:val="none"/>
                <w:lang w:val="en-US" w:eastAsia="zh-CN"/>
              </w:rPr>
              <w:t>23</w:t>
            </w:r>
          </w:p>
        </w:tc>
      </w:tr>
      <w:tr w14:paraId="46E66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54" w:type="dxa"/>
            <w:vMerge w:val="continue"/>
            <w:vAlign w:val="top"/>
          </w:tcPr>
          <w:p w14:paraId="27097499">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b/>
                <w:bCs/>
                <w:color w:val="auto"/>
                <w:sz w:val="24"/>
                <w:szCs w:val="24"/>
                <w:highlight w:val="none"/>
              </w:rPr>
            </w:pPr>
          </w:p>
        </w:tc>
        <w:tc>
          <w:tcPr>
            <w:tcW w:w="1695" w:type="dxa"/>
            <w:vMerge w:val="continue"/>
            <w:vAlign w:val="top"/>
          </w:tcPr>
          <w:p w14:paraId="2D08F1EE">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b/>
                <w:bCs/>
                <w:color w:val="auto"/>
                <w:sz w:val="24"/>
                <w:szCs w:val="24"/>
                <w:highlight w:val="none"/>
              </w:rPr>
            </w:pPr>
          </w:p>
        </w:tc>
        <w:tc>
          <w:tcPr>
            <w:tcW w:w="2505" w:type="dxa"/>
            <w:vAlign w:val="center"/>
          </w:tcPr>
          <w:p w14:paraId="4361DA2E">
            <w:pPr>
              <w:keepNext w:val="0"/>
              <w:keepLines w:val="0"/>
              <w:pageBreakBefore w:val="0"/>
              <w:widowControl w:val="0"/>
              <w:kinsoku/>
              <w:wordWrap/>
              <w:overflowPunct/>
              <w:topLinePunct w:val="0"/>
              <w:autoSpaceDE/>
              <w:autoSpaceDN/>
              <w:bidi w:val="0"/>
              <w:adjustRightInd/>
              <w:snapToGrid/>
              <w:spacing w:before="176" w:line="240" w:lineRule="atLeast"/>
              <w:jc w:val="center"/>
              <w:textAlignment w:val="auto"/>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静水皮划艇</w:t>
            </w:r>
          </w:p>
        </w:tc>
        <w:tc>
          <w:tcPr>
            <w:tcW w:w="1710" w:type="dxa"/>
            <w:vAlign w:val="center"/>
          </w:tcPr>
          <w:p w14:paraId="0F43C094">
            <w:pPr>
              <w:keepNext w:val="0"/>
              <w:keepLines w:val="0"/>
              <w:pageBreakBefore w:val="0"/>
              <w:widowControl w:val="0"/>
              <w:kinsoku/>
              <w:wordWrap/>
              <w:overflowPunct/>
              <w:topLinePunct w:val="0"/>
              <w:autoSpaceDE/>
              <w:autoSpaceDN/>
              <w:bidi w:val="0"/>
              <w:adjustRightInd/>
              <w:snapToGrid/>
              <w:spacing w:before="225" w:line="240" w:lineRule="atLeast"/>
              <w:jc w:val="center"/>
              <w:textAlignment w:val="auto"/>
              <w:rPr>
                <w:rFonts w:hint="default"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20</w:t>
            </w:r>
          </w:p>
        </w:tc>
        <w:tc>
          <w:tcPr>
            <w:tcW w:w="1316" w:type="dxa"/>
            <w:shd w:val="clear" w:color="auto" w:fill="auto"/>
            <w:vAlign w:val="center"/>
          </w:tcPr>
          <w:p w14:paraId="58C5C672">
            <w:pPr>
              <w:keepNext w:val="0"/>
              <w:keepLines w:val="0"/>
              <w:pageBreakBefore w:val="0"/>
              <w:widowControl w:val="0"/>
              <w:kinsoku/>
              <w:wordWrap/>
              <w:overflowPunct/>
              <w:topLinePunct w:val="0"/>
              <w:autoSpaceDE/>
              <w:autoSpaceDN/>
              <w:bidi w:val="0"/>
              <w:adjustRightInd/>
              <w:snapToGrid/>
              <w:spacing w:before="63"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类</w:t>
            </w:r>
          </w:p>
        </w:tc>
        <w:tc>
          <w:tcPr>
            <w:tcW w:w="1099" w:type="dxa"/>
            <w:vAlign w:val="center"/>
          </w:tcPr>
          <w:p w14:paraId="29CDC024">
            <w:pPr>
              <w:keepNext w:val="0"/>
              <w:keepLines w:val="0"/>
              <w:pageBreakBefore w:val="0"/>
              <w:widowControl w:val="0"/>
              <w:kinsoku/>
              <w:wordWrap/>
              <w:overflowPunct/>
              <w:topLinePunct w:val="0"/>
              <w:autoSpaceDE/>
              <w:autoSpaceDN/>
              <w:bidi w:val="0"/>
              <w:adjustRightInd/>
              <w:snapToGrid/>
              <w:spacing w:before="225" w:line="240" w:lineRule="atLeast"/>
              <w:jc w:val="center"/>
              <w:textAlignment w:val="auto"/>
              <w:rPr>
                <w:rFonts w:hint="default"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20</w:t>
            </w:r>
          </w:p>
        </w:tc>
      </w:tr>
      <w:tr w14:paraId="51A8F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54" w:type="dxa"/>
            <w:vMerge w:val="continue"/>
            <w:vAlign w:val="top"/>
          </w:tcPr>
          <w:p w14:paraId="1179CAE2">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b/>
                <w:bCs/>
                <w:color w:val="auto"/>
                <w:sz w:val="24"/>
                <w:szCs w:val="24"/>
                <w:highlight w:val="none"/>
              </w:rPr>
            </w:pPr>
          </w:p>
        </w:tc>
        <w:tc>
          <w:tcPr>
            <w:tcW w:w="1695" w:type="dxa"/>
            <w:vMerge w:val="continue"/>
            <w:vAlign w:val="top"/>
          </w:tcPr>
          <w:p w14:paraId="3795FC85">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b/>
                <w:bCs/>
                <w:color w:val="auto"/>
                <w:sz w:val="24"/>
                <w:szCs w:val="24"/>
                <w:highlight w:val="none"/>
              </w:rPr>
            </w:pPr>
          </w:p>
        </w:tc>
        <w:tc>
          <w:tcPr>
            <w:tcW w:w="2505" w:type="dxa"/>
            <w:shd w:val="clear" w:color="auto" w:fill="auto"/>
            <w:vAlign w:val="center"/>
          </w:tcPr>
          <w:p w14:paraId="2F5E2320">
            <w:pPr>
              <w:keepNext w:val="0"/>
              <w:keepLines w:val="0"/>
              <w:pageBreakBefore w:val="0"/>
              <w:widowControl w:val="0"/>
              <w:kinsoku/>
              <w:wordWrap/>
              <w:overflowPunct/>
              <w:topLinePunct w:val="0"/>
              <w:autoSpaceDE/>
              <w:autoSpaceDN/>
              <w:bidi w:val="0"/>
              <w:adjustRightInd/>
              <w:snapToGrid/>
              <w:spacing w:before="173"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2"/>
                <w:sz w:val="24"/>
                <w:szCs w:val="24"/>
                <w:highlight w:val="none"/>
              </w:rPr>
              <w:t>滑板</w:t>
            </w:r>
          </w:p>
        </w:tc>
        <w:tc>
          <w:tcPr>
            <w:tcW w:w="1710" w:type="dxa"/>
            <w:shd w:val="clear" w:color="auto" w:fill="auto"/>
            <w:vAlign w:val="center"/>
          </w:tcPr>
          <w:p w14:paraId="1551FFBB">
            <w:pPr>
              <w:keepNext w:val="0"/>
              <w:keepLines w:val="0"/>
              <w:pageBreakBefore w:val="0"/>
              <w:widowControl w:val="0"/>
              <w:kinsoku/>
              <w:wordWrap/>
              <w:overflowPunct/>
              <w:topLinePunct w:val="0"/>
              <w:autoSpaceDE/>
              <w:autoSpaceDN/>
              <w:bidi w:val="0"/>
              <w:adjustRightInd/>
              <w:snapToGrid/>
              <w:spacing w:before="221"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1316" w:type="dxa"/>
            <w:shd w:val="clear" w:color="auto" w:fill="auto"/>
            <w:vAlign w:val="center"/>
          </w:tcPr>
          <w:p w14:paraId="78501399">
            <w:pPr>
              <w:keepNext w:val="0"/>
              <w:keepLines w:val="0"/>
              <w:pageBreakBefore w:val="0"/>
              <w:widowControl w:val="0"/>
              <w:kinsoku/>
              <w:wordWrap/>
              <w:overflowPunct/>
              <w:topLinePunct w:val="0"/>
              <w:autoSpaceDE/>
              <w:autoSpaceDN/>
              <w:bidi w:val="0"/>
              <w:adjustRightInd/>
              <w:snapToGrid/>
              <w:spacing w:before="62"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S类</w:t>
            </w:r>
          </w:p>
        </w:tc>
        <w:tc>
          <w:tcPr>
            <w:tcW w:w="1099" w:type="dxa"/>
            <w:shd w:val="clear" w:color="auto" w:fill="auto"/>
            <w:vAlign w:val="center"/>
          </w:tcPr>
          <w:p w14:paraId="75F30801">
            <w:pPr>
              <w:keepNext w:val="0"/>
              <w:keepLines w:val="0"/>
              <w:pageBreakBefore w:val="0"/>
              <w:widowControl w:val="0"/>
              <w:kinsoku/>
              <w:wordWrap/>
              <w:overflowPunct/>
              <w:topLinePunct w:val="0"/>
              <w:autoSpaceDE/>
              <w:autoSpaceDN/>
              <w:bidi w:val="0"/>
              <w:adjustRightInd/>
              <w:snapToGrid/>
              <w:spacing w:before="221"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r>
      <w:tr w14:paraId="67BC9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54" w:type="dxa"/>
            <w:vMerge w:val="continue"/>
            <w:vAlign w:val="top"/>
          </w:tcPr>
          <w:p w14:paraId="0528C51D">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b/>
                <w:bCs/>
                <w:color w:val="auto"/>
                <w:sz w:val="24"/>
                <w:szCs w:val="24"/>
                <w:highlight w:val="none"/>
              </w:rPr>
            </w:pPr>
          </w:p>
        </w:tc>
        <w:tc>
          <w:tcPr>
            <w:tcW w:w="1695" w:type="dxa"/>
            <w:vMerge w:val="continue"/>
            <w:vAlign w:val="top"/>
          </w:tcPr>
          <w:p w14:paraId="3153A88A">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b/>
                <w:bCs/>
                <w:color w:val="auto"/>
                <w:sz w:val="24"/>
                <w:szCs w:val="24"/>
                <w:highlight w:val="none"/>
              </w:rPr>
            </w:pPr>
          </w:p>
        </w:tc>
        <w:tc>
          <w:tcPr>
            <w:tcW w:w="2505" w:type="dxa"/>
            <w:shd w:val="clear" w:color="auto" w:fill="auto"/>
            <w:vAlign w:val="center"/>
          </w:tcPr>
          <w:p w14:paraId="52B0F19A">
            <w:pPr>
              <w:keepNext w:val="0"/>
              <w:keepLines w:val="0"/>
              <w:pageBreakBefore w:val="0"/>
              <w:widowControl w:val="0"/>
              <w:kinsoku/>
              <w:wordWrap/>
              <w:overflowPunct/>
              <w:topLinePunct w:val="0"/>
              <w:autoSpaceDE/>
              <w:autoSpaceDN/>
              <w:bidi w:val="0"/>
              <w:adjustRightInd/>
              <w:snapToGrid/>
              <w:spacing w:before="176"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速度轮滑</w:t>
            </w:r>
          </w:p>
        </w:tc>
        <w:tc>
          <w:tcPr>
            <w:tcW w:w="1710" w:type="dxa"/>
            <w:shd w:val="clear" w:color="auto" w:fill="auto"/>
            <w:vAlign w:val="center"/>
          </w:tcPr>
          <w:p w14:paraId="7594461D">
            <w:pPr>
              <w:keepNext w:val="0"/>
              <w:keepLines w:val="0"/>
              <w:pageBreakBefore w:val="0"/>
              <w:widowControl w:val="0"/>
              <w:kinsoku/>
              <w:wordWrap/>
              <w:overflowPunct/>
              <w:topLinePunct w:val="0"/>
              <w:autoSpaceDE/>
              <w:autoSpaceDN/>
              <w:bidi w:val="0"/>
              <w:adjustRightInd/>
              <w:snapToGrid/>
              <w:spacing w:before="228"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28</w:t>
            </w:r>
          </w:p>
        </w:tc>
        <w:tc>
          <w:tcPr>
            <w:tcW w:w="1316" w:type="dxa"/>
            <w:shd w:val="clear" w:color="auto" w:fill="auto"/>
            <w:vAlign w:val="center"/>
          </w:tcPr>
          <w:p w14:paraId="3C7CE0D1">
            <w:pPr>
              <w:keepNext w:val="0"/>
              <w:keepLines w:val="0"/>
              <w:pageBreakBefore w:val="0"/>
              <w:widowControl w:val="0"/>
              <w:kinsoku/>
              <w:wordWrap/>
              <w:overflowPunct/>
              <w:topLinePunct w:val="0"/>
              <w:autoSpaceDE/>
              <w:autoSpaceDN/>
              <w:bidi w:val="0"/>
              <w:adjustRightInd/>
              <w:snapToGrid/>
              <w:spacing w:before="63"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rPr>
              <w:t>类</w:t>
            </w:r>
          </w:p>
        </w:tc>
        <w:tc>
          <w:tcPr>
            <w:tcW w:w="1099" w:type="dxa"/>
            <w:shd w:val="clear" w:color="auto" w:fill="auto"/>
            <w:vAlign w:val="center"/>
          </w:tcPr>
          <w:p w14:paraId="6FF5D0E7">
            <w:pPr>
              <w:keepNext w:val="0"/>
              <w:keepLines w:val="0"/>
              <w:pageBreakBefore w:val="0"/>
              <w:widowControl w:val="0"/>
              <w:kinsoku/>
              <w:wordWrap/>
              <w:overflowPunct/>
              <w:topLinePunct w:val="0"/>
              <w:autoSpaceDE/>
              <w:autoSpaceDN/>
              <w:bidi w:val="0"/>
              <w:adjustRightInd/>
              <w:snapToGrid/>
              <w:spacing w:before="228"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28</w:t>
            </w:r>
          </w:p>
        </w:tc>
      </w:tr>
      <w:tr w14:paraId="60F22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54" w:type="dxa"/>
            <w:shd w:val="clear" w:color="auto" w:fill="auto"/>
            <w:vAlign w:val="top"/>
          </w:tcPr>
          <w:p w14:paraId="32A180AC">
            <w:pPr>
              <w:keepNext w:val="0"/>
              <w:keepLines w:val="0"/>
              <w:pageBreakBefore w:val="0"/>
              <w:widowControl w:val="0"/>
              <w:kinsoku/>
              <w:wordWrap/>
              <w:overflowPunct/>
              <w:topLinePunct w:val="0"/>
              <w:autoSpaceDE/>
              <w:autoSpaceDN/>
              <w:bidi w:val="0"/>
              <w:adjustRightInd/>
              <w:snapToGrid/>
              <w:spacing w:before="72" w:line="240" w:lineRule="atLeast"/>
              <w:ind w:left="331" w:left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8</w:t>
            </w:r>
          </w:p>
        </w:tc>
        <w:tc>
          <w:tcPr>
            <w:tcW w:w="1695" w:type="dxa"/>
            <w:shd w:val="clear" w:color="auto" w:fill="auto"/>
            <w:vAlign w:val="center"/>
          </w:tcPr>
          <w:p w14:paraId="6B9B5625">
            <w:pPr>
              <w:keepNext w:val="0"/>
              <w:keepLines w:val="0"/>
              <w:pageBreakBefore w:val="0"/>
              <w:widowControl w:val="0"/>
              <w:tabs>
                <w:tab w:val="left" w:pos="460"/>
              </w:tabs>
              <w:kinsoku/>
              <w:wordWrap/>
              <w:overflowPunct/>
              <w:topLinePunct w:val="0"/>
              <w:autoSpaceDE/>
              <w:autoSpaceDN/>
              <w:bidi w:val="0"/>
              <w:adjustRightInd/>
              <w:snapToGrid/>
              <w:spacing w:before="70" w:line="240" w:lineRule="atLeast"/>
              <w:ind w:right="20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pacing w:val="-24"/>
                <w:sz w:val="24"/>
                <w:szCs w:val="24"/>
                <w:highlight w:val="none"/>
              </w:rPr>
              <w:t>网球</w:t>
            </w:r>
            <w:r>
              <w:rPr>
                <w:rFonts w:hint="eastAsia" w:ascii="宋体" w:hAnsi="宋体" w:eastAsia="宋体" w:cs="宋体"/>
                <w:b/>
                <w:bCs/>
                <w:color w:val="auto"/>
                <w:spacing w:val="-26"/>
                <w:sz w:val="24"/>
                <w:szCs w:val="24"/>
                <w:highlight w:val="none"/>
              </w:rPr>
              <w:t>中心</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pacing w:val="-11"/>
                <w:sz w:val="24"/>
                <w:szCs w:val="24"/>
                <w:highlight w:val="none"/>
              </w:rPr>
              <w:t>（</w:t>
            </w:r>
            <w:r>
              <w:rPr>
                <w:rFonts w:hint="eastAsia" w:ascii="宋体" w:hAnsi="宋体" w:eastAsia="宋体" w:cs="宋体"/>
                <w:b/>
                <w:bCs/>
                <w:color w:val="auto"/>
                <w:spacing w:val="-11"/>
                <w:sz w:val="24"/>
                <w:szCs w:val="24"/>
                <w:highlight w:val="none"/>
                <w:lang w:val="en-US" w:eastAsia="zh-CN"/>
              </w:rPr>
              <w:t>9</w:t>
            </w:r>
            <w:r>
              <w:rPr>
                <w:rFonts w:hint="eastAsia" w:ascii="宋体" w:hAnsi="宋体" w:eastAsia="宋体" w:cs="宋体"/>
                <w:b/>
                <w:bCs/>
                <w:color w:val="auto"/>
                <w:spacing w:val="-11"/>
                <w:sz w:val="24"/>
                <w:szCs w:val="24"/>
                <w:highlight w:val="none"/>
              </w:rPr>
              <w:t>人）</w:t>
            </w:r>
          </w:p>
        </w:tc>
        <w:tc>
          <w:tcPr>
            <w:tcW w:w="2505" w:type="dxa"/>
            <w:shd w:val="clear" w:color="auto" w:fill="auto"/>
            <w:vAlign w:val="center"/>
          </w:tcPr>
          <w:p w14:paraId="74C3ACB6">
            <w:pPr>
              <w:keepNext w:val="0"/>
              <w:keepLines w:val="0"/>
              <w:pageBreakBefore w:val="0"/>
              <w:widowControl w:val="0"/>
              <w:kinsoku/>
              <w:wordWrap/>
              <w:overflowPunct/>
              <w:topLinePunct w:val="0"/>
              <w:autoSpaceDE/>
              <w:autoSpaceDN/>
              <w:bidi w:val="0"/>
              <w:adjustRightInd/>
              <w:snapToGrid/>
              <w:spacing w:before="91"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24"/>
                <w:sz w:val="24"/>
                <w:szCs w:val="24"/>
                <w:highlight w:val="none"/>
              </w:rPr>
              <w:t>网球</w:t>
            </w:r>
          </w:p>
        </w:tc>
        <w:tc>
          <w:tcPr>
            <w:tcW w:w="1710" w:type="dxa"/>
            <w:shd w:val="clear" w:color="auto" w:fill="auto"/>
            <w:vAlign w:val="center"/>
          </w:tcPr>
          <w:p w14:paraId="242A5648">
            <w:pPr>
              <w:keepNext w:val="0"/>
              <w:keepLines w:val="0"/>
              <w:pageBreakBefore w:val="0"/>
              <w:widowControl w:val="0"/>
              <w:kinsoku/>
              <w:wordWrap/>
              <w:overflowPunct/>
              <w:topLinePunct w:val="0"/>
              <w:autoSpaceDE/>
              <w:autoSpaceDN/>
              <w:bidi w:val="0"/>
              <w:adjustRightInd/>
              <w:snapToGrid/>
              <w:spacing w:before="91"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5"/>
                <w:sz w:val="24"/>
                <w:szCs w:val="24"/>
                <w:highlight w:val="none"/>
                <w:lang w:val="en-US" w:eastAsia="zh-CN"/>
              </w:rPr>
              <w:t>9</w:t>
            </w:r>
          </w:p>
        </w:tc>
        <w:tc>
          <w:tcPr>
            <w:tcW w:w="1316" w:type="dxa"/>
            <w:shd w:val="clear" w:color="auto" w:fill="auto"/>
            <w:vAlign w:val="center"/>
          </w:tcPr>
          <w:p w14:paraId="2EA30BC3">
            <w:pPr>
              <w:keepNext w:val="0"/>
              <w:keepLines w:val="0"/>
              <w:pageBreakBefore w:val="0"/>
              <w:widowControl w:val="0"/>
              <w:kinsoku/>
              <w:wordWrap/>
              <w:overflowPunct/>
              <w:topLinePunct w:val="0"/>
              <w:autoSpaceDE/>
              <w:autoSpaceDN/>
              <w:bidi w:val="0"/>
              <w:adjustRightInd/>
              <w:snapToGrid/>
              <w:spacing w:before="63"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rPr>
              <w:t>2类</w:t>
            </w:r>
          </w:p>
        </w:tc>
        <w:tc>
          <w:tcPr>
            <w:tcW w:w="1099" w:type="dxa"/>
            <w:shd w:val="clear" w:color="auto" w:fill="auto"/>
            <w:vAlign w:val="center"/>
          </w:tcPr>
          <w:p w14:paraId="706D12F3">
            <w:pPr>
              <w:keepNext w:val="0"/>
              <w:keepLines w:val="0"/>
              <w:pageBreakBefore w:val="0"/>
              <w:widowControl w:val="0"/>
              <w:kinsoku/>
              <w:wordWrap/>
              <w:overflowPunct/>
              <w:topLinePunct w:val="0"/>
              <w:autoSpaceDE/>
              <w:autoSpaceDN/>
              <w:bidi w:val="0"/>
              <w:adjustRightInd/>
              <w:snapToGrid/>
              <w:spacing w:before="91"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5"/>
                <w:sz w:val="24"/>
                <w:szCs w:val="24"/>
                <w:highlight w:val="none"/>
                <w:lang w:val="en-US" w:eastAsia="zh-CN"/>
              </w:rPr>
              <w:t>9</w:t>
            </w:r>
          </w:p>
        </w:tc>
      </w:tr>
      <w:tr w14:paraId="40C8B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4" w:type="dxa"/>
            <w:vMerge w:val="restart"/>
            <w:vAlign w:val="center"/>
          </w:tcPr>
          <w:p w14:paraId="200AC47B">
            <w:pPr>
              <w:keepNext w:val="0"/>
              <w:keepLines w:val="0"/>
              <w:pageBreakBefore w:val="0"/>
              <w:widowControl w:val="0"/>
              <w:tabs>
                <w:tab w:val="left" w:pos="460"/>
              </w:tabs>
              <w:kinsoku/>
              <w:wordWrap/>
              <w:overflowPunct/>
              <w:topLinePunct w:val="0"/>
              <w:autoSpaceDE/>
              <w:autoSpaceDN/>
              <w:bidi w:val="0"/>
              <w:adjustRightInd/>
              <w:snapToGrid/>
              <w:spacing w:before="70" w:line="240" w:lineRule="atLeast"/>
              <w:ind w:right="200" w:rightChars="0"/>
              <w:jc w:val="center"/>
              <w:textAlignment w:val="auto"/>
              <w:rPr>
                <w:rFonts w:hint="eastAsia" w:ascii="宋体" w:hAnsi="宋体" w:eastAsia="宋体" w:cs="宋体"/>
                <w:b/>
                <w:bCs/>
                <w:color w:val="auto"/>
                <w:spacing w:val="-26"/>
                <w:sz w:val="24"/>
                <w:szCs w:val="24"/>
                <w:highlight w:val="none"/>
                <w:lang w:val="en-US" w:eastAsia="zh-CN"/>
              </w:rPr>
            </w:pPr>
            <w:r>
              <w:rPr>
                <w:rFonts w:hint="eastAsia" w:ascii="宋体" w:hAnsi="宋体" w:eastAsia="宋体" w:cs="宋体"/>
                <w:b/>
                <w:bCs/>
                <w:color w:val="auto"/>
                <w:spacing w:val="-26"/>
                <w:sz w:val="24"/>
                <w:szCs w:val="24"/>
                <w:highlight w:val="none"/>
                <w:lang w:val="en-US" w:eastAsia="zh-CN"/>
              </w:rPr>
              <w:t>9</w:t>
            </w:r>
          </w:p>
        </w:tc>
        <w:tc>
          <w:tcPr>
            <w:tcW w:w="1695" w:type="dxa"/>
            <w:vMerge w:val="restart"/>
            <w:vAlign w:val="center"/>
          </w:tcPr>
          <w:p w14:paraId="582E431F">
            <w:pPr>
              <w:keepNext w:val="0"/>
              <w:keepLines w:val="0"/>
              <w:pageBreakBefore w:val="0"/>
              <w:widowControl w:val="0"/>
              <w:tabs>
                <w:tab w:val="left" w:pos="460"/>
              </w:tabs>
              <w:kinsoku/>
              <w:wordWrap/>
              <w:overflowPunct/>
              <w:topLinePunct w:val="0"/>
              <w:autoSpaceDE/>
              <w:autoSpaceDN/>
              <w:bidi w:val="0"/>
              <w:adjustRightInd/>
              <w:snapToGrid/>
              <w:spacing w:before="70" w:line="240" w:lineRule="atLeast"/>
              <w:ind w:right="200" w:rightChars="0"/>
              <w:jc w:val="center"/>
              <w:textAlignment w:val="auto"/>
              <w:rPr>
                <w:rFonts w:hint="eastAsia" w:ascii="宋体" w:hAnsi="宋体" w:eastAsia="宋体" w:cs="宋体"/>
                <w:b/>
                <w:bCs/>
                <w:color w:val="auto"/>
                <w:spacing w:val="-26"/>
                <w:sz w:val="24"/>
                <w:szCs w:val="24"/>
                <w:highlight w:val="none"/>
                <w:lang w:val="en-US" w:eastAsia="zh-CN"/>
              </w:rPr>
            </w:pPr>
            <w:r>
              <w:rPr>
                <w:rFonts w:hint="eastAsia" w:ascii="宋体" w:hAnsi="宋体" w:eastAsia="宋体" w:cs="宋体"/>
                <w:b/>
                <w:bCs/>
                <w:color w:val="auto"/>
                <w:spacing w:val="-26"/>
                <w:sz w:val="24"/>
                <w:szCs w:val="24"/>
                <w:highlight w:val="none"/>
                <w:lang w:val="en-US" w:eastAsia="zh-CN"/>
              </w:rPr>
              <w:t>棋牌中心（2人）</w:t>
            </w:r>
          </w:p>
        </w:tc>
        <w:tc>
          <w:tcPr>
            <w:tcW w:w="2505" w:type="dxa"/>
            <w:vAlign w:val="center"/>
          </w:tcPr>
          <w:p w14:paraId="791CC6F8">
            <w:pPr>
              <w:keepNext w:val="0"/>
              <w:keepLines w:val="0"/>
              <w:pageBreakBefore w:val="0"/>
              <w:widowControl w:val="0"/>
              <w:kinsoku/>
              <w:wordWrap/>
              <w:overflowPunct/>
              <w:topLinePunct w:val="0"/>
              <w:autoSpaceDE/>
              <w:autoSpaceDN/>
              <w:bidi w:val="0"/>
              <w:adjustRightInd/>
              <w:snapToGrid/>
              <w:spacing w:before="173" w:line="24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围棋</w:t>
            </w:r>
          </w:p>
        </w:tc>
        <w:tc>
          <w:tcPr>
            <w:tcW w:w="1710" w:type="dxa"/>
            <w:vAlign w:val="center"/>
          </w:tcPr>
          <w:p w14:paraId="21103361">
            <w:pPr>
              <w:keepNext w:val="0"/>
              <w:keepLines w:val="0"/>
              <w:pageBreakBefore w:val="0"/>
              <w:widowControl w:val="0"/>
              <w:kinsoku/>
              <w:wordWrap/>
              <w:overflowPunct/>
              <w:topLinePunct w:val="0"/>
              <w:autoSpaceDE/>
              <w:autoSpaceDN/>
              <w:bidi w:val="0"/>
              <w:adjustRightInd/>
              <w:snapToGrid/>
              <w:spacing w:before="221" w:line="24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316" w:type="dxa"/>
            <w:shd w:val="clear" w:color="auto" w:fill="auto"/>
            <w:vAlign w:val="center"/>
          </w:tcPr>
          <w:p w14:paraId="0C469F61">
            <w:pPr>
              <w:keepNext w:val="0"/>
              <w:keepLines w:val="0"/>
              <w:pageBreakBefore w:val="0"/>
              <w:widowControl w:val="0"/>
              <w:kinsoku/>
              <w:wordWrap/>
              <w:overflowPunct/>
              <w:topLinePunct w:val="0"/>
              <w:autoSpaceDE/>
              <w:autoSpaceDN/>
              <w:bidi w:val="0"/>
              <w:adjustRightInd/>
              <w:snapToGrid/>
              <w:spacing w:before="63"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6"/>
                <w:sz w:val="24"/>
                <w:szCs w:val="24"/>
                <w:highlight w:val="none"/>
              </w:rPr>
              <w:t>2类</w:t>
            </w:r>
          </w:p>
        </w:tc>
        <w:tc>
          <w:tcPr>
            <w:tcW w:w="1099" w:type="dxa"/>
            <w:vAlign w:val="center"/>
          </w:tcPr>
          <w:p w14:paraId="0821479B">
            <w:pPr>
              <w:keepNext w:val="0"/>
              <w:keepLines w:val="0"/>
              <w:pageBreakBefore w:val="0"/>
              <w:widowControl w:val="0"/>
              <w:kinsoku/>
              <w:wordWrap/>
              <w:overflowPunct/>
              <w:topLinePunct w:val="0"/>
              <w:autoSpaceDE/>
              <w:autoSpaceDN/>
              <w:bidi w:val="0"/>
              <w:adjustRightInd/>
              <w:snapToGrid/>
              <w:spacing w:before="221" w:line="24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3E2FF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4" w:type="dxa"/>
            <w:vMerge w:val="continue"/>
            <w:vAlign w:val="top"/>
          </w:tcPr>
          <w:p w14:paraId="5437CC72">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4"/>
                <w:szCs w:val="24"/>
                <w:highlight w:val="none"/>
              </w:rPr>
            </w:pPr>
          </w:p>
        </w:tc>
        <w:tc>
          <w:tcPr>
            <w:tcW w:w="1695" w:type="dxa"/>
            <w:vMerge w:val="continue"/>
            <w:vAlign w:val="top"/>
          </w:tcPr>
          <w:p w14:paraId="0AE53302">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4"/>
                <w:szCs w:val="24"/>
                <w:highlight w:val="none"/>
              </w:rPr>
            </w:pPr>
          </w:p>
        </w:tc>
        <w:tc>
          <w:tcPr>
            <w:tcW w:w="2505" w:type="dxa"/>
            <w:vAlign w:val="center"/>
          </w:tcPr>
          <w:p w14:paraId="2104F666">
            <w:pPr>
              <w:keepNext w:val="0"/>
              <w:keepLines w:val="0"/>
              <w:pageBreakBefore w:val="0"/>
              <w:widowControl w:val="0"/>
              <w:kinsoku/>
              <w:wordWrap/>
              <w:overflowPunct/>
              <w:topLinePunct w:val="0"/>
              <w:autoSpaceDE/>
              <w:autoSpaceDN/>
              <w:bidi w:val="0"/>
              <w:adjustRightInd/>
              <w:snapToGrid/>
              <w:spacing w:before="173" w:line="24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国际象棋</w:t>
            </w:r>
          </w:p>
        </w:tc>
        <w:tc>
          <w:tcPr>
            <w:tcW w:w="1710" w:type="dxa"/>
            <w:vAlign w:val="center"/>
          </w:tcPr>
          <w:p w14:paraId="6DFE06B9">
            <w:pPr>
              <w:keepNext w:val="0"/>
              <w:keepLines w:val="0"/>
              <w:pageBreakBefore w:val="0"/>
              <w:widowControl w:val="0"/>
              <w:kinsoku/>
              <w:wordWrap/>
              <w:overflowPunct/>
              <w:topLinePunct w:val="0"/>
              <w:autoSpaceDE/>
              <w:autoSpaceDN/>
              <w:bidi w:val="0"/>
              <w:adjustRightInd/>
              <w:snapToGrid/>
              <w:spacing w:before="221" w:line="24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316" w:type="dxa"/>
            <w:shd w:val="clear" w:color="auto" w:fill="auto"/>
            <w:vAlign w:val="center"/>
          </w:tcPr>
          <w:p w14:paraId="122126F9">
            <w:pPr>
              <w:keepNext w:val="0"/>
              <w:keepLines w:val="0"/>
              <w:pageBreakBefore w:val="0"/>
              <w:widowControl w:val="0"/>
              <w:kinsoku/>
              <w:wordWrap/>
              <w:overflowPunct/>
              <w:topLinePunct w:val="0"/>
              <w:autoSpaceDE/>
              <w:autoSpaceDN/>
              <w:bidi w:val="0"/>
              <w:adjustRightInd/>
              <w:snapToGrid/>
              <w:spacing w:before="63" w:line="24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rPr>
              <w:t>2类</w:t>
            </w:r>
          </w:p>
        </w:tc>
        <w:tc>
          <w:tcPr>
            <w:tcW w:w="1099" w:type="dxa"/>
            <w:vAlign w:val="center"/>
          </w:tcPr>
          <w:p w14:paraId="08BE43E7">
            <w:pPr>
              <w:keepNext w:val="0"/>
              <w:keepLines w:val="0"/>
              <w:pageBreakBefore w:val="0"/>
              <w:widowControl w:val="0"/>
              <w:kinsoku/>
              <w:wordWrap/>
              <w:overflowPunct/>
              <w:topLinePunct w:val="0"/>
              <w:autoSpaceDE/>
              <w:autoSpaceDN/>
              <w:bidi w:val="0"/>
              <w:adjustRightInd/>
              <w:snapToGrid/>
              <w:spacing w:before="221" w:line="24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2EBF4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449" w:type="dxa"/>
            <w:gridSpan w:val="2"/>
            <w:vAlign w:val="center"/>
          </w:tcPr>
          <w:p w14:paraId="5021037E">
            <w:pPr>
              <w:pStyle w:val="177"/>
              <w:keepNext w:val="0"/>
              <w:keepLines w:val="0"/>
              <w:pageBreakBefore w:val="0"/>
              <w:widowControl w:val="0"/>
              <w:kinsoku/>
              <w:wordWrap/>
              <w:overflowPunct/>
              <w:topLinePunct w:val="0"/>
              <w:autoSpaceDE/>
              <w:autoSpaceDN/>
              <w:bidi w:val="0"/>
              <w:adjustRightInd/>
              <w:snapToGrid/>
              <w:spacing w:before="72" w:line="24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共计</w:t>
            </w:r>
          </w:p>
        </w:tc>
        <w:tc>
          <w:tcPr>
            <w:tcW w:w="6630" w:type="dxa"/>
            <w:gridSpan w:val="4"/>
            <w:vAlign w:val="center"/>
          </w:tcPr>
          <w:p w14:paraId="5085ABA3">
            <w:pPr>
              <w:keepNext w:val="0"/>
              <w:keepLines w:val="0"/>
              <w:pageBreakBefore w:val="0"/>
              <w:widowControl w:val="0"/>
              <w:kinsoku/>
              <w:wordWrap/>
              <w:overflowPunct/>
              <w:topLinePunct w:val="0"/>
              <w:autoSpaceDE/>
              <w:autoSpaceDN/>
              <w:bidi w:val="0"/>
              <w:adjustRightInd/>
              <w:snapToGrid/>
              <w:spacing w:before="72" w:line="240" w:lineRule="atLeas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964人</w:t>
            </w:r>
          </w:p>
        </w:tc>
      </w:tr>
    </w:tbl>
    <w:p w14:paraId="2F8AAEBF">
      <w:pPr>
        <w:pStyle w:val="18"/>
        <w:numPr>
          <w:ilvl w:val="0"/>
          <w:numId w:val="0"/>
        </w:numPr>
        <w:spacing w:before="78" w:line="360" w:lineRule="auto"/>
        <w:jc w:val="both"/>
        <w:outlineLvl w:val="0"/>
        <w:rPr>
          <w:rFonts w:hint="eastAsia" w:ascii="宋体" w:hAnsi="宋体" w:eastAsia="宋体" w:cs="宋体"/>
          <w:color w:val="auto"/>
          <w:spacing w:val="-2"/>
          <w:sz w:val="24"/>
          <w:szCs w:val="24"/>
        </w:rPr>
      </w:pPr>
      <w:r>
        <w:rPr>
          <w:rFonts w:hint="eastAsia" w:ascii="宋体" w:hAnsi="宋体" w:eastAsia="宋体" w:cs="宋体"/>
          <w:b/>
          <w:bCs/>
          <w:color w:val="auto"/>
          <w:spacing w:val="-2"/>
          <w:sz w:val="24"/>
          <w:szCs w:val="24"/>
          <w:lang w:eastAsia="zh-CN"/>
        </w:rPr>
        <w:t>三、</w:t>
      </w:r>
      <w:r>
        <w:rPr>
          <w:rFonts w:hint="eastAsia" w:ascii="宋体" w:hAnsi="宋体" w:eastAsia="宋体" w:cs="宋体"/>
          <w:b/>
          <w:bCs/>
          <w:color w:val="auto"/>
          <w:spacing w:val="-2"/>
          <w:sz w:val="24"/>
          <w:szCs w:val="24"/>
        </w:rPr>
        <w:t>付款方式：</w:t>
      </w:r>
      <w:r>
        <w:rPr>
          <w:rFonts w:hint="eastAsia" w:ascii="宋体" w:hAnsi="宋体" w:eastAsia="宋体" w:cs="宋体"/>
          <w:color w:val="auto"/>
          <w:spacing w:val="-2"/>
          <w:sz w:val="24"/>
          <w:szCs w:val="24"/>
        </w:rPr>
        <w:t>成交供应商为本项目中所包含的全部投保人员参保成功并出具相应证明</w:t>
      </w:r>
    </w:p>
    <w:p w14:paraId="69CF16F2">
      <w:pPr>
        <w:pStyle w:val="18"/>
        <w:numPr>
          <w:ilvl w:val="0"/>
          <w:numId w:val="0"/>
        </w:numPr>
        <w:spacing w:before="78" w:line="360" w:lineRule="auto"/>
        <w:jc w:val="both"/>
        <w:outlineLvl w:val="0"/>
        <w:rPr>
          <w:rFonts w:hint="eastAsia" w:ascii="宋体" w:hAnsi="宋体" w:eastAsia="宋体" w:cs="宋体"/>
          <w:color w:val="auto"/>
          <w:sz w:val="24"/>
          <w:szCs w:val="24"/>
        </w:rPr>
      </w:pPr>
      <w:r>
        <w:rPr>
          <w:rFonts w:hint="eastAsia" w:ascii="宋体" w:hAnsi="宋体" w:eastAsia="宋体" w:cs="宋体"/>
          <w:color w:val="auto"/>
          <w:spacing w:val="-2"/>
          <w:sz w:val="24"/>
          <w:szCs w:val="24"/>
        </w:rPr>
        <w:t>材料后，</w:t>
      </w:r>
      <w:r>
        <w:rPr>
          <w:rFonts w:hint="eastAsia" w:ascii="宋体" w:hAnsi="宋体" w:eastAsia="宋体" w:cs="宋体"/>
          <w:color w:val="auto"/>
          <w:spacing w:val="-4"/>
          <w:sz w:val="24"/>
          <w:szCs w:val="24"/>
        </w:rPr>
        <w:t>由采购人一次性支付。</w:t>
      </w:r>
    </w:p>
    <w:p w14:paraId="284546D5">
      <w:pPr>
        <w:pStyle w:val="18"/>
        <w:numPr>
          <w:ilvl w:val="0"/>
          <w:numId w:val="0"/>
        </w:numPr>
        <w:spacing w:before="78" w:line="360" w:lineRule="auto"/>
        <w:jc w:val="both"/>
        <w:outlineLvl w:val="0"/>
        <w:rPr>
          <w:rFonts w:hint="eastAsia" w:ascii="宋体" w:hAnsi="宋体" w:eastAsia="宋体" w:cs="宋体"/>
          <w:color w:val="auto"/>
          <w:spacing w:val="-4"/>
          <w:sz w:val="24"/>
          <w:szCs w:val="24"/>
        </w:rPr>
      </w:pPr>
      <w:r>
        <w:rPr>
          <w:rFonts w:hint="eastAsia" w:ascii="宋体" w:hAnsi="宋体" w:eastAsia="宋体" w:cs="宋体"/>
          <w:b/>
          <w:bCs/>
          <w:color w:val="auto"/>
          <w:spacing w:val="-1"/>
          <w:sz w:val="24"/>
          <w:szCs w:val="24"/>
          <w:lang w:eastAsia="zh-CN"/>
        </w:rPr>
        <w:t>四、</w:t>
      </w:r>
      <w:r>
        <w:rPr>
          <w:rFonts w:hint="eastAsia" w:ascii="宋体" w:hAnsi="宋体" w:eastAsia="宋体" w:cs="宋体"/>
          <w:b/>
          <w:bCs/>
          <w:color w:val="auto"/>
          <w:spacing w:val="-1"/>
          <w:sz w:val="24"/>
          <w:szCs w:val="24"/>
        </w:rPr>
        <w:t>履约保证金：</w:t>
      </w:r>
      <w:r>
        <w:rPr>
          <w:rFonts w:hint="eastAsia" w:ascii="宋体" w:hAnsi="宋体" w:eastAsia="宋体" w:cs="宋体"/>
          <w:color w:val="auto"/>
          <w:spacing w:val="-4"/>
          <w:sz w:val="24"/>
          <w:szCs w:val="24"/>
        </w:rPr>
        <w:t>成交供应商应在领取成交通知书后，签订合同前向甲方以支票、汇票、</w:t>
      </w:r>
    </w:p>
    <w:p w14:paraId="66DE2B17">
      <w:pPr>
        <w:pStyle w:val="18"/>
        <w:numPr>
          <w:ilvl w:val="0"/>
          <w:numId w:val="0"/>
        </w:numPr>
        <w:spacing w:before="78" w:line="360" w:lineRule="auto"/>
        <w:jc w:val="both"/>
        <w:outlineLvl w:val="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本票或者金融机构、担保机构出具的保函等非现金形式缴纳成交金额的 5%，待成交人履行完本合同项下 全部重要商务条款后 30 天内无息返还。</w:t>
      </w:r>
    </w:p>
    <w:p w14:paraId="4FD4C941">
      <w:pPr>
        <w:rPr>
          <w:rFonts w:hint="eastAsia" w:ascii="宋体" w:hAnsi="宋体" w:eastAsia="宋体" w:cs="宋体"/>
          <w:b/>
          <w:bCs/>
          <w:color w:val="auto"/>
          <w:sz w:val="24"/>
          <w:szCs w:val="24"/>
          <w:lang w:eastAsia="zh-CN"/>
        </w:rPr>
      </w:pPr>
    </w:p>
    <w:p w14:paraId="66F7F1F2">
      <w:pPr>
        <w:pStyle w:val="19"/>
        <w:rPr>
          <w:rFonts w:hint="eastAsia"/>
          <w:color w:val="auto"/>
          <w:lang w:eastAsia="zh-CN"/>
        </w:rPr>
      </w:pPr>
    </w:p>
    <w:p w14:paraId="51FAE162">
      <w:pPr>
        <w:pStyle w:val="3"/>
        <w:spacing w:before="0" w:after="0" w:line="500" w:lineRule="exact"/>
        <w:jc w:val="both"/>
        <w:rPr>
          <w:rFonts w:hint="eastAsia" w:ascii="宋体" w:hAnsi="宋体" w:cs="宋体"/>
          <w:color w:val="auto"/>
          <w:szCs w:val="22"/>
          <w:highlight w:val="none"/>
          <w:lang w:val="zh-CN"/>
        </w:rPr>
      </w:pPr>
      <w:r>
        <w:rPr>
          <w:rFonts w:hint="eastAsia" w:ascii="宋体" w:hAnsi="宋体" w:eastAsia="宋体" w:cs="宋体"/>
          <w:b/>
          <w:color w:val="auto"/>
          <w:sz w:val="24"/>
          <w:szCs w:val="24"/>
        </w:rPr>
        <w:br w:type="page"/>
      </w:r>
    </w:p>
    <w:p w14:paraId="58B48382">
      <w:pPr>
        <w:pStyle w:val="3"/>
        <w:spacing w:before="0" w:after="0" w:line="500" w:lineRule="exact"/>
        <w:rPr>
          <w:rFonts w:ascii="宋体" w:hAnsi="宋体" w:cs="宋体"/>
          <w:color w:val="auto"/>
          <w:szCs w:val="22"/>
          <w:highlight w:val="none"/>
          <w:lang w:val="zh-CN"/>
        </w:rPr>
      </w:pPr>
      <w:r>
        <w:rPr>
          <w:rFonts w:hint="eastAsia" w:ascii="宋体" w:hAnsi="宋体" w:cs="宋体"/>
          <w:color w:val="auto"/>
          <w:szCs w:val="22"/>
          <w:highlight w:val="none"/>
          <w:lang w:val="zh-CN"/>
        </w:rPr>
        <w:t>第六章</w:t>
      </w:r>
      <w:r>
        <w:rPr>
          <w:rFonts w:hint="eastAsia" w:ascii="宋体" w:hAnsi="宋体" w:cs="宋体"/>
          <w:color w:val="auto"/>
          <w:szCs w:val="22"/>
          <w:highlight w:val="none"/>
        </w:rPr>
        <w:t xml:space="preserve"> </w:t>
      </w:r>
      <w:r>
        <w:rPr>
          <w:rFonts w:hint="eastAsia" w:ascii="宋体" w:hAnsi="宋体" w:cs="宋体"/>
          <w:color w:val="auto"/>
          <w:szCs w:val="22"/>
          <w:highlight w:val="none"/>
          <w:lang w:val="zh-CN"/>
        </w:rPr>
        <w:t>响应文件构成、要求及格式</w:t>
      </w:r>
      <w:bookmarkEnd w:id="53"/>
      <w:bookmarkEnd w:id="54"/>
      <w:bookmarkEnd w:id="55"/>
      <w:bookmarkEnd w:id="56"/>
      <w:bookmarkEnd w:id="57"/>
      <w:bookmarkEnd w:id="58"/>
      <w:bookmarkEnd w:id="59"/>
      <w:bookmarkEnd w:id="60"/>
    </w:p>
    <w:p w14:paraId="0356918B">
      <w:pPr>
        <w:pStyle w:val="3"/>
        <w:spacing w:before="0" w:after="0" w:line="500" w:lineRule="exact"/>
        <w:rPr>
          <w:rFonts w:ascii="宋体" w:hAnsi="宋体" w:cs="宋体"/>
          <w:color w:val="auto"/>
          <w:sz w:val="32"/>
          <w:szCs w:val="32"/>
          <w:highlight w:val="none"/>
          <w:lang w:val="zh-CN"/>
        </w:rPr>
      </w:pPr>
      <w:bookmarkStart w:id="61" w:name="_Toc14441"/>
      <w:r>
        <w:rPr>
          <w:rFonts w:hint="eastAsia" w:ascii="宋体" w:hAnsi="宋体" w:cs="宋体"/>
          <w:color w:val="auto"/>
          <w:szCs w:val="22"/>
          <w:highlight w:val="none"/>
          <w:lang w:val="zh-CN"/>
        </w:rPr>
        <w:t>（此格式仅供参考）</w:t>
      </w:r>
      <w:bookmarkEnd w:id="61"/>
    </w:p>
    <w:p w14:paraId="06770A37">
      <w:pPr>
        <w:autoSpaceDE w:val="0"/>
        <w:autoSpaceDN w:val="0"/>
        <w:adjustRightInd w:val="0"/>
        <w:spacing w:line="500" w:lineRule="exact"/>
        <w:rPr>
          <w:rFonts w:ascii="宋体" w:hAnsi="宋体" w:cs="宋体"/>
          <w:b/>
          <w:color w:val="auto"/>
          <w:sz w:val="28"/>
          <w:highlight w:val="none"/>
          <w:lang w:val="zh-CN"/>
        </w:rPr>
      </w:pPr>
    </w:p>
    <w:p w14:paraId="4284EE31">
      <w:pPr>
        <w:rPr>
          <w:rFonts w:ascii="宋体" w:hAnsi="宋体" w:cs="宋体"/>
          <w:color w:val="auto"/>
          <w:highlight w:val="none"/>
        </w:rPr>
      </w:pPr>
      <w:r>
        <w:rPr>
          <w:rFonts w:ascii="宋体" w:hAnsi="宋体" w:cs="宋体"/>
          <w:color w:val="auto"/>
          <w:highlight w:val="none"/>
        </w:rPr>
        <w:br w:type="page"/>
      </w:r>
    </w:p>
    <w:p w14:paraId="77D0D7E6">
      <w:pPr>
        <w:autoSpaceDE w:val="0"/>
        <w:autoSpaceDN w:val="0"/>
        <w:adjustRightInd w:val="0"/>
        <w:spacing w:line="500" w:lineRule="exact"/>
        <w:jc w:val="center"/>
        <w:rPr>
          <w:rFonts w:ascii="宋体" w:hAnsi="宋体" w:cs="宋体"/>
          <w:b/>
          <w:color w:val="auto"/>
          <w:sz w:val="32"/>
          <w:highlight w:val="none"/>
          <w:lang w:val="zh-CN"/>
        </w:rPr>
      </w:pPr>
    </w:p>
    <w:p w14:paraId="11F6DB71">
      <w:pPr>
        <w:autoSpaceDE w:val="0"/>
        <w:autoSpaceDN w:val="0"/>
        <w:adjustRightInd w:val="0"/>
        <w:spacing w:line="500" w:lineRule="exact"/>
        <w:rPr>
          <w:rFonts w:ascii="宋体" w:hAnsi="宋体" w:cs="宋体"/>
          <w:b/>
          <w:color w:val="auto"/>
          <w:sz w:val="32"/>
          <w:highlight w:val="none"/>
          <w:lang w:val="zh-CN"/>
        </w:rPr>
      </w:pPr>
    </w:p>
    <w:p w14:paraId="582B1B4E">
      <w:pPr>
        <w:autoSpaceDE w:val="0"/>
        <w:autoSpaceDN w:val="0"/>
        <w:adjustRightInd w:val="0"/>
        <w:spacing w:line="500" w:lineRule="exact"/>
        <w:jc w:val="right"/>
        <w:rPr>
          <w:rFonts w:ascii="宋体" w:hAnsi="宋体" w:cs="宋体"/>
          <w:b/>
          <w:color w:val="auto"/>
          <w:sz w:val="32"/>
          <w:highlight w:val="none"/>
          <w:lang w:val="zh-CN"/>
        </w:rPr>
      </w:pPr>
      <w:r>
        <w:rPr>
          <w:rFonts w:hint="eastAsia" w:ascii="宋体" w:hAnsi="宋体" w:cs="宋体"/>
          <w:b/>
          <w:color w:val="auto"/>
          <w:sz w:val="32"/>
          <w:highlight w:val="none"/>
          <w:lang w:val="zh-CN"/>
        </w:rPr>
        <w:t>正</w:t>
      </w:r>
      <w:r>
        <w:rPr>
          <w:rFonts w:hint="eastAsia" w:ascii="宋体" w:hAnsi="宋体" w:cs="宋体"/>
          <w:b/>
          <w:color w:val="auto"/>
          <w:sz w:val="32"/>
          <w:highlight w:val="none"/>
        </w:rPr>
        <w:t>/</w:t>
      </w:r>
      <w:r>
        <w:rPr>
          <w:rFonts w:hint="eastAsia" w:ascii="宋体" w:hAnsi="宋体" w:cs="宋体"/>
          <w:b/>
          <w:color w:val="auto"/>
          <w:sz w:val="32"/>
          <w:highlight w:val="none"/>
          <w:lang w:val="zh-CN"/>
        </w:rPr>
        <w:t>副本</w:t>
      </w:r>
    </w:p>
    <w:p w14:paraId="2BFC8191">
      <w:pPr>
        <w:autoSpaceDE w:val="0"/>
        <w:autoSpaceDN w:val="0"/>
        <w:adjustRightInd w:val="0"/>
        <w:spacing w:line="500" w:lineRule="exact"/>
        <w:jc w:val="center"/>
        <w:outlineLvl w:val="0"/>
        <w:rPr>
          <w:rFonts w:ascii="宋体" w:hAnsi="宋体" w:cs="宋体"/>
          <w:color w:val="auto"/>
          <w:sz w:val="36"/>
          <w:szCs w:val="18"/>
          <w:highlight w:val="none"/>
          <w:lang w:val="zh-CN"/>
        </w:rPr>
      </w:pPr>
      <w:bookmarkStart w:id="62" w:name="_Toc31415"/>
      <w:bookmarkStart w:id="63" w:name="_Toc12777"/>
      <w:bookmarkStart w:id="64" w:name="_Toc23926"/>
    </w:p>
    <w:p w14:paraId="57588E50">
      <w:pPr>
        <w:autoSpaceDE w:val="0"/>
        <w:autoSpaceDN w:val="0"/>
        <w:adjustRightInd w:val="0"/>
        <w:spacing w:line="500" w:lineRule="exact"/>
        <w:jc w:val="center"/>
        <w:outlineLvl w:val="0"/>
        <w:rPr>
          <w:rFonts w:ascii="宋体" w:hAnsi="宋体" w:cs="宋体"/>
          <w:color w:val="auto"/>
          <w:sz w:val="36"/>
          <w:szCs w:val="18"/>
          <w:highlight w:val="none"/>
          <w:lang w:val="zh-CN"/>
        </w:rPr>
      </w:pPr>
      <w:bookmarkStart w:id="65" w:name="_Toc18173"/>
      <w:r>
        <w:rPr>
          <w:rFonts w:hint="eastAsia" w:ascii="宋体" w:hAnsi="宋体" w:cs="宋体"/>
          <w:color w:val="auto"/>
          <w:sz w:val="36"/>
          <w:szCs w:val="18"/>
          <w:highlight w:val="none"/>
          <w:lang w:val="zh-CN"/>
        </w:rPr>
        <w:t>(项目名称)</w:t>
      </w:r>
      <w:bookmarkEnd w:id="62"/>
      <w:bookmarkEnd w:id="63"/>
      <w:bookmarkEnd w:id="64"/>
      <w:bookmarkEnd w:id="65"/>
    </w:p>
    <w:p w14:paraId="12DD41A0">
      <w:pPr>
        <w:autoSpaceDE w:val="0"/>
        <w:autoSpaceDN w:val="0"/>
        <w:adjustRightInd w:val="0"/>
        <w:spacing w:line="360" w:lineRule="auto"/>
        <w:jc w:val="center"/>
        <w:rPr>
          <w:rFonts w:ascii="宋体" w:hAnsi="宋体" w:cs="宋体"/>
          <w:color w:val="auto"/>
          <w:szCs w:val="18"/>
          <w:highlight w:val="none"/>
          <w:lang w:val="zh-CN"/>
        </w:rPr>
      </w:pPr>
    </w:p>
    <w:p w14:paraId="19ADA85F">
      <w:pPr>
        <w:autoSpaceDE w:val="0"/>
        <w:autoSpaceDN w:val="0"/>
        <w:adjustRightInd w:val="0"/>
        <w:jc w:val="center"/>
        <w:rPr>
          <w:rFonts w:ascii="宋体" w:hAnsi="宋体" w:cs="宋体"/>
          <w:color w:val="auto"/>
          <w:sz w:val="52"/>
          <w:szCs w:val="18"/>
          <w:highlight w:val="none"/>
          <w:lang w:val="zh-CN"/>
        </w:rPr>
      </w:pPr>
    </w:p>
    <w:p w14:paraId="21DC5868">
      <w:pPr>
        <w:autoSpaceDE w:val="0"/>
        <w:autoSpaceDN w:val="0"/>
        <w:adjustRightInd w:val="0"/>
        <w:jc w:val="center"/>
        <w:rPr>
          <w:rFonts w:ascii="宋体" w:hAnsi="宋体" w:cs="宋体"/>
          <w:color w:val="auto"/>
          <w:sz w:val="52"/>
          <w:szCs w:val="18"/>
          <w:highlight w:val="none"/>
          <w:lang w:val="zh-CN"/>
        </w:rPr>
      </w:pPr>
    </w:p>
    <w:p w14:paraId="0B0ACA1C">
      <w:pPr>
        <w:autoSpaceDE w:val="0"/>
        <w:autoSpaceDN w:val="0"/>
        <w:adjustRightInd w:val="0"/>
        <w:jc w:val="center"/>
        <w:rPr>
          <w:rFonts w:ascii="宋体" w:hAnsi="宋体" w:cs="宋体"/>
          <w:color w:val="auto"/>
          <w:sz w:val="52"/>
          <w:szCs w:val="18"/>
          <w:highlight w:val="none"/>
          <w:lang w:val="zh-CN"/>
        </w:rPr>
      </w:pPr>
    </w:p>
    <w:p w14:paraId="22AF995B">
      <w:pPr>
        <w:autoSpaceDE w:val="0"/>
        <w:autoSpaceDN w:val="0"/>
        <w:adjustRightInd w:val="0"/>
        <w:jc w:val="center"/>
        <w:outlineLvl w:val="0"/>
        <w:rPr>
          <w:rFonts w:ascii="宋体" w:hAnsi="宋体" w:cs="宋体"/>
          <w:color w:val="auto"/>
          <w:sz w:val="52"/>
          <w:szCs w:val="18"/>
          <w:highlight w:val="none"/>
          <w:lang w:val="zh-CN"/>
        </w:rPr>
      </w:pPr>
      <w:r>
        <w:rPr>
          <w:rFonts w:hint="eastAsia" w:ascii="宋体" w:hAnsi="宋体" w:cs="宋体"/>
          <w:color w:val="auto"/>
          <w:sz w:val="52"/>
          <w:szCs w:val="18"/>
          <w:highlight w:val="none"/>
          <w:lang w:val="zh-CN"/>
        </w:rPr>
        <w:t xml:space="preserve"> </w:t>
      </w:r>
      <w:bookmarkStart w:id="66" w:name="_Toc24792"/>
      <w:bookmarkStart w:id="67" w:name="_Toc23457"/>
      <w:bookmarkStart w:id="68" w:name="_Toc29348"/>
      <w:bookmarkStart w:id="69" w:name="_Toc6067"/>
      <w:r>
        <w:rPr>
          <w:rFonts w:hint="eastAsia" w:ascii="宋体" w:hAnsi="宋体" w:cs="宋体"/>
          <w:b/>
          <w:bCs/>
          <w:color w:val="auto"/>
          <w:sz w:val="72"/>
          <w:szCs w:val="72"/>
          <w:highlight w:val="none"/>
          <w:lang w:val="zh-CN"/>
        </w:rPr>
        <w:t>响应文件</w:t>
      </w:r>
      <w:bookmarkEnd w:id="66"/>
      <w:bookmarkEnd w:id="67"/>
      <w:bookmarkEnd w:id="68"/>
      <w:bookmarkEnd w:id="69"/>
    </w:p>
    <w:p w14:paraId="671BB0DC">
      <w:pPr>
        <w:autoSpaceDE w:val="0"/>
        <w:autoSpaceDN w:val="0"/>
        <w:adjustRightInd w:val="0"/>
        <w:spacing w:line="500" w:lineRule="exact"/>
        <w:jc w:val="center"/>
        <w:rPr>
          <w:rFonts w:ascii="宋体" w:hAnsi="宋体" w:cs="宋体"/>
          <w:color w:val="auto"/>
          <w:szCs w:val="18"/>
          <w:highlight w:val="none"/>
          <w:lang w:val="zh-CN"/>
        </w:rPr>
      </w:pPr>
    </w:p>
    <w:p w14:paraId="5FB92F45">
      <w:pPr>
        <w:autoSpaceDE w:val="0"/>
        <w:autoSpaceDN w:val="0"/>
        <w:adjustRightInd w:val="0"/>
        <w:spacing w:line="500" w:lineRule="exact"/>
        <w:jc w:val="center"/>
        <w:rPr>
          <w:rFonts w:ascii="宋体" w:hAnsi="宋体" w:cs="宋体"/>
          <w:color w:val="auto"/>
          <w:szCs w:val="18"/>
          <w:highlight w:val="none"/>
          <w:lang w:val="zh-CN"/>
        </w:rPr>
      </w:pPr>
    </w:p>
    <w:p w14:paraId="1E289F5D">
      <w:pPr>
        <w:autoSpaceDE w:val="0"/>
        <w:autoSpaceDN w:val="0"/>
        <w:adjustRightInd w:val="0"/>
        <w:spacing w:line="500" w:lineRule="exact"/>
        <w:jc w:val="center"/>
        <w:rPr>
          <w:rFonts w:ascii="宋体" w:hAnsi="宋体" w:cs="宋体"/>
          <w:color w:val="auto"/>
          <w:szCs w:val="18"/>
          <w:highlight w:val="none"/>
          <w:lang w:val="zh-CN"/>
        </w:rPr>
      </w:pPr>
    </w:p>
    <w:p w14:paraId="12A5B736">
      <w:pPr>
        <w:pStyle w:val="18"/>
        <w:rPr>
          <w:rFonts w:ascii="宋体" w:hAnsi="宋体" w:eastAsia="宋体" w:cs="宋体"/>
          <w:color w:val="auto"/>
          <w:szCs w:val="18"/>
          <w:highlight w:val="none"/>
          <w:lang w:val="zh-CN"/>
        </w:rPr>
      </w:pPr>
    </w:p>
    <w:p w14:paraId="5B228659">
      <w:pPr>
        <w:pStyle w:val="18"/>
        <w:rPr>
          <w:rFonts w:ascii="宋体" w:hAnsi="宋体" w:eastAsia="宋体" w:cs="宋体"/>
          <w:color w:val="auto"/>
          <w:szCs w:val="18"/>
          <w:highlight w:val="none"/>
          <w:lang w:val="zh-CN"/>
        </w:rPr>
      </w:pPr>
    </w:p>
    <w:p w14:paraId="1FDC76FF">
      <w:pPr>
        <w:pStyle w:val="18"/>
        <w:rPr>
          <w:rFonts w:ascii="宋体" w:hAnsi="宋体" w:eastAsia="宋体" w:cs="宋体"/>
          <w:color w:val="auto"/>
          <w:szCs w:val="18"/>
          <w:highlight w:val="none"/>
          <w:lang w:val="zh-CN"/>
        </w:rPr>
      </w:pPr>
    </w:p>
    <w:p w14:paraId="63F1C60F">
      <w:pPr>
        <w:pStyle w:val="18"/>
        <w:rPr>
          <w:rFonts w:ascii="宋体" w:hAnsi="宋体" w:eastAsia="宋体" w:cs="宋体"/>
          <w:color w:val="auto"/>
          <w:szCs w:val="18"/>
          <w:highlight w:val="none"/>
          <w:lang w:val="zh-CN"/>
        </w:rPr>
      </w:pPr>
    </w:p>
    <w:p w14:paraId="72B48752">
      <w:pPr>
        <w:pStyle w:val="18"/>
        <w:rPr>
          <w:rFonts w:ascii="宋体" w:hAnsi="宋体" w:eastAsia="宋体" w:cs="宋体"/>
          <w:color w:val="auto"/>
          <w:szCs w:val="18"/>
          <w:highlight w:val="none"/>
          <w:lang w:val="zh-CN"/>
        </w:rPr>
      </w:pPr>
    </w:p>
    <w:p w14:paraId="1096532F">
      <w:pPr>
        <w:autoSpaceDE w:val="0"/>
        <w:autoSpaceDN w:val="0"/>
        <w:adjustRightInd w:val="0"/>
        <w:spacing w:line="500" w:lineRule="exact"/>
        <w:jc w:val="center"/>
        <w:rPr>
          <w:rFonts w:ascii="宋体" w:hAnsi="宋体" w:cs="宋体"/>
          <w:color w:val="auto"/>
          <w:szCs w:val="18"/>
          <w:highlight w:val="none"/>
          <w:lang w:val="zh-CN"/>
        </w:rPr>
      </w:pPr>
    </w:p>
    <w:p w14:paraId="43261DAB">
      <w:pPr>
        <w:autoSpaceDE w:val="0"/>
        <w:autoSpaceDN w:val="0"/>
        <w:adjustRightInd w:val="0"/>
        <w:spacing w:line="500" w:lineRule="exact"/>
        <w:jc w:val="center"/>
        <w:rPr>
          <w:rFonts w:ascii="宋体" w:hAnsi="宋体" w:cs="宋体"/>
          <w:color w:val="auto"/>
          <w:szCs w:val="18"/>
          <w:highlight w:val="none"/>
          <w:lang w:val="zh-CN"/>
        </w:rPr>
      </w:pPr>
    </w:p>
    <w:p w14:paraId="57FA974D">
      <w:pPr>
        <w:autoSpaceDE w:val="0"/>
        <w:autoSpaceDN w:val="0"/>
        <w:adjustRightInd w:val="0"/>
        <w:spacing w:line="500" w:lineRule="exact"/>
        <w:ind w:firstLine="560" w:firstLineChars="200"/>
        <w:jc w:val="center"/>
        <w:outlineLvl w:val="0"/>
        <w:rPr>
          <w:rFonts w:ascii="宋体" w:hAnsi="宋体" w:cs="宋体"/>
          <w:color w:val="auto"/>
          <w:sz w:val="28"/>
          <w:szCs w:val="18"/>
          <w:highlight w:val="none"/>
          <w:lang w:val="zh-CN"/>
        </w:rPr>
      </w:pPr>
      <w:bookmarkStart w:id="70" w:name="_Toc21356"/>
      <w:bookmarkStart w:id="71" w:name="_Toc14176"/>
      <w:bookmarkStart w:id="72" w:name="_Toc20206"/>
      <w:bookmarkStart w:id="73" w:name="_Toc20690"/>
      <w:r>
        <w:rPr>
          <w:rFonts w:hint="eastAsia" w:ascii="宋体" w:hAnsi="宋体" w:cs="宋体"/>
          <w:color w:val="auto"/>
          <w:sz w:val="28"/>
          <w:szCs w:val="18"/>
          <w:highlight w:val="none"/>
          <w:lang w:val="zh-CN"/>
        </w:rPr>
        <w:t>供应商名称</w:t>
      </w:r>
      <w:r>
        <w:rPr>
          <w:rFonts w:hint="eastAsia" w:ascii="宋体" w:hAnsi="宋体" w:cs="宋体"/>
          <w:color w:val="auto"/>
          <w:sz w:val="28"/>
          <w:szCs w:val="18"/>
          <w:highlight w:val="none"/>
          <w:u w:val="single"/>
          <w:lang w:val="zh-CN"/>
        </w:rPr>
        <w:t>：                               (盖单位章)</w:t>
      </w:r>
      <w:bookmarkEnd w:id="70"/>
      <w:bookmarkEnd w:id="71"/>
      <w:bookmarkEnd w:id="72"/>
      <w:bookmarkEnd w:id="73"/>
    </w:p>
    <w:p w14:paraId="07C721AE">
      <w:pPr>
        <w:autoSpaceDE w:val="0"/>
        <w:autoSpaceDN w:val="0"/>
        <w:adjustRightInd w:val="0"/>
        <w:spacing w:line="500" w:lineRule="exact"/>
        <w:jc w:val="center"/>
        <w:rPr>
          <w:rFonts w:ascii="宋体" w:hAnsi="宋体" w:cs="宋体"/>
          <w:color w:val="auto"/>
          <w:sz w:val="28"/>
          <w:szCs w:val="18"/>
          <w:highlight w:val="none"/>
          <w:lang w:val="zh-CN"/>
        </w:rPr>
      </w:pPr>
    </w:p>
    <w:p w14:paraId="015E9F9D">
      <w:pPr>
        <w:autoSpaceDE w:val="0"/>
        <w:autoSpaceDN w:val="0"/>
        <w:adjustRightInd w:val="0"/>
        <w:spacing w:line="500" w:lineRule="exact"/>
        <w:ind w:firstLine="560" w:firstLineChars="200"/>
        <w:jc w:val="center"/>
        <w:outlineLvl w:val="0"/>
        <w:rPr>
          <w:rFonts w:ascii="宋体" w:hAnsi="宋体" w:cs="宋体"/>
          <w:color w:val="auto"/>
          <w:sz w:val="28"/>
          <w:szCs w:val="18"/>
          <w:highlight w:val="none"/>
          <w:lang w:val="zh-CN"/>
        </w:rPr>
      </w:pPr>
      <w:bookmarkStart w:id="74" w:name="_Toc13219"/>
      <w:bookmarkStart w:id="75" w:name="_Toc11992"/>
      <w:bookmarkStart w:id="76" w:name="_Toc27752"/>
      <w:bookmarkStart w:id="77" w:name="_Toc18015"/>
      <w:r>
        <w:rPr>
          <w:rFonts w:hint="eastAsia" w:ascii="宋体" w:hAnsi="宋体" w:cs="宋体"/>
          <w:color w:val="auto"/>
          <w:sz w:val="28"/>
          <w:szCs w:val="18"/>
          <w:highlight w:val="none"/>
          <w:lang w:val="zh-CN"/>
        </w:rPr>
        <w:t>法定代表人或其委托代理人：</w:t>
      </w:r>
      <w:r>
        <w:rPr>
          <w:rFonts w:hint="eastAsia" w:ascii="宋体" w:hAnsi="宋体" w:cs="宋体"/>
          <w:color w:val="auto"/>
          <w:sz w:val="28"/>
          <w:szCs w:val="18"/>
          <w:highlight w:val="none"/>
          <w:u w:val="single"/>
          <w:lang w:val="zh-CN"/>
        </w:rPr>
        <w:t xml:space="preserve">    </w:t>
      </w:r>
      <w:r>
        <w:rPr>
          <w:rFonts w:hint="eastAsia" w:ascii="宋体" w:hAnsi="宋体" w:cs="宋体"/>
          <w:color w:val="auto"/>
          <w:sz w:val="28"/>
          <w:szCs w:val="18"/>
          <w:highlight w:val="none"/>
          <w:u w:val="single"/>
        </w:rPr>
        <w:t xml:space="preserve">     </w:t>
      </w:r>
      <w:r>
        <w:rPr>
          <w:rFonts w:hint="eastAsia" w:ascii="宋体" w:hAnsi="宋体" w:cs="宋体"/>
          <w:color w:val="auto"/>
          <w:sz w:val="28"/>
          <w:szCs w:val="18"/>
          <w:highlight w:val="none"/>
          <w:u w:val="single"/>
          <w:lang w:val="zh-CN"/>
        </w:rPr>
        <w:t xml:space="preserve">     (签字或盖章)</w:t>
      </w:r>
      <w:bookmarkEnd w:id="74"/>
      <w:bookmarkEnd w:id="75"/>
      <w:bookmarkEnd w:id="76"/>
      <w:bookmarkEnd w:id="77"/>
    </w:p>
    <w:p w14:paraId="104077C8">
      <w:pPr>
        <w:autoSpaceDE w:val="0"/>
        <w:autoSpaceDN w:val="0"/>
        <w:adjustRightInd w:val="0"/>
        <w:spacing w:line="500" w:lineRule="exact"/>
        <w:ind w:firstLine="280" w:firstLineChars="100"/>
        <w:jc w:val="center"/>
        <w:rPr>
          <w:rFonts w:ascii="宋体" w:hAnsi="宋体" w:cs="宋体"/>
          <w:color w:val="auto"/>
          <w:sz w:val="28"/>
          <w:szCs w:val="18"/>
          <w:highlight w:val="none"/>
          <w:lang w:val="zh-CN"/>
        </w:rPr>
      </w:pPr>
    </w:p>
    <w:p w14:paraId="3D831ADE">
      <w:pPr>
        <w:autoSpaceDE w:val="0"/>
        <w:autoSpaceDN w:val="0"/>
        <w:adjustRightInd w:val="0"/>
        <w:spacing w:line="500" w:lineRule="exact"/>
        <w:jc w:val="center"/>
        <w:outlineLvl w:val="0"/>
        <w:rPr>
          <w:rFonts w:ascii="宋体" w:hAnsi="宋体" w:cs="宋体"/>
          <w:color w:val="auto"/>
          <w:sz w:val="28"/>
          <w:szCs w:val="18"/>
          <w:highlight w:val="none"/>
          <w:lang w:val="zh-CN"/>
        </w:rPr>
      </w:pPr>
      <w:r>
        <w:rPr>
          <w:rFonts w:hint="eastAsia" w:ascii="宋体" w:hAnsi="宋体" w:cs="宋体"/>
          <w:color w:val="auto"/>
          <w:sz w:val="28"/>
          <w:szCs w:val="18"/>
          <w:highlight w:val="none"/>
        </w:rPr>
        <w:t xml:space="preserve">     </w:t>
      </w:r>
      <w:bookmarkStart w:id="78" w:name="_Toc27614"/>
      <w:bookmarkStart w:id="79" w:name="_Toc23803"/>
      <w:bookmarkStart w:id="80" w:name="_Toc19641"/>
      <w:bookmarkStart w:id="81" w:name="_Toc20372"/>
      <w:r>
        <w:rPr>
          <w:rFonts w:hint="eastAsia" w:ascii="宋体" w:hAnsi="宋体" w:cs="宋体"/>
          <w:color w:val="auto"/>
          <w:sz w:val="28"/>
          <w:szCs w:val="18"/>
          <w:highlight w:val="none"/>
          <w:lang w:val="zh-CN"/>
        </w:rPr>
        <w:t>年    月</w:t>
      </w:r>
      <w:r>
        <w:rPr>
          <w:rFonts w:hint="eastAsia" w:ascii="宋体" w:hAnsi="宋体" w:cs="宋体"/>
          <w:color w:val="auto"/>
          <w:sz w:val="28"/>
          <w:szCs w:val="18"/>
          <w:highlight w:val="none"/>
          <w:lang w:val="en-US" w:eastAsia="zh-CN"/>
        </w:rPr>
        <w:t xml:space="preserve">    </w:t>
      </w:r>
      <w:r>
        <w:rPr>
          <w:rFonts w:hint="eastAsia" w:ascii="宋体" w:hAnsi="宋体" w:cs="宋体"/>
          <w:color w:val="auto"/>
          <w:sz w:val="28"/>
          <w:szCs w:val="18"/>
          <w:highlight w:val="none"/>
          <w:lang w:val="zh-CN"/>
        </w:rPr>
        <w:t>日</w:t>
      </w:r>
      <w:bookmarkEnd w:id="78"/>
      <w:bookmarkEnd w:id="79"/>
      <w:bookmarkEnd w:id="80"/>
      <w:bookmarkEnd w:id="81"/>
    </w:p>
    <w:p w14:paraId="4D991520">
      <w:pPr>
        <w:spacing w:line="440" w:lineRule="exact"/>
        <w:jc w:val="center"/>
        <w:rPr>
          <w:rFonts w:ascii="宋体" w:hAnsi="宋体" w:cs="宋体"/>
          <w:b/>
          <w:color w:val="auto"/>
          <w:sz w:val="36"/>
          <w:szCs w:val="36"/>
          <w:highlight w:val="none"/>
        </w:rPr>
      </w:pPr>
      <w:r>
        <w:rPr>
          <w:rFonts w:hint="eastAsia" w:ascii="宋体" w:hAnsi="宋体" w:cs="宋体"/>
          <w:color w:val="auto"/>
          <w:sz w:val="28"/>
          <w:szCs w:val="18"/>
          <w:highlight w:val="none"/>
          <w:lang w:val="zh-CN"/>
        </w:rPr>
        <w:br w:type="page"/>
      </w:r>
      <w:r>
        <w:rPr>
          <w:rFonts w:hint="eastAsia" w:ascii="宋体" w:hAnsi="宋体" w:cs="宋体"/>
          <w:b/>
          <w:color w:val="auto"/>
          <w:sz w:val="36"/>
          <w:szCs w:val="36"/>
          <w:highlight w:val="none"/>
        </w:rPr>
        <w:t>目   录</w:t>
      </w:r>
    </w:p>
    <w:p w14:paraId="6EC9891D">
      <w:pPr>
        <w:pStyle w:val="13"/>
        <w:spacing w:line="440" w:lineRule="exact"/>
        <w:ind w:left="0" w:leftChars="0" w:firstLine="0" w:firstLineChars="0"/>
        <w:jc w:val="both"/>
        <w:rPr>
          <w:rFonts w:ascii="宋体" w:hAnsi="宋体" w:cs="宋体"/>
          <w:color w:val="auto"/>
          <w:sz w:val="21"/>
          <w:szCs w:val="21"/>
          <w:highlight w:val="none"/>
        </w:rPr>
      </w:pPr>
    </w:p>
    <w:p w14:paraId="50CC2CC0">
      <w:pPr>
        <w:pStyle w:val="4"/>
        <w:tabs>
          <w:tab w:val="left" w:pos="0"/>
        </w:tabs>
        <w:spacing w:before="0" w:after="0"/>
        <w:jc w:val="both"/>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格式自拟</w:t>
      </w:r>
    </w:p>
    <w:p w14:paraId="5058AD31">
      <w:pPr>
        <w:pStyle w:val="13"/>
        <w:spacing w:line="440" w:lineRule="exact"/>
        <w:rPr>
          <w:rFonts w:ascii="宋体" w:hAnsi="宋体" w:cs="宋体"/>
          <w:color w:val="auto"/>
          <w:sz w:val="21"/>
          <w:szCs w:val="21"/>
          <w:highlight w:val="none"/>
        </w:rPr>
      </w:pPr>
    </w:p>
    <w:p w14:paraId="1FF3C580">
      <w:pPr>
        <w:pStyle w:val="13"/>
        <w:spacing w:line="440" w:lineRule="exact"/>
        <w:rPr>
          <w:rFonts w:ascii="宋体" w:hAnsi="宋体" w:cs="宋体"/>
          <w:color w:val="auto"/>
          <w:sz w:val="21"/>
          <w:szCs w:val="21"/>
          <w:highlight w:val="none"/>
        </w:rPr>
      </w:pPr>
    </w:p>
    <w:p w14:paraId="0DF7BD90">
      <w:pPr>
        <w:pStyle w:val="13"/>
        <w:spacing w:line="440" w:lineRule="exact"/>
        <w:rPr>
          <w:rFonts w:ascii="宋体" w:hAnsi="宋体" w:cs="宋体"/>
          <w:color w:val="auto"/>
          <w:sz w:val="21"/>
          <w:szCs w:val="21"/>
          <w:highlight w:val="none"/>
        </w:rPr>
      </w:pPr>
    </w:p>
    <w:p w14:paraId="6C170196">
      <w:pPr>
        <w:pStyle w:val="13"/>
        <w:spacing w:line="440" w:lineRule="exact"/>
        <w:rPr>
          <w:rFonts w:ascii="宋体" w:hAnsi="宋体" w:cs="宋体"/>
          <w:color w:val="auto"/>
          <w:sz w:val="21"/>
          <w:szCs w:val="21"/>
          <w:highlight w:val="none"/>
        </w:rPr>
      </w:pPr>
    </w:p>
    <w:p w14:paraId="63B60F6D">
      <w:pPr>
        <w:pStyle w:val="13"/>
        <w:spacing w:line="440" w:lineRule="exact"/>
        <w:rPr>
          <w:rFonts w:ascii="宋体" w:hAnsi="宋体" w:cs="宋体"/>
          <w:color w:val="auto"/>
          <w:sz w:val="21"/>
          <w:szCs w:val="21"/>
          <w:highlight w:val="none"/>
        </w:rPr>
      </w:pPr>
    </w:p>
    <w:p w14:paraId="513EAF88">
      <w:pPr>
        <w:pStyle w:val="13"/>
        <w:spacing w:line="440" w:lineRule="exact"/>
        <w:rPr>
          <w:rFonts w:ascii="宋体" w:hAnsi="宋体" w:cs="宋体"/>
          <w:color w:val="auto"/>
          <w:sz w:val="21"/>
          <w:szCs w:val="21"/>
          <w:highlight w:val="none"/>
        </w:rPr>
      </w:pPr>
    </w:p>
    <w:p w14:paraId="244659A7">
      <w:pPr>
        <w:pStyle w:val="13"/>
        <w:spacing w:line="440" w:lineRule="exact"/>
        <w:rPr>
          <w:rFonts w:ascii="宋体" w:hAnsi="宋体" w:cs="宋体"/>
          <w:color w:val="auto"/>
          <w:sz w:val="21"/>
          <w:szCs w:val="21"/>
          <w:highlight w:val="none"/>
        </w:rPr>
      </w:pPr>
    </w:p>
    <w:p w14:paraId="43B9F2C7">
      <w:pPr>
        <w:pStyle w:val="13"/>
        <w:spacing w:line="440" w:lineRule="exact"/>
        <w:rPr>
          <w:rFonts w:ascii="宋体" w:hAnsi="宋体" w:cs="宋体"/>
          <w:color w:val="auto"/>
          <w:sz w:val="21"/>
          <w:szCs w:val="21"/>
          <w:highlight w:val="none"/>
        </w:rPr>
      </w:pPr>
    </w:p>
    <w:p w14:paraId="705A2C7F">
      <w:pPr>
        <w:pStyle w:val="13"/>
        <w:spacing w:line="440" w:lineRule="exact"/>
        <w:rPr>
          <w:rFonts w:ascii="宋体" w:hAnsi="宋体" w:cs="宋体"/>
          <w:color w:val="auto"/>
          <w:sz w:val="21"/>
          <w:szCs w:val="21"/>
          <w:highlight w:val="none"/>
        </w:rPr>
      </w:pPr>
    </w:p>
    <w:p w14:paraId="316C6051">
      <w:pPr>
        <w:pStyle w:val="13"/>
        <w:spacing w:line="440" w:lineRule="exact"/>
        <w:rPr>
          <w:rFonts w:ascii="宋体" w:hAnsi="宋体" w:cs="宋体"/>
          <w:color w:val="auto"/>
          <w:sz w:val="21"/>
          <w:szCs w:val="21"/>
          <w:highlight w:val="none"/>
        </w:rPr>
      </w:pPr>
    </w:p>
    <w:p w14:paraId="3FC1EAE5">
      <w:pPr>
        <w:numPr>
          <w:ilvl w:val="0"/>
          <w:numId w:val="5"/>
        </w:numPr>
        <w:autoSpaceDE w:val="0"/>
        <w:autoSpaceDN w:val="0"/>
        <w:adjustRightInd w:val="0"/>
        <w:spacing w:line="500" w:lineRule="exact"/>
        <w:jc w:val="center"/>
        <w:rPr>
          <w:rFonts w:hint="eastAsia" w:ascii="宋体" w:hAnsi="宋体" w:eastAsia="宋体" w:cs="宋体"/>
          <w:b/>
          <w:color w:val="auto"/>
          <w:sz w:val="30"/>
          <w:szCs w:val="30"/>
        </w:rPr>
      </w:pPr>
      <w:r>
        <w:rPr>
          <w:rFonts w:hint="eastAsia" w:ascii="宋体" w:hAnsi="宋体" w:cs="宋体"/>
          <w:color w:val="auto"/>
          <w:kern w:val="0"/>
          <w:sz w:val="24"/>
          <w:highlight w:val="none"/>
        </w:rPr>
        <w:br w:type="page"/>
      </w:r>
      <w:r>
        <w:rPr>
          <w:rFonts w:hint="eastAsia" w:ascii="宋体" w:hAnsi="宋体" w:eastAsia="宋体" w:cs="宋体"/>
          <w:b/>
          <w:color w:val="auto"/>
          <w:sz w:val="36"/>
          <w:szCs w:val="36"/>
        </w:rPr>
        <w:t>投标函</w:t>
      </w:r>
    </w:p>
    <w:p w14:paraId="7FB086B3">
      <w:pPr>
        <w:numPr>
          <w:ilvl w:val="0"/>
          <w:numId w:val="0"/>
        </w:numPr>
        <w:autoSpaceDE w:val="0"/>
        <w:autoSpaceDN w:val="0"/>
        <w:adjustRightInd w:val="0"/>
        <w:spacing w:line="500" w:lineRule="exact"/>
        <w:jc w:val="both"/>
        <w:rPr>
          <w:rFonts w:hint="eastAsia" w:ascii="宋体" w:hAnsi="宋体" w:eastAsia="宋体" w:cs="宋体"/>
          <w:b/>
          <w:color w:val="auto"/>
          <w:sz w:val="30"/>
          <w:szCs w:val="30"/>
        </w:rPr>
      </w:pPr>
    </w:p>
    <w:p w14:paraId="0C7AF517">
      <w:pPr>
        <w:autoSpaceDE w:val="0"/>
        <w:autoSpaceDN w:val="0"/>
        <w:adjustRightInd w:val="0"/>
        <w:spacing w:line="360" w:lineRule="auto"/>
        <w:rPr>
          <w:rFonts w:ascii="宋体" w:hAnsi="宋体" w:eastAsia="宋体" w:cs="宋体"/>
          <w:color w:val="auto"/>
          <w:kern w:val="0"/>
          <w:sz w:val="24"/>
          <w:u w:val="single"/>
          <w:lang w:val="zh-CN"/>
        </w:rPr>
      </w:pPr>
      <w:r>
        <w:rPr>
          <w:rFonts w:hint="eastAsia" w:ascii="宋体" w:hAnsi="宋体" w:eastAsia="宋体" w:cs="宋体"/>
          <w:color w:val="auto"/>
          <w:kern w:val="0"/>
          <w:sz w:val="24"/>
          <w:u w:val="single"/>
          <w:lang w:val="zh-CN"/>
        </w:rPr>
        <w:t>华春建设工程项目管理有限责任公司</w:t>
      </w:r>
      <w:r>
        <w:rPr>
          <w:rFonts w:hint="eastAsia" w:ascii="宋体" w:hAnsi="宋体" w:eastAsia="宋体" w:cs="宋体"/>
          <w:color w:val="auto"/>
          <w:kern w:val="0"/>
          <w:sz w:val="24"/>
          <w:lang w:val="zh-CN"/>
        </w:rPr>
        <w:t>：</w:t>
      </w:r>
    </w:p>
    <w:p w14:paraId="0B54E623">
      <w:pPr>
        <w:autoSpaceDE w:val="0"/>
        <w:autoSpaceDN w:val="0"/>
        <w:adjustRightInd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根据你方采购</w:t>
      </w:r>
      <w:r>
        <w:rPr>
          <w:rFonts w:hint="eastAsia" w:ascii="宋体" w:hAnsi="宋体" w:eastAsia="宋体" w:cs="宋体"/>
          <w:color w:val="auto"/>
          <w:sz w:val="24"/>
          <w:u w:val="single"/>
          <w:lang w:val="zh-CN"/>
        </w:rPr>
        <w:t xml:space="preserve">  （项目名称） </w:t>
      </w:r>
      <w:r>
        <w:rPr>
          <w:rFonts w:hint="eastAsia" w:ascii="宋体" w:hAnsi="宋体" w:eastAsia="宋体" w:cs="宋体"/>
          <w:color w:val="auto"/>
          <w:sz w:val="24"/>
          <w:lang w:val="zh-CN"/>
        </w:rPr>
        <w:t>项目编号为</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磋商文件，我方正式授权的下述签字人</w:t>
      </w:r>
      <w:r>
        <w:rPr>
          <w:rFonts w:hint="eastAsia" w:ascii="宋体" w:hAnsi="宋体" w:eastAsia="宋体" w:cs="宋体"/>
          <w:color w:val="auto"/>
          <w:sz w:val="24"/>
          <w:u w:val="single"/>
          <w:lang w:val="zh-CN"/>
        </w:rPr>
        <w:t xml:space="preserve">  （姓名和职务）  </w:t>
      </w:r>
      <w:r>
        <w:rPr>
          <w:rFonts w:hint="eastAsia" w:ascii="宋体" w:hAnsi="宋体" w:eastAsia="宋体" w:cs="宋体"/>
          <w:color w:val="auto"/>
          <w:sz w:val="24"/>
          <w:lang w:val="zh-CN"/>
        </w:rPr>
        <w:t>代表我方</w:t>
      </w:r>
      <w:r>
        <w:rPr>
          <w:rFonts w:hint="eastAsia" w:ascii="宋体" w:hAnsi="宋体" w:eastAsia="宋体" w:cs="宋体"/>
          <w:color w:val="auto"/>
          <w:sz w:val="24"/>
          <w:u w:val="single"/>
          <w:lang w:val="zh-CN"/>
        </w:rPr>
        <w:t xml:space="preserve">  （投标人的名称）  </w:t>
      </w:r>
      <w:r>
        <w:rPr>
          <w:rFonts w:hint="eastAsia" w:ascii="宋体" w:hAnsi="宋体" w:eastAsia="宋体" w:cs="宋体"/>
          <w:color w:val="auto"/>
          <w:sz w:val="24"/>
          <w:lang w:val="zh-CN"/>
        </w:rPr>
        <w:t>，按照你方磋商文件的规定，提交《投标人须知》</w:t>
      </w:r>
      <w:r>
        <w:rPr>
          <w:rFonts w:hint="eastAsia" w:ascii="宋体" w:hAnsi="宋体" w:eastAsia="宋体" w:cs="宋体"/>
          <w:color w:val="auto"/>
          <w:sz w:val="24"/>
        </w:rPr>
        <w:t>“</w:t>
      </w:r>
      <w:r>
        <w:rPr>
          <w:rFonts w:hint="eastAsia" w:ascii="宋体" w:hAnsi="宋体" w:eastAsia="宋体" w:cs="宋体"/>
          <w:color w:val="auto"/>
          <w:sz w:val="24"/>
          <w:lang w:val="zh-CN"/>
        </w:rPr>
        <w:t>响应文件构成</w:t>
      </w:r>
      <w:r>
        <w:rPr>
          <w:rFonts w:hint="eastAsia" w:ascii="宋体" w:hAnsi="宋体" w:eastAsia="宋体" w:cs="宋体"/>
          <w:color w:val="auto"/>
          <w:sz w:val="24"/>
        </w:rPr>
        <w:t>”</w:t>
      </w:r>
      <w:r>
        <w:rPr>
          <w:rFonts w:hint="eastAsia" w:ascii="宋体" w:hAnsi="宋体" w:eastAsia="宋体" w:cs="宋体"/>
          <w:color w:val="auto"/>
          <w:sz w:val="24"/>
          <w:lang w:val="zh-CN"/>
        </w:rPr>
        <w:t>要求的全部文件正本</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份、副本</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份，并保证所提供的全部文件是真实的、有效的和准确的。</w:t>
      </w:r>
    </w:p>
    <w:p w14:paraId="3140C5F0">
      <w:pPr>
        <w:autoSpaceDE w:val="0"/>
        <w:autoSpaceDN w:val="0"/>
        <w:adjustRightInd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据此函，签字人兹宣布同意如下：</w:t>
      </w:r>
    </w:p>
    <w:p w14:paraId="6D1792D2">
      <w:pPr>
        <w:tabs>
          <w:tab w:val="left" w:pos="8175"/>
        </w:tabs>
        <w:autoSpaceDE w:val="0"/>
        <w:autoSpaceDN w:val="0"/>
        <w:adjustRightInd w:val="0"/>
        <w:spacing w:line="360" w:lineRule="auto"/>
        <w:ind w:firstLine="480" w:firstLineChars="200"/>
        <w:rPr>
          <w:rFonts w:ascii="宋体" w:hAnsi="宋体" w:eastAsia="宋体" w:cs="宋体"/>
          <w:color w:val="auto"/>
          <w:sz w:val="24"/>
          <w:lang w:val="zh-CN"/>
        </w:rPr>
      </w:pPr>
      <w:r>
        <w:rPr>
          <w:rFonts w:hint="eastAsia" w:ascii="宋体" w:hAnsi="宋体" w:eastAsia="宋体" w:cs="宋体"/>
          <w:color w:val="auto"/>
          <w:sz w:val="24"/>
          <w:lang w:val="zh-CN"/>
        </w:rPr>
        <w:t>1.按磋商文件规定提供货物及服务的投标报价为</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元人民币。</w:t>
      </w:r>
    </w:p>
    <w:p w14:paraId="350659B5">
      <w:pPr>
        <w:tabs>
          <w:tab w:val="left" w:pos="8175"/>
        </w:tabs>
        <w:autoSpaceDE w:val="0"/>
        <w:autoSpaceDN w:val="0"/>
        <w:adjustRightInd w:val="0"/>
        <w:spacing w:line="360" w:lineRule="auto"/>
        <w:ind w:firstLine="480" w:firstLineChars="200"/>
        <w:rPr>
          <w:rFonts w:ascii="宋体" w:hAnsi="宋体" w:eastAsia="宋体" w:cs="宋体"/>
          <w:color w:val="auto"/>
          <w:sz w:val="24"/>
          <w:lang w:val="zh-CN"/>
        </w:rPr>
      </w:pPr>
      <w:r>
        <w:rPr>
          <w:rFonts w:hint="eastAsia" w:ascii="宋体" w:hAnsi="宋体" w:eastAsia="宋体" w:cs="宋体"/>
          <w:color w:val="auto"/>
          <w:sz w:val="24"/>
          <w:lang w:val="zh-CN"/>
        </w:rPr>
        <w:t>2.如果我方中标，我们保证根据磋商文件规定履行合同责任和义务。具体服务期限承诺如下：</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w:t>
      </w:r>
    </w:p>
    <w:p w14:paraId="32DD6BB2">
      <w:pPr>
        <w:autoSpaceDE w:val="0"/>
        <w:autoSpaceDN w:val="0"/>
        <w:adjustRightInd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3.我方人民币</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元的投标保证金与本响应文件同时提交。</w:t>
      </w:r>
    </w:p>
    <w:p w14:paraId="3D0DC200">
      <w:pPr>
        <w:autoSpaceDE w:val="0"/>
        <w:autoSpaceDN w:val="0"/>
        <w:adjustRightInd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4.如果我方中标，我方保证按照磋商文件规定提交履约保证金，承担履约责任。</w:t>
      </w:r>
    </w:p>
    <w:p w14:paraId="12FC8BC8">
      <w:pPr>
        <w:autoSpaceDE w:val="0"/>
        <w:autoSpaceDN w:val="0"/>
        <w:adjustRightInd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5.我们已详细阅读了全部磋商文件，包括磋商文件的修改、补充文件、参考资料及有关的附件，我们接受磋商文件的全部条款和条件，我们知道必须放弃提出含糊不清或误解的问题的权利。</w:t>
      </w:r>
    </w:p>
    <w:p w14:paraId="4AFF377A">
      <w:pPr>
        <w:autoSpaceDE w:val="0"/>
        <w:autoSpaceDN w:val="0"/>
        <w:adjustRightInd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6.我们对磋商文件关于时限、程序方面的规定没有异议，保证按照磋商文件规定的时限和程序参加投标活动。</w:t>
      </w:r>
    </w:p>
    <w:p w14:paraId="7EA3943D">
      <w:pPr>
        <w:autoSpaceDE w:val="0"/>
        <w:autoSpaceDN w:val="0"/>
        <w:adjustRightInd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7.我们同意在投标人须知规定的开标时间起遵循本投标书，并在投标人须知规定的投标有效期满之前均具有约束力，并有可能中标。</w:t>
      </w:r>
    </w:p>
    <w:p w14:paraId="723304B8">
      <w:pPr>
        <w:autoSpaceDE w:val="0"/>
        <w:autoSpaceDN w:val="0"/>
        <w:adjustRightInd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8.我们如果在规定的投标有效期内撤回投标，则你方可不予退还我们的投标保证金。</w:t>
      </w:r>
    </w:p>
    <w:p w14:paraId="559C24F5">
      <w:pPr>
        <w:autoSpaceDE w:val="0"/>
        <w:autoSpaceDN w:val="0"/>
        <w:adjustRightInd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9.我们保证向你方提供你方可能要求的与本投标有关的任何证据或资料。</w:t>
      </w:r>
    </w:p>
    <w:p w14:paraId="70D094E9">
      <w:pPr>
        <w:autoSpaceDE w:val="0"/>
        <w:autoSpaceDN w:val="0"/>
        <w:adjustRightInd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10.我们完全理解你方不一定要接受最低报价的投标或收到的任何投标。</w:t>
      </w:r>
    </w:p>
    <w:p w14:paraId="55F30335">
      <w:pPr>
        <w:autoSpaceDE w:val="0"/>
        <w:autoSpaceDN w:val="0"/>
        <w:adjustRightInd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11.本投标自开标之时起</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天内有效。</w:t>
      </w:r>
    </w:p>
    <w:p w14:paraId="43A3587D">
      <w:pPr>
        <w:tabs>
          <w:tab w:val="left" w:pos="709"/>
        </w:tabs>
        <w:autoSpaceDE w:val="0"/>
        <w:autoSpaceDN w:val="0"/>
        <w:adjustRightInd w:val="0"/>
        <w:spacing w:line="360" w:lineRule="auto"/>
        <w:ind w:firstLine="482"/>
        <w:rPr>
          <w:rFonts w:ascii="宋体" w:hAnsi="宋体" w:eastAsia="宋体" w:cs="宋体"/>
          <w:color w:val="auto"/>
          <w:kern w:val="0"/>
          <w:sz w:val="24"/>
          <w:lang w:val="zh-CN"/>
        </w:rPr>
      </w:pPr>
      <w:r>
        <w:rPr>
          <w:rFonts w:hint="eastAsia" w:ascii="宋体" w:hAnsi="宋体" w:eastAsia="宋体" w:cs="宋体"/>
          <w:color w:val="auto"/>
          <w:kern w:val="0"/>
          <w:sz w:val="24"/>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6AF9A1B9">
      <w:pPr>
        <w:autoSpaceDE w:val="0"/>
        <w:autoSpaceDN w:val="0"/>
        <w:adjustRightInd w:val="0"/>
        <w:spacing w:line="360" w:lineRule="auto"/>
        <w:ind w:firstLine="480"/>
        <w:rPr>
          <w:rFonts w:ascii="宋体" w:hAnsi="宋体" w:eastAsia="宋体" w:cs="宋体"/>
          <w:color w:val="auto"/>
          <w:sz w:val="24"/>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14:paraId="353BB9CB">
      <w:pPr>
        <w:autoSpaceDE w:val="0"/>
        <w:autoSpaceDN w:val="0"/>
        <w:adjustRightInd w:val="0"/>
        <w:spacing w:line="360" w:lineRule="auto"/>
        <w:ind w:firstLine="480"/>
        <w:rPr>
          <w:rFonts w:ascii="宋体" w:hAnsi="宋体" w:eastAsia="宋体" w:cs="宋体"/>
          <w:color w:val="auto"/>
          <w:sz w:val="24"/>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）采取不正当手段诋毁、排挤其他投标人的；</w:t>
      </w:r>
    </w:p>
    <w:p w14:paraId="3DD86506">
      <w:pPr>
        <w:autoSpaceDE w:val="0"/>
        <w:autoSpaceDN w:val="0"/>
        <w:adjustRightInd w:val="0"/>
        <w:spacing w:line="360" w:lineRule="auto"/>
        <w:ind w:firstLine="480"/>
        <w:rPr>
          <w:rFonts w:ascii="宋体" w:hAnsi="宋体" w:eastAsia="宋体" w:cs="宋体"/>
          <w:color w:val="auto"/>
          <w:sz w:val="24"/>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）与其他投标人、招标机构或者采购单位人员或者其他有关人员恶意串通的；</w:t>
      </w:r>
    </w:p>
    <w:p w14:paraId="7E342C1C">
      <w:pPr>
        <w:autoSpaceDE w:val="0"/>
        <w:autoSpaceDN w:val="0"/>
        <w:adjustRightInd w:val="0"/>
        <w:spacing w:line="360" w:lineRule="auto"/>
        <w:ind w:firstLine="480"/>
        <w:rPr>
          <w:rFonts w:ascii="宋体" w:hAnsi="宋体" w:eastAsia="宋体" w:cs="宋体"/>
          <w:color w:val="auto"/>
          <w:sz w:val="24"/>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）向评标委员会成员、招标机构或者采购单位人员或者其他有关人员行贿或者提供其他不正当利益的；</w:t>
      </w:r>
    </w:p>
    <w:p w14:paraId="65AC09C3">
      <w:pPr>
        <w:autoSpaceDE w:val="0"/>
        <w:autoSpaceDN w:val="0"/>
        <w:adjustRightInd w:val="0"/>
        <w:spacing w:line="360" w:lineRule="auto"/>
        <w:ind w:firstLine="480"/>
        <w:rPr>
          <w:rFonts w:ascii="宋体" w:hAnsi="宋体" w:eastAsia="宋体" w:cs="宋体"/>
          <w:color w:val="auto"/>
          <w:sz w:val="24"/>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）被评定中标后无正当理由不与采购人或者采购代理机构订立合同，或者中标后不按磋商文件和中标供应商的响应文件订立合同，或者与采购人另行订立背离合同实质性内容的协议的；</w:t>
      </w:r>
    </w:p>
    <w:p w14:paraId="4495ACE9">
      <w:pPr>
        <w:autoSpaceDE w:val="0"/>
        <w:autoSpaceDN w:val="0"/>
        <w:adjustRightInd w:val="0"/>
        <w:spacing w:line="360" w:lineRule="auto"/>
        <w:ind w:firstLine="480"/>
        <w:rPr>
          <w:rFonts w:ascii="宋体" w:hAnsi="宋体" w:eastAsia="宋体" w:cs="宋体"/>
          <w:color w:val="auto"/>
          <w:sz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）将中标项目转让给他人或者将中标项目分包给他人的；</w:t>
      </w:r>
    </w:p>
    <w:p w14:paraId="156AF638">
      <w:pPr>
        <w:autoSpaceDE w:val="0"/>
        <w:autoSpaceDN w:val="0"/>
        <w:adjustRightInd w:val="0"/>
        <w:spacing w:line="360" w:lineRule="auto"/>
        <w:ind w:firstLine="480"/>
        <w:rPr>
          <w:rFonts w:ascii="宋体" w:hAnsi="宋体" w:eastAsia="宋体" w:cs="宋体"/>
          <w:color w:val="auto"/>
          <w:sz w:val="24"/>
        </w:rPr>
      </w:pPr>
      <w:r>
        <w:rPr>
          <w:rFonts w:hint="eastAsia" w:ascii="宋体" w:hAnsi="宋体" w:eastAsia="宋体" w:cs="宋体"/>
          <w:color w:val="auto"/>
          <w:sz w:val="24"/>
          <w:lang w:val="zh-CN"/>
        </w:rPr>
        <w:t>（</w:t>
      </w:r>
      <w:r>
        <w:rPr>
          <w:rFonts w:hint="eastAsia" w:ascii="宋体" w:hAnsi="宋体" w:eastAsia="宋体" w:cs="宋体"/>
          <w:color w:val="auto"/>
          <w:sz w:val="24"/>
        </w:rPr>
        <w:t>7</w:t>
      </w:r>
      <w:r>
        <w:rPr>
          <w:rFonts w:hint="eastAsia" w:ascii="宋体" w:hAnsi="宋体" w:eastAsia="宋体" w:cs="宋体"/>
          <w:color w:val="auto"/>
          <w:sz w:val="24"/>
          <w:lang w:val="zh-CN"/>
        </w:rPr>
        <w:t>）签订合同后拒绝履行合同义务的；</w:t>
      </w:r>
    </w:p>
    <w:p w14:paraId="49255565">
      <w:pPr>
        <w:autoSpaceDE w:val="0"/>
        <w:autoSpaceDN w:val="0"/>
        <w:adjustRightInd w:val="0"/>
        <w:spacing w:line="360" w:lineRule="auto"/>
        <w:ind w:firstLine="480"/>
        <w:rPr>
          <w:rFonts w:ascii="宋体" w:hAnsi="宋体" w:eastAsia="宋体" w:cs="宋体"/>
          <w:color w:val="auto"/>
          <w:sz w:val="24"/>
        </w:rPr>
      </w:pP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）拒绝有关部门监督检查或提供虚假情况的。</w:t>
      </w:r>
    </w:p>
    <w:p w14:paraId="14068992">
      <w:pPr>
        <w:autoSpaceDE w:val="0"/>
        <w:autoSpaceDN w:val="0"/>
        <w:adjustRightInd w:val="0"/>
        <w:spacing w:line="360" w:lineRule="auto"/>
        <w:ind w:firstLine="482"/>
        <w:rPr>
          <w:rFonts w:hint="eastAsia" w:ascii="宋体" w:hAnsi="宋体" w:eastAsia="宋体" w:cs="宋体"/>
          <w:color w:val="auto"/>
          <w:sz w:val="24"/>
          <w:lang w:val="zh-CN"/>
        </w:rPr>
      </w:pPr>
    </w:p>
    <w:p w14:paraId="3E2C91C6">
      <w:pPr>
        <w:autoSpaceDE w:val="0"/>
        <w:autoSpaceDN w:val="0"/>
        <w:adjustRightInd w:val="0"/>
        <w:spacing w:line="360" w:lineRule="auto"/>
        <w:ind w:firstLine="482"/>
        <w:rPr>
          <w:rFonts w:ascii="宋体" w:hAnsi="宋体" w:eastAsia="宋体" w:cs="宋体"/>
          <w:color w:val="auto"/>
          <w:sz w:val="24"/>
          <w:u w:val="single"/>
          <w:lang w:val="zh-CN"/>
        </w:rPr>
      </w:pPr>
      <w:r>
        <w:rPr>
          <w:rFonts w:hint="eastAsia" w:ascii="宋体" w:hAnsi="宋体" w:eastAsia="宋体" w:cs="宋体"/>
          <w:color w:val="auto"/>
          <w:sz w:val="24"/>
          <w:lang w:val="zh-CN"/>
        </w:rPr>
        <w:t>投标人名称（加盖公章）：</w:t>
      </w:r>
      <w:r>
        <w:rPr>
          <w:rFonts w:hint="eastAsia" w:ascii="宋体" w:hAnsi="宋体" w:eastAsia="宋体" w:cs="宋体"/>
          <w:color w:val="auto"/>
          <w:sz w:val="24"/>
          <w:u w:val="single"/>
          <w:lang w:val="zh-CN"/>
        </w:rPr>
        <w:t xml:space="preserve">                      </w:t>
      </w:r>
    </w:p>
    <w:p w14:paraId="7304A1A8">
      <w:pPr>
        <w:autoSpaceDE w:val="0"/>
        <w:autoSpaceDN w:val="0"/>
        <w:adjustRightInd w:val="0"/>
        <w:spacing w:line="360" w:lineRule="auto"/>
        <w:ind w:firstLine="482"/>
        <w:rPr>
          <w:rFonts w:ascii="宋体" w:hAnsi="宋体" w:eastAsia="宋体" w:cs="宋体"/>
          <w:color w:val="auto"/>
          <w:sz w:val="24"/>
          <w:lang w:val="zh-CN"/>
        </w:rPr>
      </w:pPr>
      <w:r>
        <w:rPr>
          <w:rFonts w:hint="eastAsia" w:ascii="宋体" w:hAnsi="宋体" w:eastAsia="宋体" w:cs="宋体"/>
          <w:color w:val="auto"/>
          <w:sz w:val="24"/>
          <w:szCs w:val="24"/>
        </w:rPr>
        <w:t>法定代表人或其授权代表人</w:t>
      </w:r>
      <w:r>
        <w:rPr>
          <w:rFonts w:hint="eastAsia" w:ascii="宋体" w:hAnsi="宋体" w:eastAsia="宋体" w:cs="宋体"/>
          <w:color w:val="auto"/>
          <w:sz w:val="24"/>
          <w:lang w:val="zh-CN"/>
        </w:rPr>
        <w:t>：</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none"/>
          <w:lang w:val="zh-CN"/>
        </w:rPr>
        <w:t>（</w:t>
      </w:r>
      <w:r>
        <w:rPr>
          <w:rFonts w:hint="eastAsia" w:ascii="宋体" w:hAnsi="宋体" w:eastAsia="宋体" w:cs="宋体"/>
          <w:color w:val="auto"/>
          <w:sz w:val="24"/>
          <w:szCs w:val="24"/>
          <w:u w:val="none"/>
        </w:rPr>
        <w:t>签字</w:t>
      </w:r>
      <w:r>
        <w:rPr>
          <w:rFonts w:hint="eastAsia" w:ascii="宋体" w:hAnsi="宋体" w:eastAsia="宋体" w:cs="宋体"/>
          <w:color w:val="auto"/>
          <w:sz w:val="24"/>
          <w:szCs w:val="24"/>
          <w:u w:val="none"/>
          <w:lang w:eastAsia="zh-CN"/>
        </w:rPr>
        <w:t>或</w:t>
      </w:r>
      <w:r>
        <w:rPr>
          <w:rFonts w:hint="eastAsia" w:ascii="宋体" w:hAnsi="宋体" w:eastAsia="宋体" w:cs="宋体"/>
          <w:color w:val="auto"/>
          <w:sz w:val="24"/>
          <w:szCs w:val="24"/>
          <w:u w:val="none"/>
        </w:rPr>
        <w:t>盖章</w:t>
      </w:r>
      <w:r>
        <w:rPr>
          <w:rFonts w:hint="eastAsia" w:ascii="宋体" w:hAnsi="宋体" w:eastAsia="宋体" w:cs="宋体"/>
          <w:color w:val="auto"/>
          <w:sz w:val="24"/>
          <w:u w:val="none"/>
          <w:lang w:val="zh-CN"/>
        </w:rPr>
        <w:t xml:space="preserve">） </w:t>
      </w:r>
      <w:r>
        <w:rPr>
          <w:rFonts w:hint="eastAsia" w:ascii="宋体" w:hAnsi="宋体" w:eastAsia="宋体" w:cs="宋体"/>
          <w:color w:val="auto"/>
          <w:sz w:val="24"/>
          <w:u w:val="single"/>
          <w:lang w:val="zh-CN"/>
        </w:rPr>
        <w:t xml:space="preserve">         </w:t>
      </w:r>
    </w:p>
    <w:p w14:paraId="52CCE1BE">
      <w:pPr>
        <w:autoSpaceDE w:val="0"/>
        <w:autoSpaceDN w:val="0"/>
        <w:adjustRightInd w:val="0"/>
        <w:spacing w:line="360" w:lineRule="auto"/>
        <w:ind w:firstLine="480"/>
        <w:rPr>
          <w:rFonts w:ascii="宋体" w:hAnsi="宋体" w:eastAsia="宋体" w:cs="宋体"/>
          <w:color w:val="auto"/>
          <w:sz w:val="24"/>
          <w:u w:val="single"/>
          <w:lang w:val="zh-CN"/>
        </w:rPr>
      </w:pPr>
      <w:r>
        <w:rPr>
          <w:rFonts w:hint="eastAsia" w:ascii="宋体" w:hAnsi="宋体" w:eastAsia="宋体" w:cs="宋体"/>
          <w:color w:val="auto"/>
          <w:sz w:val="24"/>
          <w:lang w:val="zh-CN"/>
        </w:rPr>
        <w:t>地址：</w:t>
      </w:r>
      <w:r>
        <w:rPr>
          <w:rFonts w:hint="eastAsia" w:ascii="宋体" w:hAnsi="宋体" w:eastAsia="宋体" w:cs="宋体"/>
          <w:color w:val="auto"/>
          <w:sz w:val="24"/>
          <w:u w:val="single"/>
          <w:lang w:val="zh-CN"/>
        </w:rPr>
        <w:t xml:space="preserve">                                       </w:t>
      </w:r>
    </w:p>
    <w:p w14:paraId="08A25C17">
      <w:pPr>
        <w:autoSpaceDE w:val="0"/>
        <w:autoSpaceDN w:val="0"/>
        <w:adjustRightInd w:val="0"/>
        <w:spacing w:line="360" w:lineRule="auto"/>
        <w:ind w:firstLine="480"/>
        <w:rPr>
          <w:rFonts w:ascii="宋体" w:hAnsi="宋体" w:eastAsia="宋体" w:cs="宋体"/>
          <w:color w:val="auto"/>
          <w:sz w:val="24"/>
          <w:u w:val="single"/>
          <w:lang w:val="zh-CN"/>
        </w:rPr>
      </w:pPr>
      <w:r>
        <w:rPr>
          <w:rFonts w:hint="eastAsia" w:ascii="宋体" w:hAnsi="宋体" w:eastAsia="宋体" w:cs="宋体"/>
          <w:color w:val="auto"/>
          <w:sz w:val="24"/>
          <w:lang w:val="zh-CN"/>
        </w:rPr>
        <w:t>电话、传真或电传：</w:t>
      </w:r>
      <w:r>
        <w:rPr>
          <w:rFonts w:hint="eastAsia" w:ascii="宋体" w:hAnsi="宋体" w:eastAsia="宋体" w:cs="宋体"/>
          <w:color w:val="auto"/>
          <w:sz w:val="24"/>
          <w:u w:val="single"/>
          <w:lang w:val="zh-CN"/>
        </w:rPr>
        <w:t xml:space="preserve">                           </w:t>
      </w:r>
    </w:p>
    <w:p w14:paraId="722EF7AB">
      <w:pPr>
        <w:autoSpaceDE w:val="0"/>
        <w:autoSpaceDN w:val="0"/>
        <w:adjustRightInd w:val="0"/>
        <w:spacing w:line="360" w:lineRule="auto"/>
        <w:ind w:firstLine="480"/>
        <w:rPr>
          <w:rFonts w:ascii="宋体" w:hAnsi="宋体" w:eastAsia="宋体" w:cs="宋体"/>
          <w:color w:val="auto"/>
          <w:sz w:val="24"/>
          <w:u w:val="single"/>
          <w:lang w:val="zh-CN"/>
        </w:rPr>
      </w:pPr>
      <w:r>
        <w:rPr>
          <w:rFonts w:hint="eastAsia" w:ascii="宋体" w:hAnsi="宋体" w:eastAsia="宋体" w:cs="宋体"/>
          <w:color w:val="auto"/>
          <w:sz w:val="24"/>
          <w:lang w:val="zh-CN"/>
        </w:rPr>
        <w:t>邮政编码：</w:t>
      </w:r>
      <w:r>
        <w:rPr>
          <w:rFonts w:hint="eastAsia" w:ascii="宋体" w:hAnsi="宋体" w:eastAsia="宋体" w:cs="宋体"/>
          <w:color w:val="auto"/>
          <w:sz w:val="24"/>
          <w:u w:val="single"/>
          <w:lang w:val="zh-CN"/>
        </w:rPr>
        <w:t xml:space="preserve">                                   </w:t>
      </w:r>
    </w:p>
    <w:p w14:paraId="67C922A8">
      <w:pPr>
        <w:autoSpaceDE w:val="0"/>
        <w:autoSpaceDN w:val="0"/>
        <w:adjustRightInd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日期：</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p>
    <w:p w14:paraId="64EC5358">
      <w:pPr>
        <w:autoSpaceDE w:val="0"/>
        <w:autoSpaceDN w:val="0"/>
        <w:adjustRightInd w:val="0"/>
        <w:spacing w:line="360" w:lineRule="auto"/>
        <w:ind w:firstLine="480"/>
        <w:rPr>
          <w:rFonts w:ascii="宋体" w:hAnsi="宋体" w:eastAsia="宋体" w:cs="宋体"/>
          <w:color w:val="auto"/>
          <w:sz w:val="24"/>
          <w:lang w:val="zh-CN"/>
        </w:rPr>
      </w:pPr>
    </w:p>
    <w:p w14:paraId="1B8DBF76">
      <w:pPr>
        <w:autoSpaceDE w:val="0"/>
        <w:autoSpaceDN w:val="0"/>
        <w:adjustRightInd w:val="0"/>
        <w:spacing w:line="360" w:lineRule="auto"/>
        <w:ind w:firstLine="472"/>
        <w:rPr>
          <w:rFonts w:ascii="宋体" w:hAnsi="宋体" w:eastAsia="宋体" w:cs="宋体"/>
          <w:color w:val="auto"/>
          <w:sz w:val="24"/>
          <w:lang w:val="zh-CN"/>
        </w:rPr>
      </w:pPr>
      <w:r>
        <w:rPr>
          <w:rFonts w:hint="eastAsia" w:ascii="宋体" w:hAnsi="宋体" w:eastAsia="宋体" w:cs="宋体"/>
          <w:color w:val="auto"/>
          <w:sz w:val="24"/>
          <w:lang w:val="zh-CN"/>
        </w:rPr>
        <w:t>请投标人注意：投标函必须按规定有效签署和加盖公章。</w:t>
      </w:r>
    </w:p>
    <w:p w14:paraId="59E1B317">
      <w:pPr>
        <w:autoSpaceDE w:val="0"/>
        <w:autoSpaceDN w:val="0"/>
        <w:adjustRightInd w:val="0"/>
        <w:spacing w:line="360" w:lineRule="auto"/>
        <w:rPr>
          <w:rFonts w:ascii="宋体" w:hAnsi="宋体" w:eastAsia="宋体" w:cs="宋体"/>
          <w:color w:val="auto"/>
          <w:sz w:val="24"/>
          <w:lang w:val="zh-CN"/>
        </w:rPr>
      </w:pPr>
    </w:p>
    <w:p w14:paraId="57127E81">
      <w:pPr>
        <w:autoSpaceDE w:val="0"/>
        <w:autoSpaceDN w:val="0"/>
        <w:adjustRightInd w:val="0"/>
        <w:spacing w:line="500" w:lineRule="exact"/>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br w:type="page"/>
      </w:r>
    </w:p>
    <w:p w14:paraId="141B0276">
      <w:pPr>
        <w:autoSpaceDE w:val="0"/>
        <w:autoSpaceDN w:val="0"/>
        <w:adjustRightInd w:val="0"/>
        <w:spacing w:line="500" w:lineRule="exact"/>
        <w:jc w:val="center"/>
        <w:rPr>
          <w:rFonts w:hint="eastAsia" w:ascii="宋体" w:hAnsi="宋体" w:cs="宋体"/>
          <w:color w:val="auto"/>
          <w:kern w:val="0"/>
          <w:sz w:val="24"/>
          <w:szCs w:val="24"/>
          <w:highlight w:val="none"/>
        </w:rPr>
      </w:pPr>
    </w:p>
    <w:p w14:paraId="50D3B4E0">
      <w:pPr>
        <w:autoSpaceDE w:val="0"/>
        <w:autoSpaceDN w:val="0"/>
        <w:adjustRightInd w:val="0"/>
        <w:spacing w:line="500" w:lineRule="exact"/>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二、法定代表人（负责人）身份证明和授权委托书</w:t>
      </w:r>
    </w:p>
    <w:p w14:paraId="159FBB5D">
      <w:pPr>
        <w:autoSpaceDE w:val="0"/>
        <w:autoSpaceDN w:val="0"/>
        <w:adjustRightInd w:val="0"/>
        <w:spacing w:line="500" w:lineRule="exact"/>
        <w:jc w:val="center"/>
        <w:rPr>
          <w:rFonts w:ascii="宋体" w:hAnsi="宋体" w:cs="宋体"/>
          <w:color w:val="auto"/>
          <w:kern w:val="0"/>
          <w:szCs w:val="21"/>
          <w:highlight w:val="none"/>
        </w:rPr>
      </w:pPr>
    </w:p>
    <w:p w14:paraId="19CE77DB">
      <w:pPr>
        <w:autoSpaceDE w:val="0"/>
        <w:autoSpaceDN w:val="0"/>
        <w:adjustRightInd w:val="0"/>
        <w:spacing w:line="500" w:lineRule="exac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(一) 法定代表人</w:t>
      </w:r>
      <w:r>
        <w:rPr>
          <w:rFonts w:hint="eastAsia" w:ascii="宋体" w:hAnsi="宋体" w:cs="宋体"/>
          <w:b/>
          <w:bCs/>
          <w:color w:val="auto"/>
          <w:kern w:val="0"/>
          <w:sz w:val="28"/>
          <w:szCs w:val="28"/>
          <w:highlight w:val="none"/>
          <w:lang w:eastAsia="zh-CN"/>
        </w:rPr>
        <w:t>（负责人）</w:t>
      </w:r>
      <w:r>
        <w:rPr>
          <w:rFonts w:hint="eastAsia" w:ascii="宋体" w:hAnsi="宋体" w:cs="宋体"/>
          <w:b/>
          <w:bCs/>
          <w:color w:val="auto"/>
          <w:kern w:val="0"/>
          <w:sz w:val="28"/>
          <w:szCs w:val="28"/>
          <w:highlight w:val="none"/>
        </w:rPr>
        <w:t>身份证明</w:t>
      </w:r>
    </w:p>
    <w:p w14:paraId="6E956927">
      <w:pPr>
        <w:autoSpaceDE w:val="0"/>
        <w:autoSpaceDN w:val="0"/>
        <w:adjustRightInd w:val="0"/>
        <w:spacing w:line="500" w:lineRule="exact"/>
        <w:ind w:left="718" w:leftChars="342"/>
        <w:jc w:val="left"/>
        <w:rPr>
          <w:rFonts w:ascii="宋体" w:hAnsi="宋体" w:cs="宋体"/>
          <w:color w:val="auto"/>
          <w:kern w:val="0"/>
          <w:szCs w:val="21"/>
          <w:highlight w:val="none"/>
        </w:rPr>
      </w:pPr>
    </w:p>
    <w:p w14:paraId="65A3B44B">
      <w:pPr>
        <w:autoSpaceDE w:val="0"/>
        <w:autoSpaceDN w:val="0"/>
        <w:adjustRightInd w:val="0"/>
        <w:spacing w:line="600" w:lineRule="exact"/>
        <w:ind w:left="718" w:leftChars="342"/>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供应商名称：</w:t>
      </w:r>
    </w:p>
    <w:p w14:paraId="649D965D">
      <w:pPr>
        <w:autoSpaceDE w:val="0"/>
        <w:autoSpaceDN w:val="0"/>
        <w:adjustRightInd w:val="0"/>
        <w:spacing w:line="600" w:lineRule="exact"/>
        <w:ind w:left="718" w:leftChars="342"/>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单位性质：</w:t>
      </w:r>
    </w:p>
    <w:p w14:paraId="21AB1F8C">
      <w:pPr>
        <w:autoSpaceDE w:val="0"/>
        <w:autoSpaceDN w:val="0"/>
        <w:adjustRightInd w:val="0"/>
        <w:spacing w:line="600" w:lineRule="exact"/>
        <w:ind w:left="718" w:leftChars="342"/>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地址：</w:t>
      </w:r>
    </w:p>
    <w:p w14:paraId="6D749CD8">
      <w:pPr>
        <w:autoSpaceDE w:val="0"/>
        <w:autoSpaceDN w:val="0"/>
        <w:adjustRightInd w:val="0"/>
        <w:spacing w:line="600" w:lineRule="exact"/>
        <w:ind w:left="718" w:leftChars="34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成立时间：年    月    日</w:t>
      </w:r>
    </w:p>
    <w:p w14:paraId="58F7F1C2">
      <w:pPr>
        <w:autoSpaceDE w:val="0"/>
        <w:autoSpaceDN w:val="0"/>
        <w:adjustRightInd w:val="0"/>
        <w:spacing w:line="600" w:lineRule="exact"/>
        <w:ind w:left="718" w:leftChars="342"/>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经营期限： </w:t>
      </w:r>
    </w:p>
    <w:p w14:paraId="266AF89A">
      <w:pPr>
        <w:autoSpaceDE w:val="0"/>
        <w:autoSpaceDN w:val="0"/>
        <w:adjustRightInd w:val="0"/>
        <w:spacing w:line="600" w:lineRule="exact"/>
        <w:ind w:left="718" w:leftChars="342"/>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姓名：   性别：   年龄：   职务： </w:t>
      </w:r>
    </w:p>
    <w:p w14:paraId="091A9821">
      <w:pPr>
        <w:autoSpaceDE w:val="0"/>
        <w:autoSpaceDN w:val="0"/>
        <w:adjustRightInd w:val="0"/>
        <w:spacing w:line="600" w:lineRule="exact"/>
        <w:ind w:left="718" w:leftChars="34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系</w:t>
      </w:r>
      <w:r>
        <w:rPr>
          <w:rFonts w:hint="eastAsia" w:ascii="宋体" w:hAnsi="宋体" w:cs="宋体"/>
          <w:color w:val="auto"/>
          <w:kern w:val="0"/>
          <w:sz w:val="24"/>
          <w:szCs w:val="24"/>
          <w:highlight w:val="none"/>
          <w:u w:val="single"/>
        </w:rPr>
        <w:t xml:space="preserve">       (供应商名称)       </w:t>
      </w:r>
      <w:r>
        <w:rPr>
          <w:rFonts w:hint="eastAsia" w:ascii="宋体" w:hAnsi="宋体" w:cs="宋体"/>
          <w:color w:val="auto"/>
          <w:kern w:val="0"/>
          <w:sz w:val="24"/>
          <w:szCs w:val="24"/>
          <w:highlight w:val="none"/>
        </w:rPr>
        <w:t>的法定代表人</w:t>
      </w:r>
      <w:r>
        <w:rPr>
          <w:rFonts w:hint="eastAsia" w:ascii="宋体" w:hAnsi="宋体" w:cs="宋体"/>
          <w:color w:val="auto"/>
          <w:kern w:val="0"/>
          <w:sz w:val="24"/>
          <w:szCs w:val="24"/>
          <w:highlight w:val="none"/>
          <w:lang w:eastAsia="zh-CN"/>
        </w:rPr>
        <w:t>（负责人）</w:t>
      </w:r>
      <w:r>
        <w:rPr>
          <w:rFonts w:hint="eastAsia" w:ascii="宋体" w:hAnsi="宋体" w:cs="宋体"/>
          <w:color w:val="auto"/>
          <w:kern w:val="0"/>
          <w:sz w:val="24"/>
          <w:szCs w:val="24"/>
          <w:highlight w:val="none"/>
        </w:rPr>
        <w:t>。</w:t>
      </w:r>
    </w:p>
    <w:p w14:paraId="5634C487">
      <w:pPr>
        <w:autoSpaceDE w:val="0"/>
        <w:autoSpaceDN w:val="0"/>
        <w:adjustRightInd w:val="0"/>
        <w:spacing w:line="600" w:lineRule="exact"/>
        <w:ind w:left="718" w:leftChars="342"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特此证明。</w:t>
      </w:r>
    </w:p>
    <w:p w14:paraId="19CD1514">
      <w:pPr>
        <w:autoSpaceDE w:val="0"/>
        <w:autoSpaceDN w:val="0"/>
        <w:adjustRightInd w:val="0"/>
        <w:spacing w:line="600" w:lineRule="exact"/>
        <w:ind w:left="718" w:leftChars="342"/>
        <w:jc w:val="left"/>
        <w:rPr>
          <w:rFonts w:ascii="宋体" w:hAnsi="宋体" w:cs="宋体"/>
          <w:color w:val="auto"/>
          <w:kern w:val="0"/>
          <w:sz w:val="24"/>
          <w:szCs w:val="24"/>
          <w:highlight w:val="none"/>
        </w:rPr>
      </w:pPr>
    </w:p>
    <w:p w14:paraId="10C5A882">
      <w:pPr>
        <w:autoSpaceDE w:val="0"/>
        <w:autoSpaceDN w:val="0"/>
        <w:adjustRightInd w:val="0"/>
        <w:spacing w:line="600" w:lineRule="exact"/>
        <w:ind w:left="718" w:leftChars="342"/>
        <w:jc w:val="right"/>
        <w:rPr>
          <w:rFonts w:ascii="宋体" w:hAnsi="宋体" w:cs="宋体"/>
          <w:color w:val="auto"/>
          <w:kern w:val="0"/>
          <w:sz w:val="24"/>
          <w:szCs w:val="24"/>
          <w:highlight w:val="none"/>
        </w:rPr>
      </w:pPr>
    </w:p>
    <w:p w14:paraId="3A852C24">
      <w:pPr>
        <w:autoSpaceDE w:val="0"/>
        <w:autoSpaceDN w:val="0"/>
        <w:adjustRightInd w:val="0"/>
        <w:spacing w:line="600" w:lineRule="exact"/>
        <w:ind w:left="718" w:leftChars="342"/>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供应商：(盖单位章)</w:t>
      </w:r>
    </w:p>
    <w:p w14:paraId="1DE67E0C">
      <w:pPr>
        <w:spacing w:line="600" w:lineRule="exact"/>
        <w:ind w:firstLine="2880" w:firstLineChars="120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     月    日</w:t>
      </w:r>
    </w:p>
    <w:p w14:paraId="487F9F87">
      <w:pPr>
        <w:spacing w:line="500" w:lineRule="exact"/>
        <w:ind w:firstLine="2520" w:firstLineChars="1200"/>
        <w:jc w:val="right"/>
        <w:rPr>
          <w:rFonts w:ascii="宋体" w:hAnsi="宋体" w:cs="宋体"/>
          <w:color w:val="auto"/>
          <w:kern w:val="0"/>
          <w:szCs w:val="21"/>
          <w:highlight w:val="none"/>
        </w:rPr>
      </w:pPr>
    </w:p>
    <w:p w14:paraId="070FF468">
      <w:pPr>
        <w:spacing w:line="500" w:lineRule="exact"/>
        <w:ind w:firstLine="2520" w:firstLineChars="1200"/>
        <w:jc w:val="right"/>
        <w:rPr>
          <w:rFonts w:ascii="宋体" w:hAnsi="宋体" w:cs="宋体"/>
          <w:color w:val="auto"/>
          <w:kern w:val="0"/>
          <w:szCs w:val="21"/>
          <w:highlight w:val="none"/>
        </w:rPr>
      </w:pPr>
    </w:p>
    <w:p w14:paraId="2652F277">
      <w:pPr>
        <w:spacing w:line="500" w:lineRule="exact"/>
        <w:ind w:firstLine="2520" w:firstLineChars="1200"/>
        <w:jc w:val="right"/>
        <w:rPr>
          <w:rFonts w:ascii="宋体" w:hAnsi="宋体" w:cs="宋体"/>
          <w:color w:val="auto"/>
          <w:kern w:val="0"/>
          <w:szCs w:val="21"/>
          <w:highlight w:val="none"/>
        </w:rPr>
      </w:pPr>
    </w:p>
    <w:p w14:paraId="256DB238">
      <w:pPr>
        <w:spacing w:line="500" w:lineRule="exact"/>
        <w:ind w:firstLine="2520" w:firstLineChars="1200"/>
        <w:jc w:val="right"/>
        <w:rPr>
          <w:rFonts w:ascii="宋体" w:hAnsi="宋体" w:cs="宋体"/>
          <w:color w:val="auto"/>
          <w:kern w:val="0"/>
          <w:szCs w:val="21"/>
          <w:highlight w:val="none"/>
        </w:rPr>
      </w:pPr>
    </w:p>
    <w:p w14:paraId="1FD50DE7">
      <w:pPr>
        <w:spacing w:line="500" w:lineRule="exact"/>
        <w:ind w:firstLine="2520" w:firstLineChars="1200"/>
        <w:jc w:val="right"/>
        <w:rPr>
          <w:rFonts w:ascii="宋体" w:hAnsi="宋体" w:cs="宋体"/>
          <w:color w:val="auto"/>
          <w:kern w:val="0"/>
          <w:szCs w:val="21"/>
          <w:highlight w:val="none"/>
        </w:rPr>
      </w:pPr>
    </w:p>
    <w:p w14:paraId="42B6D867">
      <w:pPr>
        <w:spacing w:line="500" w:lineRule="exact"/>
        <w:ind w:firstLine="2520" w:firstLineChars="1200"/>
        <w:jc w:val="right"/>
        <w:rPr>
          <w:rFonts w:ascii="宋体" w:hAnsi="宋体" w:cs="宋体"/>
          <w:color w:val="auto"/>
          <w:kern w:val="0"/>
          <w:szCs w:val="21"/>
          <w:highlight w:val="none"/>
        </w:rPr>
      </w:pPr>
    </w:p>
    <w:p w14:paraId="018B695A">
      <w:pPr>
        <w:spacing w:line="500" w:lineRule="exact"/>
        <w:ind w:right="420"/>
        <w:rPr>
          <w:rFonts w:ascii="宋体" w:hAnsi="宋体" w:cs="宋体"/>
          <w:color w:val="auto"/>
          <w:kern w:val="0"/>
          <w:szCs w:val="21"/>
          <w:highlight w:val="none"/>
        </w:rPr>
      </w:pPr>
    </w:p>
    <w:p w14:paraId="125EE1CF">
      <w:pPr>
        <w:spacing w:line="500" w:lineRule="exact"/>
        <w:ind w:right="420"/>
        <w:rPr>
          <w:rFonts w:ascii="宋体" w:hAnsi="宋体" w:cs="宋体"/>
          <w:color w:val="auto"/>
          <w:kern w:val="0"/>
          <w:szCs w:val="21"/>
          <w:highlight w:val="none"/>
        </w:rPr>
      </w:pPr>
    </w:p>
    <w:p w14:paraId="3FC1B75C">
      <w:pPr>
        <w:spacing w:line="500" w:lineRule="exact"/>
        <w:ind w:right="420"/>
        <w:rPr>
          <w:rFonts w:ascii="宋体" w:hAnsi="宋体" w:cs="宋体"/>
          <w:color w:val="auto"/>
          <w:kern w:val="0"/>
          <w:szCs w:val="21"/>
          <w:highlight w:val="none"/>
        </w:rPr>
      </w:pPr>
    </w:p>
    <w:p w14:paraId="26017061">
      <w:pPr>
        <w:autoSpaceDE w:val="0"/>
        <w:autoSpaceDN w:val="0"/>
        <w:adjustRightInd w:val="0"/>
        <w:spacing w:line="500" w:lineRule="exac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(二)授权委托书</w:t>
      </w:r>
    </w:p>
    <w:p w14:paraId="492D8714">
      <w:pPr>
        <w:autoSpaceDE w:val="0"/>
        <w:autoSpaceDN w:val="0"/>
        <w:adjustRightInd w:val="0"/>
        <w:spacing w:line="500" w:lineRule="exact"/>
        <w:jc w:val="left"/>
        <w:rPr>
          <w:rFonts w:ascii="宋体" w:hAnsi="宋体" w:cs="宋体"/>
          <w:color w:val="auto"/>
          <w:kern w:val="0"/>
          <w:szCs w:val="21"/>
          <w:highlight w:val="none"/>
        </w:rPr>
      </w:pPr>
    </w:p>
    <w:p w14:paraId="7C97CDFD">
      <w:pPr>
        <w:autoSpaceDE w:val="0"/>
        <w:autoSpaceDN w:val="0"/>
        <w:adjustRightInd w:val="0"/>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本人</w:t>
      </w:r>
      <w:r>
        <w:rPr>
          <w:rFonts w:hint="eastAsia" w:ascii="宋体" w:hAnsi="宋体" w:cs="宋体"/>
          <w:color w:val="auto"/>
          <w:kern w:val="0"/>
          <w:sz w:val="24"/>
          <w:szCs w:val="24"/>
          <w:highlight w:val="none"/>
          <w:u w:val="single"/>
        </w:rPr>
        <w:t xml:space="preserve">  (姓名)   </w:t>
      </w:r>
      <w:r>
        <w:rPr>
          <w:rFonts w:hint="eastAsia" w:ascii="宋体" w:hAnsi="宋体" w:cs="宋体"/>
          <w:color w:val="auto"/>
          <w:kern w:val="0"/>
          <w:sz w:val="24"/>
          <w:szCs w:val="24"/>
          <w:highlight w:val="none"/>
        </w:rPr>
        <w:t>系</w:t>
      </w:r>
      <w:r>
        <w:rPr>
          <w:rFonts w:hint="eastAsia" w:ascii="宋体" w:hAnsi="宋体" w:cs="宋体"/>
          <w:color w:val="auto"/>
          <w:kern w:val="0"/>
          <w:sz w:val="24"/>
          <w:szCs w:val="24"/>
          <w:highlight w:val="none"/>
          <w:u w:val="single"/>
        </w:rPr>
        <w:t xml:space="preserve">    (供应商名称)    </w:t>
      </w:r>
      <w:r>
        <w:rPr>
          <w:rFonts w:hint="eastAsia" w:ascii="宋体" w:hAnsi="宋体" w:cs="宋体"/>
          <w:color w:val="auto"/>
          <w:kern w:val="0"/>
          <w:sz w:val="24"/>
          <w:szCs w:val="24"/>
          <w:highlight w:val="none"/>
        </w:rPr>
        <w:t>的法定代表人</w:t>
      </w:r>
      <w:r>
        <w:rPr>
          <w:rFonts w:hint="eastAsia" w:ascii="宋体" w:hAnsi="宋体" w:cs="宋体"/>
          <w:color w:val="auto"/>
          <w:kern w:val="0"/>
          <w:sz w:val="24"/>
          <w:szCs w:val="24"/>
          <w:highlight w:val="none"/>
          <w:lang w:eastAsia="zh-CN"/>
        </w:rPr>
        <w:t>（负责人）</w:t>
      </w:r>
      <w:r>
        <w:rPr>
          <w:rFonts w:hint="eastAsia" w:ascii="宋体" w:hAnsi="宋体" w:cs="宋体"/>
          <w:color w:val="auto"/>
          <w:kern w:val="0"/>
          <w:sz w:val="24"/>
          <w:szCs w:val="24"/>
          <w:highlight w:val="none"/>
        </w:rPr>
        <w:t>，现委托</w:t>
      </w:r>
      <w:r>
        <w:rPr>
          <w:rFonts w:hint="eastAsia" w:ascii="宋体" w:hAnsi="宋体" w:cs="宋体"/>
          <w:color w:val="auto"/>
          <w:kern w:val="0"/>
          <w:sz w:val="24"/>
          <w:szCs w:val="24"/>
          <w:highlight w:val="none"/>
          <w:u w:val="single"/>
        </w:rPr>
        <w:t xml:space="preserve">   (姓名)  </w:t>
      </w:r>
      <w:r>
        <w:rPr>
          <w:rFonts w:hint="eastAsia" w:ascii="宋体" w:hAnsi="宋体" w:cs="宋体"/>
          <w:color w:val="auto"/>
          <w:kern w:val="0"/>
          <w:sz w:val="24"/>
          <w:szCs w:val="24"/>
          <w:highlight w:val="none"/>
        </w:rPr>
        <w:t>为我方代理人。代理人根据授权，以我方名义签署、澄清、说明、补正、递交、撤回、修改</w:t>
      </w:r>
      <w:r>
        <w:rPr>
          <w:rFonts w:hint="eastAsia" w:ascii="宋体" w:hAnsi="宋体" w:cs="宋体"/>
          <w:color w:val="auto"/>
          <w:kern w:val="0"/>
          <w:sz w:val="24"/>
          <w:szCs w:val="24"/>
          <w:highlight w:val="none"/>
          <w:u w:val="single"/>
        </w:rPr>
        <w:t xml:space="preserve">   (项目名称)    </w:t>
      </w:r>
      <w:r>
        <w:rPr>
          <w:rFonts w:hint="eastAsia" w:ascii="宋体" w:hAnsi="宋体" w:cs="宋体"/>
          <w:color w:val="auto"/>
          <w:kern w:val="0"/>
          <w:sz w:val="24"/>
          <w:szCs w:val="24"/>
          <w:highlight w:val="none"/>
        </w:rPr>
        <w:t>响应文件、签订合同和处理有关事宜，其法律后果由我方承担。</w:t>
      </w:r>
    </w:p>
    <w:p w14:paraId="34FAC04F">
      <w:pPr>
        <w:autoSpaceDE w:val="0"/>
        <w:autoSpaceDN w:val="0"/>
        <w:adjustRightInd w:val="0"/>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委托期限：</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63A401DB">
      <w:pPr>
        <w:autoSpaceDE w:val="0"/>
        <w:autoSpaceDN w:val="0"/>
        <w:adjustRightInd w:val="0"/>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代理人无转委托权。</w:t>
      </w:r>
    </w:p>
    <w:p w14:paraId="791C6394">
      <w:pP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附：法定代表人</w:t>
      </w:r>
      <w:r>
        <w:rPr>
          <w:rFonts w:hint="eastAsia" w:ascii="宋体" w:hAnsi="宋体" w:cs="宋体"/>
          <w:color w:val="auto"/>
          <w:kern w:val="0"/>
          <w:sz w:val="24"/>
          <w:szCs w:val="24"/>
          <w:highlight w:val="none"/>
          <w:lang w:eastAsia="zh-CN"/>
        </w:rPr>
        <w:t>（负责人）</w:t>
      </w:r>
      <w:r>
        <w:rPr>
          <w:rFonts w:hint="eastAsia" w:ascii="宋体" w:hAnsi="宋体" w:cs="宋体"/>
          <w:color w:val="auto"/>
          <w:kern w:val="0"/>
          <w:sz w:val="24"/>
          <w:szCs w:val="24"/>
          <w:highlight w:val="none"/>
        </w:rPr>
        <w:t>身份证；被授权人身份证。</w:t>
      </w:r>
    </w:p>
    <w:p w14:paraId="3548680B">
      <w:pPr>
        <w:autoSpaceDE w:val="0"/>
        <w:autoSpaceDN w:val="0"/>
        <w:adjustRightInd w:val="0"/>
        <w:spacing w:line="600" w:lineRule="exact"/>
        <w:ind w:left="540" w:leftChars="257"/>
        <w:jc w:val="left"/>
        <w:rPr>
          <w:rFonts w:ascii="宋体" w:hAnsi="宋体" w:cs="宋体"/>
          <w:color w:val="auto"/>
          <w:kern w:val="0"/>
          <w:sz w:val="24"/>
          <w:szCs w:val="24"/>
          <w:highlight w:val="none"/>
        </w:rPr>
      </w:pPr>
    </w:p>
    <w:p w14:paraId="3614A9ED">
      <w:pPr>
        <w:autoSpaceDE w:val="0"/>
        <w:autoSpaceDN w:val="0"/>
        <w:adjustRightInd w:val="0"/>
        <w:spacing w:line="600" w:lineRule="exact"/>
        <w:ind w:left="540" w:leftChars="257"/>
        <w:jc w:val="left"/>
        <w:rPr>
          <w:rFonts w:ascii="宋体" w:hAnsi="宋体" w:cs="宋体"/>
          <w:color w:val="auto"/>
          <w:kern w:val="0"/>
          <w:sz w:val="24"/>
          <w:szCs w:val="24"/>
          <w:highlight w:val="none"/>
        </w:rPr>
      </w:pPr>
    </w:p>
    <w:p w14:paraId="2975B222">
      <w:pPr>
        <w:autoSpaceDE w:val="0"/>
        <w:autoSpaceDN w:val="0"/>
        <w:adjustRightInd w:val="0"/>
        <w:spacing w:line="600" w:lineRule="exact"/>
        <w:ind w:left="540" w:leftChars="257"/>
        <w:jc w:val="left"/>
        <w:rPr>
          <w:rFonts w:ascii="宋体" w:hAnsi="宋体" w:cs="宋体"/>
          <w:color w:val="auto"/>
          <w:kern w:val="0"/>
          <w:sz w:val="24"/>
          <w:szCs w:val="24"/>
          <w:highlight w:val="none"/>
        </w:rPr>
      </w:pPr>
    </w:p>
    <w:p w14:paraId="16EBB595">
      <w:pPr>
        <w:autoSpaceDE w:val="0"/>
        <w:autoSpaceDN w:val="0"/>
        <w:adjustRightInd w:val="0"/>
        <w:spacing w:line="600" w:lineRule="exact"/>
        <w:ind w:left="540" w:leftChars="257"/>
        <w:jc w:val="left"/>
        <w:rPr>
          <w:rFonts w:ascii="宋体" w:hAnsi="宋体" w:cs="宋体"/>
          <w:color w:val="auto"/>
          <w:kern w:val="0"/>
          <w:sz w:val="24"/>
          <w:szCs w:val="24"/>
          <w:highlight w:val="none"/>
        </w:rPr>
      </w:pPr>
    </w:p>
    <w:p w14:paraId="581CC7F2">
      <w:pPr>
        <w:autoSpaceDE w:val="0"/>
        <w:autoSpaceDN w:val="0"/>
        <w:adjustRightInd w:val="0"/>
        <w:spacing w:line="600" w:lineRule="exact"/>
        <w:ind w:left="540" w:leftChars="257"/>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 应 人：(盖单位章)</w:t>
      </w:r>
    </w:p>
    <w:p w14:paraId="275DB1EC">
      <w:pPr>
        <w:autoSpaceDE w:val="0"/>
        <w:autoSpaceDN w:val="0"/>
        <w:adjustRightInd w:val="0"/>
        <w:spacing w:line="600" w:lineRule="exact"/>
        <w:ind w:left="540" w:leftChars="257"/>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w:t>
      </w:r>
      <w:r>
        <w:rPr>
          <w:rFonts w:hint="eastAsia" w:ascii="宋体" w:hAnsi="宋体" w:cs="宋体"/>
          <w:color w:val="auto"/>
          <w:kern w:val="0"/>
          <w:sz w:val="24"/>
          <w:szCs w:val="24"/>
          <w:highlight w:val="none"/>
          <w:lang w:eastAsia="zh-CN"/>
        </w:rPr>
        <w:t>（负责人）</w:t>
      </w:r>
      <w:r>
        <w:rPr>
          <w:rFonts w:hint="eastAsia" w:ascii="宋体" w:hAnsi="宋体" w:cs="宋体"/>
          <w:color w:val="auto"/>
          <w:kern w:val="0"/>
          <w:sz w:val="24"/>
          <w:szCs w:val="24"/>
          <w:highlight w:val="none"/>
        </w:rPr>
        <w:t>：(签字)</w:t>
      </w:r>
    </w:p>
    <w:p w14:paraId="6D371CE1">
      <w:pPr>
        <w:autoSpaceDE w:val="0"/>
        <w:autoSpaceDN w:val="0"/>
        <w:adjustRightInd w:val="0"/>
        <w:spacing w:line="600" w:lineRule="exact"/>
        <w:ind w:left="540" w:leftChars="257"/>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身份证号码：</w:t>
      </w:r>
    </w:p>
    <w:p w14:paraId="54FF612A">
      <w:pPr>
        <w:autoSpaceDE w:val="0"/>
        <w:autoSpaceDN w:val="0"/>
        <w:adjustRightInd w:val="0"/>
        <w:spacing w:line="600" w:lineRule="exact"/>
        <w:ind w:left="540" w:leftChars="257"/>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委托代理人：(签字)</w:t>
      </w:r>
    </w:p>
    <w:p w14:paraId="39D3A977">
      <w:pPr>
        <w:autoSpaceDE w:val="0"/>
        <w:autoSpaceDN w:val="0"/>
        <w:adjustRightInd w:val="0"/>
        <w:spacing w:line="600" w:lineRule="exact"/>
        <w:ind w:left="540" w:leftChars="257"/>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身份证号码：</w:t>
      </w:r>
    </w:p>
    <w:p w14:paraId="6DABFCB5">
      <w:pPr>
        <w:spacing w:line="600" w:lineRule="exact"/>
        <w:ind w:firstLine="2160" w:firstLineChars="900"/>
        <w:jc w:val="right"/>
        <w:rPr>
          <w:rFonts w:ascii="宋体" w:hAnsi="宋体" w:cs="宋体"/>
          <w:color w:val="auto"/>
          <w:kern w:val="0"/>
          <w:sz w:val="24"/>
          <w:szCs w:val="24"/>
          <w:highlight w:val="none"/>
          <w:u w:val="single"/>
        </w:rPr>
      </w:pPr>
    </w:p>
    <w:p w14:paraId="7D551CDF">
      <w:pPr>
        <w:spacing w:line="600" w:lineRule="exact"/>
        <w:ind w:firstLine="2160" w:firstLineChars="9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     月      日</w:t>
      </w:r>
    </w:p>
    <w:p w14:paraId="1F691FC7">
      <w:pPr>
        <w:spacing w:line="500" w:lineRule="exact"/>
        <w:ind w:left="540" w:leftChars="257" w:firstLine="1680" w:firstLineChars="800"/>
        <w:jc w:val="left"/>
        <w:rPr>
          <w:rFonts w:ascii="宋体" w:hAnsi="宋体" w:cs="宋体"/>
          <w:color w:val="auto"/>
          <w:kern w:val="0"/>
          <w:szCs w:val="21"/>
          <w:highlight w:val="none"/>
        </w:rPr>
      </w:pPr>
    </w:p>
    <w:p w14:paraId="7281E5B0">
      <w:pPr>
        <w:spacing w:line="500" w:lineRule="exact"/>
        <w:ind w:left="540" w:leftChars="257" w:firstLine="1680" w:firstLineChars="800"/>
        <w:jc w:val="left"/>
        <w:rPr>
          <w:rFonts w:ascii="宋体" w:hAnsi="宋体" w:cs="宋体"/>
          <w:color w:val="auto"/>
          <w:kern w:val="0"/>
          <w:szCs w:val="21"/>
          <w:highlight w:val="none"/>
        </w:rPr>
      </w:pPr>
    </w:p>
    <w:p w14:paraId="5E395316">
      <w:pPr>
        <w:autoSpaceDE w:val="0"/>
        <w:autoSpaceDN w:val="0"/>
        <w:adjustRightInd w:val="0"/>
        <w:spacing w:line="500" w:lineRule="exact"/>
        <w:jc w:val="center"/>
        <w:rPr>
          <w:rFonts w:ascii="宋体" w:hAnsi="宋体" w:cs="宋体"/>
          <w:color w:val="auto"/>
          <w:szCs w:val="21"/>
          <w:highlight w:val="none"/>
          <w:lang w:val="zh-CN"/>
        </w:rPr>
      </w:pPr>
    </w:p>
    <w:p w14:paraId="5C9E1771">
      <w:pPr>
        <w:autoSpaceDE w:val="0"/>
        <w:autoSpaceDN w:val="0"/>
        <w:adjustRightInd w:val="0"/>
        <w:spacing w:line="500" w:lineRule="exact"/>
        <w:jc w:val="center"/>
        <w:rPr>
          <w:rFonts w:ascii="宋体" w:hAnsi="宋体" w:cs="宋体"/>
          <w:color w:val="auto"/>
          <w:szCs w:val="21"/>
          <w:highlight w:val="none"/>
          <w:lang w:val="zh-CN"/>
        </w:rPr>
      </w:pPr>
    </w:p>
    <w:p w14:paraId="5EC65394">
      <w:pPr>
        <w:autoSpaceDE w:val="0"/>
        <w:autoSpaceDN w:val="0"/>
        <w:adjustRightInd w:val="0"/>
        <w:spacing w:line="500" w:lineRule="exact"/>
        <w:jc w:val="center"/>
        <w:rPr>
          <w:rFonts w:ascii="宋体" w:hAnsi="宋体" w:cs="宋体"/>
          <w:color w:val="auto"/>
          <w:szCs w:val="21"/>
          <w:highlight w:val="none"/>
          <w:lang w:val="zh-CN"/>
        </w:rPr>
        <w:sectPr>
          <w:pgSz w:w="11907" w:h="16840"/>
          <w:pgMar w:top="1134" w:right="1418" w:bottom="1134" w:left="1418" w:header="567" w:footer="567" w:gutter="0"/>
          <w:cols w:space="720" w:num="1"/>
          <w:titlePg/>
          <w:docGrid w:linePitch="312" w:charSpace="0"/>
        </w:sectPr>
      </w:pPr>
    </w:p>
    <w:p w14:paraId="56D9ED51">
      <w:pPr>
        <w:autoSpaceDE w:val="0"/>
        <w:autoSpaceDN w:val="0"/>
        <w:adjustRightInd w:val="0"/>
        <w:spacing w:line="500" w:lineRule="exact"/>
        <w:jc w:val="center"/>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t>三、磋商一览表</w:t>
      </w:r>
    </w:p>
    <w:p w14:paraId="1F6784BF">
      <w:pPr>
        <w:autoSpaceDE w:val="0"/>
        <w:autoSpaceDN w:val="0"/>
        <w:adjustRightInd w:val="0"/>
        <w:spacing w:line="400" w:lineRule="exact"/>
        <w:jc w:val="left"/>
        <w:rPr>
          <w:rFonts w:ascii="宋体" w:hAnsi="宋体" w:cs="宋体"/>
          <w:b/>
          <w:color w:val="auto"/>
          <w:kern w:val="0"/>
          <w:szCs w:val="21"/>
          <w:highlight w:val="none"/>
          <w:shd w:val="clear" w:color="auto" w:fill="FFFFFF"/>
        </w:rPr>
      </w:pPr>
    </w:p>
    <w:p w14:paraId="3AE8FD0C">
      <w:pPr>
        <w:spacing w:line="360" w:lineRule="auto"/>
        <w:rPr>
          <w:rFonts w:hint="eastAsia" w:ascii="宋体" w:hAnsi="宋体" w:eastAsia="宋体" w:cs="宋体"/>
          <w:color w:val="auto"/>
          <w:sz w:val="24"/>
          <w:szCs w:val="24"/>
          <w:lang w:eastAsia="zh-CN"/>
        </w:rPr>
      </w:pPr>
      <w:bookmarkStart w:id="82" w:name="_Toc98580424"/>
      <w:r>
        <w:rPr>
          <w:rFonts w:hint="eastAsia" w:ascii="宋体" w:hAnsi="宋体" w:eastAsia="宋体" w:cs="宋体"/>
          <w:color w:val="auto"/>
          <w:sz w:val="24"/>
          <w:szCs w:val="24"/>
          <w:lang w:eastAsia="zh-CN"/>
        </w:rPr>
        <w:t>项目名称：</w:t>
      </w:r>
    </w:p>
    <w:p w14:paraId="5247C4A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项目编号：                                                     </w:t>
      </w:r>
      <w:bookmarkEnd w:id="82"/>
    </w:p>
    <w:tbl>
      <w:tblPr>
        <w:tblStyle w:val="48"/>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082"/>
        <w:gridCol w:w="1637"/>
        <w:gridCol w:w="1215"/>
        <w:gridCol w:w="1470"/>
        <w:gridCol w:w="1845"/>
      </w:tblGrid>
      <w:tr w14:paraId="575C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793" w:type="dxa"/>
            <w:tcBorders>
              <w:bottom w:val="single" w:color="auto" w:sz="4" w:space="0"/>
            </w:tcBorders>
            <w:vAlign w:val="center"/>
          </w:tcPr>
          <w:p w14:paraId="4E702CBE">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 w:val="24"/>
                <w:szCs w:val="24"/>
              </w:rPr>
            </w:pPr>
            <w:r>
              <w:rPr>
                <w:rFonts w:hint="eastAsia" w:ascii="宋体" w:hAnsi="宋体" w:eastAsia="宋体" w:cs="宋体"/>
                <w:b/>
                <w:color w:val="auto"/>
                <w:sz w:val="24"/>
                <w:szCs w:val="24"/>
              </w:rPr>
              <w:t>序号</w:t>
            </w:r>
          </w:p>
        </w:tc>
        <w:tc>
          <w:tcPr>
            <w:tcW w:w="2082" w:type="dxa"/>
            <w:tcBorders>
              <w:bottom w:val="single" w:color="auto" w:sz="4" w:space="0"/>
            </w:tcBorders>
            <w:vAlign w:val="center"/>
          </w:tcPr>
          <w:p w14:paraId="3D1BA4EC">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 w:val="24"/>
                <w:szCs w:val="24"/>
              </w:rPr>
            </w:pPr>
            <w:r>
              <w:rPr>
                <w:rFonts w:hint="eastAsia" w:ascii="宋体" w:hAnsi="宋体" w:eastAsia="宋体" w:cs="宋体"/>
                <w:b/>
                <w:color w:val="auto"/>
                <w:sz w:val="24"/>
                <w:szCs w:val="24"/>
              </w:rPr>
              <w:t>投标人名称</w:t>
            </w:r>
          </w:p>
        </w:tc>
        <w:tc>
          <w:tcPr>
            <w:tcW w:w="1637" w:type="dxa"/>
            <w:tcBorders>
              <w:bottom w:val="single" w:color="auto" w:sz="4" w:space="0"/>
            </w:tcBorders>
            <w:vAlign w:val="center"/>
          </w:tcPr>
          <w:p w14:paraId="6CD30529">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 w:val="24"/>
                <w:szCs w:val="24"/>
              </w:rPr>
            </w:pPr>
            <w:r>
              <w:rPr>
                <w:rFonts w:hint="eastAsia" w:ascii="宋体" w:hAnsi="宋体" w:eastAsia="宋体" w:cs="宋体"/>
                <w:b/>
                <w:color w:val="auto"/>
                <w:sz w:val="24"/>
                <w:szCs w:val="24"/>
              </w:rPr>
              <w:t>投标报价</w:t>
            </w:r>
          </w:p>
          <w:p w14:paraId="1B28E8BB">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 w:val="24"/>
                <w:szCs w:val="24"/>
              </w:rPr>
            </w:pPr>
            <w:r>
              <w:rPr>
                <w:rFonts w:hint="eastAsia" w:ascii="宋体" w:hAnsi="宋体" w:eastAsia="宋体" w:cs="宋体"/>
                <w:b/>
                <w:color w:val="auto"/>
                <w:sz w:val="24"/>
                <w:szCs w:val="24"/>
              </w:rPr>
              <w:t>（元）</w:t>
            </w:r>
          </w:p>
        </w:tc>
        <w:tc>
          <w:tcPr>
            <w:tcW w:w="1215" w:type="dxa"/>
            <w:tcBorders>
              <w:bottom w:val="single" w:color="auto" w:sz="4" w:space="0"/>
            </w:tcBorders>
            <w:vAlign w:val="center"/>
          </w:tcPr>
          <w:p w14:paraId="5BB7E344">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 w:val="24"/>
                <w:szCs w:val="24"/>
              </w:rPr>
            </w:pPr>
            <w:r>
              <w:rPr>
                <w:rFonts w:hint="eastAsia" w:ascii="宋体" w:hAnsi="宋体" w:eastAsia="宋体" w:cs="宋体"/>
                <w:b/>
                <w:color w:val="auto"/>
                <w:sz w:val="24"/>
                <w:szCs w:val="24"/>
              </w:rPr>
              <w:t>服务期限</w:t>
            </w:r>
          </w:p>
        </w:tc>
        <w:tc>
          <w:tcPr>
            <w:tcW w:w="1470" w:type="dxa"/>
            <w:tcBorders>
              <w:bottom w:val="single" w:color="auto" w:sz="4" w:space="0"/>
            </w:tcBorders>
            <w:vAlign w:val="center"/>
          </w:tcPr>
          <w:p w14:paraId="7813C79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服务</w:t>
            </w:r>
            <w:r>
              <w:rPr>
                <w:rFonts w:hint="eastAsia" w:ascii="宋体" w:hAnsi="宋体" w:eastAsia="宋体" w:cs="宋体"/>
                <w:b/>
                <w:color w:val="auto"/>
                <w:sz w:val="24"/>
                <w:szCs w:val="24"/>
                <w:lang w:eastAsia="zh-CN"/>
              </w:rPr>
              <w:t>标准</w:t>
            </w:r>
          </w:p>
        </w:tc>
        <w:tc>
          <w:tcPr>
            <w:tcW w:w="1845" w:type="dxa"/>
            <w:tcBorders>
              <w:bottom w:val="single" w:color="auto" w:sz="4" w:space="0"/>
            </w:tcBorders>
            <w:vAlign w:val="center"/>
          </w:tcPr>
          <w:p w14:paraId="2CD1CC1F">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 w:val="24"/>
                <w:szCs w:val="24"/>
              </w:rPr>
            </w:pPr>
            <w:r>
              <w:rPr>
                <w:rFonts w:hint="eastAsia" w:ascii="宋体" w:hAnsi="宋体" w:eastAsia="宋体" w:cs="宋体"/>
                <w:b/>
                <w:color w:val="auto"/>
                <w:sz w:val="24"/>
                <w:szCs w:val="24"/>
              </w:rPr>
              <w:t>投标保证金</w:t>
            </w:r>
          </w:p>
          <w:p w14:paraId="02305DC0">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 w:val="24"/>
                <w:szCs w:val="24"/>
              </w:rPr>
            </w:pPr>
            <w:r>
              <w:rPr>
                <w:rFonts w:hint="eastAsia" w:ascii="宋体" w:hAnsi="宋体" w:eastAsia="宋体" w:cs="宋体"/>
                <w:b/>
                <w:color w:val="auto"/>
                <w:sz w:val="24"/>
                <w:szCs w:val="24"/>
              </w:rPr>
              <w:t>（有/无）</w:t>
            </w:r>
          </w:p>
        </w:tc>
      </w:tr>
      <w:tr w14:paraId="483E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93" w:type="dxa"/>
            <w:vAlign w:val="center"/>
          </w:tcPr>
          <w:p w14:paraId="0D52B1A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rPr>
            </w:pPr>
            <w:r>
              <w:rPr>
                <w:rFonts w:hint="eastAsia" w:ascii="宋体" w:hAnsi="宋体" w:eastAsia="宋体" w:cs="宋体"/>
                <w:color w:val="auto"/>
                <w:sz w:val="24"/>
                <w:szCs w:val="24"/>
              </w:rPr>
              <w:t>1</w:t>
            </w:r>
          </w:p>
        </w:tc>
        <w:tc>
          <w:tcPr>
            <w:tcW w:w="2082" w:type="dxa"/>
            <w:vAlign w:val="center"/>
          </w:tcPr>
          <w:p w14:paraId="462102A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rPr>
            </w:pPr>
          </w:p>
        </w:tc>
        <w:tc>
          <w:tcPr>
            <w:tcW w:w="1637" w:type="dxa"/>
            <w:vAlign w:val="center"/>
          </w:tcPr>
          <w:p w14:paraId="7E853B6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rPr>
            </w:pPr>
          </w:p>
        </w:tc>
        <w:tc>
          <w:tcPr>
            <w:tcW w:w="1215" w:type="dxa"/>
            <w:vAlign w:val="center"/>
          </w:tcPr>
          <w:p w14:paraId="13250C5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rPr>
            </w:pPr>
          </w:p>
        </w:tc>
        <w:tc>
          <w:tcPr>
            <w:tcW w:w="1470" w:type="dxa"/>
            <w:vAlign w:val="center"/>
          </w:tcPr>
          <w:p w14:paraId="17E48E7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rPr>
            </w:pPr>
          </w:p>
        </w:tc>
        <w:tc>
          <w:tcPr>
            <w:tcW w:w="1845" w:type="dxa"/>
            <w:vAlign w:val="center"/>
          </w:tcPr>
          <w:p w14:paraId="6ABA2EF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rPr>
            </w:pPr>
          </w:p>
        </w:tc>
      </w:tr>
    </w:tbl>
    <w:p w14:paraId="378438A2">
      <w:pPr>
        <w:rPr>
          <w:rFonts w:ascii="宋体" w:hAnsi="宋体" w:eastAsia="宋体" w:cs="宋体"/>
          <w:b/>
          <w:color w:val="auto"/>
          <w:sz w:val="24"/>
          <w:szCs w:val="24"/>
        </w:rPr>
      </w:pPr>
      <w:r>
        <w:rPr>
          <w:rFonts w:hint="eastAsia" w:ascii="宋体" w:hAnsi="宋体" w:eastAsia="宋体" w:cs="宋体"/>
          <w:b/>
          <w:color w:val="auto"/>
          <w:sz w:val="24"/>
          <w:szCs w:val="24"/>
        </w:rPr>
        <w:t>注：</w:t>
      </w:r>
    </w:p>
    <w:p w14:paraId="64A6928C">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、开标一览表应再另做一份单独密封和标记，与响应文件同时递交。</w:t>
      </w:r>
    </w:p>
    <w:p w14:paraId="7CA232CA">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、未按规定签字盖章的开标一览表，视为无效投标。</w:t>
      </w:r>
    </w:p>
    <w:p w14:paraId="3680A193">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、竞争性磋商以二次报价为最终报价。</w:t>
      </w:r>
    </w:p>
    <w:p w14:paraId="119C77BC">
      <w:pPr>
        <w:rPr>
          <w:rFonts w:ascii="宋体" w:hAnsi="宋体" w:eastAsia="宋体" w:cs="宋体"/>
          <w:color w:val="auto"/>
        </w:rPr>
      </w:pPr>
    </w:p>
    <w:p w14:paraId="1EDC8F62">
      <w:pPr>
        <w:rPr>
          <w:rFonts w:ascii="宋体" w:hAnsi="宋体" w:eastAsia="宋体" w:cs="宋体"/>
          <w:color w:val="auto"/>
          <w:sz w:val="24"/>
          <w:szCs w:val="24"/>
        </w:rPr>
      </w:pPr>
    </w:p>
    <w:p w14:paraId="13784981">
      <w:pPr>
        <w:autoSpaceDE w:val="0"/>
        <w:autoSpaceDN w:val="0"/>
        <w:adjustRightInd w:val="0"/>
        <w:spacing w:line="480" w:lineRule="auto"/>
        <w:jc w:val="left"/>
        <w:rPr>
          <w:rFonts w:hint="eastAsia" w:ascii="宋体" w:hAnsi="宋体" w:cs="宋体"/>
          <w:color w:val="auto"/>
          <w:kern w:val="0"/>
          <w:sz w:val="24"/>
          <w:szCs w:val="24"/>
          <w:highlight w:val="none"/>
          <w:lang w:val="zh-CN"/>
        </w:rPr>
      </w:pPr>
    </w:p>
    <w:p w14:paraId="6DC9C332">
      <w:pPr>
        <w:autoSpaceDE w:val="0"/>
        <w:autoSpaceDN w:val="0"/>
        <w:adjustRightInd w:val="0"/>
        <w:spacing w:line="480" w:lineRule="auto"/>
        <w:jc w:val="left"/>
        <w:rPr>
          <w:rFonts w:hint="eastAsia" w:ascii="宋体" w:hAnsi="宋体" w:cs="宋体"/>
          <w:color w:val="auto"/>
          <w:kern w:val="0"/>
          <w:sz w:val="24"/>
          <w:szCs w:val="24"/>
          <w:highlight w:val="none"/>
          <w:lang w:val="zh-CN"/>
        </w:rPr>
      </w:pPr>
    </w:p>
    <w:p w14:paraId="146999E6">
      <w:pPr>
        <w:autoSpaceDE w:val="0"/>
        <w:autoSpaceDN w:val="0"/>
        <w:adjustRightInd w:val="0"/>
        <w:spacing w:line="480" w:lineRule="auto"/>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供应商：</w:t>
      </w:r>
      <w:r>
        <w:rPr>
          <w:rFonts w:hint="eastAsia" w:ascii="宋体" w:hAnsi="宋体" w:cs="宋体"/>
          <w:b/>
          <w:color w:val="auto"/>
          <w:kern w:val="0"/>
          <w:sz w:val="24"/>
          <w:szCs w:val="24"/>
          <w:highlight w:val="none"/>
          <w:lang w:val="zh-CN"/>
        </w:rPr>
        <w:t>（公章）</w:t>
      </w:r>
    </w:p>
    <w:p w14:paraId="6A1FAEAE">
      <w:pPr>
        <w:spacing w:line="480" w:lineRule="auto"/>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法定代表人或被授权代表：</w:t>
      </w:r>
      <w:r>
        <w:rPr>
          <w:rFonts w:hint="eastAsia" w:ascii="宋体" w:hAnsi="宋体" w:cs="宋体"/>
          <w:b/>
          <w:color w:val="auto"/>
          <w:kern w:val="0"/>
          <w:sz w:val="24"/>
          <w:szCs w:val="24"/>
          <w:highlight w:val="none"/>
          <w:lang w:val="zh-CN"/>
        </w:rPr>
        <w:t xml:space="preserve"> （签字或盖章）</w:t>
      </w:r>
    </w:p>
    <w:p w14:paraId="613F777A">
      <w:pPr>
        <w:spacing w:line="48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日 期：   年   月   日</w:t>
      </w:r>
    </w:p>
    <w:p w14:paraId="18CEC99E">
      <w:pPr>
        <w:rPr>
          <w:rFonts w:ascii="宋体" w:hAnsi="宋体" w:cs="宋体"/>
          <w:color w:val="auto"/>
          <w:sz w:val="24"/>
          <w:highlight w:val="none"/>
          <w:lang w:val="zh-CN"/>
        </w:rPr>
      </w:pPr>
      <w:r>
        <w:rPr>
          <w:rFonts w:ascii="宋体" w:hAnsi="宋体" w:cs="宋体"/>
          <w:color w:val="auto"/>
          <w:sz w:val="24"/>
          <w:highlight w:val="none"/>
          <w:lang w:val="zh-CN"/>
        </w:rPr>
        <w:br w:type="page"/>
      </w:r>
    </w:p>
    <w:p w14:paraId="430BF690">
      <w:pPr>
        <w:spacing w:line="360" w:lineRule="auto"/>
        <w:jc w:val="center"/>
        <w:rPr>
          <w:rFonts w:hint="eastAsia" w:ascii="宋体" w:hAnsi="宋体" w:eastAsia="宋体" w:cs="宋体"/>
          <w:b/>
          <w:color w:val="auto"/>
          <w:sz w:val="36"/>
          <w:szCs w:val="36"/>
          <w:lang w:eastAsia="zh-CN"/>
        </w:rPr>
      </w:pPr>
      <w:r>
        <w:rPr>
          <w:rFonts w:hint="eastAsia" w:ascii="宋体" w:hAnsi="宋体" w:eastAsia="宋体" w:cs="宋体"/>
          <w:b/>
          <w:color w:val="auto"/>
          <w:sz w:val="36"/>
          <w:szCs w:val="36"/>
          <w:lang w:eastAsia="zh-CN"/>
        </w:rPr>
        <w:t>四、</w:t>
      </w:r>
      <w:r>
        <w:rPr>
          <w:rFonts w:hint="eastAsia" w:ascii="宋体" w:hAnsi="宋体" w:eastAsia="宋体" w:cs="宋体"/>
          <w:b/>
          <w:color w:val="auto"/>
          <w:sz w:val="36"/>
          <w:szCs w:val="36"/>
        </w:rPr>
        <w:t>磋商报价明细</w:t>
      </w:r>
      <w:r>
        <w:rPr>
          <w:rFonts w:hint="eastAsia" w:ascii="宋体" w:hAnsi="宋体" w:cs="宋体"/>
          <w:b/>
          <w:color w:val="auto"/>
          <w:sz w:val="36"/>
          <w:szCs w:val="36"/>
          <w:lang w:eastAsia="zh-CN"/>
        </w:rPr>
        <w:t>表</w:t>
      </w:r>
    </w:p>
    <w:tbl>
      <w:tblPr>
        <w:tblStyle w:val="48"/>
        <w:tblW w:w="8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4"/>
        <w:gridCol w:w="2984"/>
        <w:gridCol w:w="1884"/>
        <w:gridCol w:w="1886"/>
      </w:tblGrid>
      <w:tr w14:paraId="1B0D6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41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86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C1FB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运动项目</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0F4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lang w:eastAsia="zh-CN"/>
              </w:rPr>
            </w:pPr>
            <w:r>
              <w:rPr>
                <w:rFonts w:hint="eastAsia" w:ascii="宋体" w:hAnsi="宋体" w:eastAsia="宋体" w:cs="宋体"/>
                <w:b/>
                <w:bCs/>
                <w:i w:val="0"/>
                <w:iCs w:val="0"/>
                <w:color w:val="auto"/>
                <w:sz w:val="24"/>
                <w:szCs w:val="24"/>
                <w:u w:val="none"/>
                <w:lang w:eastAsia="zh-CN"/>
              </w:rPr>
              <w:t>分项报价（元）</w:t>
            </w:r>
          </w:p>
        </w:tc>
      </w:tr>
      <w:tr w14:paraId="62EE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84" w:type="dxa"/>
            <w:tcBorders>
              <w:top w:val="nil"/>
              <w:left w:val="single" w:color="000000" w:sz="8" w:space="0"/>
              <w:bottom w:val="single" w:color="000000" w:sz="8" w:space="0"/>
              <w:right w:val="single" w:color="000000" w:sz="8" w:space="0"/>
            </w:tcBorders>
            <w:shd w:val="clear" w:color="auto" w:fill="auto"/>
            <w:vAlign w:val="center"/>
          </w:tcPr>
          <w:p w14:paraId="73972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2984" w:type="dxa"/>
            <w:tcBorders>
              <w:top w:val="nil"/>
              <w:left w:val="single" w:color="000000" w:sz="8" w:space="0"/>
              <w:bottom w:val="single" w:color="000000" w:sz="8" w:space="0"/>
              <w:right w:val="single" w:color="000000" w:sz="8" w:space="0"/>
            </w:tcBorders>
            <w:shd w:val="clear" w:color="auto" w:fill="auto"/>
            <w:vAlign w:val="center"/>
          </w:tcPr>
          <w:p w14:paraId="54D98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冰上中心</w:t>
            </w:r>
          </w:p>
        </w:tc>
        <w:tc>
          <w:tcPr>
            <w:tcW w:w="1884" w:type="dxa"/>
            <w:tcBorders>
              <w:top w:val="nil"/>
              <w:left w:val="nil"/>
              <w:bottom w:val="single" w:color="000000" w:sz="8" w:space="0"/>
              <w:right w:val="single" w:color="000000" w:sz="8" w:space="0"/>
            </w:tcBorders>
            <w:shd w:val="clear" w:color="auto" w:fill="auto"/>
            <w:vAlign w:val="center"/>
          </w:tcPr>
          <w:p w14:paraId="04672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204人</w:t>
            </w:r>
          </w:p>
        </w:tc>
        <w:tc>
          <w:tcPr>
            <w:tcW w:w="18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4B250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r>
      <w:tr w14:paraId="3800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84" w:type="dxa"/>
            <w:tcBorders>
              <w:top w:val="nil"/>
              <w:left w:val="single" w:color="000000" w:sz="8" w:space="0"/>
              <w:bottom w:val="single" w:color="000000" w:sz="8" w:space="0"/>
              <w:right w:val="single" w:color="000000" w:sz="8" w:space="0"/>
            </w:tcBorders>
            <w:shd w:val="clear" w:color="auto" w:fill="auto"/>
            <w:vAlign w:val="center"/>
          </w:tcPr>
          <w:p w14:paraId="3F027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w:t>
            </w:r>
          </w:p>
        </w:tc>
        <w:tc>
          <w:tcPr>
            <w:tcW w:w="2984" w:type="dxa"/>
            <w:tcBorders>
              <w:top w:val="nil"/>
              <w:left w:val="single" w:color="000000" w:sz="8" w:space="0"/>
              <w:bottom w:val="single" w:color="000000" w:sz="8" w:space="0"/>
              <w:right w:val="single" w:color="000000" w:sz="8" w:space="0"/>
            </w:tcBorders>
            <w:shd w:val="clear" w:color="auto" w:fill="auto"/>
            <w:vAlign w:val="center"/>
          </w:tcPr>
          <w:p w14:paraId="5DFE1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雪上中心</w:t>
            </w:r>
          </w:p>
        </w:tc>
        <w:tc>
          <w:tcPr>
            <w:tcW w:w="1884" w:type="dxa"/>
            <w:tcBorders>
              <w:top w:val="nil"/>
              <w:left w:val="nil"/>
              <w:bottom w:val="single" w:color="000000" w:sz="8" w:space="0"/>
              <w:right w:val="single" w:color="000000" w:sz="8" w:space="0"/>
            </w:tcBorders>
            <w:shd w:val="clear" w:color="auto" w:fill="auto"/>
            <w:vAlign w:val="center"/>
          </w:tcPr>
          <w:p w14:paraId="4C426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170人</w:t>
            </w:r>
          </w:p>
        </w:tc>
        <w:tc>
          <w:tcPr>
            <w:tcW w:w="1886" w:type="dxa"/>
            <w:tcBorders>
              <w:top w:val="nil"/>
              <w:left w:val="single" w:color="000000" w:sz="8" w:space="0"/>
              <w:bottom w:val="single" w:color="000000" w:sz="8" w:space="0"/>
              <w:right w:val="single" w:color="000000" w:sz="8" w:space="0"/>
            </w:tcBorders>
            <w:shd w:val="clear" w:color="auto" w:fill="auto"/>
            <w:vAlign w:val="center"/>
          </w:tcPr>
          <w:p w14:paraId="64BAE1A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r>
      <w:tr w14:paraId="4B89C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68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w:t>
            </w:r>
          </w:p>
        </w:tc>
        <w:tc>
          <w:tcPr>
            <w:tcW w:w="2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CF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重竞技</w:t>
            </w:r>
            <w:r>
              <w:rPr>
                <w:rStyle w:val="178"/>
                <w:color w:val="auto"/>
                <w:lang w:val="en-US" w:eastAsia="zh-CN" w:bidi="ar"/>
              </w:rPr>
              <w:t>中心</w:t>
            </w:r>
          </w:p>
        </w:tc>
        <w:tc>
          <w:tcPr>
            <w:tcW w:w="1884" w:type="dxa"/>
            <w:tcBorders>
              <w:top w:val="single" w:color="000000" w:sz="8" w:space="0"/>
              <w:left w:val="nil"/>
              <w:bottom w:val="single" w:color="000000" w:sz="8" w:space="0"/>
              <w:right w:val="single" w:color="000000" w:sz="8" w:space="0"/>
            </w:tcBorders>
            <w:shd w:val="clear" w:color="auto" w:fill="auto"/>
            <w:vAlign w:val="center"/>
          </w:tcPr>
          <w:p w14:paraId="3AFCD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98人</w:t>
            </w:r>
          </w:p>
        </w:tc>
        <w:tc>
          <w:tcPr>
            <w:tcW w:w="1886" w:type="dxa"/>
            <w:tcBorders>
              <w:top w:val="nil"/>
              <w:left w:val="single" w:color="000000" w:sz="8" w:space="0"/>
              <w:bottom w:val="single" w:color="000000" w:sz="8" w:space="0"/>
              <w:right w:val="single" w:color="000000" w:sz="8" w:space="0"/>
            </w:tcBorders>
            <w:shd w:val="clear" w:color="auto" w:fill="auto"/>
            <w:vAlign w:val="center"/>
          </w:tcPr>
          <w:p w14:paraId="25DBE38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r>
      <w:tr w14:paraId="407E9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84" w:type="dxa"/>
            <w:tcBorders>
              <w:top w:val="nil"/>
              <w:left w:val="single" w:color="000000" w:sz="8" w:space="0"/>
              <w:bottom w:val="single" w:color="000000" w:sz="8" w:space="0"/>
              <w:right w:val="single" w:color="000000" w:sz="8" w:space="0"/>
            </w:tcBorders>
            <w:shd w:val="clear" w:color="auto" w:fill="auto"/>
            <w:vAlign w:val="center"/>
          </w:tcPr>
          <w:p w14:paraId="133B4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w:t>
            </w:r>
          </w:p>
        </w:tc>
        <w:tc>
          <w:tcPr>
            <w:tcW w:w="2984" w:type="dxa"/>
            <w:tcBorders>
              <w:top w:val="nil"/>
              <w:left w:val="single" w:color="000000" w:sz="8" w:space="0"/>
              <w:bottom w:val="single" w:color="000000" w:sz="8" w:space="0"/>
              <w:right w:val="single" w:color="000000" w:sz="8" w:space="0"/>
            </w:tcBorders>
            <w:shd w:val="clear" w:color="auto" w:fill="auto"/>
            <w:vAlign w:val="center"/>
          </w:tcPr>
          <w:p w14:paraId="0647CC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田自</w:t>
            </w:r>
            <w:r>
              <w:rPr>
                <w:rStyle w:val="178"/>
                <w:color w:val="auto"/>
                <w:lang w:val="en-US" w:eastAsia="zh-CN" w:bidi="ar"/>
              </w:rPr>
              <w:t>中心</w:t>
            </w:r>
          </w:p>
        </w:tc>
        <w:tc>
          <w:tcPr>
            <w:tcW w:w="1884" w:type="dxa"/>
            <w:tcBorders>
              <w:top w:val="nil"/>
              <w:left w:val="nil"/>
              <w:bottom w:val="single" w:color="000000" w:sz="8" w:space="0"/>
              <w:right w:val="single" w:color="000000" w:sz="8" w:space="0"/>
            </w:tcBorders>
            <w:shd w:val="clear" w:color="auto" w:fill="auto"/>
            <w:vAlign w:val="center"/>
          </w:tcPr>
          <w:p w14:paraId="461A5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141</w:t>
            </w:r>
            <w:r>
              <w:rPr>
                <w:rStyle w:val="178"/>
                <w:color w:val="auto"/>
                <w:lang w:val="en-US" w:eastAsia="zh-CN" w:bidi="ar"/>
              </w:rPr>
              <w:t>人</w:t>
            </w:r>
          </w:p>
        </w:tc>
        <w:tc>
          <w:tcPr>
            <w:tcW w:w="1886" w:type="dxa"/>
            <w:tcBorders>
              <w:top w:val="nil"/>
              <w:left w:val="single" w:color="000000" w:sz="8" w:space="0"/>
              <w:bottom w:val="single" w:color="000000" w:sz="8" w:space="0"/>
              <w:right w:val="single" w:color="000000" w:sz="8" w:space="0"/>
            </w:tcBorders>
            <w:shd w:val="clear" w:color="auto" w:fill="auto"/>
            <w:vAlign w:val="center"/>
          </w:tcPr>
          <w:p w14:paraId="6DE83C8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r>
      <w:tr w14:paraId="4C763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760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w:t>
            </w:r>
          </w:p>
        </w:tc>
        <w:tc>
          <w:tcPr>
            <w:tcW w:w="2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75F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乒曲</w:t>
            </w:r>
            <w:r>
              <w:rPr>
                <w:rStyle w:val="178"/>
                <w:color w:val="auto"/>
                <w:lang w:val="en-US" w:eastAsia="zh-CN" w:bidi="ar"/>
              </w:rPr>
              <w:t>蓝武中心</w:t>
            </w:r>
          </w:p>
        </w:tc>
        <w:tc>
          <w:tcPr>
            <w:tcW w:w="1884" w:type="dxa"/>
            <w:tcBorders>
              <w:top w:val="single" w:color="000000" w:sz="8" w:space="0"/>
              <w:left w:val="nil"/>
              <w:bottom w:val="single" w:color="000000" w:sz="8" w:space="0"/>
              <w:right w:val="single" w:color="000000" w:sz="8" w:space="0"/>
            </w:tcBorders>
            <w:shd w:val="clear" w:color="auto" w:fill="auto"/>
            <w:vAlign w:val="center"/>
          </w:tcPr>
          <w:p w14:paraId="3B7A4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158</w:t>
            </w:r>
            <w:r>
              <w:rPr>
                <w:rStyle w:val="178"/>
                <w:color w:val="auto"/>
                <w:lang w:val="en-US" w:eastAsia="zh-CN" w:bidi="ar"/>
              </w:rPr>
              <w:t>人</w:t>
            </w:r>
          </w:p>
        </w:tc>
        <w:tc>
          <w:tcPr>
            <w:tcW w:w="1886" w:type="dxa"/>
            <w:tcBorders>
              <w:top w:val="nil"/>
              <w:left w:val="single" w:color="000000" w:sz="8" w:space="0"/>
              <w:bottom w:val="single" w:color="000000" w:sz="8" w:space="0"/>
              <w:right w:val="single" w:color="000000" w:sz="8" w:space="0"/>
            </w:tcBorders>
            <w:shd w:val="clear" w:color="auto" w:fill="auto"/>
            <w:vAlign w:val="center"/>
          </w:tcPr>
          <w:p w14:paraId="1752C8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r>
      <w:tr w14:paraId="4A0E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BFD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6</w:t>
            </w:r>
          </w:p>
        </w:tc>
        <w:tc>
          <w:tcPr>
            <w:tcW w:w="2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BFD4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两射</w:t>
            </w:r>
            <w:r>
              <w:rPr>
                <w:rStyle w:val="178"/>
                <w:color w:val="auto"/>
                <w:lang w:val="en-US" w:eastAsia="zh-CN" w:bidi="ar"/>
              </w:rPr>
              <w:t>中心</w:t>
            </w:r>
          </w:p>
        </w:tc>
        <w:tc>
          <w:tcPr>
            <w:tcW w:w="1884" w:type="dxa"/>
            <w:tcBorders>
              <w:top w:val="single" w:color="000000" w:sz="8" w:space="0"/>
              <w:left w:val="nil"/>
              <w:bottom w:val="single" w:color="000000" w:sz="8" w:space="0"/>
              <w:right w:val="single" w:color="000000" w:sz="8" w:space="0"/>
            </w:tcBorders>
            <w:shd w:val="clear" w:color="auto" w:fill="auto"/>
            <w:vAlign w:val="center"/>
          </w:tcPr>
          <w:p w14:paraId="08356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80人</w:t>
            </w:r>
          </w:p>
        </w:tc>
        <w:tc>
          <w:tcPr>
            <w:tcW w:w="1886" w:type="dxa"/>
            <w:tcBorders>
              <w:top w:val="nil"/>
              <w:left w:val="single" w:color="000000" w:sz="8" w:space="0"/>
              <w:bottom w:val="single" w:color="000000" w:sz="8" w:space="0"/>
              <w:right w:val="single" w:color="000000" w:sz="8" w:space="0"/>
            </w:tcBorders>
            <w:shd w:val="clear" w:color="auto" w:fill="auto"/>
            <w:vAlign w:val="center"/>
          </w:tcPr>
          <w:p w14:paraId="4056731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r>
      <w:tr w14:paraId="3F0A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FEB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7</w:t>
            </w:r>
          </w:p>
        </w:tc>
        <w:tc>
          <w:tcPr>
            <w:tcW w:w="29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CB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水上</w:t>
            </w:r>
            <w:r>
              <w:rPr>
                <w:rStyle w:val="178"/>
                <w:color w:val="auto"/>
                <w:lang w:val="en-US" w:eastAsia="zh-CN" w:bidi="ar"/>
              </w:rPr>
              <w:t>中心</w:t>
            </w:r>
          </w:p>
        </w:tc>
        <w:tc>
          <w:tcPr>
            <w:tcW w:w="1884" w:type="dxa"/>
            <w:tcBorders>
              <w:top w:val="single" w:color="000000" w:sz="8" w:space="0"/>
              <w:left w:val="nil"/>
              <w:bottom w:val="single" w:color="000000" w:sz="8" w:space="0"/>
              <w:right w:val="single" w:color="000000" w:sz="8" w:space="0"/>
            </w:tcBorders>
            <w:shd w:val="clear" w:color="auto" w:fill="auto"/>
            <w:vAlign w:val="center"/>
          </w:tcPr>
          <w:p w14:paraId="5A67BF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102人</w:t>
            </w:r>
          </w:p>
        </w:tc>
        <w:tc>
          <w:tcPr>
            <w:tcW w:w="1886" w:type="dxa"/>
            <w:tcBorders>
              <w:top w:val="nil"/>
              <w:left w:val="single" w:color="000000" w:sz="8" w:space="0"/>
              <w:bottom w:val="single" w:color="000000" w:sz="8" w:space="0"/>
              <w:right w:val="single" w:color="000000" w:sz="8" w:space="0"/>
            </w:tcBorders>
            <w:shd w:val="clear" w:color="auto" w:fill="auto"/>
            <w:vAlign w:val="center"/>
          </w:tcPr>
          <w:p w14:paraId="042C90C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r>
      <w:tr w14:paraId="38A6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884" w:type="dxa"/>
            <w:tcBorders>
              <w:top w:val="nil"/>
              <w:left w:val="single" w:color="000000" w:sz="8" w:space="0"/>
              <w:bottom w:val="single" w:color="000000" w:sz="8" w:space="0"/>
              <w:right w:val="single" w:color="000000" w:sz="8" w:space="0"/>
            </w:tcBorders>
            <w:shd w:val="clear" w:color="auto" w:fill="auto"/>
            <w:vAlign w:val="center"/>
          </w:tcPr>
          <w:p w14:paraId="55A920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8</w:t>
            </w:r>
          </w:p>
        </w:tc>
        <w:tc>
          <w:tcPr>
            <w:tcW w:w="2984" w:type="dxa"/>
            <w:tcBorders>
              <w:top w:val="nil"/>
              <w:left w:val="single" w:color="000000" w:sz="8" w:space="0"/>
              <w:bottom w:val="single" w:color="000000" w:sz="8" w:space="0"/>
              <w:right w:val="single" w:color="000000" w:sz="8" w:space="0"/>
            </w:tcBorders>
            <w:shd w:val="clear" w:color="auto" w:fill="auto"/>
            <w:vAlign w:val="center"/>
          </w:tcPr>
          <w:p w14:paraId="4AABC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网球</w:t>
            </w:r>
            <w:r>
              <w:rPr>
                <w:rStyle w:val="178"/>
                <w:color w:val="auto"/>
                <w:lang w:val="en-US" w:eastAsia="zh-CN" w:bidi="ar"/>
              </w:rPr>
              <w:t>中心</w:t>
            </w:r>
          </w:p>
        </w:tc>
        <w:tc>
          <w:tcPr>
            <w:tcW w:w="1884" w:type="dxa"/>
            <w:tcBorders>
              <w:top w:val="nil"/>
              <w:left w:val="nil"/>
              <w:bottom w:val="single" w:color="000000" w:sz="8" w:space="0"/>
              <w:right w:val="single" w:color="000000" w:sz="8" w:space="0"/>
            </w:tcBorders>
            <w:shd w:val="clear" w:color="auto" w:fill="auto"/>
            <w:vAlign w:val="center"/>
          </w:tcPr>
          <w:p w14:paraId="53ADE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9人</w:t>
            </w:r>
          </w:p>
        </w:tc>
        <w:tc>
          <w:tcPr>
            <w:tcW w:w="1886" w:type="dxa"/>
            <w:tcBorders>
              <w:top w:val="nil"/>
              <w:left w:val="single" w:color="000000" w:sz="8" w:space="0"/>
              <w:bottom w:val="single" w:color="000000" w:sz="8" w:space="0"/>
              <w:right w:val="single" w:color="000000" w:sz="8" w:space="0"/>
            </w:tcBorders>
            <w:shd w:val="clear" w:color="auto" w:fill="auto"/>
            <w:vAlign w:val="center"/>
          </w:tcPr>
          <w:p w14:paraId="14E421B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r>
      <w:tr w14:paraId="743E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84" w:type="dxa"/>
            <w:tcBorders>
              <w:top w:val="nil"/>
              <w:left w:val="single" w:color="000000" w:sz="8" w:space="0"/>
              <w:bottom w:val="single" w:color="auto" w:sz="4" w:space="0"/>
              <w:right w:val="single" w:color="000000" w:sz="8" w:space="0"/>
            </w:tcBorders>
            <w:shd w:val="clear" w:color="auto" w:fill="auto"/>
            <w:vAlign w:val="center"/>
          </w:tcPr>
          <w:p w14:paraId="5ADFF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9</w:t>
            </w:r>
          </w:p>
        </w:tc>
        <w:tc>
          <w:tcPr>
            <w:tcW w:w="2984" w:type="dxa"/>
            <w:tcBorders>
              <w:top w:val="nil"/>
              <w:left w:val="single" w:color="000000" w:sz="8" w:space="0"/>
              <w:bottom w:val="single" w:color="auto" w:sz="4" w:space="0"/>
              <w:right w:val="single" w:color="000000" w:sz="8" w:space="0"/>
            </w:tcBorders>
            <w:shd w:val="clear" w:color="auto" w:fill="auto"/>
            <w:vAlign w:val="center"/>
          </w:tcPr>
          <w:p w14:paraId="7F04B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棋牌中心</w:t>
            </w:r>
          </w:p>
        </w:tc>
        <w:tc>
          <w:tcPr>
            <w:tcW w:w="1884" w:type="dxa"/>
            <w:tcBorders>
              <w:top w:val="nil"/>
              <w:left w:val="nil"/>
              <w:bottom w:val="single" w:color="auto" w:sz="4" w:space="0"/>
              <w:right w:val="single" w:color="000000" w:sz="8" w:space="0"/>
            </w:tcBorders>
            <w:shd w:val="clear" w:color="auto" w:fill="auto"/>
            <w:vAlign w:val="center"/>
          </w:tcPr>
          <w:p w14:paraId="6231E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2人</w:t>
            </w:r>
          </w:p>
        </w:tc>
        <w:tc>
          <w:tcPr>
            <w:tcW w:w="0" w:type="auto"/>
            <w:tcBorders>
              <w:top w:val="nil"/>
              <w:left w:val="single" w:color="000000" w:sz="8" w:space="0"/>
              <w:bottom w:val="single" w:color="auto" w:sz="4" w:space="0"/>
              <w:right w:val="single" w:color="000000" w:sz="8" w:space="0"/>
            </w:tcBorders>
            <w:shd w:val="clear" w:color="auto" w:fill="auto"/>
            <w:noWrap/>
            <w:vAlign w:val="center"/>
          </w:tcPr>
          <w:p w14:paraId="7649AAA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5F5EF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84" w:type="dxa"/>
            <w:tcBorders>
              <w:top w:val="single" w:color="auto" w:sz="4" w:space="0"/>
              <w:left w:val="single" w:color="000000" w:sz="8" w:space="0"/>
              <w:bottom w:val="single" w:color="000000" w:sz="8" w:space="0"/>
              <w:right w:val="single" w:color="000000" w:sz="8" w:space="0"/>
            </w:tcBorders>
            <w:shd w:val="clear" w:color="auto" w:fill="auto"/>
            <w:vAlign w:val="center"/>
          </w:tcPr>
          <w:p w14:paraId="027AB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合计</w:t>
            </w:r>
            <w:r>
              <w:rPr>
                <w:rFonts w:hint="eastAsia" w:ascii="宋体" w:hAnsi="宋体" w:eastAsia="宋体" w:cs="宋体"/>
                <w:b/>
                <w:bCs/>
                <w:i w:val="0"/>
                <w:iCs w:val="0"/>
                <w:color w:val="auto"/>
                <w:sz w:val="24"/>
                <w:szCs w:val="24"/>
                <w:u w:val="none"/>
                <w:lang w:eastAsia="zh-CN"/>
              </w:rPr>
              <w:t>（元）</w:t>
            </w:r>
          </w:p>
        </w:tc>
        <w:tc>
          <w:tcPr>
            <w:tcW w:w="6754" w:type="dxa"/>
            <w:gridSpan w:val="3"/>
            <w:tcBorders>
              <w:top w:val="single" w:color="auto" w:sz="4" w:space="0"/>
              <w:left w:val="single" w:color="000000" w:sz="8" w:space="0"/>
              <w:bottom w:val="single" w:color="000000" w:sz="8" w:space="0"/>
              <w:right w:val="single" w:color="000000" w:sz="8" w:space="0"/>
            </w:tcBorders>
            <w:shd w:val="clear" w:color="auto" w:fill="auto"/>
            <w:vAlign w:val="center"/>
          </w:tcPr>
          <w:p w14:paraId="65D396C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bl>
    <w:p w14:paraId="5C297841">
      <w:pPr>
        <w:spacing w:line="360" w:lineRule="auto"/>
        <w:rPr>
          <w:color w:val="auto"/>
          <w:szCs w:val="24"/>
        </w:rPr>
      </w:pPr>
    </w:p>
    <w:p w14:paraId="6A6F187E">
      <w:pPr>
        <w:autoSpaceDE w:val="0"/>
        <w:autoSpaceDN w:val="0"/>
        <w:adjustRightInd w:val="0"/>
        <w:spacing w:line="480" w:lineRule="auto"/>
        <w:jc w:val="left"/>
        <w:rPr>
          <w:rFonts w:hint="eastAsia" w:ascii="宋体" w:hAnsi="宋体" w:cs="宋体"/>
          <w:color w:val="auto"/>
          <w:kern w:val="0"/>
          <w:sz w:val="24"/>
          <w:szCs w:val="24"/>
          <w:highlight w:val="none"/>
          <w:lang w:val="zh-CN"/>
        </w:rPr>
      </w:pPr>
    </w:p>
    <w:p w14:paraId="56124340">
      <w:pPr>
        <w:autoSpaceDE w:val="0"/>
        <w:autoSpaceDN w:val="0"/>
        <w:adjustRightInd w:val="0"/>
        <w:spacing w:line="480" w:lineRule="auto"/>
        <w:jc w:val="left"/>
        <w:rPr>
          <w:rFonts w:hint="eastAsia" w:ascii="宋体" w:hAnsi="宋体" w:cs="宋体"/>
          <w:color w:val="auto"/>
          <w:kern w:val="0"/>
          <w:sz w:val="24"/>
          <w:szCs w:val="24"/>
          <w:highlight w:val="none"/>
          <w:lang w:val="zh-CN"/>
        </w:rPr>
      </w:pPr>
    </w:p>
    <w:p w14:paraId="15716234">
      <w:pPr>
        <w:autoSpaceDE w:val="0"/>
        <w:autoSpaceDN w:val="0"/>
        <w:adjustRightInd w:val="0"/>
        <w:spacing w:line="480" w:lineRule="auto"/>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供应商：</w:t>
      </w:r>
      <w:r>
        <w:rPr>
          <w:rFonts w:hint="eastAsia" w:ascii="宋体" w:hAnsi="宋体" w:cs="宋体"/>
          <w:b/>
          <w:color w:val="auto"/>
          <w:kern w:val="0"/>
          <w:sz w:val="24"/>
          <w:szCs w:val="24"/>
          <w:highlight w:val="none"/>
          <w:lang w:val="zh-CN"/>
        </w:rPr>
        <w:t>（公章）</w:t>
      </w:r>
    </w:p>
    <w:p w14:paraId="7233247E">
      <w:pPr>
        <w:spacing w:line="480" w:lineRule="auto"/>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法定代表人或被授权代表：</w:t>
      </w:r>
      <w:r>
        <w:rPr>
          <w:rFonts w:hint="eastAsia" w:ascii="宋体" w:hAnsi="宋体" w:cs="宋体"/>
          <w:b/>
          <w:color w:val="auto"/>
          <w:kern w:val="0"/>
          <w:sz w:val="24"/>
          <w:szCs w:val="24"/>
          <w:highlight w:val="none"/>
          <w:lang w:val="zh-CN"/>
        </w:rPr>
        <w:t xml:space="preserve"> （签字或盖章）</w:t>
      </w:r>
    </w:p>
    <w:p w14:paraId="0A06E8C5">
      <w:pPr>
        <w:spacing w:line="48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日 期：   年   月   日</w:t>
      </w:r>
    </w:p>
    <w:p w14:paraId="4AEDA100">
      <w:pP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br w:type="page"/>
      </w:r>
    </w:p>
    <w:p w14:paraId="70259C1D">
      <w:pPr>
        <w:autoSpaceDE w:val="0"/>
        <w:autoSpaceDN w:val="0"/>
        <w:adjustRightInd w:val="0"/>
        <w:spacing w:line="500" w:lineRule="exact"/>
        <w:jc w:val="center"/>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t>五、磋商保证金</w:t>
      </w:r>
    </w:p>
    <w:p w14:paraId="0A49BB4D">
      <w:pPr>
        <w:rPr>
          <w:rFonts w:ascii="宋体" w:hAnsi="宋体" w:cs="宋体"/>
          <w:b/>
          <w:bCs/>
          <w:color w:val="auto"/>
          <w:sz w:val="24"/>
          <w:szCs w:val="32"/>
          <w:highlight w:val="none"/>
        </w:rPr>
      </w:pPr>
    </w:p>
    <w:p w14:paraId="52507EEE">
      <w:pPr>
        <w:autoSpaceDE w:val="0"/>
        <w:autoSpaceDN w:val="0"/>
        <w:adjustRightInd w:val="0"/>
        <w:spacing w:line="360" w:lineRule="auto"/>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致（采购代理机构名称）：</w:t>
      </w:r>
    </w:p>
    <w:p w14:paraId="52AC05F8">
      <w:pPr>
        <w:autoSpaceDE w:val="0"/>
        <w:autoSpaceDN w:val="0"/>
        <w:adjustRightInd w:val="0"/>
        <w:spacing w:line="360" w:lineRule="auto"/>
        <w:jc w:val="left"/>
        <w:rPr>
          <w:rFonts w:ascii="宋体" w:hAnsi="宋体" w:cs="宋体"/>
          <w:color w:val="auto"/>
          <w:kern w:val="0"/>
          <w:sz w:val="24"/>
          <w:szCs w:val="24"/>
          <w:highlight w:val="none"/>
          <w:lang w:val="zh-CN"/>
        </w:rPr>
      </w:pPr>
    </w:p>
    <w:p w14:paraId="057AF953">
      <w:pPr>
        <w:autoSpaceDE w:val="0"/>
        <w:autoSpaceDN w:val="0"/>
        <w:adjustRightInd w:val="0"/>
        <w:spacing w:line="360" w:lineRule="auto"/>
        <w:ind w:firstLine="601"/>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[供应商名称]（以下称“供应商”）于</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日递交了[项目名称]的响应文件。并附有人民币</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lang w:val="zh-CN"/>
        </w:rPr>
        <w:t>元做为磋商保证金。</w:t>
      </w:r>
    </w:p>
    <w:p w14:paraId="10BFB0AA">
      <w:pPr>
        <w:autoSpaceDE w:val="0"/>
        <w:autoSpaceDN w:val="0"/>
        <w:adjustRightInd w:val="0"/>
        <w:spacing w:line="360" w:lineRule="auto"/>
        <w:ind w:firstLine="601"/>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我方同意磋商文件</w:t>
      </w:r>
      <w:r>
        <w:rPr>
          <w:rFonts w:hint="eastAsia" w:ascii="宋体" w:hAnsi="宋体" w:cs="宋体"/>
          <w:color w:val="auto"/>
          <w:sz w:val="24"/>
          <w:szCs w:val="24"/>
          <w:highlight w:val="none"/>
        </w:rPr>
        <w:t>第二章“供应商须知”</w:t>
      </w:r>
      <w:r>
        <w:rPr>
          <w:rFonts w:hint="eastAsia" w:ascii="宋体" w:hAnsi="宋体" w:cs="宋体"/>
          <w:color w:val="auto"/>
          <w:sz w:val="24"/>
          <w:szCs w:val="24"/>
          <w:highlight w:val="none"/>
          <w:lang w:val="en-US" w:eastAsia="zh-CN"/>
        </w:rPr>
        <w:t>有关</w:t>
      </w:r>
      <w:r>
        <w:rPr>
          <w:rFonts w:hint="eastAsia" w:ascii="宋体" w:hAnsi="宋体" w:cs="宋体"/>
          <w:color w:val="auto"/>
          <w:kern w:val="0"/>
          <w:sz w:val="24"/>
          <w:szCs w:val="24"/>
          <w:highlight w:val="none"/>
          <w:lang w:val="zh-CN"/>
        </w:rPr>
        <w:t>磋商保证金的规定，并对我方有约束力。</w:t>
      </w:r>
    </w:p>
    <w:p w14:paraId="5E15914A">
      <w:pPr>
        <w:autoSpaceDE w:val="0"/>
        <w:autoSpaceDN w:val="0"/>
        <w:adjustRightInd w:val="0"/>
        <w:spacing w:line="360" w:lineRule="auto"/>
        <w:ind w:firstLine="601"/>
        <w:jc w:val="left"/>
        <w:rPr>
          <w:rFonts w:ascii="宋体" w:hAnsi="宋体" w:cs="宋体"/>
          <w:color w:val="auto"/>
          <w:kern w:val="0"/>
          <w:sz w:val="24"/>
          <w:szCs w:val="24"/>
          <w:highlight w:val="none"/>
          <w:lang w:val="zh-CN"/>
        </w:rPr>
      </w:pPr>
    </w:p>
    <w:tbl>
      <w:tblPr>
        <w:tblStyle w:val="48"/>
        <w:tblW w:w="7513"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3"/>
      </w:tblGrid>
      <w:tr w14:paraId="3DD70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0" w:hRule="atLeast"/>
        </w:trPr>
        <w:tc>
          <w:tcPr>
            <w:tcW w:w="7513" w:type="dxa"/>
          </w:tcPr>
          <w:p w14:paraId="559A211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附：汇款凭证</w:t>
            </w:r>
          </w:p>
          <w:p w14:paraId="34DFCA9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color w:val="auto"/>
                <w:kern w:val="0"/>
                <w:sz w:val="24"/>
                <w:szCs w:val="24"/>
                <w:highlight w:val="none"/>
                <w:lang w:val="zh-CN"/>
              </w:rPr>
            </w:pPr>
          </w:p>
        </w:tc>
      </w:tr>
    </w:tbl>
    <w:p w14:paraId="6E861F09">
      <w:pPr>
        <w:autoSpaceDE w:val="0"/>
        <w:autoSpaceDN w:val="0"/>
        <w:adjustRightInd w:val="0"/>
        <w:spacing w:line="360" w:lineRule="auto"/>
        <w:ind w:firstLine="570"/>
        <w:jc w:val="left"/>
        <w:rPr>
          <w:rFonts w:ascii="宋体" w:hAnsi="宋体" w:cs="宋体"/>
          <w:color w:val="auto"/>
          <w:kern w:val="0"/>
          <w:sz w:val="24"/>
          <w:szCs w:val="24"/>
          <w:highlight w:val="none"/>
          <w:lang w:val="zh-CN"/>
        </w:rPr>
      </w:pPr>
    </w:p>
    <w:p w14:paraId="2FB421A3">
      <w:pPr>
        <w:autoSpaceDE w:val="0"/>
        <w:autoSpaceDN w:val="0"/>
        <w:adjustRightInd w:val="0"/>
        <w:spacing w:line="360" w:lineRule="auto"/>
        <w:ind w:firstLine="570"/>
        <w:jc w:val="left"/>
        <w:rPr>
          <w:rFonts w:ascii="宋体" w:hAnsi="宋体" w:cs="宋体"/>
          <w:color w:val="auto"/>
          <w:sz w:val="24"/>
          <w:szCs w:val="24"/>
          <w:highlight w:val="none"/>
        </w:rPr>
      </w:pPr>
    </w:p>
    <w:p w14:paraId="43B096BD">
      <w:pPr>
        <w:autoSpaceDE w:val="0"/>
        <w:autoSpaceDN w:val="0"/>
        <w:adjustRightInd w:val="0"/>
        <w:spacing w:line="360" w:lineRule="auto"/>
        <w:ind w:firstLine="570"/>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供应商：</w:t>
      </w:r>
      <w:r>
        <w:rPr>
          <w:rFonts w:hint="eastAsia" w:ascii="宋体" w:hAnsi="宋体" w:cs="宋体"/>
          <w:b/>
          <w:color w:val="auto"/>
          <w:kern w:val="0"/>
          <w:sz w:val="24"/>
          <w:szCs w:val="24"/>
          <w:highlight w:val="none"/>
          <w:lang w:val="zh-CN"/>
        </w:rPr>
        <w:t>（公章）</w:t>
      </w:r>
    </w:p>
    <w:p w14:paraId="790258EF">
      <w:pPr>
        <w:autoSpaceDE w:val="0"/>
        <w:autoSpaceDN w:val="0"/>
        <w:adjustRightInd w:val="0"/>
        <w:spacing w:line="360" w:lineRule="auto"/>
        <w:jc w:val="left"/>
        <w:rPr>
          <w:rFonts w:ascii="宋体" w:hAnsi="宋体" w:cs="宋体"/>
          <w:b/>
          <w:color w:val="auto"/>
          <w:kern w:val="0"/>
          <w:sz w:val="24"/>
          <w:szCs w:val="24"/>
          <w:highlight w:val="none"/>
          <w:lang w:val="zh-CN"/>
        </w:rPr>
      </w:pPr>
    </w:p>
    <w:p w14:paraId="42E0A74D">
      <w:pPr>
        <w:autoSpaceDE w:val="0"/>
        <w:autoSpaceDN w:val="0"/>
        <w:adjustRightInd w:val="0"/>
        <w:spacing w:line="360" w:lineRule="auto"/>
        <w:jc w:val="left"/>
        <w:rPr>
          <w:rFonts w:ascii="宋体" w:hAnsi="宋体" w:cs="宋体"/>
          <w:b/>
          <w:color w:val="auto"/>
          <w:kern w:val="0"/>
          <w:sz w:val="24"/>
          <w:szCs w:val="24"/>
          <w:highlight w:val="none"/>
          <w:lang w:val="zh-CN"/>
        </w:rPr>
      </w:pPr>
    </w:p>
    <w:p w14:paraId="10C5FA9B">
      <w:pPr>
        <w:spacing w:line="360" w:lineRule="auto"/>
        <w:ind w:firstLine="600" w:firstLineChars="250"/>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法定代表人或被授权代表：</w:t>
      </w:r>
      <w:r>
        <w:rPr>
          <w:rFonts w:hint="eastAsia" w:ascii="宋体" w:hAnsi="宋体" w:cs="宋体"/>
          <w:b/>
          <w:color w:val="auto"/>
          <w:kern w:val="0"/>
          <w:sz w:val="24"/>
          <w:szCs w:val="24"/>
          <w:highlight w:val="none"/>
          <w:lang w:val="zh-CN"/>
        </w:rPr>
        <w:t xml:space="preserve"> （签字或盖章）</w:t>
      </w:r>
    </w:p>
    <w:p w14:paraId="1651B6DC">
      <w:pPr>
        <w:spacing w:line="360" w:lineRule="auto"/>
        <w:ind w:firstLine="480"/>
        <w:rPr>
          <w:rFonts w:ascii="宋体" w:hAnsi="宋体" w:cs="宋体"/>
          <w:color w:val="auto"/>
          <w:kern w:val="0"/>
          <w:szCs w:val="21"/>
          <w:highlight w:val="none"/>
          <w:lang w:val="zh-CN"/>
        </w:rPr>
      </w:pPr>
    </w:p>
    <w:p w14:paraId="397B8A63">
      <w:pPr>
        <w:spacing w:line="360" w:lineRule="auto"/>
        <w:ind w:firstLine="480"/>
        <w:rPr>
          <w:rFonts w:ascii="宋体" w:hAnsi="宋体" w:cs="宋体"/>
          <w:color w:val="auto"/>
          <w:kern w:val="0"/>
          <w:szCs w:val="21"/>
          <w:highlight w:val="none"/>
          <w:lang w:val="zh-CN"/>
        </w:rPr>
      </w:pPr>
    </w:p>
    <w:p w14:paraId="41C3D504">
      <w:pPr>
        <w:spacing w:line="360" w:lineRule="auto"/>
        <w:rPr>
          <w:rFonts w:ascii="宋体" w:hAnsi="宋体" w:cs="宋体"/>
          <w:color w:val="auto"/>
          <w:kern w:val="0"/>
          <w:szCs w:val="21"/>
          <w:highlight w:val="none"/>
          <w:lang w:val="zh-CN"/>
        </w:rPr>
      </w:pPr>
    </w:p>
    <w:p w14:paraId="0640A3A2">
      <w:pPr>
        <w:spacing w:line="360" w:lineRule="auto"/>
        <w:ind w:firstLine="480"/>
        <w:jc w:val="right"/>
        <w:rPr>
          <w:rFonts w:ascii="宋体" w:hAnsi="宋体" w:cs="宋体"/>
          <w:color w:val="auto"/>
          <w:kern w:val="0"/>
          <w:szCs w:val="21"/>
          <w:highlight w:val="none"/>
          <w:lang w:val="zh-CN"/>
        </w:rPr>
      </w:pPr>
    </w:p>
    <w:p w14:paraId="51095FFC">
      <w:pPr>
        <w:spacing w:line="600" w:lineRule="exact"/>
        <w:ind w:firstLine="2880" w:firstLineChars="1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日 期：   年   月   日</w:t>
      </w:r>
    </w:p>
    <w:p w14:paraId="4F7CA938">
      <w:pPr>
        <w:autoSpaceDE w:val="0"/>
        <w:autoSpaceDN w:val="0"/>
        <w:adjustRightInd w:val="0"/>
        <w:spacing w:line="500" w:lineRule="exact"/>
        <w:jc w:val="center"/>
        <w:rPr>
          <w:rFonts w:ascii="宋体" w:hAnsi="宋体" w:cs="宋体"/>
          <w:color w:val="auto"/>
          <w:szCs w:val="21"/>
          <w:highlight w:val="none"/>
        </w:rPr>
      </w:pPr>
    </w:p>
    <w:p w14:paraId="26384815">
      <w:pPr>
        <w:autoSpaceDE w:val="0"/>
        <w:autoSpaceDN w:val="0"/>
        <w:adjustRightInd w:val="0"/>
        <w:spacing w:line="500" w:lineRule="exact"/>
        <w:jc w:val="center"/>
        <w:rPr>
          <w:rFonts w:ascii="宋体" w:hAnsi="宋体" w:cs="宋体"/>
          <w:color w:val="auto"/>
          <w:szCs w:val="21"/>
          <w:highlight w:val="none"/>
          <w:lang w:val="zh-CN"/>
        </w:rPr>
      </w:pPr>
    </w:p>
    <w:p w14:paraId="18B7CB55">
      <w:pPr>
        <w:autoSpaceDE w:val="0"/>
        <w:autoSpaceDN w:val="0"/>
        <w:adjustRightInd w:val="0"/>
        <w:spacing w:line="500" w:lineRule="exact"/>
        <w:rPr>
          <w:rFonts w:ascii="宋体" w:hAnsi="宋体" w:cs="宋体"/>
          <w:color w:val="auto"/>
          <w:szCs w:val="21"/>
          <w:highlight w:val="none"/>
          <w:lang w:val="zh-CN"/>
        </w:rPr>
      </w:pPr>
      <w:r>
        <w:rPr>
          <w:rFonts w:hint="eastAsia" w:ascii="宋体" w:hAnsi="宋体" w:cs="宋体"/>
          <w:color w:val="auto"/>
          <w:sz w:val="24"/>
          <w:highlight w:val="none"/>
          <w:lang w:val="zh-CN"/>
        </w:rPr>
        <w:br w:type="page"/>
      </w:r>
    </w:p>
    <w:p w14:paraId="63F6C94E">
      <w:pPr>
        <w:spacing w:line="360" w:lineRule="auto"/>
        <w:jc w:val="center"/>
        <w:rPr>
          <w:rFonts w:ascii="宋体" w:hAnsi="宋体" w:cs="宋体"/>
          <w:b/>
          <w:bCs/>
          <w:color w:val="auto"/>
          <w:sz w:val="36"/>
          <w:szCs w:val="36"/>
          <w:highlight w:val="none"/>
        </w:rPr>
      </w:pPr>
      <w:bookmarkStart w:id="83" w:name="_Toc373772564"/>
      <w:bookmarkStart w:id="84" w:name="_Toc372556120"/>
      <w:r>
        <w:rPr>
          <w:rFonts w:hint="eastAsia" w:ascii="宋体" w:hAnsi="宋体" w:cs="宋体"/>
          <w:b/>
          <w:bCs/>
          <w:color w:val="auto"/>
          <w:sz w:val="36"/>
          <w:szCs w:val="36"/>
          <w:highlight w:val="none"/>
        </w:rPr>
        <w:t>六、资格审查资料</w:t>
      </w:r>
      <w:bookmarkEnd w:id="83"/>
      <w:bookmarkEnd w:id="84"/>
    </w:p>
    <w:p w14:paraId="09CBA300">
      <w:pPr>
        <w:spacing w:line="360" w:lineRule="auto"/>
        <w:ind w:left="1120" w:hanging="1124" w:hangingChars="400"/>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(一)供应商基本情况表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973"/>
        <w:gridCol w:w="1108"/>
        <w:gridCol w:w="1385"/>
        <w:gridCol w:w="212"/>
        <w:gridCol w:w="1352"/>
        <w:gridCol w:w="2588"/>
      </w:tblGrid>
      <w:tr w14:paraId="5F0F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50E7F24F">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7618" w:type="dxa"/>
            <w:gridSpan w:val="6"/>
            <w:vAlign w:val="center"/>
          </w:tcPr>
          <w:p w14:paraId="3439E644">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4D4B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6C088372">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3678" w:type="dxa"/>
            <w:gridSpan w:val="4"/>
            <w:vAlign w:val="center"/>
          </w:tcPr>
          <w:p w14:paraId="3D0D808F">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352" w:type="dxa"/>
            <w:vAlign w:val="center"/>
          </w:tcPr>
          <w:p w14:paraId="19742414">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2588" w:type="dxa"/>
            <w:vAlign w:val="center"/>
          </w:tcPr>
          <w:p w14:paraId="022BD4AE">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1134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2" w:type="dxa"/>
            <w:vMerge w:val="restart"/>
            <w:vAlign w:val="center"/>
          </w:tcPr>
          <w:p w14:paraId="656C92FE">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973" w:type="dxa"/>
            <w:vAlign w:val="center"/>
          </w:tcPr>
          <w:p w14:paraId="19260A75">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705" w:type="dxa"/>
            <w:gridSpan w:val="3"/>
            <w:vAlign w:val="center"/>
          </w:tcPr>
          <w:p w14:paraId="1A61FB02">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352" w:type="dxa"/>
            <w:vAlign w:val="center"/>
          </w:tcPr>
          <w:p w14:paraId="237E0528">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电  话</w:t>
            </w:r>
          </w:p>
        </w:tc>
        <w:tc>
          <w:tcPr>
            <w:tcW w:w="2588" w:type="dxa"/>
            <w:vAlign w:val="center"/>
          </w:tcPr>
          <w:p w14:paraId="25480A02">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1122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2" w:type="dxa"/>
            <w:vMerge w:val="continue"/>
            <w:vAlign w:val="center"/>
          </w:tcPr>
          <w:p w14:paraId="67F7CFFA">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973" w:type="dxa"/>
            <w:vAlign w:val="center"/>
          </w:tcPr>
          <w:p w14:paraId="5F3FDD98">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传  真</w:t>
            </w:r>
          </w:p>
        </w:tc>
        <w:tc>
          <w:tcPr>
            <w:tcW w:w="2705" w:type="dxa"/>
            <w:gridSpan w:val="3"/>
            <w:vAlign w:val="center"/>
          </w:tcPr>
          <w:p w14:paraId="0E98A0C6">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352" w:type="dxa"/>
            <w:vAlign w:val="center"/>
          </w:tcPr>
          <w:p w14:paraId="03B0463F">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网  址</w:t>
            </w:r>
          </w:p>
        </w:tc>
        <w:tc>
          <w:tcPr>
            <w:tcW w:w="2588" w:type="dxa"/>
            <w:vAlign w:val="center"/>
          </w:tcPr>
          <w:p w14:paraId="71F376FE">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5B75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5BAF6D2D">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组织结构</w:t>
            </w:r>
          </w:p>
        </w:tc>
        <w:tc>
          <w:tcPr>
            <w:tcW w:w="7618" w:type="dxa"/>
            <w:gridSpan w:val="6"/>
            <w:vAlign w:val="center"/>
          </w:tcPr>
          <w:p w14:paraId="4F5F5C84">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6D3A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26CCE65C">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973" w:type="dxa"/>
            <w:vAlign w:val="center"/>
          </w:tcPr>
          <w:p w14:paraId="44B243C1">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1108" w:type="dxa"/>
            <w:vAlign w:val="center"/>
          </w:tcPr>
          <w:p w14:paraId="60CB1A23">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385" w:type="dxa"/>
            <w:vAlign w:val="center"/>
          </w:tcPr>
          <w:p w14:paraId="62B2DD07">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电话</w:t>
            </w:r>
          </w:p>
        </w:tc>
        <w:tc>
          <w:tcPr>
            <w:tcW w:w="4152" w:type="dxa"/>
            <w:gridSpan w:val="3"/>
            <w:vAlign w:val="center"/>
          </w:tcPr>
          <w:p w14:paraId="7ECBDBB2">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37D6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028A4D1D">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企业负责人</w:t>
            </w:r>
          </w:p>
        </w:tc>
        <w:tc>
          <w:tcPr>
            <w:tcW w:w="973" w:type="dxa"/>
            <w:vAlign w:val="center"/>
          </w:tcPr>
          <w:p w14:paraId="649A5BDE">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1108" w:type="dxa"/>
            <w:vAlign w:val="center"/>
          </w:tcPr>
          <w:p w14:paraId="5998A24A">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385" w:type="dxa"/>
            <w:vAlign w:val="center"/>
          </w:tcPr>
          <w:p w14:paraId="2E07901E">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电话</w:t>
            </w:r>
          </w:p>
        </w:tc>
        <w:tc>
          <w:tcPr>
            <w:tcW w:w="4152" w:type="dxa"/>
            <w:gridSpan w:val="3"/>
            <w:vAlign w:val="center"/>
          </w:tcPr>
          <w:p w14:paraId="403AA582">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28BA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7352F6F0">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2081" w:type="dxa"/>
            <w:gridSpan w:val="2"/>
            <w:vAlign w:val="center"/>
          </w:tcPr>
          <w:p w14:paraId="21B57269">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5537" w:type="dxa"/>
            <w:gridSpan w:val="4"/>
            <w:vAlign w:val="center"/>
          </w:tcPr>
          <w:p w14:paraId="0BFA32FD">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从业人员总人数：</w:t>
            </w:r>
          </w:p>
        </w:tc>
      </w:tr>
      <w:tr w14:paraId="4C04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vAlign w:val="center"/>
          </w:tcPr>
          <w:p w14:paraId="23909FE3">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营业执照号</w:t>
            </w:r>
          </w:p>
        </w:tc>
      </w:tr>
      <w:tr w14:paraId="7093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vAlign w:val="center"/>
          </w:tcPr>
          <w:p w14:paraId="4ECE6731">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注册资金</w:t>
            </w:r>
          </w:p>
        </w:tc>
      </w:tr>
      <w:tr w14:paraId="5537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vAlign w:val="center"/>
          </w:tcPr>
          <w:p w14:paraId="4C99326C">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开户银行</w:t>
            </w:r>
          </w:p>
        </w:tc>
      </w:tr>
      <w:tr w14:paraId="6411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30" w:type="dxa"/>
            <w:gridSpan w:val="7"/>
            <w:vAlign w:val="center"/>
          </w:tcPr>
          <w:p w14:paraId="67687C55">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账号</w:t>
            </w:r>
          </w:p>
        </w:tc>
      </w:tr>
      <w:tr w14:paraId="6765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12" w:type="dxa"/>
            <w:vAlign w:val="center"/>
          </w:tcPr>
          <w:p w14:paraId="32E6A434">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经营范围</w:t>
            </w:r>
          </w:p>
        </w:tc>
        <w:tc>
          <w:tcPr>
            <w:tcW w:w="7618" w:type="dxa"/>
            <w:gridSpan w:val="6"/>
            <w:vAlign w:val="center"/>
          </w:tcPr>
          <w:p w14:paraId="7D56240D">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599D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5EB0CF81">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备注</w:t>
            </w:r>
          </w:p>
        </w:tc>
        <w:tc>
          <w:tcPr>
            <w:tcW w:w="7618" w:type="dxa"/>
            <w:gridSpan w:val="6"/>
            <w:vAlign w:val="center"/>
          </w:tcPr>
          <w:p w14:paraId="08556DD4">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bl>
    <w:p w14:paraId="3904A2A0">
      <w:pPr>
        <w:spacing w:before="120" w:beforeLines="50" w:after="120" w:afterLines="5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注：在本表后应附供应商营业执照（副本）、</w:t>
      </w:r>
      <w:r>
        <w:rPr>
          <w:rFonts w:hint="eastAsia" w:ascii="宋体" w:hAnsi="宋体" w:cs="宋体"/>
          <w:color w:val="auto"/>
          <w:kern w:val="0"/>
          <w:sz w:val="24"/>
          <w:szCs w:val="24"/>
          <w:highlight w:val="none"/>
          <w:lang w:eastAsia="zh-CN"/>
        </w:rPr>
        <w:t>资质证书、</w:t>
      </w:r>
      <w:r>
        <w:rPr>
          <w:rFonts w:hint="eastAsia" w:ascii="宋体" w:hAnsi="宋体" w:cs="宋体"/>
          <w:color w:val="auto"/>
          <w:kern w:val="0"/>
          <w:sz w:val="24"/>
          <w:szCs w:val="24"/>
          <w:highlight w:val="none"/>
        </w:rPr>
        <w:t>开户许可证或银行开户证明等相关证件的复印件。</w:t>
      </w:r>
    </w:p>
    <w:p w14:paraId="1A641EF1">
      <w:pPr>
        <w:spacing w:before="120" w:beforeLines="50" w:after="120" w:afterLines="50"/>
        <w:rPr>
          <w:rFonts w:ascii="宋体" w:hAnsi="宋体" w:cs="宋体"/>
          <w:color w:val="auto"/>
          <w:kern w:val="0"/>
          <w:sz w:val="24"/>
          <w:szCs w:val="24"/>
          <w:highlight w:val="none"/>
        </w:rPr>
      </w:pPr>
    </w:p>
    <w:p w14:paraId="5BDCC836">
      <w:pPr>
        <w:spacing w:before="120" w:beforeLines="50" w:after="120" w:afterLines="50"/>
        <w:rPr>
          <w:rFonts w:ascii="宋体" w:hAnsi="宋体" w:cs="宋体"/>
          <w:color w:val="auto"/>
          <w:kern w:val="0"/>
          <w:szCs w:val="21"/>
          <w:highlight w:val="none"/>
        </w:rPr>
      </w:pPr>
    </w:p>
    <w:p w14:paraId="0007CAEE">
      <w:pPr>
        <w:spacing w:before="120" w:beforeLines="50" w:after="120" w:afterLines="50"/>
        <w:rPr>
          <w:rFonts w:ascii="宋体" w:hAnsi="宋体" w:cs="宋体"/>
          <w:color w:val="auto"/>
          <w:kern w:val="0"/>
          <w:szCs w:val="21"/>
          <w:highlight w:val="none"/>
        </w:rPr>
      </w:pPr>
    </w:p>
    <w:p w14:paraId="25E40353">
      <w:pPr>
        <w:spacing w:before="120" w:beforeLines="50" w:after="120" w:afterLines="50"/>
        <w:rPr>
          <w:rFonts w:ascii="宋体" w:hAnsi="宋体" w:cs="宋体"/>
          <w:color w:val="auto"/>
          <w:kern w:val="0"/>
          <w:szCs w:val="21"/>
          <w:highlight w:val="none"/>
        </w:rPr>
      </w:pPr>
    </w:p>
    <w:p w14:paraId="0DCBB7F4">
      <w:pPr>
        <w:spacing w:before="120" w:beforeLines="50" w:after="120" w:afterLines="50"/>
        <w:rPr>
          <w:rFonts w:ascii="宋体" w:hAnsi="宋体" w:cs="宋体"/>
          <w:color w:val="auto"/>
          <w:kern w:val="0"/>
          <w:szCs w:val="21"/>
          <w:highlight w:val="none"/>
        </w:rPr>
      </w:pPr>
      <w:r>
        <w:rPr>
          <w:rFonts w:hint="eastAsia" w:ascii="宋体" w:hAnsi="宋体" w:cs="宋体"/>
          <w:color w:val="auto"/>
          <w:kern w:val="0"/>
          <w:szCs w:val="21"/>
          <w:highlight w:val="none"/>
        </w:rPr>
        <w:br w:type="page"/>
      </w:r>
    </w:p>
    <w:p w14:paraId="1A0D1F7E">
      <w:pPr>
        <w:spacing w:before="120" w:beforeLines="50" w:after="120" w:afterLines="50"/>
        <w:jc w:val="center"/>
        <w:rPr>
          <w:rFonts w:ascii="宋体" w:hAnsi="宋体"/>
          <w:b/>
          <w:bCs/>
          <w:color w:val="auto"/>
          <w:kern w:val="0"/>
          <w:sz w:val="28"/>
          <w:szCs w:val="28"/>
        </w:rPr>
      </w:pPr>
      <w:r>
        <w:rPr>
          <w:rFonts w:hint="eastAsia" w:ascii="宋体" w:hAnsi="宋体"/>
          <w:b/>
          <w:bCs/>
          <w:color w:val="auto"/>
          <w:kern w:val="0"/>
          <w:sz w:val="28"/>
          <w:szCs w:val="28"/>
        </w:rPr>
        <w:t>（二）资格条件承诺函</w:t>
      </w:r>
    </w:p>
    <w:p w14:paraId="103930F2">
      <w:pPr>
        <w:rPr>
          <w:rFonts w:hint="eastAsia" w:ascii="宋体" w:hAnsi="宋体" w:cs="宋体"/>
          <w:color w:val="auto"/>
          <w:szCs w:val="21"/>
        </w:rPr>
      </w:pPr>
    </w:p>
    <w:p w14:paraId="231B7EA0">
      <w:pPr>
        <w:jc w:val="center"/>
        <w:rPr>
          <w:rFonts w:hint="eastAsia" w:ascii="宋体" w:hAnsi="宋体" w:cs="宋体"/>
          <w:color w:val="auto"/>
          <w:szCs w:val="21"/>
        </w:rPr>
      </w:pPr>
      <w:r>
        <w:rPr>
          <w:rFonts w:hint="eastAsia" w:ascii="宋体" w:hAnsi="宋体" w:cs="宋体"/>
          <w:color w:val="auto"/>
          <w:szCs w:val="21"/>
        </w:rPr>
        <w:t>资格条件承诺书</w:t>
      </w:r>
    </w:p>
    <w:p w14:paraId="0607A84C">
      <w:pPr>
        <w:rPr>
          <w:rFonts w:hint="eastAsia" w:ascii="宋体" w:hAnsi="宋体" w:cs="宋体"/>
          <w:color w:val="auto"/>
          <w:szCs w:val="21"/>
        </w:rPr>
      </w:pPr>
    </w:p>
    <w:p w14:paraId="777DA58D">
      <w:pPr>
        <w:spacing w:line="480" w:lineRule="auto"/>
        <w:rPr>
          <w:rFonts w:hint="eastAsia" w:ascii="宋体" w:hAnsi="宋体" w:cs="宋体"/>
          <w:color w:val="auto"/>
          <w:szCs w:val="21"/>
          <w:u w:val="single"/>
        </w:rPr>
      </w:pPr>
      <w:r>
        <w:rPr>
          <w:rFonts w:hint="eastAsia" w:ascii="宋体" w:hAnsi="宋体" w:cs="宋体"/>
          <w:color w:val="auto"/>
          <w:szCs w:val="21"/>
          <w:u w:val="single"/>
        </w:rPr>
        <w:t>致：（采购人、采购代理机构）</w:t>
      </w:r>
    </w:p>
    <w:p w14:paraId="161ABA2E">
      <w:pPr>
        <w:spacing w:line="480" w:lineRule="auto"/>
        <w:ind w:firstLine="420"/>
        <w:rPr>
          <w:rFonts w:hint="eastAsia" w:ascii="宋体" w:hAnsi="宋体" w:cs="宋体"/>
          <w:color w:val="auto"/>
          <w:szCs w:val="21"/>
          <w:u w:val="single"/>
        </w:rPr>
      </w:pPr>
      <w:r>
        <w:rPr>
          <w:rFonts w:hint="eastAsia" w:ascii="宋体" w:hAnsi="宋体" w:cs="宋体"/>
          <w:color w:val="auto"/>
          <w:szCs w:val="21"/>
        </w:rPr>
        <w:t>我单位（公司）</w:t>
      </w:r>
      <w:r>
        <w:rPr>
          <w:rFonts w:hint="eastAsia" w:ascii="宋体" w:hAnsi="宋体" w:cs="宋体"/>
          <w:color w:val="auto"/>
          <w:szCs w:val="21"/>
          <w:u w:val="single"/>
        </w:rPr>
        <w:t>参与（采购项目名称    项目编号）采购项目的政府采购活动，现承诺如下：</w:t>
      </w:r>
    </w:p>
    <w:p w14:paraId="0F3DB5D1">
      <w:pPr>
        <w:spacing w:line="480" w:lineRule="auto"/>
        <w:ind w:firstLine="630" w:firstLineChars="300"/>
        <w:rPr>
          <w:rFonts w:hint="eastAsia" w:ascii="宋体" w:hAnsi="宋体" w:cs="宋体"/>
          <w:color w:val="auto"/>
          <w:szCs w:val="21"/>
        </w:rPr>
      </w:pPr>
      <w:r>
        <w:rPr>
          <w:rFonts w:hint="eastAsia" w:ascii="宋体" w:hAnsi="宋体" w:cs="宋体"/>
          <w:color w:val="auto"/>
          <w:szCs w:val="21"/>
        </w:rPr>
        <w:t>1.具有良好的商业信誉和健全的财务会计制度；</w:t>
      </w:r>
    </w:p>
    <w:p w14:paraId="235D89E5">
      <w:pPr>
        <w:spacing w:line="480" w:lineRule="auto"/>
        <w:ind w:firstLine="210" w:firstLineChars="100"/>
        <w:rPr>
          <w:rFonts w:hint="eastAsia" w:ascii="宋体" w:hAnsi="宋体" w:cs="宋体"/>
          <w:color w:val="auto"/>
          <w:szCs w:val="21"/>
        </w:rPr>
      </w:pPr>
      <w:r>
        <w:rPr>
          <w:rFonts w:hint="eastAsia" w:ascii="宋体" w:hAnsi="宋体" w:cs="宋体"/>
          <w:color w:val="auto"/>
          <w:szCs w:val="21"/>
        </w:rPr>
        <w:t xml:space="preserve">    2.具有依法缴纳税收的良好记录；</w:t>
      </w:r>
    </w:p>
    <w:p w14:paraId="26173B4D">
      <w:pPr>
        <w:spacing w:line="480" w:lineRule="auto"/>
        <w:ind w:firstLine="630" w:firstLineChars="300"/>
        <w:rPr>
          <w:rFonts w:hint="eastAsia" w:ascii="宋体" w:hAnsi="宋体" w:cs="宋体"/>
          <w:color w:val="auto"/>
          <w:szCs w:val="21"/>
        </w:rPr>
      </w:pPr>
      <w:r>
        <w:rPr>
          <w:rFonts w:hint="eastAsia" w:ascii="宋体" w:hAnsi="宋体" w:cs="宋体"/>
          <w:color w:val="auto"/>
          <w:szCs w:val="21"/>
        </w:rPr>
        <w:t>3.具有依法缴纳社会保障金的良好记录；</w:t>
      </w:r>
    </w:p>
    <w:p w14:paraId="3F5FEFDA">
      <w:pPr>
        <w:spacing w:line="480" w:lineRule="auto"/>
        <w:rPr>
          <w:rFonts w:hint="eastAsia" w:ascii="宋体" w:hAnsi="宋体" w:cs="宋体"/>
          <w:color w:val="auto"/>
          <w:szCs w:val="21"/>
        </w:rPr>
      </w:pPr>
      <w:r>
        <w:rPr>
          <w:rFonts w:hint="eastAsia" w:ascii="宋体" w:hAnsi="宋体" w:cs="宋体"/>
          <w:color w:val="auto"/>
          <w:szCs w:val="21"/>
        </w:rPr>
        <w:t xml:space="preserve">    我方在采购项目评审（评标）环节结束后，随时接受采购人，采购代理机构的检查验证，配合提供相关证明资料，证明符合《中华人民共和国政府采购法》规定的供应商基本资格条件。</w:t>
      </w:r>
    </w:p>
    <w:p w14:paraId="3FB815C4">
      <w:pPr>
        <w:spacing w:line="480" w:lineRule="auto"/>
        <w:rPr>
          <w:rFonts w:hint="eastAsia" w:ascii="宋体" w:hAnsi="宋体" w:cs="宋体"/>
          <w:color w:val="auto"/>
          <w:szCs w:val="21"/>
        </w:rPr>
      </w:pPr>
      <w:r>
        <w:rPr>
          <w:rFonts w:hint="eastAsia" w:ascii="宋体" w:hAnsi="宋体" w:cs="宋体"/>
          <w:color w:val="auto"/>
          <w:szCs w:val="21"/>
        </w:rPr>
        <w:t xml:space="preserve">     我单位（公司）对上述承诺的真实性负责，如有虚假，将依法承担相应责任。</w:t>
      </w:r>
    </w:p>
    <w:p w14:paraId="6D23D7C1">
      <w:pPr>
        <w:spacing w:line="480" w:lineRule="auto"/>
        <w:rPr>
          <w:rFonts w:hint="eastAsia" w:ascii="宋体" w:hAnsi="宋体" w:cs="宋体"/>
          <w:color w:val="auto"/>
          <w:szCs w:val="21"/>
        </w:rPr>
      </w:pPr>
      <w:r>
        <w:rPr>
          <w:rFonts w:hint="eastAsia" w:ascii="宋体" w:hAnsi="宋体" w:cs="宋体"/>
          <w:color w:val="auto"/>
          <w:szCs w:val="21"/>
        </w:rPr>
        <w:t>特此承诺。</w:t>
      </w:r>
    </w:p>
    <w:p w14:paraId="02036A9B">
      <w:pPr>
        <w:spacing w:line="480" w:lineRule="auto"/>
        <w:rPr>
          <w:rFonts w:hint="eastAsia" w:ascii="宋体" w:hAnsi="宋体" w:cs="宋体"/>
          <w:color w:val="auto"/>
          <w:szCs w:val="21"/>
        </w:rPr>
      </w:pPr>
    </w:p>
    <w:p w14:paraId="2A560C09">
      <w:pPr>
        <w:spacing w:line="480" w:lineRule="auto"/>
        <w:rPr>
          <w:rFonts w:hint="eastAsia" w:ascii="宋体" w:hAnsi="宋体" w:cs="宋体"/>
          <w:color w:val="auto"/>
          <w:szCs w:val="21"/>
        </w:rPr>
      </w:pPr>
    </w:p>
    <w:p w14:paraId="7C6AB689">
      <w:pPr>
        <w:spacing w:line="480" w:lineRule="auto"/>
        <w:rPr>
          <w:rFonts w:hint="eastAsia" w:ascii="宋体" w:hAnsi="宋体" w:cs="宋体"/>
          <w:color w:val="auto"/>
          <w:szCs w:val="21"/>
        </w:rPr>
      </w:pPr>
    </w:p>
    <w:p w14:paraId="79A91E50">
      <w:pPr>
        <w:spacing w:line="480" w:lineRule="auto"/>
        <w:jc w:val="center"/>
        <w:rPr>
          <w:rFonts w:hint="eastAsia" w:ascii="宋体" w:hAnsi="宋体" w:cs="宋体"/>
          <w:color w:val="auto"/>
          <w:szCs w:val="21"/>
        </w:rPr>
      </w:pPr>
      <w:r>
        <w:rPr>
          <w:rFonts w:hint="eastAsia" w:ascii="宋体" w:hAnsi="宋体" w:cs="宋体"/>
          <w:color w:val="auto"/>
          <w:szCs w:val="21"/>
        </w:rPr>
        <w:t xml:space="preserve">      盖章：</w:t>
      </w:r>
    </w:p>
    <w:p w14:paraId="54AC782B">
      <w:pPr>
        <w:spacing w:line="480" w:lineRule="auto"/>
        <w:jc w:val="center"/>
        <w:rPr>
          <w:rFonts w:hint="eastAsia" w:ascii="宋体" w:hAnsi="宋体" w:cs="宋体"/>
          <w:color w:val="auto"/>
          <w:szCs w:val="21"/>
        </w:rPr>
      </w:pPr>
    </w:p>
    <w:p w14:paraId="7A05C645">
      <w:pPr>
        <w:spacing w:line="480" w:lineRule="auto"/>
        <w:jc w:val="center"/>
        <w:rPr>
          <w:rFonts w:hint="eastAsia" w:ascii="宋体" w:hAnsi="宋体" w:cs="宋体"/>
          <w:color w:val="auto"/>
          <w:szCs w:val="21"/>
        </w:rPr>
      </w:pPr>
      <w:r>
        <w:rPr>
          <w:rFonts w:hint="eastAsia" w:ascii="宋体" w:hAnsi="宋体" w:cs="宋体"/>
          <w:color w:val="auto"/>
          <w:szCs w:val="21"/>
        </w:rPr>
        <w:t xml:space="preserve">      签字：</w:t>
      </w:r>
    </w:p>
    <w:p w14:paraId="00E43F17">
      <w:pPr>
        <w:spacing w:line="480" w:lineRule="auto"/>
        <w:jc w:val="center"/>
        <w:rPr>
          <w:rFonts w:hint="eastAsia" w:ascii="宋体" w:hAnsi="宋体" w:cs="宋体"/>
          <w:color w:val="auto"/>
          <w:szCs w:val="21"/>
        </w:rPr>
      </w:pPr>
      <w:r>
        <w:rPr>
          <w:rFonts w:hint="eastAsia" w:ascii="宋体" w:hAnsi="宋体" w:cs="宋体"/>
          <w:color w:val="auto"/>
          <w:szCs w:val="21"/>
        </w:rPr>
        <w:t xml:space="preserve">    </w:t>
      </w:r>
    </w:p>
    <w:p w14:paraId="1A0A0803">
      <w:pPr>
        <w:spacing w:line="480" w:lineRule="auto"/>
        <w:jc w:val="center"/>
        <w:rPr>
          <w:rFonts w:hint="eastAsia" w:ascii="宋体" w:hAnsi="宋体"/>
          <w:color w:val="auto"/>
          <w:kern w:val="0"/>
          <w:sz w:val="44"/>
          <w:szCs w:val="44"/>
        </w:rPr>
      </w:pPr>
      <w:r>
        <w:rPr>
          <w:rFonts w:hint="eastAsia" w:ascii="宋体" w:hAnsi="宋体" w:cs="宋体"/>
          <w:color w:val="auto"/>
          <w:szCs w:val="21"/>
        </w:rPr>
        <w:t xml:space="preserve">        日期：</w:t>
      </w:r>
    </w:p>
    <w:p w14:paraId="43599DC1">
      <w:pP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br w:type="page"/>
      </w:r>
    </w:p>
    <w:p w14:paraId="6691C3A9">
      <w:pPr>
        <w:spacing w:line="360" w:lineRule="auto"/>
        <w:jc w:val="center"/>
        <w:rPr>
          <w:rFonts w:ascii="宋体" w:hAnsi="宋体" w:eastAsia="宋体" w:cs="宋体"/>
          <w:b/>
          <w:bCs/>
          <w:color w:val="auto"/>
          <w:sz w:val="28"/>
          <w:szCs w:val="28"/>
        </w:rPr>
      </w:pPr>
      <w:r>
        <w:rPr>
          <w:rFonts w:hint="eastAsia" w:ascii="宋体" w:hAnsi="宋体" w:cs="宋体"/>
          <w:b/>
          <w:bCs/>
          <w:color w:val="auto"/>
          <w:kern w:val="0"/>
          <w:sz w:val="28"/>
          <w:szCs w:val="28"/>
          <w:highlight w:val="none"/>
        </w:rPr>
        <w:t>(</w:t>
      </w:r>
      <w:r>
        <w:rPr>
          <w:rFonts w:hint="eastAsia" w:ascii="宋体" w:hAnsi="宋体" w:cs="宋体"/>
          <w:b/>
          <w:bCs/>
          <w:color w:val="auto"/>
          <w:kern w:val="0"/>
          <w:sz w:val="28"/>
          <w:szCs w:val="28"/>
          <w:highlight w:val="none"/>
          <w:lang w:eastAsia="zh-CN"/>
        </w:rPr>
        <w:t>三</w:t>
      </w:r>
      <w:r>
        <w:rPr>
          <w:rFonts w:hint="eastAsia" w:ascii="宋体" w:hAnsi="宋体" w:cs="宋体"/>
          <w:b/>
          <w:bCs/>
          <w:color w:val="auto"/>
          <w:kern w:val="0"/>
          <w:sz w:val="28"/>
          <w:szCs w:val="28"/>
          <w:highlight w:val="none"/>
        </w:rPr>
        <w:t>)</w:t>
      </w:r>
      <w:r>
        <w:rPr>
          <w:rFonts w:hint="eastAsia" w:ascii="宋体" w:hAnsi="宋体" w:eastAsia="宋体" w:cs="宋体"/>
          <w:b/>
          <w:bCs/>
          <w:color w:val="auto"/>
          <w:sz w:val="28"/>
          <w:szCs w:val="28"/>
        </w:rPr>
        <w:t>2022年</w:t>
      </w:r>
      <w:r>
        <w:rPr>
          <w:rFonts w:hint="eastAsia" w:ascii="宋体" w:hAnsi="宋体" w:eastAsia="宋体" w:cs="宋体"/>
          <w:b/>
          <w:bCs/>
          <w:color w:val="auto"/>
          <w:sz w:val="28"/>
          <w:szCs w:val="28"/>
          <w:lang w:eastAsia="zh-CN"/>
        </w:rPr>
        <w:t>至今</w:t>
      </w:r>
      <w:r>
        <w:rPr>
          <w:rFonts w:hint="eastAsia" w:ascii="宋体" w:hAnsi="宋体" w:eastAsia="宋体" w:cs="宋体"/>
          <w:b/>
          <w:bCs/>
          <w:color w:val="auto"/>
          <w:sz w:val="28"/>
          <w:szCs w:val="28"/>
        </w:rPr>
        <w:t>类似项目业绩</w:t>
      </w:r>
    </w:p>
    <w:tbl>
      <w:tblPr>
        <w:tblStyle w:val="48"/>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746"/>
        <w:gridCol w:w="2506"/>
        <w:gridCol w:w="2501"/>
      </w:tblGrid>
      <w:tr w14:paraId="075F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6" w:type="dxa"/>
            <w:vAlign w:val="center"/>
          </w:tcPr>
          <w:p w14:paraId="209C5CB4">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r>
              <w:rPr>
                <w:rFonts w:hint="eastAsia" w:ascii="宋体" w:hAnsi="宋体" w:eastAsia="宋体" w:cs="宋体"/>
                <w:color w:val="auto"/>
                <w:sz w:val="24"/>
                <w:szCs w:val="20"/>
              </w:rPr>
              <w:t>序号</w:t>
            </w:r>
          </w:p>
        </w:tc>
        <w:tc>
          <w:tcPr>
            <w:tcW w:w="3746" w:type="dxa"/>
            <w:vAlign w:val="center"/>
          </w:tcPr>
          <w:p w14:paraId="1800964E">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r>
              <w:rPr>
                <w:rFonts w:hint="eastAsia" w:ascii="宋体" w:hAnsi="宋体" w:eastAsia="宋体" w:cs="宋体"/>
                <w:color w:val="auto"/>
                <w:sz w:val="24"/>
                <w:szCs w:val="20"/>
              </w:rPr>
              <w:t>合同名称/内容</w:t>
            </w:r>
          </w:p>
        </w:tc>
        <w:tc>
          <w:tcPr>
            <w:tcW w:w="2506" w:type="dxa"/>
            <w:vAlign w:val="center"/>
          </w:tcPr>
          <w:p w14:paraId="3344C6A7">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r>
              <w:rPr>
                <w:rFonts w:hint="eastAsia" w:ascii="宋体" w:hAnsi="宋体" w:eastAsia="宋体" w:cs="宋体"/>
                <w:color w:val="auto"/>
                <w:sz w:val="24"/>
                <w:szCs w:val="20"/>
              </w:rPr>
              <w:t>合同金额</w:t>
            </w:r>
          </w:p>
        </w:tc>
        <w:tc>
          <w:tcPr>
            <w:tcW w:w="2501" w:type="dxa"/>
            <w:vAlign w:val="center"/>
          </w:tcPr>
          <w:p w14:paraId="0A4E05EC">
            <w:pPr>
              <w:keepNext w:val="0"/>
              <w:keepLines w:val="0"/>
              <w:suppressLineNumbers w:val="0"/>
              <w:spacing w:before="0" w:beforeAutospacing="0" w:after="0" w:afterAutospacing="0"/>
              <w:ind w:left="0" w:right="0"/>
              <w:rPr>
                <w:rFonts w:hint="default" w:ascii="宋体" w:hAnsi="宋体" w:eastAsia="宋体" w:cs="宋体"/>
                <w:color w:val="auto"/>
                <w:sz w:val="24"/>
                <w:szCs w:val="20"/>
              </w:rPr>
            </w:pPr>
            <w:r>
              <w:rPr>
                <w:rFonts w:hint="eastAsia" w:ascii="宋体" w:hAnsi="宋体" w:eastAsia="宋体" w:cs="宋体"/>
                <w:color w:val="auto"/>
                <w:sz w:val="24"/>
                <w:szCs w:val="20"/>
              </w:rPr>
              <w:t>合同签订日期（年）</w:t>
            </w:r>
          </w:p>
        </w:tc>
      </w:tr>
      <w:tr w14:paraId="6637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664AA4C3">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3746" w:type="dxa"/>
            <w:vAlign w:val="center"/>
          </w:tcPr>
          <w:p w14:paraId="72087CB0">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2506" w:type="dxa"/>
            <w:vAlign w:val="center"/>
          </w:tcPr>
          <w:p w14:paraId="0000A908">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2501" w:type="dxa"/>
            <w:vAlign w:val="center"/>
          </w:tcPr>
          <w:p w14:paraId="7CE02D89">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r>
      <w:tr w14:paraId="3A3D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4832A82C">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3746" w:type="dxa"/>
            <w:vAlign w:val="center"/>
          </w:tcPr>
          <w:p w14:paraId="0CBD358C">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2506" w:type="dxa"/>
            <w:vAlign w:val="center"/>
          </w:tcPr>
          <w:p w14:paraId="2D73A1BB">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2501" w:type="dxa"/>
            <w:vAlign w:val="center"/>
          </w:tcPr>
          <w:p w14:paraId="0A836187">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r>
      <w:tr w14:paraId="4307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676F24A">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3746" w:type="dxa"/>
            <w:vAlign w:val="center"/>
          </w:tcPr>
          <w:p w14:paraId="53D70498">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2506" w:type="dxa"/>
            <w:vAlign w:val="center"/>
          </w:tcPr>
          <w:p w14:paraId="710AD6C6">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2501" w:type="dxa"/>
            <w:vAlign w:val="center"/>
          </w:tcPr>
          <w:p w14:paraId="4A9E295A">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r>
      <w:tr w14:paraId="62AF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4BE31EE8">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3746" w:type="dxa"/>
            <w:vAlign w:val="center"/>
          </w:tcPr>
          <w:p w14:paraId="5CE335C7">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2506" w:type="dxa"/>
            <w:vAlign w:val="center"/>
          </w:tcPr>
          <w:p w14:paraId="794BC1CD">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2501" w:type="dxa"/>
            <w:vAlign w:val="center"/>
          </w:tcPr>
          <w:p w14:paraId="55DCAFA8">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r>
      <w:tr w14:paraId="5A0C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003B12E1">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3746" w:type="dxa"/>
            <w:vAlign w:val="center"/>
          </w:tcPr>
          <w:p w14:paraId="5F4624CA">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2506" w:type="dxa"/>
            <w:vAlign w:val="center"/>
          </w:tcPr>
          <w:p w14:paraId="042FB1FD">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2501" w:type="dxa"/>
            <w:vAlign w:val="center"/>
          </w:tcPr>
          <w:p w14:paraId="66499C26">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r>
      <w:tr w14:paraId="01B8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0A3CEBCA">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3746" w:type="dxa"/>
            <w:vAlign w:val="center"/>
          </w:tcPr>
          <w:p w14:paraId="54965A9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4"/>
                <w:szCs w:val="20"/>
              </w:rPr>
            </w:pPr>
          </w:p>
        </w:tc>
        <w:tc>
          <w:tcPr>
            <w:tcW w:w="2506" w:type="dxa"/>
            <w:vAlign w:val="center"/>
          </w:tcPr>
          <w:p w14:paraId="77537507">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2501" w:type="dxa"/>
            <w:vAlign w:val="center"/>
          </w:tcPr>
          <w:p w14:paraId="3E68396D">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r>
      <w:tr w14:paraId="4A60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2C15364D">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3746" w:type="dxa"/>
            <w:vAlign w:val="center"/>
          </w:tcPr>
          <w:p w14:paraId="6A4C88E7">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2506" w:type="dxa"/>
            <w:vAlign w:val="center"/>
          </w:tcPr>
          <w:p w14:paraId="63C3EE87">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2501" w:type="dxa"/>
            <w:vAlign w:val="center"/>
          </w:tcPr>
          <w:p w14:paraId="4D1DA418">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r>
      <w:tr w14:paraId="7AFC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509CDDD">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3746" w:type="dxa"/>
            <w:vAlign w:val="center"/>
          </w:tcPr>
          <w:p w14:paraId="5DA8E6DA">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2506" w:type="dxa"/>
            <w:vAlign w:val="center"/>
          </w:tcPr>
          <w:p w14:paraId="49E0CA67">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c>
          <w:tcPr>
            <w:tcW w:w="2501" w:type="dxa"/>
            <w:vAlign w:val="center"/>
          </w:tcPr>
          <w:p w14:paraId="5EC402A0">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0"/>
              </w:rPr>
            </w:pPr>
          </w:p>
        </w:tc>
      </w:tr>
    </w:tbl>
    <w:p w14:paraId="618B91E0">
      <w:pPr>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注：后附中标通知书或合同协议书或保单证明</w:t>
      </w:r>
      <w:r>
        <w:rPr>
          <w:rFonts w:hint="eastAsia" w:ascii="宋体" w:hAnsi="宋体" w:cs="宋体"/>
          <w:b/>
          <w:color w:val="auto"/>
          <w:sz w:val="24"/>
          <w:szCs w:val="24"/>
          <w:lang w:eastAsia="zh-CN"/>
        </w:rPr>
        <w:t>，</w:t>
      </w:r>
      <w:r>
        <w:rPr>
          <w:rFonts w:hint="eastAsia" w:ascii="宋体" w:hAnsi="宋体" w:eastAsia="宋体" w:cs="宋体"/>
          <w:b/>
          <w:color w:val="auto"/>
          <w:sz w:val="24"/>
          <w:szCs w:val="24"/>
        </w:rPr>
        <w:t>否则业绩视为无效。</w:t>
      </w:r>
    </w:p>
    <w:p w14:paraId="6C0ABB77">
      <w:pPr>
        <w:spacing w:before="120" w:beforeLines="50" w:after="120" w:afterLines="50" w:line="360" w:lineRule="auto"/>
        <w:ind w:firstLine="480" w:firstLineChars="200"/>
        <w:jc w:val="left"/>
        <w:rPr>
          <w:rFonts w:ascii="宋体" w:hAnsi="宋体" w:cs="宋体"/>
          <w:color w:val="auto"/>
          <w:kern w:val="0"/>
          <w:sz w:val="24"/>
          <w:szCs w:val="24"/>
          <w:highlight w:val="none"/>
        </w:rPr>
      </w:pPr>
    </w:p>
    <w:p w14:paraId="523EDB7E">
      <w:pPr>
        <w:spacing w:line="360" w:lineRule="auto"/>
        <w:ind w:right="-418" w:rightChars="-199"/>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br w:type="page"/>
      </w:r>
      <w:r>
        <w:rPr>
          <w:rFonts w:hint="eastAsia" w:ascii="宋体" w:hAnsi="宋体" w:cs="宋体"/>
          <w:b/>
          <w:bCs/>
          <w:color w:val="auto"/>
          <w:kern w:val="0"/>
          <w:sz w:val="28"/>
          <w:szCs w:val="28"/>
          <w:highlight w:val="none"/>
        </w:rPr>
        <w:t>（</w:t>
      </w:r>
      <w:r>
        <w:rPr>
          <w:rFonts w:hint="eastAsia" w:ascii="宋体" w:hAnsi="宋体" w:cs="宋体"/>
          <w:b/>
          <w:bCs/>
          <w:color w:val="auto"/>
          <w:kern w:val="0"/>
          <w:sz w:val="28"/>
          <w:szCs w:val="28"/>
          <w:highlight w:val="none"/>
          <w:lang w:eastAsia="zh-CN"/>
        </w:rPr>
        <w:t>四</w:t>
      </w:r>
      <w:r>
        <w:rPr>
          <w:rFonts w:hint="eastAsia" w:ascii="宋体" w:hAnsi="宋体" w:cs="宋体"/>
          <w:b/>
          <w:bCs/>
          <w:color w:val="auto"/>
          <w:kern w:val="0"/>
          <w:sz w:val="28"/>
          <w:szCs w:val="28"/>
          <w:highlight w:val="none"/>
        </w:rPr>
        <w:t>)拟投入人员基本情况表</w:t>
      </w:r>
    </w:p>
    <w:tbl>
      <w:tblPr>
        <w:tblStyle w:val="48"/>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1335"/>
        <w:gridCol w:w="1704"/>
        <w:gridCol w:w="1260"/>
        <w:gridCol w:w="2340"/>
      </w:tblGrid>
      <w:tr w14:paraId="45F2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2393" w:type="dxa"/>
            <w:vAlign w:val="center"/>
          </w:tcPr>
          <w:p w14:paraId="6DC89F89">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在本项目中所担任的职务</w:t>
            </w:r>
          </w:p>
        </w:tc>
        <w:tc>
          <w:tcPr>
            <w:tcW w:w="1335" w:type="dxa"/>
            <w:vAlign w:val="center"/>
          </w:tcPr>
          <w:p w14:paraId="369E312A">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1704" w:type="dxa"/>
            <w:vAlign w:val="center"/>
          </w:tcPr>
          <w:p w14:paraId="7F6BE8FC">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性别</w:t>
            </w:r>
          </w:p>
        </w:tc>
        <w:tc>
          <w:tcPr>
            <w:tcW w:w="1260" w:type="dxa"/>
            <w:vAlign w:val="center"/>
          </w:tcPr>
          <w:p w14:paraId="3A544C69">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年龄</w:t>
            </w:r>
          </w:p>
        </w:tc>
        <w:tc>
          <w:tcPr>
            <w:tcW w:w="2340" w:type="dxa"/>
            <w:vAlign w:val="center"/>
          </w:tcPr>
          <w:p w14:paraId="5B511C75">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职称</w:t>
            </w:r>
          </w:p>
        </w:tc>
      </w:tr>
      <w:tr w14:paraId="065F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14:paraId="631970C6">
            <w:pPr>
              <w:keepNext w:val="0"/>
              <w:keepLines w:val="0"/>
              <w:suppressLineNumbers w:val="0"/>
              <w:spacing w:before="0" w:beforeAutospacing="0" w:after="0" w:afterAutospacing="0"/>
              <w:ind w:left="0" w:right="0"/>
              <w:rPr>
                <w:rFonts w:hint="default" w:ascii="宋体" w:hAnsi="宋体" w:cs="宋体"/>
                <w:color w:val="auto"/>
                <w:kern w:val="0"/>
                <w:sz w:val="24"/>
                <w:szCs w:val="24"/>
                <w:highlight w:val="none"/>
              </w:rPr>
            </w:pPr>
          </w:p>
        </w:tc>
        <w:tc>
          <w:tcPr>
            <w:tcW w:w="1335" w:type="dxa"/>
            <w:vAlign w:val="center"/>
          </w:tcPr>
          <w:p w14:paraId="4274EB60">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14:paraId="739CBA25">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14:paraId="7DFC1E85">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14:paraId="556FFCB7">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3A97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14:paraId="7FE81274">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335" w:type="dxa"/>
            <w:vAlign w:val="center"/>
          </w:tcPr>
          <w:p w14:paraId="7CEF5079">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14:paraId="46CE1282">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14:paraId="45313CAE">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14:paraId="739ED89F">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1D92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14:paraId="142BC4F5">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335" w:type="dxa"/>
            <w:vAlign w:val="center"/>
          </w:tcPr>
          <w:p w14:paraId="6597720D">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14:paraId="472D0EF2">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14:paraId="555A3C48">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14:paraId="1D6B92AD">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2483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14:paraId="356D2875">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335" w:type="dxa"/>
            <w:vAlign w:val="center"/>
          </w:tcPr>
          <w:p w14:paraId="66545038">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14:paraId="65596901">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14:paraId="3A4EA623">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14:paraId="4E0A0F9A">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6AE9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14:paraId="6A755DA0">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335" w:type="dxa"/>
            <w:vAlign w:val="center"/>
          </w:tcPr>
          <w:p w14:paraId="555642FE">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14:paraId="00145EA9">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14:paraId="733B93B6">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14:paraId="3793AA82">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76D1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393" w:type="dxa"/>
            <w:vAlign w:val="center"/>
          </w:tcPr>
          <w:p w14:paraId="68260DAE">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1335" w:type="dxa"/>
            <w:vAlign w:val="center"/>
          </w:tcPr>
          <w:p w14:paraId="381BEFE8">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704" w:type="dxa"/>
            <w:vAlign w:val="center"/>
          </w:tcPr>
          <w:p w14:paraId="55B66DB8">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60" w:type="dxa"/>
          </w:tcPr>
          <w:p w14:paraId="72CF18AE">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2340" w:type="dxa"/>
            <w:vAlign w:val="center"/>
          </w:tcPr>
          <w:p w14:paraId="6669D708">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bl>
    <w:p w14:paraId="4F46674C">
      <w:pPr>
        <w:spacing w:before="120" w:beforeLines="50" w:after="120" w:afterLines="5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注：1、供应商应根据磋商文件要求和磋商项目的实际需要，列出拟配备的人员清单。</w:t>
      </w:r>
    </w:p>
    <w:p w14:paraId="1337FE87">
      <w:pPr>
        <w:spacing w:before="120" w:beforeLines="50" w:after="120" w:afterLines="50"/>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2、供应商应按分别填写本表所列人员的资历。</w:t>
      </w:r>
    </w:p>
    <w:p w14:paraId="3BF14C4E">
      <w:pPr>
        <w:spacing w:before="120" w:beforeLines="50" w:after="120" w:afterLines="50"/>
        <w:rPr>
          <w:rFonts w:ascii="宋体" w:hAnsi="宋体" w:cs="宋体"/>
          <w:color w:val="auto"/>
          <w:kern w:val="0"/>
          <w:szCs w:val="21"/>
          <w:highlight w:val="none"/>
        </w:rPr>
      </w:pPr>
    </w:p>
    <w:p w14:paraId="65DFF709">
      <w:pPr>
        <w:spacing w:before="120" w:beforeLines="50" w:after="120" w:afterLines="50"/>
        <w:rPr>
          <w:rFonts w:ascii="宋体" w:hAnsi="宋体" w:cs="宋体"/>
          <w:color w:val="auto"/>
          <w:kern w:val="0"/>
          <w:szCs w:val="21"/>
          <w:highlight w:val="none"/>
        </w:rPr>
      </w:pPr>
    </w:p>
    <w:p w14:paraId="1E2A298C">
      <w:pPr>
        <w:spacing w:before="120" w:beforeLines="50" w:after="120" w:afterLines="50"/>
        <w:rPr>
          <w:rFonts w:ascii="宋体" w:hAnsi="宋体" w:cs="宋体"/>
          <w:color w:val="auto"/>
          <w:kern w:val="0"/>
          <w:szCs w:val="21"/>
          <w:highlight w:val="none"/>
        </w:rPr>
      </w:pPr>
    </w:p>
    <w:p w14:paraId="52D3D120">
      <w:pPr>
        <w:spacing w:line="360" w:lineRule="auto"/>
        <w:ind w:right="-418" w:rightChars="-199"/>
        <w:jc w:val="center"/>
        <w:rPr>
          <w:rFonts w:ascii="宋体" w:hAnsi="宋体" w:cs="宋体"/>
          <w:color w:val="auto"/>
          <w:kern w:val="0"/>
          <w:sz w:val="28"/>
          <w:szCs w:val="28"/>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 w:val="28"/>
          <w:szCs w:val="28"/>
          <w:highlight w:val="none"/>
        </w:rPr>
        <w:t>(</w:t>
      </w:r>
      <w:r>
        <w:rPr>
          <w:rFonts w:hint="eastAsia" w:ascii="宋体" w:hAnsi="宋体" w:cs="宋体"/>
          <w:b/>
          <w:bCs/>
          <w:color w:val="auto"/>
          <w:kern w:val="0"/>
          <w:sz w:val="28"/>
          <w:szCs w:val="28"/>
          <w:highlight w:val="none"/>
          <w:lang w:eastAsia="zh-CN"/>
        </w:rPr>
        <w:t>五</w:t>
      </w:r>
      <w:r>
        <w:rPr>
          <w:rFonts w:hint="eastAsia" w:ascii="宋体" w:hAnsi="宋体" w:cs="宋体"/>
          <w:b/>
          <w:bCs/>
          <w:color w:val="auto"/>
          <w:kern w:val="0"/>
          <w:sz w:val="28"/>
          <w:szCs w:val="28"/>
          <w:highlight w:val="none"/>
        </w:rPr>
        <w:t>)主要人员资历表</w:t>
      </w:r>
    </w:p>
    <w:tbl>
      <w:tblPr>
        <w:tblStyle w:val="48"/>
        <w:tblW w:w="905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692"/>
        <w:gridCol w:w="1549"/>
        <w:gridCol w:w="1818"/>
        <w:gridCol w:w="14"/>
        <w:gridCol w:w="952"/>
        <w:gridCol w:w="1246"/>
      </w:tblGrid>
      <w:tr w14:paraId="0213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057" w:type="dxa"/>
            <w:gridSpan w:val="7"/>
            <w:vAlign w:val="center"/>
          </w:tcPr>
          <w:p w14:paraId="135E17A1">
            <w:pPr>
              <w:keepNext w:val="0"/>
              <w:keepLines w:val="0"/>
              <w:suppressLineNumbers w:val="0"/>
              <w:spacing w:before="0" w:beforeAutospacing="0" w:after="0" w:afterAutospacing="0"/>
              <w:ind w:left="0" w:right="0"/>
              <w:rPr>
                <w:rFonts w:hint="default" w:ascii="宋体" w:hAnsi="宋体" w:cs="宋体"/>
                <w:b/>
                <w:color w:val="auto"/>
                <w:sz w:val="24"/>
                <w:szCs w:val="24"/>
                <w:highlight w:val="none"/>
              </w:rPr>
            </w:pPr>
            <w:r>
              <w:rPr>
                <w:rFonts w:hint="eastAsia" w:ascii="宋体" w:hAnsi="宋体" w:cs="宋体"/>
                <w:b/>
                <w:color w:val="auto"/>
                <w:kern w:val="0"/>
                <w:sz w:val="24"/>
                <w:szCs w:val="24"/>
                <w:highlight w:val="none"/>
              </w:rPr>
              <w:t>1．一般情况</w:t>
            </w:r>
          </w:p>
        </w:tc>
      </w:tr>
      <w:tr w14:paraId="1E53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86" w:type="dxa"/>
            <w:vAlign w:val="center"/>
          </w:tcPr>
          <w:p w14:paraId="381E0153">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1692" w:type="dxa"/>
            <w:vAlign w:val="center"/>
          </w:tcPr>
          <w:p w14:paraId="2C184F3C">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549" w:type="dxa"/>
            <w:vAlign w:val="center"/>
          </w:tcPr>
          <w:p w14:paraId="252B9615">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性别</w:t>
            </w:r>
          </w:p>
        </w:tc>
        <w:tc>
          <w:tcPr>
            <w:tcW w:w="1832" w:type="dxa"/>
            <w:gridSpan w:val="2"/>
            <w:vAlign w:val="center"/>
          </w:tcPr>
          <w:p w14:paraId="7EF3260C">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952" w:type="dxa"/>
            <w:vAlign w:val="center"/>
          </w:tcPr>
          <w:p w14:paraId="4B43811E">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年龄</w:t>
            </w:r>
          </w:p>
        </w:tc>
        <w:tc>
          <w:tcPr>
            <w:tcW w:w="1246" w:type="dxa"/>
            <w:vAlign w:val="center"/>
          </w:tcPr>
          <w:p w14:paraId="26E6E337">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0CE0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86" w:type="dxa"/>
            <w:vAlign w:val="center"/>
          </w:tcPr>
          <w:p w14:paraId="40CD10A9">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在本合同中</w:t>
            </w:r>
          </w:p>
          <w:p w14:paraId="4423E58A">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拟任职</w:t>
            </w:r>
          </w:p>
        </w:tc>
        <w:tc>
          <w:tcPr>
            <w:tcW w:w="1692" w:type="dxa"/>
            <w:vAlign w:val="center"/>
          </w:tcPr>
          <w:p w14:paraId="3B047910">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549" w:type="dxa"/>
            <w:vAlign w:val="center"/>
          </w:tcPr>
          <w:p w14:paraId="4F83896B">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身份证号码</w:t>
            </w:r>
          </w:p>
        </w:tc>
        <w:tc>
          <w:tcPr>
            <w:tcW w:w="4030" w:type="dxa"/>
            <w:gridSpan w:val="4"/>
            <w:vAlign w:val="center"/>
          </w:tcPr>
          <w:p w14:paraId="469CA338">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672F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057" w:type="dxa"/>
            <w:gridSpan w:val="7"/>
            <w:vAlign w:val="center"/>
          </w:tcPr>
          <w:p w14:paraId="2E13BC17">
            <w:pPr>
              <w:keepNext w:val="0"/>
              <w:keepLines w:val="0"/>
              <w:suppressLineNumbers w:val="0"/>
              <w:spacing w:before="0" w:beforeAutospacing="0" w:after="0" w:afterAutospacing="0"/>
              <w:ind w:left="0" w:right="0"/>
              <w:rPr>
                <w:rFonts w:hint="default" w:ascii="宋体" w:hAnsi="宋体" w:cs="宋体"/>
                <w:b/>
                <w:color w:val="auto"/>
                <w:sz w:val="24"/>
                <w:szCs w:val="24"/>
                <w:highlight w:val="none"/>
              </w:rPr>
            </w:pPr>
            <w:r>
              <w:rPr>
                <w:rFonts w:hint="eastAsia" w:ascii="宋体" w:hAnsi="宋体" w:cs="宋体"/>
                <w:b/>
                <w:color w:val="auto"/>
                <w:kern w:val="0"/>
                <w:sz w:val="24"/>
                <w:szCs w:val="24"/>
                <w:highlight w:val="none"/>
              </w:rPr>
              <w:t>2．工作经历</w:t>
            </w:r>
          </w:p>
        </w:tc>
      </w:tr>
      <w:tr w14:paraId="1C6F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86" w:type="dxa"/>
            <w:vAlign w:val="center"/>
          </w:tcPr>
          <w:p w14:paraId="0003DF5B">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时间</w:t>
            </w:r>
          </w:p>
        </w:tc>
        <w:tc>
          <w:tcPr>
            <w:tcW w:w="5059" w:type="dxa"/>
            <w:gridSpan w:val="3"/>
            <w:vAlign w:val="center"/>
          </w:tcPr>
          <w:p w14:paraId="0F260192">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kern w:val="0"/>
                <w:sz w:val="24"/>
                <w:szCs w:val="24"/>
                <w:highlight w:val="none"/>
              </w:rPr>
              <w:t>参与过的项目</w:t>
            </w:r>
          </w:p>
        </w:tc>
        <w:tc>
          <w:tcPr>
            <w:tcW w:w="966" w:type="dxa"/>
            <w:gridSpan w:val="2"/>
            <w:vAlign w:val="center"/>
          </w:tcPr>
          <w:p w14:paraId="7736F607">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该项目中任职</w:t>
            </w:r>
          </w:p>
        </w:tc>
        <w:tc>
          <w:tcPr>
            <w:tcW w:w="1246" w:type="dxa"/>
            <w:vAlign w:val="center"/>
          </w:tcPr>
          <w:p w14:paraId="40032148">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6B96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86" w:type="dxa"/>
            <w:vAlign w:val="center"/>
          </w:tcPr>
          <w:p w14:paraId="472007BF">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5059" w:type="dxa"/>
            <w:gridSpan w:val="3"/>
            <w:vAlign w:val="center"/>
          </w:tcPr>
          <w:p w14:paraId="6E8B0E16">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966" w:type="dxa"/>
            <w:gridSpan w:val="2"/>
            <w:vAlign w:val="center"/>
          </w:tcPr>
          <w:p w14:paraId="1B47EBE0">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246" w:type="dxa"/>
            <w:vAlign w:val="center"/>
          </w:tcPr>
          <w:p w14:paraId="0EECB94F">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r>
      <w:tr w14:paraId="4A47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86" w:type="dxa"/>
            <w:vAlign w:val="center"/>
          </w:tcPr>
          <w:p w14:paraId="0363EED1">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5059" w:type="dxa"/>
            <w:gridSpan w:val="3"/>
            <w:vAlign w:val="center"/>
          </w:tcPr>
          <w:p w14:paraId="09ABEF22">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966" w:type="dxa"/>
            <w:gridSpan w:val="2"/>
            <w:vAlign w:val="center"/>
          </w:tcPr>
          <w:p w14:paraId="019DFE5B">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c>
          <w:tcPr>
            <w:tcW w:w="1246" w:type="dxa"/>
            <w:vAlign w:val="center"/>
          </w:tcPr>
          <w:p w14:paraId="26E410D3">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highlight w:val="none"/>
              </w:rPr>
            </w:pPr>
          </w:p>
        </w:tc>
      </w:tr>
      <w:tr w14:paraId="45EF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057" w:type="dxa"/>
            <w:gridSpan w:val="7"/>
            <w:vAlign w:val="center"/>
          </w:tcPr>
          <w:p w14:paraId="71A7FB4A">
            <w:pPr>
              <w:keepNext w:val="0"/>
              <w:keepLines w:val="0"/>
              <w:suppressLineNumbers w:val="0"/>
              <w:spacing w:before="0" w:beforeAutospacing="0" w:after="0" w:afterAutospacing="0"/>
              <w:ind w:left="0" w:right="0"/>
              <w:rPr>
                <w:rFonts w:hint="default" w:ascii="宋体" w:hAnsi="宋体" w:cs="宋体"/>
                <w:b/>
                <w:color w:val="auto"/>
                <w:sz w:val="24"/>
                <w:szCs w:val="24"/>
                <w:highlight w:val="none"/>
              </w:rPr>
            </w:pPr>
            <w:r>
              <w:rPr>
                <w:rFonts w:hint="eastAsia" w:ascii="宋体" w:hAnsi="宋体" w:cs="宋体"/>
                <w:b/>
                <w:color w:val="auto"/>
                <w:kern w:val="0"/>
                <w:sz w:val="24"/>
                <w:szCs w:val="24"/>
                <w:highlight w:val="none"/>
              </w:rPr>
              <w:t>3．获奖情况</w:t>
            </w:r>
          </w:p>
        </w:tc>
      </w:tr>
      <w:tr w14:paraId="6301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057" w:type="dxa"/>
            <w:gridSpan w:val="7"/>
            <w:vAlign w:val="center"/>
          </w:tcPr>
          <w:p w14:paraId="61906776">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3DDB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57" w:type="dxa"/>
            <w:gridSpan w:val="7"/>
            <w:vAlign w:val="center"/>
          </w:tcPr>
          <w:p w14:paraId="60A42885">
            <w:pPr>
              <w:keepNext w:val="0"/>
              <w:keepLines w:val="0"/>
              <w:suppressLineNumbers w:val="0"/>
              <w:spacing w:before="0" w:beforeAutospacing="0" w:after="0" w:afterAutospacing="0"/>
              <w:ind w:left="0" w:right="0"/>
              <w:rPr>
                <w:rFonts w:hint="default" w:ascii="宋体" w:hAnsi="宋体" w:cs="宋体"/>
                <w:b/>
                <w:color w:val="auto"/>
                <w:sz w:val="24"/>
                <w:szCs w:val="24"/>
                <w:highlight w:val="none"/>
              </w:rPr>
            </w:pPr>
            <w:r>
              <w:rPr>
                <w:rFonts w:hint="eastAsia" w:ascii="宋体" w:hAnsi="宋体" w:cs="宋体"/>
                <w:b/>
                <w:color w:val="auto"/>
                <w:kern w:val="0"/>
                <w:sz w:val="24"/>
                <w:szCs w:val="24"/>
                <w:highlight w:val="none"/>
              </w:rPr>
              <w:t>4．目前承担的任务</w:t>
            </w:r>
          </w:p>
        </w:tc>
      </w:tr>
      <w:tr w14:paraId="3794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9057" w:type="dxa"/>
            <w:gridSpan w:val="7"/>
            <w:vAlign w:val="center"/>
          </w:tcPr>
          <w:p w14:paraId="567A2952">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bl>
    <w:p w14:paraId="63F74CA5">
      <w:pPr>
        <w:spacing w:before="120" w:beforeLines="50" w:after="120" w:afterLines="50"/>
        <w:jc w:val="both"/>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注：附</w:t>
      </w:r>
      <w:r>
        <w:rPr>
          <w:rFonts w:hint="eastAsia" w:ascii="宋体" w:hAnsi="宋体" w:cs="宋体"/>
          <w:color w:val="auto"/>
          <w:kern w:val="0"/>
          <w:sz w:val="24"/>
          <w:szCs w:val="24"/>
          <w:highlight w:val="none"/>
        </w:rPr>
        <w:t>身份证</w:t>
      </w:r>
      <w:r>
        <w:rPr>
          <w:rFonts w:hint="eastAsia" w:ascii="宋体" w:hAnsi="宋体" w:cs="宋体"/>
          <w:color w:val="auto"/>
          <w:kern w:val="0"/>
          <w:sz w:val="24"/>
          <w:szCs w:val="24"/>
          <w:highlight w:val="none"/>
          <w:lang w:eastAsia="zh-CN"/>
        </w:rPr>
        <w:t>、学历证、近期社保</w:t>
      </w:r>
      <w:r>
        <w:rPr>
          <w:rFonts w:hint="eastAsia" w:ascii="宋体" w:hAnsi="宋体" w:cs="宋体"/>
          <w:color w:val="auto"/>
          <w:kern w:val="0"/>
          <w:sz w:val="24"/>
          <w:szCs w:val="24"/>
          <w:highlight w:val="none"/>
          <w:lang w:val="en-US" w:eastAsia="zh-CN"/>
        </w:rPr>
        <w:t>证明材料</w:t>
      </w:r>
      <w:r>
        <w:rPr>
          <w:rFonts w:hint="eastAsia" w:ascii="宋体" w:hAnsi="宋体" w:cs="宋体"/>
          <w:color w:val="auto"/>
          <w:kern w:val="0"/>
          <w:sz w:val="24"/>
          <w:szCs w:val="24"/>
          <w:highlight w:val="none"/>
        </w:rPr>
        <w:t>等</w:t>
      </w:r>
    </w:p>
    <w:p w14:paraId="7F9CA6B5">
      <w:pPr>
        <w:spacing w:before="120" w:beforeLines="50" w:after="120" w:afterLines="50"/>
        <w:rPr>
          <w:rFonts w:ascii="宋体" w:hAnsi="宋体" w:cs="宋体"/>
          <w:color w:val="auto"/>
          <w:kern w:val="0"/>
          <w:sz w:val="24"/>
          <w:szCs w:val="24"/>
          <w:highlight w:val="none"/>
        </w:rPr>
      </w:pPr>
    </w:p>
    <w:p w14:paraId="0DB0E0A3">
      <w:pPr>
        <w:spacing w:before="120" w:beforeLines="50" w:after="120" w:afterLines="50"/>
        <w:rPr>
          <w:rFonts w:ascii="宋体" w:hAnsi="宋体" w:cs="宋体"/>
          <w:color w:val="auto"/>
          <w:kern w:val="0"/>
          <w:sz w:val="24"/>
          <w:szCs w:val="24"/>
          <w:highlight w:val="none"/>
        </w:rPr>
      </w:pPr>
    </w:p>
    <w:p w14:paraId="57386EEE">
      <w:pPr>
        <w:spacing w:before="120" w:beforeLines="50" w:after="120" w:afterLines="50"/>
        <w:rPr>
          <w:rFonts w:ascii="宋体" w:hAnsi="宋体" w:cs="宋体"/>
          <w:color w:val="auto"/>
          <w:kern w:val="0"/>
          <w:sz w:val="24"/>
          <w:szCs w:val="24"/>
          <w:highlight w:val="none"/>
        </w:rPr>
      </w:pPr>
    </w:p>
    <w:p w14:paraId="43DD1017">
      <w:pPr>
        <w:spacing w:before="120" w:beforeLines="50" w:after="120" w:afterLines="50"/>
        <w:rPr>
          <w:rFonts w:ascii="宋体" w:hAnsi="宋体" w:cs="宋体"/>
          <w:color w:val="auto"/>
          <w:kern w:val="0"/>
          <w:sz w:val="24"/>
          <w:szCs w:val="24"/>
          <w:highlight w:val="none"/>
        </w:rPr>
      </w:pPr>
    </w:p>
    <w:p w14:paraId="3C20CFC1">
      <w:pPr>
        <w:ind w:left="960" w:hanging="960" w:hangingChars="400"/>
        <w:rPr>
          <w:rFonts w:ascii="宋体" w:hAnsi="宋体" w:cs="宋体"/>
          <w:color w:val="auto"/>
          <w:sz w:val="24"/>
          <w:szCs w:val="24"/>
          <w:highlight w:val="none"/>
          <w:u w:val="single"/>
        </w:rPr>
      </w:pPr>
    </w:p>
    <w:p w14:paraId="370BC444">
      <w:pPr>
        <w:ind w:left="960" w:hanging="960" w:hangingChars="400"/>
        <w:rPr>
          <w:rFonts w:ascii="宋体" w:hAnsi="宋体" w:cs="宋体"/>
          <w:color w:val="auto"/>
          <w:sz w:val="24"/>
          <w:szCs w:val="24"/>
          <w:highlight w:val="none"/>
          <w:u w:val="single"/>
        </w:rPr>
      </w:pPr>
    </w:p>
    <w:p w14:paraId="2A51D8B9">
      <w:pPr>
        <w:jc w:val="center"/>
        <w:rPr>
          <w:rFonts w:ascii="宋体" w:hAnsi="宋体" w:cs="宋体"/>
          <w:b/>
          <w:color w:val="auto"/>
          <w:kern w:val="0"/>
          <w:sz w:val="24"/>
          <w:szCs w:val="24"/>
          <w:highlight w:val="none"/>
        </w:rPr>
      </w:pPr>
    </w:p>
    <w:p w14:paraId="0A73ED27">
      <w:pPr>
        <w:jc w:val="center"/>
        <w:rPr>
          <w:rFonts w:ascii="宋体" w:hAnsi="宋体" w:cs="宋体"/>
          <w:b/>
          <w:color w:val="auto"/>
          <w:kern w:val="0"/>
          <w:sz w:val="24"/>
          <w:szCs w:val="24"/>
          <w:highlight w:val="none"/>
        </w:rPr>
      </w:pPr>
    </w:p>
    <w:p w14:paraId="3B0468E9">
      <w:pPr>
        <w:jc w:val="center"/>
        <w:rPr>
          <w:rFonts w:ascii="宋体" w:hAnsi="宋体" w:cs="宋体"/>
          <w:b/>
          <w:color w:val="auto"/>
          <w:kern w:val="0"/>
          <w:sz w:val="24"/>
          <w:szCs w:val="24"/>
          <w:highlight w:val="none"/>
        </w:rPr>
      </w:pPr>
    </w:p>
    <w:p w14:paraId="03B92F1C">
      <w:pPr>
        <w:spacing w:before="120" w:beforeLines="50" w:after="120" w:afterLines="50"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br w:type="page"/>
      </w:r>
      <w:r>
        <w:rPr>
          <w:rFonts w:hint="eastAsia" w:ascii="宋体" w:hAnsi="宋体" w:cs="宋体"/>
          <w:b/>
          <w:color w:val="auto"/>
          <w:sz w:val="28"/>
          <w:szCs w:val="28"/>
          <w:highlight w:val="none"/>
          <w:lang w:val="zh-CN"/>
        </w:rPr>
        <w:t xml:space="preserve"> (</w:t>
      </w:r>
      <w:r>
        <w:rPr>
          <w:rFonts w:hint="eastAsia" w:ascii="宋体" w:hAnsi="宋体" w:cs="宋体"/>
          <w:b/>
          <w:color w:val="auto"/>
          <w:sz w:val="28"/>
          <w:szCs w:val="28"/>
          <w:highlight w:val="none"/>
          <w:lang w:val="zh-CN" w:eastAsia="zh-CN"/>
        </w:rPr>
        <w:t>六</w:t>
      </w:r>
      <w:r>
        <w:rPr>
          <w:rFonts w:hint="eastAsia" w:ascii="宋体" w:hAnsi="宋体" w:cs="宋体"/>
          <w:b/>
          <w:color w:val="auto"/>
          <w:sz w:val="28"/>
          <w:szCs w:val="28"/>
          <w:highlight w:val="none"/>
          <w:lang w:val="zh-CN"/>
        </w:rPr>
        <w:t>)其他资料表</w:t>
      </w:r>
    </w:p>
    <w:p w14:paraId="656A636D">
      <w:pPr>
        <w:spacing w:before="120" w:beforeLines="50" w:after="120" w:afterLines="50"/>
        <w:rPr>
          <w:rFonts w:hint="eastAsia" w:ascii="宋体" w:hAnsi="宋体" w:cs="宋体"/>
          <w:bCs/>
          <w:color w:val="auto"/>
          <w:sz w:val="24"/>
          <w:highlight w:val="none"/>
        </w:rPr>
      </w:pPr>
    </w:p>
    <w:p w14:paraId="0C8CEFE1">
      <w:pPr>
        <w:spacing w:before="120" w:beforeLines="50" w:after="120" w:afterLines="50"/>
        <w:jc w:val="center"/>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技术标准及服务需求</w:t>
      </w:r>
      <w:r>
        <w:rPr>
          <w:rFonts w:hint="eastAsia" w:ascii="宋体" w:hAnsi="宋体" w:cs="宋体"/>
          <w:bCs/>
          <w:color w:val="auto"/>
          <w:sz w:val="24"/>
          <w:highlight w:val="none"/>
        </w:rPr>
        <w:t>偏离表</w:t>
      </w:r>
    </w:p>
    <w:tbl>
      <w:tblPr>
        <w:tblStyle w:val="48"/>
        <w:tblW w:w="8923" w:type="dxa"/>
        <w:jc w:val="center"/>
        <w:tblLayout w:type="fixed"/>
        <w:tblCellMar>
          <w:top w:w="0" w:type="dxa"/>
          <w:left w:w="108" w:type="dxa"/>
          <w:bottom w:w="0" w:type="dxa"/>
          <w:right w:w="108" w:type="dxa"/>
        </w:tblCellMar>
      </w:tblPr>
      <w:tblGrid>
        <w:gridCol w:w="810"/>
        <w:gridCol w:w="3223"/>
        <w:gridCol w:w="1305"/>
        <w:gridCol w:w="3585"/>
      </w:tblGrid>
      <w:tr w14:paraId="0C90CA7C">
        <w:tblPrEx>
          <w:tblCellMar>
            <w:top w:w="0" w:type="dxa"/>
            <w:left w:w="108" w:type="dxa"/>
            <w:bottom w:w="0" w:type="dxa"/>
            <w:right w:w="108" w:type="dxa"/>
          </w:tblCellMar>
        </w:tblPrEx>
        <w:trPr>
          <w:trHeight w:val="840" w:hRule="atLeast"/>
          <w:jc w:val="center"/>
        </w:trPr>
        <w:tc>
          <w:tcPr>
            <w:tcW w:w="810" w:type="dxa"/>
            <w:tcBorders>
              <w:top w:val="single" w:color="auto" w:sz="6" w:space="0"/>
              <w:left w:val="single" w:color="auto" w:sz="6" w:space="0"/>
              <w:bottom w:val="single" w:color="auto" w:sz="6" w:space="0"/>
              <w:right w:val="single" w:color="auto" w:sz="6" w:space="0"/>
            </w:tcBorders>
            <w:noWrap/>
            <w:vAlign w:val="center"/>
          </w:tcPr>
          <w:p w14:paraId="08173B9C">
            <w:pPr>
              <w:keepNext w:val="0"/>
              <w:keepLines w:val="0"/>
              <w:suppressLineNumbers w:val="0"/>
              <w:autoSpaceDE w:val="0"/>
              <w:autoSpaceDN w:val="0"/>
              <w:spacing w:before="12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序号</w:t>
            </w:r>
          </w:p>
        </w:tc>
        <w:tc>
          <w:tcPr>
            <w:tcW w:w="3223" w:type="dxa"/>
            <w:tcBorders>
              <w:top w:val="single" w:color="auto" w:sz="6" w:space="0"/>
              <w:left w:val="single" w:color="auto" w:sz="6" w:space="0"/>
              <w:bottom w:val="single" w:color="auto" w:sz="6" w:space="0"/>
              <w:right w:val="single" w:color="auto" w:sz="6" w:space="0"/>
            </w:tcBorders>
            <w:noWrap/>
            <w:vAlign w:val="center"/>
          </w:tcPr>
          <w:p w14:paraId="70A2E576">
            <w:pPr>
              <w:keepNext w:val="0"/>
              <w:keepLines w:val="0"/>
              <w:suppressLineNumbers w:val="0"/>
              <w:autoSpaceDE w:val="0"/>
              <w:autoSpaceDN w:val="0"/>
              <w:spacing w:before="12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zh-CN"/>
              </w:rPr>
              <w:t>招标文件要求</w:t>
            </w:r>
          </w:p>
        </w:tc>
        <w:tc>
          <w:tcPr>
            <w:tcW w:w="1305" w:type="dxa"/>
            <w:tcBorders>
              <w:top w:val="single" w:color="auto" w:sz="6" w:space="0"/>
              <w:left w:val="single" w:color="auto" w:sz="6" w:space="0"/>
              <w:bottom w:val="single" w:color="auto" w:sz="6" w:space="0"/>
              <w:right w:val="single" w:color="auto" w:sz="6" w:space="0"/>
            </w:tcBorders>
            <w:noWrap/>
            <w:vAlign w:val="center"/>
          </w:tcPr>
          <w:p w14:paraId="4B2A3F73">
            <w:pPr>
              <w:keepNext w:val="0"/>
              <w:keepLines w:val="0"/>
              <w:suppressLineNumbers w:val="0"/>
              <w:autoSpaceDE w:val="0"/>
              <w:autoSpaceDN w:val="0"/>
              <w:spacing w:before="12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偏离情况</w:t>
            </w:r>
          </w:p>
        </w:tc>
        <w:tc>
          <w:tcPr>
            <w:tcW w:w="3585" w:type="dxa"/>
            <w:tcBorders>
              <w:top w:val="single" w:color="auto" w:sz="6" w:space="0"/>
              <w:left w:val="single" w:color="auto" w:sz="6" w:space="0"/>
              <w:bottom w:val="single" w:color="auto" w:sz="6" w:space="0"/>
              <w:right w:val="single" w:color="auto" w:sz="6" w:space="0"/>
            </w:tcBorders>
            <w:noWrap/>
            <w:vAlign w:val="center"/>
          </w:tcPr>
          <w:p w14:paraId="32E07A46">
            <w:pPr>
              <w:keepNext w:val="0"/>
              <w:keepLines w:val="0"/>
              <w:suppressLineNumbers w:val="0"/>
              <w:autoSpaceDE w:val="0"/>
              <w:autoSpaceDN w:val="0"/>
              <w:spacing w:before="12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zh-CN"/>
              </w:rPr>
              <w:t>投标人的承诺或者说明</w:t>
            </w:r>
          </w:p>
        </w:tc>
      </w:tr>
      <w:tr w14:paraId="1856FDA2">
        <w:tblPrEx>
          <w:tblCellMar>
            <w:top w:w="0" w:type="dxa"/>
            <w:left w:w="108" w:type="dxa"/>
            <w:bottom w:w="0" w:type="dxa"/>
            <w:right w:w="108" w:type="dxa"/>
          </w:tblCellMar>
        </w:tblPrEx>
        <w:trPr>
          <w:trHeight w:val="840" w:hRule="atLeast"/>
          <w:jc w:val="center"/>
        </w:trPr>
        <w:tc>
          <w:tcPr>
            <w:tcW w:w="810" w:type="dxa"/>
            <w:tcBorders>
              <w:top w:val="single" w:color="auto" w:sz="6" w:space="0"/>
              <w:left w:val="single" w:color="auto" w:sz="6" w:space="0"/>
              <w:bottom w:val="single" w:color="auto" w:sz="6" w:space="0"/>
              <w:right w:val="single" w:color="auto" w:sz="6" w:space="0"/>
            </w:tcBorders>
            <w:noWrap/>
            <w:vAlign w:val="center"/>
          </w:tcPr>
          <w:p w14:paraId="5167AC96">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223" w:type="dxa"/>
            <w:tcBorders>
              <w:top w:val="single" w:color="auto" w:sz="6" w:space="0"/>
              <w:left w:val="single" w:color="auto" w:sz="6" w:space="0"/>
              <w:bottom w:val="single" w:color="auto" w:sz="6" w:space="0"/>
              <w:right w:val="single" w:color="auto" w:sz="6" w:space="0"/>
            </w:tcBorders>
            <w:noWrap/>
          </w:tcPr>
          <w:p w14:paraId="50C8B567">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305" w:type="dxa"/>
            <w:tcBorders>
              <w:top w:val="single" w:color="auto" w:sz="6" w:space="0"/>
              <w:left w:val="single" w:color="auto" w:sz="6" w:space="0"/>
              <w:bottom w:val="single" w:color="auto" w:sz="6" w:space="0"/>
              <w:right w:val="single" w:color="auto" w:sz="6" w:space="0"/>
            </w:tcBorders>
            <w:noWrap/>
          </w:tcPr>
          <w:p w14:paraId="6318EF10">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585" w:type="dxa"/>
            <w:tcBorders>
              <w:top w:val="single" w:color="auto" w:sz="6" w:space="0"/>
              <w:left w:val="single" w:color="auto" w:sz="6" w:space="0"/>
              <w:bottom w:val="single" w:color="auto" w:sz="6" w:space="0"/>
              <w:right w:val="single" w:color="auto" w:sz="6" w:space="0"/>
            </w:tcBorders>
            <w:noWrap/>
          </w:tcPr>
          <w:p w14:paraId="5D5D8FD1">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r w14:paraId="2B8ED8F1">
        <w:tblPrEx>
          <w:tblCellMar>
            <w:top w:w="0" w:type="dxa"/>
            <w:left w:w="108" w:type="dxa"/>
            <w:bottom w:w="0" w:type="dxa"/>
            <w:right w:w="108" w:type="dxa"/>
          </w:tblCellMar>
        </w:tblPrEx>
        <w:trPr>
          <w:trHeight w:val="840" w:hRule="atLeast"/>
          <w:jc w:val="center"/>
        </w:trPr>
        <w:tc>
          <w:tcPr>
            <w:tcW w:w="810" w:type="dxa"/>
            <w:tcBorders>
              <w:top w:val="single" w:color="auto" w:sz="6" w:space="0"/>
              <w:left w:val="single" w:color="auto" w:sz="6" w:space="0"/>
              <w:bottom w:val="single" w:color="auto" w:sz="6" w:space="0"/>
              <w:right w:val="single" w:color="auto" w:sz="6" w:space="0"/>
            </w:tcBorders>
            <w:noWrap/>
            <w:vAlign w:val="center"/>
          </w:tcPr>
          <w:p w14:paraId="5DE9441A">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223" w:type="dxa"/>
            <w:tcBorders>
              <w:top w:val="single" w:color="auto" w:sz="6" w:space="0"/>
              <w:left w:val="single" w:color="auto" w:sz="6" w:space="0"/>
              <w:bottom w:val="single" w:color="auto" w:sz="6" w:space="0"/>
              <w:right w:val="single" w:color="auto" w:sz="6" w:space="0"/>
            </w:tcBorders>
            <w:noWrap/>
          </w:tcPr>
          <w:p w14:paraId="391F9446">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305" w:type="dxa"/>
            <w:tcBorders>
              <w:top w:val="single" w:color="auto" w:sz="6" w:space="0"/>
              <w:left w:val="single" w:color="auto" w:sz="6" w:space="0"/>
              <w:bottom w:val="single" w:color="auto" w:sz="6" w:space="0"/>
              <w:right w:val="single" w:color="auto" w:sz="6" w:space="0"/>
            </w:tcBorders>
            <w:noWrap/>
          </w:tcPr>
          <w:p w14:paraId="7A2F199E">
            <w:pPr>
              <w:keepNext w:val="0"/>
              <w:keepLines w:val="0"/>
              <w:suppressLineNumbers w:val="0"/>
              <w:autoSpaceDE w:val="0"/>
              <w:autoSpaceDN w:val="0"/>
              <w:spacing w:before="120" w:beforeAutospacing="0" w:after="0" w:afterAutospacing="0"/>
              <w:ind w:left="43" w:right="0"/>
              <w:rPr>
                <w:rFonts w:hint="default" w:ascii="宋体" w:hAnsi="宋体" w:cs="宋体"/>
                <w:color w:val="auto"/>
                <w:szCs w:val="20"/>
                <w:highlight w:val="none"/>
              </w:rPr>
            </w:pPr>
          </w:p>
        </w:tc>
        <w:tc>
          <w:tcPr>
            <w:tcW w:w="3585" w:type="dxa"/>
            <w:tcBorders>
              <w:top w:val="single" w:color="auto" w:sz="6" w:space="0"/>
              <w:left w:val="single" w:color="auto" w:sz="6" w:space="0"/>
              <w:bottom w:val="single" w:color="auto" w:sz="6" w:space="0"/>
              <w:right w:val="single" w:color="auto" w:sz="6" w:space="0"/>
            </w:tcBorders>
            <w:noWrap/>
          </w:tcPr>
          <w:p w14:paraId="45FBCA7B">
            <w:pPr>
              <w:keepNext w:val="0"/>
              <w:keepLines w:val="0"/>
              <w:suppressLineNumbers w:val="0"/>
              <w:autoSpaceDE w:val="0"/>
              <w:autoSpaceDN w:val="0"/>
              <w:spacing w:before="120" w:beforeAutospacing="0" w:after="0" w:afterAutospacing="0"/>
              <w:ind w:left="43" w:right="0"/>
              <w:rPr>
                <w:rFonts w:hint="default" w:ascii="宋体" w:hAnsi="宋体" w:cs="宋体"/>
                <w:color w:val="auto"/>
                <w:szCs w:val="20"/>
                <w:highlight w:val="none"/>
              </w:rPr>
            </w:pPr>
          </w:p>
        </w:tc>
      </w:tr>
      <w:tr w14:paraId="0A31178A">
        <w:tblPrEx>
          <w:tblCellMar>
            <w:top w:w="0" w:type="dxa"/>
            <w:left w:w="108" w:type="dxa"/>
            <w:bottom w:w="0" w:type="dxa"/>
            <w:right w:w="108" w:type="dxa"/>
          </w:tblCellMar>
        </w:tblPrEx>
        <w:trPr>
          <w:trHeight w:val="840" w:hRule="atLeast"/>
          <w:jc w:val="center"/>
        </w:trPr>
        <w:tc>
          <w:tcPr>
            <w:tcW w:w="810" w:type="dxa"/>
            <w:tcBorders>
              <w:top w:val="single" w:color="auto" w:sz="6" w:space="0"/>
              <w:left w:val="single" w:color="auto" w:sz="6" w:space="0"/>
              <w:bottom w:val="single" w:color="auto" w:sz="6" w:space="0"/>
              <w:right w:val="single" w:color="auto" w:sz="6" w:space="0"/>
            </w:tcBorders>
            <w:noWrap/>
            <w:vAlign w:val="center"/>
          </w:tcPr>
          <w:p w14:paraId="25090E15">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223" w:type="dxa"/>
            <w:tcBorders>
              <w:top w:val="single" w:color="auto" w:sz="6" w:space="0"/>
              <w:left w:val="single" w:color="auto" w:sz="6" w:space="0"/>
              <w:bottom w:val="single" w:color="auto" w:sz="6" w:space="0"/>
              <w:right w:val="single" w:color="auto" w:sz="6" w:space="0"/>
            </w:tcBorders>
            <w:noWrap/>
          </w:tcPr>
          <w:p w14:paraId="295C79F5">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305" w:type="dxa"/>
            <w:tcBorders>
              <w:top w:val="single" w:color="auto" w:sz="6" w:space="0"/>
              <w:left w:val="single" w:color="auto" w:sz="6" w:space="0"/>
              <w:bottom w:val="single" w:color="auto" w:sz="6" w:space="0"/>
              <w:right w:val="single" w:color="auto" w:sz="6" w:space="0"/>
            </w:tcBorders>
            <w:noWrap/>
          </w:tcPr>
          <w:p w14:paraId="001E8E35">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585" w:type="dxa"/>
            <w:tcBorders>
              <w:top w:val="single" w:color="auto" w:sz="6" w:space="0"/>
              <w:left w:val="single" w:color="auto" w:sz="6" w:space="0"/>
              <w:bottom w:val="single" w:color="auto" w:sz="6" w:space="0"/>
              <w:right w:val="single" w:color="auto" w:sz="6" w:space="0"/>
            </w:tcBorders>
            <w:noWrap/>
          </w:tcPr>
          <w:p w14:paraId="2E7F3D05">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r w14:paraId="54B3A382">
        <w:tblPrEx>
          <w:tblCellMar>
            <w:top w:w="0" w:type="dxa"/>
            <w:left w:w="108" w:type="dxa"/>
            <w:bottom w:w="0" w:type="dxa"/>
            <w:right w:w="108" w:type="dxa"/>
          </w:tblCellMar>
        </w:tblPrEx>
        <w:trPr>
          <w:trHeight w:val="840" w:hRule="atLeast"/>
          <w:jc w:val="center"/>
        </w:trPr>
        <w:tc>
          <w:tcPr>
            <w:tcW w:w="810" w:type="dxa"/>
            <w:tcBorders>
              <w:top w:val="single" w:color="auto" w:sz="6" w:space="0"/>
              <w:left w:val="single" w:color="auto" w:sz="6" w:space="0"/>
              <w:bottom w:val="single" w:color="auto" w:sz="6" w:space="0"/>
              <w:right w:val="single" w:color="auto" w:sz="6" w:space="0"/>
            </w:tcBorders>
            <w:noWrap/>
            <w:vAlign w:val="center"/>
          </w:tcPr>
          <w:p w14:paraId="321AFFBE">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223" w:type="dxa"/>
            <w:tcBorders>
              <w:top w:val="single" w:color="auto" w:sz="6" w:space="0"/>
              <w:left w:val="single" w:color="auto" w:sz="6" w:space="0"/>
              <w:bottom w:val="single" w:color="auto" w:sz="6" w:space="0"/>
              <w:right w:val="single" w:color="auto" w:sz="6" w:space="0"/>
            </w:tcBorders>
            <w:noWrap/>
          </w:tcPr>
          <w:p w14:paraId="140195BB">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305" w:type="dxa"/>
            <w:tcBorders>
              <w:top w:val="single" w:color="auto" w:sz="6" w:space="0"/>
              <w:left w:val="single" w:color="auto" w:sz="6" w:space="0"/>
              <w:bottom w:val="single" w:color="auto" w:sz="6" w:space="0"/>
              <w:right w:val="single" w:color="auto" w:sz="6" w:space="0"/>
            </w:tcBorders>
            <w:noWrap/>
          </w:tcPr>
          <w:p w14:paraId="1B9B01E7">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585" w:type="dxa"/>
            <w:tcBorders>
              <w:top w:val="single" w:color="auto" w:sz="6" w:space="0"/>
              <w:left w:val="single" w:color="auto" w:sz="6" w:space="0"/>
              <w:bottom w:val="single" w:color="auto" w:sz="6" w:space="0"/>
              <w:right w:val="single" w:color="auto" w:sz="6" w:space="0"/>
            </w:tcBorders>
            <w:noWrap/>
          </w:tcPr>
          <w:p w14:paraId="35B69347">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r w14:paraId="70BBBFF7">
        <w:tblPrEx>
          <w:tblCellMar>
            <w:top w:w="0" w:type="dxa"/>
            <w:left w:w="108" w:type="dxa"/>
            <w:bottom w:w="0" w:type="dxa"/>
            <w:right w:w="108" w:type="dxa"/>
          </w:tblCellMar>
        </w:tblPrEx>
        <w:trPr>
          <w:trHeight w:val="840" w:hRule="atLeast"/>
          <w:jc w:val="center"/>
        </w:trPr>
        <w:tc>
          <w:tcPr>
            <w:tcW w:w="810" w:type="dxa"/>
            <w:tcBorders>
              <w:top w:val="single" w:color="auto" w:sz="6" w:space="0"/>
              <w:left w:val="single" w:color="auto" w:sz="6" w:space="0"/>
              <w:bottom w:val="single" w:color="auto" w:sz="6" w:space="0"/>
              <w:right w:val="single" w:color="auto" w:sz="6" w:space="0"/>
            </w:tcBorders>
            <w:noWrap/>
            <w:vAlign w:val="center"/>
          </w:tcPr>
          <w:p w14:paraId="0BE0DFEC">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223" w:type="dxa"/>
            <w:tcBorders>
              <w:top w:val="single" w:color="auto" w:sz="6" w:space="0"/>
              <w:left w:val="single" w:color="auto" w:sz="6" w:space="0"/>
              <w:bottom w:val="single" w:color="auto" w:sz="6" w:space="0"/>
              <w:right w:val="single" w:color="auto" w:sz="6" w:space="0"/>
            </w:tcBorders>
            <w:noWrap/>
          </w:tcPr>
          <w:p w14:paraId="6A0F73DF">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305" w:type="dxa"/>
            <w:tcBorders>
              <w:top w:val="single" w:color="auto" w:sz="6" w:space="0"/>
              <w:left w:val="single" w:color="auto" w:sz="6" w:space="0"/>
              <w:bottom w:val="single" w:color="auto" w:sz="6" w:space="0"/>
              <w:right w:val="single" w:color="auto" w:sz="6" w:space="0"/>
            </w:tcBorders>
            <w:noWrap/>
          </w:tcPr>
          <w:p w14:paraId="3B342351">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585" w:type="dxa"/>
            <w:tcBorders>
              <w:top w:val="single" w:color="auto" w:sz="6" w:space="0"/>
              <w:left w:val="single" w:color="auto" w:sz="6" w:space="0"/>
              <w:bottom w:val="single" w:color="auto" w:sz="6" w:space="0"/>
              <w:right w:val="single" w:color="auto" w:sz="6" w:space="0"/>
            </w:tcBorders>
            <w:noWrap/>
          </w:tcPr>
          <w:p w14:paraId="1E280A52">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r w14:paraId="238075E4">
        <w:tblPrEx>
          <w:tblCellMar>
            <w:top w:w="0" w:type="dxa"/>
            <w:left w:w="108" w:type="dxa"/>
            <w:bottom w:w="0" w:type="dxa"/>
            <w:right w:w="108" w:type="dxa"/>
          </w:tblCellMar>
        </w:tblPrEx>
        <w:trPr>
          <w:trHeight w:val="840" w:hRule="atLeast"/>
          <w:jc w:val="center"/>
        </w:trPr>
        <w:tc>
          <w:tcPr>
            <w:tcW w:w="810" w:type="dxa"/>
            <w:tcBorders>
              <w:top w:val="single" w:color="auto" w:sz="6" w:space="0"/>
              <w:left w:val="single" w:color="auto" w:sz="6" w:space="0"/>
              <w:bottom w:val="single" w:color="auto" w:sz="6" w:space="0"/>
              <w:right w:val="single" w:color="auto" w:sz="6" w:space="0"/>
            </w:tcBorders>
            <w:noWrap/>
            <w:vAlign w:val="center"/>
          </w:tcPr>
          <w:p w14:paraId="172DF722">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223" w:type="dxa"/>
            <w:tcBorders>
              <w:top w:val="single" w:color="auto" w:sz="6" w:space="0"/>
              <w:left w:val="single" w:color="auto" w:sz="6" w:space="0"/>
              <w:bottom w:val="single" w:color="auto" w:sz="6" w:space="0"/>
              <w:right w:val="single" w:color="auto" w:sz="6" w:space="0"/>
            </w:tcBorders>
            <w:noWrap/>
          </w:tcPr>
          <w:p w14:paraId="476DE676">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305" w:type="dxa"/>
            <w:tcBorders>
              <w:top w:val="single" w:color="auto" w:sz="6" w:space="0"/>
              <w:left w:val="single" w:color="auto" w:sz="6" w:space="0"/>
              <w:bottom w:val="single" w:color="auto" w:sz="6" w:space="0"/>
              <w:right w:val="single" w:color="auto" w:sz="6" w:space="0"/>
            </w:tcBorders>
            <w:noWrap/>
          </w:tcPr>
          <w:p w14:paraId="2BBB4894">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585" w:type="dxa"/>
            <w:tcBorders>
              <w:top w:val="single" w:color="auto" w:sz="6" w:space="0"/>
              <w:left w:val="single" w:color="auto" w:sz="6" w:space="0"/>
              <w:bottom w:val="single" w:color="auto" w:sz="6" w:space="0"/>
              <w:right w:val="single" w:color="auto" w:sz="6" w:space="0"/>
            </w:tcBorders>
            <w:noWrap/>
          </w:tcPr>
          <w:p w14:paraId="573ECF17">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r w14:paraId="75EC040E">
        <w:tblPrEx>
          <w:tblCellMar>
            <w:top w:w="0" w:type="dxa"/>
            <w:left w:w="108" w:type="dxa"/>
            <w:bottom w:w="0" w:type="dxa"/>
            <w:right w:w="108" w:type="dxa"/>
          </w:tblCellMar>
        </w:tblPrEx>
        <w:trPr>
          <w:trHeight w:val="840" w:hRule="atLeast"/>
          <w:jc w:val="center"/>
        </w:trPr>
        <w:tc>
          <w:tcPr>
            <w:tcW w:w="810" w:type="dxa"/>
            <w:tcBorders>
              <w:top w:val="single" w:color="auto" w:sz="6" w:space="0"/>
              <w:left w:val="single" w:color="auto" w:sz="6" w:space="0"/>
              <w:bottom w:val="single" w:color="auto" w:sz="6" w:space="0"/>
              <w:right w:val="single" w:color="auto" w:sz="6" w:space="0"/>
            </w:tcBorders>
            <w:noWrap/>
            <w:vAlign w:val="center"/>
          </w:tcPr>
          <w:p w14:paraId="48129135">
            <w:pPr>
              <w:keepNext w:val="0"/>
              <w:keepLines w:val="0"/>
              <w:suppressLineNumbers w:val="0"/>
              <w:autoSpaceDE w:val="0"/>
              <w:autoSpaceDN w:val="0"/>
              <w:spacing w:before="0" w:beforeAutospacing="0" w:after="0" w:afterAutospacing="0"/>
              <w:ind w:left="0" w:right="0"/>
              <w:rPr>
                <w:rFonts w:hint="default" w:ascii="宋体" w:hAnsi="宋体" w:cs="宋体"/>
                <w:color w:val="auto"/>
                <w:szCs w:val="20"/>
                <w:highlight w:val="none"/>
              </w:rPr>
            </w:pPr>
          </w:p>
        </w:tc>
        <w:tc>
          <w:tcPr>
            <w:tcW w:w="3223" w:type="dxa"/>
            <w:tcBorders>
              <w:top w:val="single" w:color="auto" w:sz="6" w:space="0"/>
              <w:left w:val="single" w:color="auto" w:sz="6" w:space="0"/>
              <w:bottom w:val="single" w:color="auto" w:sz="6" w:space="0"/>
              <w:right w:val="single" w:color="auto" w:sz="6" w:space="0"/>
            </w:tcBorders>
            <w:noWrap/>
          </w:tcPr>
          <w:p w14:paraId="7EFAAF34">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1305" w:type="dxa"/>
            <w:tcBorders>
              <w:top w:val="single" w:color="auto" w:sz="6" w:space="0"/>
              <w:left w:val="single" w:color="auto" w:sz="6" w:space="0"/>
              <w:bottom w:val="single" w:color="auto" w:sz="6" w:space="0"/>
              <w:right w:val="single" w:color="auto" w:sz="6" w:space="0"/>
            </w:tcBorders>
            <w:noWrap/>
          </w:tcPr>
          <w:p w14:paraId="4069A219">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c>
          <w:tcPr>
            <w:tcW w:w="3585" w:type="dxa"/>
            <w:tcBorders>
              <w:top w:val="single" w:color="auto" w:sz="6" w:space="0"/>
              <w:left w:val="single" w:color="auto" w:sz="6" w:space="0"/>
              <w:bottom w:val="single" w:color="auto" w:sz="6" w:space="0"/>
              <w:right w:val="single" w:color="auto" w:sz="6" w:space="0"/>
            </w:tcBorders>
            <w:noWrap/>
          </w:tcPr>
          <w:p w14:paraId="5EC223FB">
            <w:pPr>
              <w:keepNext w:val="0"/>
              <w:keepLines w:val="0"/>
              <w:suppressLineNumbers w:val="0"/>
              <w:autoSpaceDE w:val="0"/>
              <w:autoSpaceDN w:val="0"/>
              <w:spacing w:before="120" w:beforeAutospacing="0" w:after="0" w:afterAutospacing="0"/>
              <w:ind w:left="0" w:right="0"/>
              <w:rPr>
                <w:rFonts w:hint="default" w:ascii="宋体" w:hAnsi="宋体" w:cs="宋体"/>
                <w:color w:val="auto"/>
                <w:szCs w:val="20"/>
                <w:highlight w:val="none"/>
              </w:rPr>
            </w:pPr>
          </w:p>
        </w:tc>
      </w:tr>
    </w:tbl>
    <w:p w14:paraId="3B315D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bCs w:val="0"/>
          <w:color w:val="auto"/>
          <w:sz w:val="22"/>
          <w:szCs w:val="22"/>
          <w:highlight w:val="none"/>
          <w:lang w:val="en-US" w:eastAsia="zh-CN"/>
        </w:rPr>
        <w:t>根据</w:t>
      </w:r>
      <w:r>
        <w:rPr>
          <w:rFonts w:hint="eastAsia" w:ascii="宋体" w:hAnsi="宋体" w:cs="宋体"/>
          <w:b/>
          <w:bCs w:val="0"/>
          <w:color w:val="auto"/>
          <w:sz w:val="22"/>
          <w:szCs w:val="22"/>
          <w:highlight w:val="none"/>
          <w:lang w:val="en-US" w:eastAsia="zh-CN"/>
        </w:rPr>
        <w:t>“</w:t>
      </w:r>
      <w:r>
        <w:rPr>
          <w:rFonts w:hint="eastAsia" w:ascii="宋体" w:hAnsi="宋体" w:eastAsia="宋体" w:cs="宋体"/>
          <w:b/>
          <w:bCs w:val="0"/>
          <w:color w:val="auto"/>
          <w:sz w:val="22"/>
          <w:szCs w:val="22"/>
          <w:highlight w:val="none"/>
          <w:lang w:val="en-US" w:eastAsia="zh-CN"/>
        </w:rPr>
        <w:t>第五章 技术标准及服务需求</w:t>
      </w:r>
      <w:r>
        <w:rPr>
          <w:rFonts w:hint="eastAsia" w:ascii="宋体" w:hAnsi="宋体" w:cs="宋体"/>
          <w:b/>
          <w:bCs w:val="0"/>
          <w:color w:val="auto"/>
          <w:sz w:val="22"/>
          <w:szCs w:val="22"/>
          <w:highlight w:val="none"/>
          <w:lang w:val="en-US" w:eastAsia="zh-CN"/>
        </w:rPr>
        <w:t>”</w:t>
      </w:r>
      <w:r>
        <w:rPr>
          <w:rFonts w:hint="eastAsia" w:ascii="宋体" w:hAnsi="宋体" w:eastAsia="宋体" w:cs="宋体"/>
          <w:b/>
          <w:bCs w:val="0"/>
          <w:color w:val="auto"/>
          <w:sz w:val="22"/>
          <w:szCs w:val="22"/>
          <w:highlight w:val="none"/>
          <w:lang w:val="zh-CN"/>
        </w:rPr>
        <w:t>，供应商的响应必须完全满足或者正偏离</w:t>
      </w:r>
      <w:r>
        <w:rPr>
          <w:rFonts w:hint="eastAsia" w:ascii="宋体" w:hAnsi="宋体" w:cs="宋体"/>
          <w:b/>
          <w:bCs w:val="0"/>
          <w:color w:val="auto"/>
          <w:sz w:val="22"/>
          <w:szCs w:val="22"/>
          <w:highlight w:val="none"/>
          <w:lang w:val="zh-CN"/>
        </w:rPr>
        <w:t>，</w:t>
      </w:r>
      <w:r>
        <w:rPr>
          <w:rFonts w:hint="eastAsia" w:ascii="宋体" w:hAnsi="宋体" w:cs="宋体"/>
          <w:b/>
          <w:bCs w:val="0"/>
          <w:color w:val="auto"/>
          <w:sz w:val="22"/>
          <w:szCs w:val="22"/>
          <w:highlight w:val="none"/>
          <w:lang w:val="en-US" w:eastAsia="zh-CN"/>
        </w:rPr>
        <w:t>负偏离</w:t>
      </w:r>
      <w:r>
        <w:rPr>
          <w:rFonts w:hint="eastAsia" w:ascii="宋体" w:hAnsi="宋体" w:eastAsia="宋体" w:cs="宋体"/>
          <w:b/>
          <w:bCs w:val="0"/>
          <w:color w:val="auto"/>
          <w:sz w:val="22"/>
          <w:szCs w:val="22"/>
          <w:highlight w:val="none"/>
        </w:rPr>
        <w:t>则按照响应无效处理</w:t>
      </w:r>
      <w:r>
        <w:rPr>
          <w:rFonts w:hint="eastAsia" w:ascii="宋体" w:hAnsi="宋体" w:cs="宋体"/>
          <w:b/>
          <w:bCs w:val="0"/>
          <w:color w:val="auto"/>
          <w:sz w:val="22"/>
          <w:szCs w:val="22"/>
          <w:highlight w:val="none"/>
          <w:lang w:eastAsia="zh-CN"/>
        </w:rPr>
        <w:t>。</w:t>
      </w:r>
      <w:r>
        <w:rPr>
          <w:rFonts w:hint="eastAsia" w:ascii="宋体" w:hAnsi="宋体" w:cs="宋体"/>
          <w:b/>
          <w:bCs w:val="0"/>
          <w:color w:val="auto"/>
          <w:sz w:val="22"/>
          <w:szCs w:val="22"/>
          <w:highlight w:val="none"/>
          <w:lang w:val="en-US" w:eastAsia="zh-CN"/>
        </w:rPr>
        <w:t>如无偏离，则只需填写无偏离。</w:t>
      </w:r>
    </w:p>
    <w:p w14:paraId="1961F538">
      <w:pP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br w:type="page"/>
      </w:r>
    </w:p>
    <w:p w14:paraId="666FD5FB">
      <w:pPr>
        <w:spacing w:before="120" w:beforeLines="50" w:after="120" w:afterLines="50" w:line="360" w:lineRule="auto"/>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七、服务方案</w:t>
      </w:r>
    </w:p>
    <w:p w14:paraId="4F299F29">
      <w:pPr>
        <w:spacing w:before="120" w:beforeLines="50" w:after="120" w:afterLines="50"/>
        <w:jc w:val="center"/>
        <w:rPr>
          <w:rFonts w:ascii="宋体" w:hAnsi="宋体" w:cs="宋体"/>
          <w:bCs/>
          <w:color w:val="auto"/>
          <w:sz w:val="24"/>
          <w:highlight w:val="none"/>
        </w:rPr>
      </w:pPr>
    </w:p>
    <w:p w14:paraId="6AD41B70">
      <w:pPr>
        <w:pStyle w:val="4"/>
        <w:tabs>
          <w:tab w:val="left" w:pos="0"/>
        </w:tabs>
        <w:spacing w:before="0" w:after="0"/>
        <w:jc w:val="center"/>
        <w:rPr>
          <w:rFonts w:hint="eastAsia" w:ascii="宋体" w:hAnsi="宋体" w:eastAsia="宋体" w:cs="宋体"/>
          <w:b/>
          <w:bCs w:val="0"/>
          <w:color w:val="auto"/>
          <w:kern w:val="2"/>
          <w:sz w:val="24"/>
          <w:szCs w:val="24"/>
          <w:lang w:val="en-US" w:eastAsia="zh-CN" w:bidi="ar-SA"/>
        </w:rPr>
      </w:pPr>
      <w:bookmarkStart w:id="85" w:name="_Toc19583"/>
      <w:r>
        <w:rPr>
          <w:rFonts w:hint="eastAsia" w:ascii="宋体" w:hAnsi="宋体" w:eastAsia="宋体" w:cs="宋体"/>
          <w:b/>
          <w:bCs w:val="0"/>
          <w:color w:val="auto"/>
          <w:kern w:val="2"/>
          <w:sz w:val="24"/>
          <w:szCs w:val="24"/>
          <w:lang w:val="en-US" w:eastAsia="zh-CN" w:bidi="ar-SA"/>
        </w:rPr>
        <w:t>格式自拟</w:t>
      </w:r>
      <w:bookmarkEnd w:id="85"/>
    </w:p>
    <w:p w14:paraId="79B8CA7E">
      <w:pPr>
        <w:spacing w:before="120" w:beforeLines="50" w:after="120" w:afterLines="50" w:line="360" w:lineRule="auto"/>
        <w:jc w:val="center"/>
        <w:rPr>
          <w:rFonts w:ascii="宋体" w:hAnsi="宋体" w:cs="宋体"/>
          <w:b/>
          <w:color w:val="auto"/>
          <w:sz w:val="36"/>
          <w:szCs w:val="36"/>
          <w:highlight w:val="none"/>
          <w:lang w:val="zh-CN"/>
        </w:rPr>
      </w:pPr>
      <w:r>
        <w:rPr>
          <w:rFonts w:hint="eastAsia" w:ascii="宋体" w:hAnsi="宋体" w:cs="宋体"/>
          <w:bCs/>
          <w:color w:val="auto"/>
          <w:sz w:val="24"/>
          <w:highlight w:val="none"/>
        </w:rPr>
        <w:br w:type="page"/>
      </w:r>
      <w:r>
        <w:rPr>
          <w:rFonts w:hint="eastAsia" w:ascii="宋体" w:hAnsi="宋体" w:cs="宋体"/>
          <w:b/>
          <w:color w:val="auto"/>
          <w:sz w:val="36"/>
          <w:szCs w:val="36"/>
          <w:highlight w:val="none"/>
          <w:lang w:val="zh-CN"/>
        </w:rPr>
        <w:t>八、其他资料</w:t>
      </w:r>
    </w:p>
    <w:p w14:paraId="78A86FC9">
      <w:pPr>
        <w:numPr>
          <w:ilvl w:val="0"/>
          <w:numId w:val="0"/>
        </w:numPr>
        <w:adjustRightInd w:val="0"/>
        <w:snapToGrid w:val="0"/>
        <w:spacing w:line="360" w:lineRule="auto"/>
        <w:jc w:val="left"/>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企业信誉良好、无不良行为记录,提供“信用中国”（www.creditchina.gov.cn）未列入①失信被执行人②重大税收违法案件当事人名单③政府采购严重违法失信名单的官网截图并加盖公章；提供“中国政府采购网”（www.ccgp.gov.cn）未列入政府采购严重违法失信行为记录名单的官网截图并加盖公章；提供“中国裁判文书网”（wenshu.court.gov.cn/）上无行贿犯罪记录官网截图并加盖公章。</w:t>
      </w:r>
      <w:r>
        <w:rPr>
          <w:rFonts w:hint="eastAsia" w:ascii="宋体" w:hAnsi="宋体" w:eastAsia="宋体" w:cs="宋体"/>
          <w:bCs/>
          <w:color w:val="auto"/>
          <w:kern w:val="2"/>
          <w:sz w:val="24"/>
          <w:szCs w:val="24"/>
          <w:highlight w:val="none"/>
          <w:lang w:val="zh-CN" w:eastAsia="zh-CN" w:bidi="ar-SA"/>
        </w:rPr>
        <w:t>（查询截止时点：本项目采购公告发布之日起到响应文件提交截止时间期间）</w:t>
      </w:r>
      <w:r>
        <w:rPr>
          <w:rFonts w:hint="eastAsia" w:ascii="宋体" w:hAnsi="宋体" w:eastAsia="宋体" w:cs="宋体"/>
          <w:bCs/>
          <w:color w:val="auto"/>
          <w:kern w:val="2"/>
          <w:sz w:val="24"/>
          <w:szCs w:val="24"/>
          <w:highlight w:val="none"/>
          <w:lang w:val="en-US" w:eastAsia="zh-CN" w:bidi="ar-SA"/>
        </w:rPr>
        <w:t>。</w:t>
      </w:r>
    </w:p>
    <w:p w14:paraId="3E71BBCA">
      <w:pPr>
        <w:pStyle w:val="2"/>
        <w:keepNext w:val="0"/>
        <w:keepLines w:val="0"/>
        <w:suppressLineNumbers w:val="0"/>
        <w:spacing w:before="0" w:beforeAutospacing="0" w:after="0" w:afterAutospacing="0" w:line="360" w:lineRule="auto"/>
        <w:ind w:left="0" w:right="0"/>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w:t>
      </w:r>
      <w:r>
        <w:rPr>
          <w:rFonts w:hint="eastAsia" w:ascii="宋体" w:hAnsi="宋体" w:eastAsia="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zh-CN" w:eastAsia="zh-CN" w:bidi="ar-SA"/>
        </w:rPr>
        <w:t>）</w:t>
      </w:r>
      <w:r>
        <w:rPr>
          <w:rFonts w:hint="eastAsia" w:ascii="宋体" w:hAnsi="宋体" w:eastAsia="宋体" w:cs="宋体"/>
          <w:bCs/>
          <w:color w:val="auto"/>
          <w:kern w:val="2"/>
          <w:sz w:val="24"/>
          <w:szCs w:val="24"/>
          <w:highlight w:val="none"/>
          <w:lang w:val="en-US" w:eastAsia="zh-CN" w:bidi="ar-SA"/>
        </w:rPr>
        <w:t>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提供企业承诺书，格式自拟，加盖公章</w:t>
      </w:r>
      <w:r>
        <w:rPr>
          <w:rFonts w:hint="eastAsia" w:ascii="宋体" w:hAnsi="宋体" w:eastAsia="宋体" w:cs="宋体"/>
          <w:bCs/>
          <w:color w:val="auto"/>
          <w:kern w:val="2"/>
          <w:sz w:val="24"/>
          <w:szCs w:val="24"/>
          <w:highlight w:val="none"/>
          <w:lang w:val="zh-CN" w:eastAsia="zh-CN" w:bidi="ar-SA"/>
        </w:rPr>
        <w:t>。</w:t>
      </w:r>
    </w:p>
    <w:p w14:paraId="4D667FCA">
      <w:pPr>
        <w:pStyle w:val="25"/>
        <w:spacing w:before="100" w:beforeAutospacing="1" w:after="100" w:afterAutospacing="1" w:line="360" w:lineRule="auto"/>
        <w:rPr>
          <w:rFonts w:hint="eastAsia" w:ascii="宋体" w:hAnsi="宋体" w:eastAsia="宋体" w:cs="宋体"/>
          <w:bCs/>
          <w:color w:val="auto"/>
          <w:kern w:val="2"/>
          <w:sz w:val="24"/>
          <w:szCs w:val="24"/>
          <w:highlight w:val="none"/>
          <w:lang w:val="zh-CN" w:eastAsia="zh-CN" w:bidi="ar-SA"/>
        </w:rPr>
      </w:pPr>
      <w:r>
        <w:rPr>
          <w:rFonts w:hint="eastAsia" w:hAnsi="宋体" w:cs="宋体"/>
          <w:bCs/>
          <w:color w:val="auto"/>
          <w:kern w:val="2"/>
          <w:sz w:val="24"/>
          <w:szCs w:val="24"/>
          <w:highlight w:val="none"/>
          <w:lang w:val="zh-CN" w:eastAsia="zh-CN" w:bidi="ar-SA"/>
        </w:rPr>
        <w:t>（</w:t>
      </w:r>
      <w:r>
        <w:rPr>
          <w:rFonts w:hint="eastAsia" w:hAnsi="宋体" w:cs="宋体"/>
          <w:bCs/>
          <w:color w:val="auto"/>
          <w:kern w:val="2"/>
          <w:sz w:val="24"/>
          <w:szCs w:val="24"/>
          <w:highlight w:val="none"/>
          <w:lang w:val="en-US" w:eastAsia="zh-CN" w:bidi="ar-SA"/>
        </w:rPr>
        <w:t>3</w:t>
      </w:r>
      <w:r>
        <w:rPr>
          <w:rFonts w:hint="eastAsia" w:hAnsi="宋体" w:cs="宋体"/>
          <w:bCs/>
          <w:color w:val="auto"/>
          <w:kern w:val="2"/>
          <w:sz w:val="24"/>
          <w:szCs w:val="24"/>
          <w:highlight w:val="none"/>
          <w:lang w:val="zh-CN" w:eastAsia="zh-CN" w:bidi="ar-SA"/>
        </w:rPr>
        <w:t>）</w:t>
      </w:r>
      <w:r>
        <w:rPr>
          <w:rFonts w:hint="eastAsia" w:ascii="宋体" w:hAnsi="宋体" w:eastAsia="宋体" w:cs="宋体"/>
          <w:bCs/>
          <w:color w:val="auto"/>
          <w:kern w:val="2"/>
          <w:sz w:val="24"/>
          <w:szCs w:val="24"/>
          <w:highlight w:val="none"/>
          <w:lang w:val="zh-CN" w:eastAsia="zh-CN" w:bidi="ar-SA"/>
        </w:rPr>
        <w:t>供应商认为需要提供的其他资料</w:t>
      </w:r>
    </w:p>
    <w:p w14:paraId="6E7C3D24">
      <w:pPr>
        <w:pStyle w:val="4"/>
        <w:jc w:val="center"/>
        <w:rPr>
          <w:rFonts w:ascii="宋体" w:hAnsi="宋体" w:eastAsia="宋体" w:cs="宋体"/>
          <w:color w:val="auto"/>
          <w:sz w:val="24"/>
          <w:highlight w:val="none"/>
        </w:rPr>
      </w:pPr>
      <w:r>
        <w:rPr>
          <w:rFonts w:hint="eastAsia" w:ascii="宋体" w:hAnsi="宋体" w:eastAsia="宋体" w:cs="宋体"/>
          <w:bCs/>
          <w:color w:val="auto"/>
          <w:sz w:val="24"/>
          <w:szCs w:val="24"/>
          <w:highlight w:val="none"/>
          <w:lang w:val="zh-CN"/>
        </w:rPr>
        <w:br w:type="page"/>
      </w:r>
      <w:r>
        <w:rPr>
          <w:rFonts w:hint="eastAsia" w:ascii="宋体" w:hAnsi="宋体" w:eastAsia="宋体" w:cs="宋体"/>
          <w:b/>
          <w:color w:val="auto"/>
          <w:kern w:val="2"/>
          <w:sz w:val="36"/>
          <w:szCs w:val="36"/>
          <w:highlight w:val="none"/>
        </w:rPr>
        <w:t>九、</w:t>
      </w:r>
      <w:r>
        <w:rPr>
          <w:rFonts w:hint="eastAsia" w:ascii="宋体" w:hAnsi="宋体" w:eastAsia="宋体" w:cs="宋体"/>
          <w:b/>
          <w:color w:val="auto"/>
          <w:kern w:val="2"/>
          <w:sz w:val="36"/>
          <w:szCs w:val="36"/>
          <w:highlight w:val="none"/>
          <w:lang w:val="zh-CN"/>
        </w:rPr>
        <w:t>中小企业声明函</w:t>
      </w:r>
    </w:p>
    <w:p w14:paraId="18F57641">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本公司(联合体)郑重声明，根据《政府采购促进中小企业发展管理办法》(财库(2020)46号)的规定，本公司(联合体</w:t>
      </w:r>
      <w:r>
        <w:rPr>
          <w:rFonts w:hint="eastAsia" w:ascii="宋体" w:hAnsi="宋体" w:cs="宋体"/>
          <w:color w:val="auto"/>
          <w:sz w:val="24"/>
          <w:szCs w:val="24"/>
          <w:highlight w:val="none"/>
          <w:u w:val="single"/>
        </w:rPr>
        <w:t>)参加   (单位名称)</w:t>
      </w:r>
      <w:r>
        <w:rPr>
          <w:rFonts w:hint="eastAsia" w:ascii="宋体" w:hAnsi="宋体" w:cs="宋体"/>
          <w:color w:val="auto"/>
          <w:sz w:val="24"/>
          <w:szCs w:val="24"/>
          <w:highlight w:val="none"/>
        </w:rPr>
        <w:t xml:space="preserve">的 </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采购活动，工程的施工单位全部为由符合政策要求的中小企业（或者：服务全部由符合政策要求的中小企业承接）。相关企业（含联合体中的中小企业、签订分包意向协议的中小企业)的具体情况如下:</w:t>
      </w:r>
    </w:p>
    <w:p w14:paraId="5336393E">
      <w:pPr>
        <w:spacing w:line="50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(标的名称)，属于</w:t>
      </w:r>
      <w:r>
        <w:rPr>
          <w:rFonts w:hint="eastAsia" w:ascii="宋体" w:hAnsi="宋体" w:cs="宋体"/>
          <w:color w:val="auto"/>
          <w:sz w:val="24"/>
          <w:szCs w:val="24"/>
          <w:highlight w:val="none"/>
          <w:u w:val="single"/>
        </w:rPr>
        <w:t xml:space="preserve">  (采购文件中明确的所属行业）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人，营业收入为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w:t>
      </w:r>
      <w:r>
        <w:rPr>
          <w:rFonts w:hint="eastAsia" w:ascii="宋体" w:hAnsi="宋体" w:cs="宋体"/>
          <w:color w:val="auto"/>
          <w:sz w:val="24"/>
          <w:szCs w:val="24"/>
          <w:highlight w:val="none"/>
          <w:vertAlign w:val="superscript"/>
        </w:rPr>
        <w:t>1</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(中型企业、小型企业、微型企业)；</w:t>
      </w:r>
    </w:p>
    <w:p w14:paraId="1D20C023">
      <w:pPr>
        <w:spacing w:line="500" w:lineRule="exact"/>
        <w:ind w:firstLine="480" w:firstLineChars="200"/>
        <w:rPr>
          <w:rFonts w:ascii="宋体" w:hAnsi="宋体" w:cs="宋体"/>
          <w:color w:val="auto"/>
          <w:sz w:val="24"/>
          <w:szCs w:val="24"/>
          <w:highlight w:val="none"/>
        </w:rPr>
      </w:pPr>
    </w:p>
    <w:p w14:paraId="16396207">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(标的名称)，属于</w:t>
      </w:r>
      <w:r>
        <w:rPr>
          <w:rFonts w:hint="eastAsia" w:ascii="宋体" w:hAnsi="宋体" w:cs="宋体"/>
          <w:color w:val="auto"/>
          <w:sz w:val="24"/>
          <w:szCs w:val="24"/>
          <w:highlight w:val="none"/>
          <w:u w:val="single"/>
        </w:rPr>
        <w:t xml:space="preserve">  (采购文件中明确的所属行业）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人，营业收入为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w:t>
      </w:r>
    </w:p>
    <w:p w14:paraId="69DC29B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p>
    <w:p w14:paraId="3F15AD8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6F224235">
      <w:pPr>
        <w:spacing w:line="500" w:lineRule="exact"/>
        <w:ind w:firstLine="482" w:firstLineChars="200"/>
        <w:rPr>
          <w:b/>
          <w:bCs/>
          <w:color w:val="auto"/>
          <w:sz w:val="24"/>
          <w:szCs w:val="24"/>
          <w:highlight w:val="none"/>
        </w:rPr>
      </w:pPr>
      <w:r>
        <w:rPr>
          <w:rFonts w:hint="eastAsia" w:ascii="宋体" w:hAnsi="宋体" w:cs="宋体"/>
          <w:b/>
          <w:bCs/>
          <w:color w:val="auto"/>
          <w:sz w:val="24"/>
          <w:szCs w:val="24"/>
          <w:highlight w:val="none"/>
        </w:rPr>
        <w:t>本企业对上述声明内容的真实性负责。如有虚假，将依法承担相应责任。</w:t>
      </w:r>
    </w:p>
    <w:p w14:paraId="0EB03CF3">
      <w:pPr>
        <w:spacing w:line="500" w:lineRule="exact"/>
        <w:rPr>
          <w:rFonts w:ascii="宋体" w:hAnsi="宋体" w:cs="宋体"/>
          <w:color w:val="auto"/>
          <w:sz w:val="24"/>
          <w:szCs w:val="24"/>
          <w:highlight w:val="none"/>
        </w:rPr>
      </w:pPr>
    </w:p>
    <w:p w14:paraId="22425351">
      <w:pPr>
        <w:spacing w:line="5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企业名称（盖单）：</w:t>
      </w:r>
      <w:r>
        <w:rPr>
          <w:rFonts w:hint="eastAsia" w:ascii="宋体" w:hAnsi="宋体" w:cs="宋体"/>
          <w:color w:val="auto"/>
          <w:sz w:val="24"/>
          <w:szCs w:val="24"/>
          <w:highlight w:val="none"/>
          <w:u w:val="single"/>
        </w:rPr>
        <w:t xml:space="preserve">                      </w:t>
      </w:r>
    </w:p>
    <w:p w14:paraId="348EA47F">
      <w:pPr>
        <w:spacing w:line="5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日期：</w:t>
      </w:r>
      <w:r>
        <w:rPr>
          <w:rFonts w:hint="eastAsia" w:ascii="宋体" w:hAnsi="宋体" w:cs="宋体"/>
          <w:color w:val="auto"/>
          <w:sz w:val="24"/>
          <w:szCs w:val="24"/>
          <w:highlight w:val="none"/>
          <w:u w:val="single"/>
        </w:rPr>
        <w:t xml:space="preserve">                         </w:t>
      </w:r>
    </w:p>
    <w:p w14:paraId="664E7F25">
      <w:pPr>
        <w:spacing w:line="500" w:lineRule="exact"/>
        <w:ind w:firstLine="480" w:firstLineChars="200"/>
        <w:rPr>
          <w:rFonts w:ascii="宋体" w:hAnsi="宋体" w:cs="宋体"/>
          <w:color w:val="auto"/>
          <w:sz w:val="24"/>
          <w:szCs w:val="24"/>
          <w:highlight w:val="none"/>
        </w:rPr>
      </w:pPr>
    </w:p>
    <w:p w14:paraId="0B565F52">
      <w:pPr>
        <w:pStyle w:val="4"/>
        <w:rPr>
          <w:color w:val="auto"/>
          <w:sz w:val="24"/>
          <w:szCs w:val="24"/>
          <w:highlight w:val="none"/>
        </w:rPr>
      </w:pPr>
    </w:p>
    <w:p w14:paraId="4E75A96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从业人员，营业收入、资产总额填报上一年度数据，无上一年度数据的新成立企业可不填报。</w:t>
      </w:r>
    </w:p>
    <w:p w14:paraId="263D8650">
      <w:pPr>
        <w:rPr>
          <w:rFonts w:hAnsi="宋体" w:cs="宋体"/>
          <w:bCs/>
          <w:color w:val="auto"/>
          <w:sz w:val="24"/>
          <w:szCs w:val="24"/>
          <w:highlight w:val="none"/>
          <w:lang w:val="zh-CN"/>
        </w:rPr>
      </w:pPr>
      <w:r>
        <w:rPr>
          <w:rFonts w:hAnsi="宋体" w:cs="宋体"/>
          <w:bCs/>
          <w:color w:val="auto"/>
          <w:sz w:val="24"/>
          <w:szCs w:val="24"/>
          <w:highlight w:val="none"/>
          <w:lang w:val="zh-CN"/>
        </w:rPr>
        <w:br w:type="page"/>
      </w:r>
    </w:p>
    <w:p w14:paraId="1FD1D5F8">
      <w:pPr>
        <w:spacing w:line="360" w:lineRule="auto"/>
        <w:ind w:firstLine="405"/>
        <w:jc w:val="center"/>
        <w:rPr>
          <w:rFonts w:ascii="宋体" w:hAnsi="宋体" w:eastAsia="宋体" w:cs="宋体"/>
          <w:b/>
          <w:color w:val="auto"/>
          <w:sz w:val="32"/>
          <w:szCs w:val="32"/>
        </w:rPr>
      </w:pPr>
      <w:r>
        <w:rPr>
          <w:rFonts w:hint="eastAsia" w:ascii="宋体" w:hAnsi="宋体" w:eastAsia="宋体" w:cs="宋体"/>
          <w:b/>
          <w:color w:val="auto"/>
          <w:sz w:val="32"/>
          <w:szCs w:val="32"/>
        </w:rPr>
        <w:t>中小企业划型标准规定</w:t>
      </w:r>
    </w:p>
    <w:p w14:paraId="44456A4E">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一、根据《中华人民共和国中小企业促进法》和《国务院关于进一步促进中小企业发展的若干意见》(国发〔2009〕36号)，制定本规定。</w:t>
      </w:r>
    </w:p>
    <w:p w14:paraId="42C7A97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二、中小企业划分为中型、小型、微型三种类型，具体标准根据企业从业人员、营业收入、资产总额等指标，结合行业特点制定。</w:t>
      </w:r>
    </w:p>
    <w:p w14:paraId="28E81E90">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87931E6">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四、各行业划型标准为：</w:t>
      </w:r>
    </w:p>
    <w:p w14:paraId="0A56E8D2">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（一）农、林、牧、渔业。营业收入20000万元以下的为中小微型企业。其中，营业收入500万元及以上的为中型企业，营业收入50万元及以上的为小型企业，营业收入50万元以下的为微型企业。</w:t>
      </w:r>
    </w:p>
    <w:p w14:paraId="15595EA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6B0D15C">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413D3F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D2405E7">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8E94FE5">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DA535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A1BA3B8">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2985683">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08F4E6">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31A7B3F">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A592E62">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6DD6588">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9EB41A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717CE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6ADC51F">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（十六）其他未列明行业。从业人员300人以下的为中小微型企业。其中，从业人员100人及以上的为中型企业；从业人员10人及以上的为小型企业；从业人员10人以下的为微型企业。</w:t>
      </w:r>
    </w:p>
    <w:p w14:paraId="33449DCE">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五、企业类型的划分以统计部门的统计数据为依据。</w:t>
      </w:r>
    </w:p>
    <w:p w14:paraId="7A107661">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六、本规定适用于在中华人民共和国境内依法设立的各类所有制和各种组织形式的企业。个体工商户和本规定以外的行业，参照本规定进行划型。</w:t>
      </w:r>
    </w:p>
    <w:p w14:paraId="2BA5CDD2">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p>
    <w:p w14:paraId="5577C06C">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八、本规定由工业和信息化部、国家统计局会同有关部门根据《国民经济行业分类》修订情况和企业发展变化情况适时修订。</w:t>
      </w:r>
    </w:p>
    <w:p w14:paraId="397737AA">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九、本规定由工业和信息化部、国家统计局会同有关部门负责解释。</w:t>
      </w:r>
    </w:p>
    <w:p w14:paraId="322F567C">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十、本规定自发布之日起执行，原国家经贸委、原国家计委、财政部和国家统计局2003年颁布的《中小企业标准暂行规定》同时废止。</w:t>
      </w:r>
    </w:p>
    <w:p w14:paraId="55F2FD65">
      <w:pPr>
        <w:keepNext w:val="0"/>
        <w:keepLines w:val="0"/>
        <w:widowControl/>
        <w:suppressLineNumbers w:val="0"/>
        <w:spacing w:line="360" w:lineRule="auto"/>
        <w:jc w:val="left"/>
        <w:rPr>
          <w:rFonts w:hint="eastAsia" w:ascii="宋体" w:hAnsi="宋体" w:eastAsia="宋体" w:cs="宋体"/>
          <w:b/>
          <w:bCs/>
          <w:color w:val="auto"/>
          <w:kern w:val="0"/>
          <w:sz w:val="24"/>
          <w:szCs w:val="24"/>
          <w:lang w:val="en-US" w:eastAsia="zh-CN" w:bidi="ar"/>
        </w:rPr>
      </w:pPr>
    </w:p>
    <w:p w14:paraId="664B6172">
      <w:pPr>
        <w:keepNext w:val="0"/>
        <w:keepLines w:val="0"/>
        <w:widowControl/>
        <w:suppressLineNumbers w:val="0"/>
        <w:spacing w:line="360" w:lineRule="auto"/>
        <w:jc w:val="left"/>
        <w:rPr>
          <w:rFonts w:hAnsi="宋体" w:cs="宋体"/>
          <w:bCs/>
          <w:color w:val="auto"/>
          <w:sz w:val="24"/>
          <w:szCs w:val="24"/>
          <w:highlight w:val="none"/>
          <w:lang w:val="zh-CN"/>
        </w:rPr>
      </w:pPr>
      <w:r>
        <w:rPr>
          <w:rFonts w:hint="eastAsia" w:ascii="宋体" w:hAnsi="宋体" w:eastAsia="宋体" w:cs="宋体"/>
          <w:b/>
          <w:bCs/>
          <w:color w:val="auto"/>
          <w:kern w:val="0"/>
          <w:sz w:val="24"/>
          <w:szCs w:val="24"/>
          <w:lang w:val="en-US" w:eastAsia="zh-CN" w:bidi="ar"/>
        </w:rPr>
        <w:t>注：本项目中小企业划分标准所属行业为：租赁和商务服务业。</w:t>
      </w:r>
    </w:p>
    <w:p w14:paraId="33F44357">
      <w:pPr>
        <w:autoSpaceDE w:val="0"/>
        <w:autoSpaceDN w:val="0"/>
        <w:adjustRightInd w:val="0"/>
        <w:spacing w:line="360" w:lineRule="auto"/>
        <w:jc w:val="left"/>
        <w:rPr>
          <w:rFonts w:ascii="宋体" w:hAnsi="宋体" w:cs="宋体"/>
          <w:color w:val="auto"/>
          <w:sz w:val="24"/>
          <w:szCs w:val="24"/>
          <w:highlight w:val="none"/>
        </w:rPr>
      </w:pPr>
    </w:p>
    <w:bookmarkEnd w:id="86"/>
    <w:sectPr>
      <w:footerReference r:id="rId9" w:type="first"/>
      <w:headerReference r:id="rId7" w:type="default"/>
      <w:footerReference r:id="rId8" w:type="default"/>
      <w:pgSz w:w="11905" w:h="16838"/>
      <w:pgMar w:top="1417" w:right="1417" w:bottom="1134" w:left="1797" w:header="850" w:footer="737"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宋体-18030">
    <w:altName w:val="宋体"/>
    <w:panose1 w:val="00000000000000000000"/>
    <w:charset w:val="86"/>
    <w:family w:val="modern"/>
    <w:pitch w:val="default"/>
    <w:sig w:usb0="00000000" w:usb1="00000000" w:usb2="000A005E"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EBBE1">
    <w:pPr>
      <w:pStyle w:val="3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73C9A">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635" r="635" b="1270"/>
              <wp:wrapNone/>
              <wp:docPr id="4"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BA1FB6A">
                          <w:pPr>
                            <w:pStyle w:val="3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QSVzCQsCAAACBAAADgAAAAAAAAABACAAAAAfAQAA&#10;ZHJzL2Uyb0RvYy54bWxQSwUGAAAAAAYABgBZAQAAnAUAAAAA&#10;">
              <v:fill on="f" focussize="0,0"/>
              <v:stroke on="f"/>
              <v:imagedata o:title=""/>
              <o:lock v:ext="edit" aspectratio="f"/>
              <v:textbox inset="0mm,0mm,0mm,0mm" style="mso-fit-shape-to-text:t;">
                <w:txbxContent>
                  <w:p w14:paraId="6BA1FB6A">
                    <w:pPr>
                      <w:pStyle w:val="3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32E60">
    <w:pPr>
      <w:pStyle w:val="31"/>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1270" b="0"/>
              <wp:wrapNone/>
              <wp:docPr id="3"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4F170B6">
                          <w:pPr>
                            <w:pStyle w:val="3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9"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4vdRNAAAAACAQAADwAAAAAAAAABACAAAAAiAAAAZHJz&#10;L2Rvd25yZXYueG1sUEsBAhQAFAAAAAgAh07iQFxcCGQMAgAAAgQAAA4AAAAAAAAAAQAgAAAAHwEA&#10;AGRycy9lMm9Eb2MueG1sUEsFBgAAAAAGAAYAWQEAAJ0FAAAAAA==&#10;">
              <v:fill on="f" focussize="0,0"/>
              <v:stroke on="f"/>
              <v:imagedata o:title=""/>
              <o:lock v:ext="edit" aspectratio="f"/>
              <v:textbox inset="0mm,0mm,0mm,0mm" style="mso-fit-shape-to-text:t;">
                <w:txbxContent>
                  <w:p w14:paraId="14F170B6">
                    <w:pPr>
                      <w:pStyle w:val="3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C6F5C">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4445" t="0" r="4445" b="0"/>
              <wp:wrapNone/>
              <wp:docPr id="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082A0CD">
                          <w:pPr>
                            <w:pStyle w:val="31"/>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wSMV4LAgAAAw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ls+hP53xBaXeOEkP/CnqamqTVu1uQnz2zcNMIu1XXiNA1SlTEL48vs3tPBxwfQTbdW6iokNgF&#10;SEB9jSaaR3YwQqfeHM69UX1gMpbM5y8vLjmTdJVf5PP5ZaogivGxQx9eKzAsBiVHan0CF/tbHyIZ&#10;UYwpsZaFtW7b1P7W/nVAifEkkY98B+ah3/QnMzZQHUgGwjBN9JcoaAC/cNbRJJXc0sfhrH1jyYg4&#10;dGOAY7AZA2ElPSx54GwIb8IwnDuHetsQ7mj1NZm11klIdHXgcGJJs5H0neY4Dt/9fcr683e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7BIxXgsCAAADBAAADgAAAAAAAAABACAAAAAfAQAA&#10;ZHJzL2Uyb0RvYy54bWxQSwUGAAAAAAYABgBZAQAAnAUAAAAA&#10;">
              <v:fill on="f" focussize="0,0"/>
              <v:stroke on="f"/>
              <v:imagedata o:title=""/>
              <o:lock v:ext="edit" aspectratio="f"/>
              <v:textbox inset="0mm,0mm,0mm,0mm" style="mso-fit-shape-to-text:t;">
                <w:txbxContent>
                  <w:p w14:paraId="5082A0CD">
                    <w:pPr>
                      <w:pStyle w:val="31"/>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1CE93">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4445" t="3175" r="4445"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D81F320">
                          <w:pPr>
                            <w:pStyle w:val="31"/>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K5c+YJAgAAAw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z6M/nfMFpd06Sgz9G+hjbtTq3Q3IL55ZuG6E3agrROgaJSril15mD54OOD6CrLv3UFEhsQ2Q&#10;gPoaTQQkOxihU2/2p96oPjAZS+az1+cXnEm6ys/z2ewicstEMT526MNbBYbFoORIrU/gYnfjw5A6&#10;psRaFla6bVP7W/vXAWHGk0Q+8h2Yh37dH81YQ7UnGQjDNNFfoqAB/MpZR5NUcksfh7P2nSUj4tCN&#10;AY7BegyElfSw5IGzIbwOw3BuHepNQ7ij1Vdk1konIdHVgcORJc1GsuI4x3H4Hu5T1p+/u7g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NK5c+YJAgAAAwQAAA4AAAAAAAAAAQAgAAAAHwEAAGRy&#10;cy9lMm9Eb2MueG1sUEsFBgAAAAAGAAYAWQEAAJoFAAAAAA==&#10;">
              <v:fill on="f" focussize="0,0"/>
              <v:stroke on="f"/>
              <v:imagedata o:title=""/>
              <o:lock v:ext="edit" aspectratio="f"/>
              <v:textbox inset="0mm,0mm,0mm,0mm" style="mso-fit-shape-to-text:t;">
                <w:txbxContent>
                  <w:p w14:paraId="7D81F320">
                    <w:pPr>
                      <w:pStyle w:val="31"/>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442A">
    <w:pPr>
      <w:pStyle w:val="3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0B1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A40BB"/>
    <w:multiLevelType w:val="singleLevel"/>
    <w:tmpl w:val="AE4A40BB"/>
    <w:lvl w:ilvl="0" w:tentative="0">
      <w:start w:val="1"/>
      <w:numFmt w:val="decimal"/>
      <w:lvlText w:val="%1"/>
      <w:lvlJc w:val="center"/>
      <w:pPr>
        <w:ind w:left="454" w:leftChars="0" w:hanging="248" w:firstLineChars="0"/>
      </w:pPr>
      <w:rPr>
        <w:rFonts w:hint="default"/>
      </w:rPr>
    </w:lvl>
  </w:abstractNum>
  <w:abstractNum w:abstractNumId="1">
    <w:nsid w:val="FAEDF774"/>
    <w:multiLevelType w:val="singleLevel"/>
    <w:tmpl w:val="FAEDF774"/>
    <w:lvl w:ilvl="0" w:tentative="0">
      <w:start w:val="4"/>
      <w:numFmt w:val="chineseCounting"/>
      <w:suff w:val="space"/>
      <w:lvlText w:val="第%1章"/>
      <w:lvlJc w:val="left"/>
      <w:rPr>
        <w:rFonts w:hint="eastAsia"/>
      </w:rPr>
    </w:lvl>
  </w:abstractNum>
  <w:abstractNum w:abstractNumId="2">
    <w:nsid w:val="0000000F"/>
    <w:multiLevelType w:val="multilevel"/>
    <w:tmpl w:val="0000000F"/>
    <w:lvl w:ilvl="0" w:tentative="0">
      <w:start w:val="1"/>
      <w:numFmt w:val="decimal"/>
      <w:pStyle w:val="14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155"/>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3">
    <w:nsid w:val="04C60F9A"/>
    <w:multiLevelType w:val="singleLevel"/>
    <w:tmpl w:val="04C60F9A"/>
    <w:lvl w:ilvl="0" w:tentative="0">
      <w:start w:val="1"/>
      <w:numFmt w:val="chineseCounting"/>
      <w:suff w:val="nothing"/>
      <w:lvlText w:val="%1、"/>
      <w:lvlJc w:val="left"/>
      <w:rPr>
        <w:rFonts w:hint="eastAsia"/>
      </w:rPr>
    </w:lvl>
  </w:abstractNum>
  <w:abstractNum w:abstractNumId="4">
    <w:nsid w:val="2C5917C3"/>
    <w:multiLevelType w:val="multilevel"/>
    <w:tmpl w:val="2C5917C3"/>
    <w:lvl w:ilvl="0" w:tentative="0">
      <w:start w:val="1"/>
      <w:numFmt w:val="none"/>
      <w:pStyle w:val="161"/>
      <w:suff w:val="nothing"/>
      <w:lvlText w:val="%1——"/>
      <w:lvlJc w:val="left"/>
      <w:pPr>
        <w:ind w:left="1248"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yM2I3YmUwNmY3MWI2NTIyNDUzOTMwY2QxMDFiYjMifQ=="/>
  </w:docVars>
  <w:rsids>
    <w:rsidRoot w:val="00172A27"/>
    <w:rsid w:val="00092A78"/>
    <w:rsid w:val="00172A27"/>
    <w:rsid w:val="002120EF"/>
    <w:rsid w:val="0024093E"/>
    <w:rsid w:val="002D7065"/>
    <w:rsid w:val="003D3E01"/>
    <w:rsid w:val="003D5AEE"/>
    <w:rsid w:val="00526F91"/>
    <w:rsid w:val="00617552"/>
    <w:rsid w:val="00692FA7"/>
    <w:rsid w:val="00740001"/>
    <w:rsid w:val="00776B74"/>
    <w:rsid w:val="00895D07"/>
    <w:rsid w:val="009737D8"/>
    <w:rsid w:val="009A7452"/>
    <w:rsid w:val="009D2E89"/>
    <w:rsid w:val="00A71BC7"/>
    <w:rsid w:val="00AB408C"/>
    <w:rsid w:val="00BC1B25"/>
    <w:rsid w:val="00D369A5"/>
    <w:rsid w:val="00D9637F"/>
    <w:rsid w:val="00DA6182"/>
    <w:rsid w:val="00DB777A"/>
    <w:rsid w:val="00E16FE2"/>
    <w:rsid w:val="00E80370"/>
    <w:rsid w:val="00EA4E2E"/>
    <w:rsid w:val="00F01E76"/>
    <w:rsid w:val="00F376B8"/>
    <w:rsid w:val="00FB0DA6"/>
    <w:rsid w:val="011B076D"/>
    <w:rsid w:val="01254241"/>
    <w:rsid w:val="01364957"/>
    <w:rsid w:val="01392FF5"/>
    <w:rsid w:val="013B2B96"/>
    <w:rsid w:val="014D2CCE"/>
    <w:rsid w:val="01520E04"/>
    <w:rsid w:val="01562245"/>
    <w:rsid w:val="015A0117"/>
    <w:rsid w:val="016F1E6F"/>
    <w:rsid w:val="017B4801"/>
    <w:rsid w:val="018450D3"/>
    <w:rsid w:val="018D5CCC"/>
    <w:rsid w:val="018F3708"/>
    <w:rsid w:val="01A015C6"/>
    <w:rsid w:val="01B065BA"/>
    <w:rsid w:val="01C20306"/>
    <w:rsid w:val="01D058FF"/>
    <w:rsid w:val="01F2522C"/>
    <w:rsid w:val="01FE37DF"/>
    <w:rsid w:val="01FE4DD1"/>
    <w:rsid w:val="01FF6AFC"/>
    <w:rsid w:val="020B7E0E"/>
    <w:rsid w:val="02104022"/>
    <w:rsid w:val="02202A1E"/>
    <w:rsid w:val="02205CDC"/>
    <w:rsid w:val="024015FE"/>
    <w:rsid w:val="02445A7A"/>
    <w:rsid w:val="0283506D"/>
    <w:rsid w:val="0285696A"/>
    <w:rsid w:val="0293072B"/>
    <w:rsid w:val="029307AF"/>
    <w:rsid w:val="02A604E3"/>
    <w:rsid w:val="02AD20E0"/>
    <w:rsid w:val="02BA6DDD"/>
    <w:rsid w:val="02BC3451"/>
    <w:rsid w:val="02D24292"/>
    <w:rsid w:val="02DF5101"/>
    <w:rsid w:val="02E849B6"/>
    <w:rsid w:val="02EA287A"/>
    <w:rsid w:val="02EC24C8"/>
    <w:rsid w:val="02FE6B10"/>
    <w:rsid w:val="030A6CC4"/>
    <w:rsid w:val="03172004"/>
    <w:rsid w:val="03423B2D"/>
    <w:rsid w:val="034C5DA0"/>
    <w:rsid w:val="034D095E"/>
    <w:rsid w:val="03620100"/>
    <w:rsid w:val="03624E28"/>
    <w:rsid w:val="036363D4"/>
    <w:rsid w:val="037315E4"/>
    <w:rsid w:val="03974967"/>
    <w:rsid w:val="039859AF"/>
    <w:rsid w:val="03991DF6"/>
    <w:rsid w:val="03A639DC"/>
    <w:rsid w:val="03AA4979"/>
    <w:rsid w:val="03B13118"/>
    <w:rsid w:val="03BE7D34"/>
    <w:rsid w:val="03C52AD7"/>
    <w:rsid w:val="03E56DE9"/>
    <w:rsid w:val="04002523"/>
    <w:rsid w:val="040B61EF"/>
    <w:rsid w:val="043B3CCE"/>
    <w:rsid w:val="04664F53"/>
    <w:rsid w:val="046A0822"/>
    <w:rsid w:val="0479788E"/>
    <w:rsid w:val="048F1237"/>
    <w:rsid w:val="04983AA2"/>
    <w:rsid w:val="04B862AB"/>
    <w:rsid w:val="04C74724"/>
    <w:rsid w:val="04D63758"/>
    <w:rsid w:val="04E71D9A"/>
    <w:rsid w:val="04EB5264"/>
    <w:rsid w:val="04EF19C1"/>
    <w:rsid w:val="050E437D"/>
    <w:rsid w:val="05285CBC"/>
    <w:rsid w:val="052A7B61"/>
    <w:rsid w:val="052C7FA3"/>
    <w:rsid w:val="05330C65"/>
    <w:rsid w:val="05397BC6"/>
    <w:rsid w:val="053A5AF9"/>
    <w:rsid w:val="0541145C"/>
    <w:rsid w:val="054A15F9"/>
    <w:rsid w:val="054F4E62"/>
    <w:rsid w:val="05850883"/>
    <w:rsid w:val="058D14E6"/>
    <w:rsid w:val="05A33920"/>
    <w:rsid w:val="05B41169"/>
    <w:rsid w:val="05B413B4"/>
    <w:rsid w:val="05C1700E"/>
    <w:rsid w:val="05C44C85"/>
    <w:rsid w:val="05E352FD"/>
    <w:rsid w:val="05ED2F51"/>
    <w:rsid w:val="05F54962"/>
    <w:rsid w:val="05FA69FC"/>
    <w:rsid w:val="06043D18"/>
    <w:rsid w:val="06095645"/>
    <w:rsid w:val="060F5B7A"/>
    <w:rsid w:val="06131D26"/>
    <w:rsid w:val="06153268"/>
    <w:rsid w:val="06213A0F"/>
    <w:rsid w:val="06231700"/>
    <w:rsid w:val="06293905"/>
    <w:rsid w:val="06316315"/>
    <w:rsid w:val="067412BF"/>
    <w:rsid w:val="068472C4"/>
    <w:rsid w:val="06856E29"/>
    <w:rsid w:val="068A1A74"/>
    <w:rsid w:val="068B7C0B"/>
    <w:rsid w:val="068C2B87"/>
    <w:rsid w:val="069A01B7"/>
    <w:rsid w:val="069F5975"/>
    <w:rsid w:val="06B14770"/>
    <w:rsid w:val="06B5358E"/>
    <w:rsid w:val="06D117C4"/>
    <w:rsid w:val="06D40886"/>
    <w:rsid w:val="06EE25A0"/>
    <w:rsid w:val="06FE159B"/>
    <w:rsid w:val="0710034B"/>
    <w:rsid w:val="072702BE"/>
    <w:rsid w:val="073A43B2"/>
    <w:rsid w:val="074A173B"/>
    <w:rsid w:val="074A3B33"/>
    <w:rsid w:val="0755481D"/>
    <w:rsid w:val="07573D64"/>
    <w:rsid w:val="07587D5E"/>
    <w:rsid w:val="075D1F78"/>
    <w:rsid w:val="077D6C86"/>
    <w:rsid w:val="0788175D"/>
    <w:rsid w:val="079A19F7"/>
    <w:rsid w:val="079B3C45"/>
    <w:rsid w:val="079E6705"/>
    <w:rsid w:val="07A20C7B"/>
    <w:rsid w:val="07AB48C8"/>
    <w:rsid w:val="07BF5C81"/>
    <w:rsid w:val="07DA2C8A"/>
    <w:rsid w:val="07DC6899"/>
    <w:rsid w:val="08013891"/>
    <w:rsid w:val="0801495A"/>
    <w:rsid w:val="0808780A"/>
    <w:rsid w:val="081128A2"/>
    <w:rsid w:val="0814056B"/>
    <w:rsid w:val="081A536E"/>
    <w:rsid w:val="08431698"/>
    <w:rsid w:val="0845254C"/>
    <w:rsid w:val="084C42C1"/>
    <w:rsid w:val="084E4CCA"/>
    <w:rsid w:val="08536A05"/>
    <w:rsid w:val="085D25BC"/>
    <w:rsid w:val="08606B7B"/>
    <w:rsid w:val="08656AB8"/>
    <w:rsid w:val="087A1602"/>
    <w:rsid w:val="08834589"/>
    <w:rsid w:val="0888054E"/>
    <w:rsid w:val="088C66ED"/>
    <w:rsid w:val="08922EDF"/>
    <w:rsid w:val="08980249"/>
    <w:rsid w:val="0899065E"/>
    <w:rsid w:val="08A376C7"/>
    <w:rsid w:val="08B15B10"/>
    <w:rsid w:val="08B31388"/>
    <w:rsid w:val="08C84615"/>
    <w:rsid w:val="08D87BDA"/>
    <w:rsid w:val="08DE4E32"/>
    <w:rsid w:val="08E42242"/>
    <w:rsid w:val="08E46ABC"/>
    <w:rsid w:val="090212BA"/>
    <w:rsid w:val="09043A5D"/>
    <w:rsid w:val="09211ABF"/>
    <w:rsid w:val="092F3125"/>
    <w:rsid w:val="0946032A"/>
    <w:rsid w:val="094C0A80"/>
    <w:rsid w:val="094C2194"/>
    <w:rsid w:val="094D5FE9"/>
    <w:rsid w:val="095E2056"/>
    <w:rsid w:val="09695E13"/>
    <w:rsid w:val="097D4AD8"/>
    <w:rsid w:val="09812026"/>
    <w:rsid w:val="09824F4E"/>
    <w:rsid w:val="099D7048"/>
    <w:rsid w:val="09AB2B27"/>
    <w:rsid w:val="09BA0456"/>
    <w:rsid w:val="09DA6CC4"/>
    <w:rsid w:val="09DF3948"/>
    <w:rsid w:val="09E71B0D"/>
    <w:rsid w:val="0A03621B"/>
    <w:rsid w:val="0A0A3895"/>
    <w:rsid w:val="0A36305A"/>
    <w:rsid w:val="0A3F7702"/>
    <w:rsid w:val="0A444601"/>
    <w:rsid w:val="0A4F5936"/>
    <w:rsid w:val="0A502B6F"/>
    <w:rsid w:val="0AA55524"/>
    <w:rsid w:val="0AAB1C10"/>
    <w:rsid w:val="0AAC0660"/>
    <w:rsid w:val="0AAD3582"/>
    <w:rsid w:val="0AAE6380"/>
    <w:rsid w:val="0ABB7E0E"/>
    <w:rsid w:val="0AC64852"/>
    <w:rsid w:val="0AD55E09"/>
    <w:rsid w:val="0AE0030A"/>
    <w:rsid w:val="0AE01BA4"/>
    <w:rsid w:val="0AE41BA8"/>
    <w:rsid w:val="0AEC2C46"/>
    <w:rsid w:val="0AFD4947"/>
    <w:rsid w:val="0AFE40F4"/>
    <w:rsid w:val="0B0A2B7A"/>
    <w:rsid w:val="0B251DE0"/>
    <w:rsid w:val="0B263833"/>
    <w:rsid w:val="0B346965"/>
    <w:rsid w:val="0B3B4781"/>
    <w:rsid w:val="0B4A6319"/>
    <w:rsid w:val="0B4C7FE6"/>
    <w:rsid w:val="0B501474"/>
    <w:rsid w:val="0B5A77DA"/>
    <w:rsid w:val="0B6815DC"/>
    <w:rsid w:val="0B723683"/>
    <w:rsid w:val="0B7C0033"/>
    <w:rsid w:val="0B7E7098"/>
    <w:rsid w:val="0B802535"/>
    <w:rsid w:val="0B81389B"/>
    <w:rsid w:val="0B8C58C7"/>
    <w:rsid w:val="0B9B1A81"/>
    <w:rsid w:val="0BAD7E73"/>
    <w:rsid w:val="0BB655DF"/>
    <w:rsid w:val="0BB92254"/>
    <w:rsid w:val="0BBD21B8"/>
    <w:rsid w:val="0BBF6BBF"/>
    <w:rsid w:val="0BEF39E7"/>
    <w:rsid w:val="0BF70001"/>
    <w:rsid w:val="0BF970B0"/>
    <w:rsid w:val="0C0555AD"/>
    <w:rsid w:val="0C327BDA"/>
    <w:rsid w:val="0C3415F0"/>
    <w:rsid w:val="0C6E2E42"/>
    <w:rsid w:val="0C740B81"/>
    <w:rsid w:val="0C7873AB"/>
    <w:rsid w:val="0C794471"/>
    <w:rsid w:val="0C7B28C4"/>
    <w:rsid w:val="0C803B05"/>
    <w:rsid w:val="0C926699"/>
    <w:rsid w:val="0CC015F5"/>
    <w:rsid w:val="0CD34B26"/>
    <w:rsid w:val="0CE7443B"/>
    <w:rsid w:val="0CF05A8B"/>
    <w:rsid w:val="0CFE4D6A"/>
    <w:rsid w:val="0D091D9A"/>
    <w:rsid w:val="0D101598"/>
    <w:rsid w:val="0D1D167E"/>
    <w:rsid w:val="0D1F4EEE"/>
    <w:rsid w:val="0D303856"/>
    <w:rsid w:val="0D317212"/>
    <w:rsid w:val="0D5113D6"/>
    <w:rsid w:val="0D537991"/>
    <w:rsid w:val="0D64771B"/>
    <w:rsid w:val="0D7838A2"/>
    <w:rsid w:val="0D78679B"/>
    <w:rsid w:val="0D79347D"/>
    <w:rsid w:val="0D803F61"/>
    <w:rsid w:val="0D95000F"/>
    <w:rsid w:val="0D9948A2"/>
    <w:rsid w:val="0DA17846"/>
    <w:rsid w:val="0DB26FA6"/>
    <w:rsid w:val="0DBA4A79"/>
    <w:rsid w:val="0DBE4C2B"/>
    <w:rsid w:val="0DDD0653"/>
    <w:rsid w:val="0DF27D93"/>
    <w:rsid w:val="0E006627"/>
    <w:rsid w:val="0E224018"/>
    <w:rsid w:val="0E33587B"/>
    <w:rsid w:val="0E4057C5"/>
    <w:rsid w:val="0E4245F1"/>
    <w:rsid w:val="0E466540"/>
    <w:rsid w:val="0E506236"/>
    <w:rsid w:val="0E6409CA"/>
    <w:rsid w:val="0E672E4D"/>
    <w:rsid w:val="0E711999"/>
    <w:rsid w:val="0E762C49"/>
    <w:rsid w:val="0E8A2A67"/>
    <w:rsid w:val="0E957105"/>
    <w:rsid w:val="0EA53C58"/>
    <w:rsid w:val="0EB44193"/>
    <w:rsid w:val="0ED014D7"/>
    <w:rsid w:val="0EEA2826"/>
    <w:rsid w:val="0EEA49B1"/>
    <w:rsid w:val="0F025E8B"/>
    <w:rsid w:val="0F0C5B71"/>
    <w:rsid w:val="0F122513"/>
    <w:rsid w:val="0F2B4346"/>
    <w:rsid w:val="0F4251AA"/>
    <w:rsid w:val="0F67514B"/>
    <w:rsid w:val="0F67627E"/>
    <w:rsid w:val="0F693E74"/>
    <w:rsid w:val="0F7278E4"/>
    <w:rsid w:val="0F845AE7"/>
    <w:rsid w:val="0F8F046F"/>
    <w:rsid w:val="0F8F27F2"/>
    <w:rsid w:val="0F917E25"/>
    <w:rsid w:val="0F982EF8"/>
    <w:rsid w:val="0F9B03B3"/>
    <w:rsid w:val="0FA958FA"/>
    <w:rsid w:val="0FAB11CA"/>
    <w:rsid w:val="0FAE0B7A"/>
    <w:rsid w:val="0FBC7598"/>
    <w:rsid w:val="0FC922CC"/>
    <w:rsid w:val="0FE80C30"/>
    <w:rsid w:val="0FF00438"/>
    <w:rsid w:val="0FF43096"/>
    <w:rsid w:val="0FFB5ED9"/>
    <w:rsid w:val="0FFC2826"/>
    <w:rsid w:val="100D68C6"/>
    <w:rsid w:val="10243F77"/>
    <w:rsid w:val="10400BB6"/>
    <w:rsid w:val="104A5433"/>
    <w:rsid w:val="10543CFF"/>
    <w:rsid w:val="105B2110"/>
    <w:rsid w:val="10616C61"/>
    <w:rsid w:val="1067687D"/>
    <w:rsid w:val="109C1B36"/>
    <w:rsid w:val="10A5780E"/>
    <w:rsid w:val="10A84798"/>
    <w:rsid w:val="10AC5449"/>
    <w:rsid w:val="10B0550D"/>
    <w:rsid w:val="10C276FF"/>
    <w:rsid w:val="10C27F2F"/>
    <w:rsid w:val="10C55D8B"/>
    <w:rsid w:val="10D65F69"/>
    <w:rsid w:val="10DE709A"/>
    <w:rsid w:val="10DF637D"/>
    <w:rsid w:val="10E022CF"/>
    <w:rsid w:val="10E86C7B"/>
    <w:rsid w:val="10F92125"/>
    <w:rsid w:val="110100FA"/>
    <w:rsid w:val="110F36F7"/>
    <w:rsid w:val="113370D8"/>
    <w:rsid w:val="11524864"/>
    <w:rsid w:val="115D26B4"/>
    <w:rsid w:val="116457F1"/>
    <w:rsid w:val="11722F54"/>
    <w:rsid w:val="117F4826"/>
    <w:rsid w:val="118B03B5"/>
    <w:rsid w:val="118D3E8D"/>
    <w:rsid w:val="119D6B16"/>
    <w:rsid w:val="11BA244B"/>
    <w:rsid w:val="11C17D68"/>
    <w:rsid w:val="11C61E2E"/>
    <w:rsid w:val="11CD3120"/>
    <w:rsid w:val="11CE710E"/>
    <w:rsid w:val="11D1313E"/>
    <w:rsid w:val="11D2167A"/>
    <w:rsid w:val="11E76422"/>
    <w:rsid w:val="12247209"/>
    <w:rsid w:val="122A4C8C"/>
    <w:rsid w:val="122B630F"/>
    <w:rsid w:val="123F5E05"/>
    <w:rsid w:val="12413A35"/>
    <w:rsid w:val="12502AF8"/>
    <w:rsid w:val="1251381D"/>
    <w:rsid w:val="125F2920"/>
    <w:rsid w:val="12602F45"/>
    <w:rsid w:val="1266002A"/>
    <w:rsid w:val="12695089"/>
    <w:rsid w:val="12704669"/>
    <w:rsid w:val="12845984"/>
    <w:rsid w:val="12DB267E"/>
    <w:rsid w:val="12DD5F9D"/>
    <w:rsid w:val="13054DB2"/>
    <w:rsid w:val="130D1D5B"/>
    <w:rsid w:val="13150A91"/>
    <w:rsid w:val="13223BB5"/>
    <w:rsid w:val="13244039"/>
    <w:rsid w:val="13267C75"/>
    <w:rsid w:val="133D7514"/>
    <w:rsid w:val="134C21E1"/>
    <w:rsid w:val="1357122B"/>
    <w:rsid w:val="137B7D97"/>
    <w:rsid w:val="138E124B"/>
    <w:rsid w:val="139A31C7"/>
    <w:rsid w:val="13A06724"/>
    <w:rsid w:val="13A31088"/>
    <w:rsid w:val="13CA1B57"/>
    <w:rsid w:val="13E7221F"/>
    <w:rsid w:val="13F35E74"/>
    <w:rsid w:val="14075DB3"/>
    <w:rsid w:val="141D16F7"/>
    <w:rsid w:val="142916C8"/>
    <w:rsid w:val="1452656A"/>
    <w:rsid w:val="14555D0B"/>
    <w:rsid w:val="1463312E"/>
    <w:rsid w:val="146C0833"/>
    <w:rsid w:val="147A7245"/>
    <w:rsid w:val="147D616A"/>
    <w:rsid w:val="148E78EB"/>
    <w:rsid w:val="14A10028"/>
    <w:rsid w:val="14B24AC5"/>
    <w:rsid w:val="14B37C3C"/>
    <w:rsid w:val="14CC7584"/>
    <w:rsid w:val="14F378A1"/>
    <w:rsid w:val="14FF3E71"/>
    <w:rsid w:val="15085D61"/>
    <w:rsid w:val="151D003A"/>
    <w:rsid w:val="15372395"/>
    <w:rsid w:val="1544009F"/>
    <w:rsid w:val="154B2B6F"/>
    <w:rsid w:val="15526292"/>
    <w:rsid w:val="15602773"/>
    <w:rsid w:val="156C6CB0"/>
    <w:rsid w:val="15A41A3C"/>
    <w:rsid w:val="15AF406F"/>
    <w:rsid w:val="15B5492C"/>
    <w:rsid w:val="15BF4B5C"/>
    <w:rsid w:val="15C01464"/>
    <w:rsid w:val="15EE5FD1"/>
    <w:rsid w:val="15F6334A"/>
    <w:rsid w:val="15FD121B"/>
    <w:rsid w:val="161817F1"/>
    <w:rsid w:val="161F6BA8"/>
    <w:rsid w:val="16210D96"/>
    <w:rsid w:val="162972A8"/>
    <w:rsid w:val="162D131B"/>
    <w:rsid w:val="16310DDB"/>
    <w:rsid w:val="163631E4"/>
    <w:rsid w:val="163703FA"/>
    <w:rsid w:val="163B3ADF"/>
    <w:rsid w:val="164167AB"/>
    <w:rsid w:val="16633F40"/>
    <w:rsid w:val="16634644"/>
    <w:rsid w:val="16794BCB"/>
    <w:rsid w:val="16891007"/>
    <w:rsid w:val="16895ECA"/>
    <w:rsid w:val="16A0117F"/>
    <w:rsid w:val="16A619B3"/>
    <w:rsid w:val="16AE401D"/>
    <w:rsid w:val="16B6352F"/>
    <w:rsid w:val="16B7582D"/>
    <w:rsid w:val="16BA2357"/>
    <w:rsid w:val="16CB757E"/>
    <w:rsid w:val="16D62423"/>
    <w:rsid w:val="16D907A9"/>
    <w:rsid w:val="16DF390A"/>
    <w:rsid w:val="16FA2753"/>
    <w:rsid w:val="171458BA"/>
    <w:rsid w:val="17190E2C"/>
    <w:rsid w:val="171E654F"/>
    <w:rsid w:val="17232448"/>
    <w:rsid w:val="17270EE0"/>
    <w:rsid w:val="173A7524"/>
    <w:rsid w:val="1748172E"/>
    <w:rsid w:val="177D46D3"/>
    <w:rsid w:val="17872C1D"/>
    <w:rsid w:val="17B37358"/>
    <w:rsid w:val="17C407C9"/>
    <w:rsid w:val="17D43B27"/>
    <w:rsid w:val="17F93262"/>
    <w:rsid w:val="180C00A9"/>
    <w:rsid w:val="181815F3"/>
    <w:rsid w:val="18274579"/>
    <w:rsid w:val="18405FC8"/>
    <w:rsid w:val="18436B7D"/>
    <w:rsid w:val="18575728"/>
    <w:rsid w:val="18611CA7"/>
    <w:rsid w:val="186162CD"/>
    <w:rsid w:val="186A34DC"/>
    <w:rsid w:val="1873157B"/>
    <w:rsid w:val="18786866"/>
    <w:rsid w:val="18942389"/>
    <w:rsid w:val="189A2440"/>
    <w:rsid w:val="189E7D05"/>
    <w:rsid w:val="18B30D4E"/>
    <w:rsid w:val="18B93811"/>
    <w:rsid w:val="18D47700"/>
    <w:rsid w:val="1908453D"/>
    <w:rsid w:val="190E4C14"/>
    <w:rsid w:val="1910615A"/>
    <w:rsid w:val="192A68BB"/>
    <w:rsid w:val="192E5743"/>
    <w:rsid w:val="19363610"/>
    <w:rsid w:val="194742DC"/>
    <w:rsid w:val="194C5023"/>
    <w:rsid w:val="1962193B"/>
    <w:rsid w:val="19632E55"/>
    <w:rsid w:val="1970327A"/>
    <w:rsid w:val="197D6787"/>
    <w:rsid w:val="198448E0"/>
    <w:rsid w:val="199A46C5"/>
    <w:rsid w:val="199E70C4"/>
    <w:rsid w:val="19AE31C6"/>
    <w:rsid w:val="19C91969"/>
    <w:rsid w:val="19E65657"/>
    <w:rsid w:val="1A071B90"/>
    <w:rsid w:val="1A231855"/>
    <w:rsid w:val="1A2D7BBF"/>
    <w:rsid w:val="1A533EEE"/>
    <w:rsid w:val="1A601882"/>
    <w:rsid w:val="1A7A13F4"/>
    <w:rsid w:val="1A7A5DCF"/>
    <w:rsid w:val="1A7F14E6"/>
    <w:rsid w:val="1A903AFB"/>
    <w:rsid w:val="1AAD3DF6"/>
    <w:rsid w:val="1ABA79BA"/>
    <w:rsid w:val="1AC41F4A"/>
    <w:rsid w:val="1ADB4F3C"/>
    <w:rsid w:val="1ADD74DE"/>
    <w:rsid w:val="1AF05E6E"/>
    <w:rsid w:val="1B0E23CC"/>
    <w:rsid w:val="1B297DA1"/>
    <w:rsid w:val="1B2B705F"/>
    <w:rsid w:val="1B476920"/>
    <w:rsid w:val="1B8144A1"/>
    <w:rsid w:val="1B842482"/>
    <w:rsid w:val="1B8D1717"/>
    <w:rsid w:val="1BA057D7"/>
    <w:rsid w:val="1BDC1C3A"/>
    <w:rsid w:val="1C4E77C9"/>
    <w:rsid w:val="1C4F058B"/>
    <w:rsid w:val="1C624D00"/>
    <w:rsid w:val="1C6A3ED7"/>
    <w:rsid w:val="1C7969BC"/>
    <w:rsid w:val="1C7A1A8C"/>
    <w:rsid w:val="1C9315D1"/>
    <w:rsid w:val="1C933645"/>
    <w:rsid w:val="1C9D5C80"/>
    <w:rsid w:val="1CB6536F"/>
    <w:rsid w:val="1CBB76EF"/>
    <w:rsid w:val="1CC21BFB"/>
    <w:rsid w:val="1CE07903"/>
    <w:rsid w:val="1CE44D14"/>
    <w:rsid w:val="1D016290"/>
    <w:rsid w:val="1D1D719C"/>
    <w:rsid w:val="1D1E22CD"/>
    <w:rsid w:val="1D1E5CB6"/>
    <w:rsid w:val="1D3650F4"/>
    <w:rsid w:val="1D4152E4"/>
    <w:rsid w:val="1D44429B"/>
    <w:rsid w:val="1D661056"/>
    <w:rsid w:val="1D833336"/>
    <w:rsid w:val="1DB16389"/>
    <w:rsid w:val="1DB603FF"/>
    <w:rsid w:val="1DB72E7F"/>
    <w:rsid w:val="1DBF69B3"/>
    <w:rsid w:val="1DDA6A02"/>
    <w:rsid w:val="1DF26D30"/>
    <w:rsid w:val="1E1C3AF9"/>
    <w:rsid w:val="1E322933"/>
    <w:rsid w:val="1E5C4E09"/>
    <w:rsid w:val="1E5D0C58"/>
    <w:rsid w:val="1E617B02"/>
    <w:rsid w:val="1E6A5CB5"/>
    <w:rsid w:val="1E6D637E"/>
    <w:rsid w:val="1E761FE1"/>
    <w:rsid w:val="1E877114"/>
    <w:rsid w:val="1E962530"/>
    <w:rsid w:val="1E9A1FBD"/>
    <w:rsid w:val="1E9E082B"/>
    <w:rsid w:val="1EA41DA1"/>
    <w:rsid w:val="1EB31B66"/>
    <w:rsid w:val="1EC824FB"/>
    <w:rsid w:val="1ED45C06"/>
    <w:rsid w:val="1EF12BBD"/>
    <w:rsid w:val="1F054A33"/>
    <w:rsid w:val="1F0A6272"/>
    <w:rsid w:val="1F1473DF"/>
    <w:rsid w:val="1F156212"/>
    <w:rsid w:val="1F1958BA"/>
    <w:rsid w:val="1F32719E"/>
    <w:rsid w:val="1F54408F"/>
    <w:rsid w:val="1F62545A"/>
    <w:rsid w:val="1F693ED7"/>
    <w:rsid w:val="1F710245"/>
    <w:rsid w:val="1F7E581E"/>
    <w:rsid w:val="1F823EAB"/>
    <w:rsid w:val="1F8B5AF7"/>
    <w:rsid w:val="1F971B40"/>
    <w:rsid w:val="1FB545ED"/>
    <w:rsid w:val="1FB57DC3"/>
    <w:rsid w:val="1FCA6AB3"/>
    <w:rsid w:val="1FDA5F68"/>
    <w:rsid w:val="1FE14A19"/>
    <w:rsid w:val="1FE67038"/>
    <w:rsid w:val="1FFF664C"/>
    <w:rsid w:val="2000527E"/>
    <w:rsid w:val="20121B80"/>
    <w:rsid w:val="201F05FC"/>
    <w:rsid w:val="20203829"/>
    <w:rsid w:val="20332056"/>
    <w:rsid w:val="203D6B35"/>
    <w:rsid w:val="2041436C"/>
    <w:rsid w:val="204C0515"/>
    <w:rsid w:val="20531CF4"/>
    <w:rsid w:val="20706FDE"/>
    <w:rsid w:val="209922E2"/>
    <w:rsid w:val="20A16929"/>
    <w:rsid w:val="20C31E08"/>
    <w:rsid w:val="20E06C8C"/>
    <w:rsid w:val="20E6639E"/>
    <w:rsid w:val="20FC21BE"/>
    <w:rsid w:val="210963B5"/>
    <w:rsid w:val="21475E2A"/>
    <w:rsid w:val="214D7EA4"/>
    <w:rsid w:val="2151580C"/>
    <w:rsid w:val="217D1535"/>
    <w:rsid w:val="21885F0B"/>
    <w:rsid w:val="218B07A0"/>
    <w:rsid w:val="218F5B79"/>
    <w:rsid w:val="21921F06"/>
    <w:rsid w:val="219A74E6"/>
    <w:rsid w:val="21A803FE"/>
    <w:rsid w:val="21A80976"/>
    <w:rsid w:val="21B03028"/>
    <w:rsid w:val="21B453DB"/>
    <w:rsid w:val="21C35692"/>
    <w:rsid w:val="21EF053E"/>
    <w:rsid w:val="21F97B9E"/>
    <w:rsid w:val="22062FF3"/>
    <w:rsid w:val="22071062"/>
    <w:rsid w:val="220B1502"/>
    <w:rsid w:val="22122985"/>
    <w:rsid w:val="22207E5E"/>
    <w:rsid w:val="22287868"/>
    <w:rsid w:val="22291EA3"/>
    <w:rsid w:val="22341BA8"/>
    <w:rsid w:val="223C1833"/>
    <w:rsid w:val="22525B39"/>
    <w:rsid w:val="2254540E"/>
    <w:rsid w:val="2257410B"/>
    <w:rsid w:val="22720320"/>
    <w:rsid w:val="227A6CEA"/>
    <w:rsid w:val="227E248B"/>
    <w:rsid w:val="22814F3D"/>
    <w:rsid w:val="228222D1"/>
    <w:rsid w:val="22841F71"/>
    <w:rsid w:val="22855306"/>
    <w:rsid w:val="229F7B92"/>
    <w:rsid w:val="22A31938"/>
    <w:rsid w:val="22B960E6"/>
    <w:rsid w:val="22DA58B6"/>
    <w:rsid w:val="22F34F2C"/>
    <w:rsid w:val="22F369ED"/>
    <w:rsid w:val="22F86136"/>
    <w:rsid w:val="23030675"/>
    <w:rsid w:val="230615D2"/>
    <w:rsid w:val="23146838"/>
    <w:rsid w:val="231634B2"/>
    <w:rsid w:val="234019F7"/>
    <w:rsid w:val="234F06FC"/>
    <w:rsid w:val="237C24AA"/>
    <w:rsid w:val="237D33AE"/>
    <w:rsid w:val="23857832"/>
    <w:rsid w:val="239235A8"/>
    <w:rsid w:val="23930888"/>
    <w:rsid w:val="23AC797A"/>
    <w:rsid w:val="23CA3465"/>
    <w:rsid w:val="23CA615E"/>
    <w:rsid w:val="23E81F00"/>
    <w:rsid w:val="23EF464F"/>
    <w:rsid w:val="23F317F2"/>
    <w:rsid w:val="240277C4"/>
    <w:rsid w:val="2405059E"/>
    <w:rsid w:val="240A160A"/>
    <w:rsid w:val="240C4612"/>
    <w:rsid w:val="2423778D"/>
    <w:rsid w:val="242E1076"/>
    <w:rsid w:val="24335A38"/>
    <w:rsid w:val="2436725F"/>
    <w:rsid w:val="24507E90"/>
    <w:rsid w:val="2452446A"/>
    <w:rsid w:val="24683F28"/>
    <w:rsid w:val="2479546B"/>
    <w:rsid w:val="248B5B56"/>
    <w:rsid w:val="248D268E"/>
    <w:rsid w:val="24970470"/>
    <w:rsid w:val="24E01D81"/>
    <w:rsid w:val="24E67001"/>
    <w:rsid w:val="24E87A35"/>
    <w:rsid w:val="24FC532E"/>
    <w:rsid w:val="250F386E"/>
    <w:rsid w:val="251330D6"/>
    <w:rsid w:val="251B2F91"/>
    <w:rsid w:val="25411F86"/>
    <w:rsid w:val="25522F96"/>
    <w:rsid w:val="256708F3"/>
    <w:rsid w:val="25681565"/>
    <w:rsid w:val="25781651"/>
    <w:rsid w:val="2587161A"/>
    <w:rsid w:val="25887A34"/>
    <w:rsid w:val="25925415"/>
    <w:rsid w:val="25956469"/>
    <w:rsid w:val="25C074B4"/>
    <w:rsid w:val="25C16AEE"/>
    <w:rsid w:val="25EC40D3"/>
    <w:rsid w:val="25F67FEE"/>
    <w:rsid w:val="26086C3B"/>
    <w:rsid w:val="260B4945"/>
    <w:rsid w:val="2626787B"/>
    <w:rsid w:val="265245CB"/>
    <w:rsid w:val="267728FE"/>
    <w:rsid w:val="26950343"/>
    <w:rsid w:val="26A3494B"/>
    <w:rsid w:val="26C25CA8"/>
    <w:rsid w:val="26D858F4"/>
    <w:rsid w:val="26E64884"/>
    <w:rsid w:val="26EC030B"/>
    <w:rsid w:val="26EF2A2A"/>
    <w:rsid w:val="26EF3D36"/>
    <w:rsid w:val="26F84C3C"/>
    <w:rsid w:val="26FB0E17"/>
    <w:rsid w:val="27065A56"/>
    <w:rsid w:val="27151570"/>
    <w:rsid w:val="272C0707"/>
    <w:rsid w:val="272D4E78"/>
    <w:rsid w:val="273F6164"/>
    <w:rsid w:val="2741364C"/>
    <w:rsid w:val="274D6455"/>
    <w:rsid w:val="274F6046"/>
    <w:rsid w:val="27592B6C"/>
    <w:rsid w:val="275968E8"/>
    <w:rsid w:val="27600B19"/>
    <w:rsid w:val="276319AD"/>
    <w:rsid w:val="279D44C4"/>
    <w:rsid w:val="27B82C5E"/>
    <w:rsid w:val="27BC0C00"/>
    <w:rsid w:val="27DF1C1D"/>
    <w:rsid w:val="27F17082"/>
    <w:rsid w:val="281348E3"/>
    <w:rsid w:val="28154957"/>
    <w:rsid w:val="281D319D"/>
    <w:rsid w:val="2841301C"/>
    <w:rsid w:val="28422207"/>
    <w:rsid w:val="284E01C7"/>
    <w:rsid w:val="284E57F9"/>
    <w:rsid w:val="28540E8F"/>
    <w:rsid w:val="285B7A31"/>
    <w:rsid w:val="285D685B"/>
    <w:rsid w:val="286A466A"/>
    <w:rsid w:val="286A5C37"/>
    <w:rsid w:val="286B2C8C"/>
    <w:rsid w:val="286C77DA"/>
    <w:rsid w:val="28833154"/>
    <w:rsid w:val="28B11647"/>
    <w:rsid w:val="28EC7B6B"/>
    <w:rsid w:val="28F559E9"/>
    <w:rsid w:val="28FA12B8"/>
    <w:rsid w:val="290349F8"/>
    <w:rsid w:val="2905591C"/>
    <w:rsid w:val="290941F1"/>
    <w:rsid w:val="290B661E"/>
    <w:rsid w:val="291F1AEE"/>
    <w:rsid w:val="2936770C"/>
    <w:rsid w:val="295319DF"/>
    <w:rsid w:val="29531D4F"/>
    <w:rsid w:val="295E18CC"/>
    <w:rsid w:val="29600B3C"/>
    <w:rsid w:val="296B25F0"/>
    <w:rsid w:val="297509D7"/>
    <w:rsid w:val="297B008F"/>
    <w:rsid w:val="298D658A"/>
    <w:rsid w:val="299D3B3E"/>
    <w:rsid w:val="29A64C6F"/>
    <w:rsid w:val="29A869E2"/>
    <w:rsid w:val="29B22F0B"/>
    <w:rsid w:val="29C86624"/>
    <w:rsid w:val="29CB2E2C"/>
    <w:rsid w:val="29D51BDA"/>
    <w:rsid w:val="29DB74A4"/>
    <w:rsid w:val="29F851AA"/>
    <w:rsid w:val="29FC4965"/>
    <w:rsid w:val="2A047719"/>
    <w:rsid w:val="2A16558E"/>
    <w:rsid w:val="2A202F0C"/>
    <w:rsid w:val="2A3D7320"/>
    <w:rsid w:val="2A42388B"/>
    <w:rsid w:val="2A432FFD"/>
    <w:rsid w:val="2A4E331C"/>
    <w:rsid w:val="2A944CF2"/>
    <w:rsid w:val="2A954299"/>
    <w:rsid w:val="2A99039B"/>
    <w:rsid w:val="2AC769A2"/>
    <w:rsid w:val="2ACC14EF"/>
    <w:rsid w:val="2AEA109A"/>
    <w:rsid w:val="2B0A0E68"/>
    <w:rsid w:val="2B480738"/>
    <w:rsid w:val="2B4832E8"/>
    <w:rsid w:val="2B561E63"/>
    <w:rsid w:val="2B5D438B"/>
    <w:rsid w:val="2B71065A"/>
    <w:rsid w:val="2B74267D"/>
    <w:rsid w:val="2BBE7D9C"/>
    <w:rsid w:val="2BC22670"/>
    <w:rsid w:val="2BC327DF"/>
    <w:rsid w:val="2BD440AE"/>
    <w:rsid w:val="2BE75844"/>
    <w:rsid w:val="2C0038D6"/>
    <w:rsid w:val="2C127DCD"/>
    <w:rsid w:val="2C1A6E9A"/>
    <w:rsid w:val="2C2B73C8"/>
    <w:rsid w:val="2C305D28"/>
    <w:rsid w:val="2C384FD1"/>
    <w:rsid w:val="2C422635"/>
    <w:rsid w:val="2C51340A"/>
    <w:rsid w:val="2C6453A6"/>
    <w:rsid w:val="2C8A4FBA"/>
    <w:rsid w:val="2C925CF2"/>
    <w:rsid w:val="2CAE049D"/>
    <w:rsid w:val="2CC34D58"/>
    <w:rsid w:val="2CD12C80"/>
    <w:rsid w:val="2CDC3824"/>
    <w:rsid w:val="2D01457A"/>
    <w:rsid w:val="2D0716FA"/>
    <w:rsid w:val="2D0D5420"/>
    <w:rsid w:val="2D203839"/>
    <w:rsid w:val="2D40621E"/>
    <w:rsid w:val="2D5C2419"/>
    <w:rsid w:val="2D6524A5"/>
    <w:rsid w:val="2D7B3C22"/>
    <w:rsid w:val="2DBB4FB1"/>
    <w:rsid w:val="2DD81565"/>
    <w:rsid w:val="2DEF3E65"/>
    <w:rsid w:val="2E1515FB"/>
    <w:rsid w:val="2E1530FC"/>
    <w:rsid w:val="2E1D134C"/>
    <w:rsid w:val="2E2E4BB9"/>
    <w:rsid w:val="2E3019AC"/>
    <w:rsid w:val="2E33445A"/>
    <w:rsid w:val="2E3604CF"/>
    <w:rsid w:val="2E421DA6"/>
    <w:rsid w:val="2E5A53B6"/>
    <w:rsid w:val="2E72543E"/>
    <w:rsid w:val="2E8B597C"/>
    <w:rsid w:val="2E944540"/>
    <w:rsid w:val="2EB6540C"/>
    <w:rsid w:val="2EB72FAC"/>
    <w:rsid w:val="2EC56679"/>
    <w:rsid w:val="2ED2042A"/>
    <w:rsid w:val="2ED32CD8"/>
    <w:rsid w:val="2ED93AA2"/>
    <w:rsid w:val="2EDA2C0E"/>
    <w:rsid w:val="2EEA31F2"/>
    <w:rsid w:val="2EED7344"/>
    <w:rsid w:val="2EF4224A"/>
    <w:rsid w:val="2EF51D26"/>
    <w:rsid w:val="2EFB7A83"/>
    <w:rsid w:val="2EFC66FC"/>
    <w:rsid w:val="2EFD5344"/>
    <w:rsid w:val="2F01471E"/>
    <w:rsid w:val="2F2A037F"/>
    <w:rsid w:val="2F2C55D0"/>
    <w:rsid w:val="2F527179"/>
    <w:rsid w:val="2F5A3EFF"/>
    <w:rsid w:val="2F5F17E0"/>
    <w:rsid w:val="2F6032AA"/>
    <w:rsid w:val="2F7610B9"/>
    <w:rsid w:val="2F813526"/>
    <w:rsid w:val="2F8310E0"/>
    <w:rsid w:val="2F8A37AA"/>
    <w:rsid w:val="2F8D228E"/>
    <w:rsid w:val="2F917CA1"/>
    <w:rsid w:val="2F9A7DEA"/>
    <w:rsid w:val="2FB461ED"/>
    <w:rsid w:val="2FB66381"/>
    <w:rsid w:val="2FBC5E1A"/>
    <w:rsid w:val="2FC71EE9"/>
    <w:rsid w:val="2FD9273E"/>
    <w:rsid w:val="2FDD171B"/>
    <w:rsid w:val="2FFE24A2"/>
    <w:rsid w:val="300761B5"/>
    <w:rsid w:val="300F1819"/>
    <w:rsid w:val="30145897"/>
    <w:rsid w:val="301C2A8B"/>
    <w:rsid w:val="30273805"/>
    <w:rsid w:val="302D74B1"/>
    <w:rsid w:val="30360C89"/>
    <w:rsid w:val="304057D0"/>
    <w:rsid w:val="30572A7C"/>
    <w:rsid w:val="30577AB4"/>
    <w:rsid w:val="305E0AAE"/>
    <w:rsid w:val="30601421"/>
    <w:rsid w:val="306952B7"/>
    <w:rsid w:val="30730B67"/>
    <w:rsid w:val="30824022"/>
    <w:rsid w:val="30892BC8"/>
    <w:rsid w:val="308B46F0"/>
    <w:rsid w:val="308F00D3"/>
    <w:rsid w:val="30AB6B41"/>
    <w:rsid w:val="30B86334"/>
    <w:rsid w:val="30DD045E"/>
    <w:rsid w:val="30ED40B7"/>
    <w:rsid w:val="310A218D"/>
    <w:rsid w:val="311B02D8"/>
    <w:rsid w:val="3123112A"/>
    <w:rsid w:val="31250AAE"/>
    <w:rsid w:val="31306295"/>
    <w:rsid w:val="31315D21"/>
    <w:rsid w:val="31365CB3"/>
    <w:rsid w:val="313F15CA"/>
    <w:rsid w:val="31535544"/>
    <w:rsid w:val="31626EB2"/>
    <w:rsid w:val="3163462F"/>
    <w:rsid w:val="316513E5"/>
    <w:rsid w:val="3178735A"/>
    <w:rsid w:val="31937025"/>
    <w:rsid w:val="31951269"/>
    <w:rsid w:val="31966D8B"/>
    <w:rsid w:val="31A14BE9"/>
    <w:rsid w:val="31A81E86"/>
    <w:rsid w:val="31BF0034"/>
    <w:rsid w:val="31BF14DC"/>
    <w:rsid w:val="320824E3"/>
    <w:rsid w:val="32172F19"/>
    <w:rsid w:val="321E144D"/>
    <w:rsid w:val="321E6385"/>
    <w:rsid w:val="32290665"/>
    <w:rsid w:val="3236210D"/>
    <w:rsid w:val="323B04A4"/>
    <w:rsid w:val="3240441C"/>
    <w:rsid w:val="32716F63"/>
    <w:rsid w:val="327601C6"/>
    <w:rsid w:val="32844B1A"/>
    <w:rsid w:val="32B3528A"/>
    <w:rsid w:val="32D91DC6"/>
    <w:rsid w:val="32FC5589"/>
    <w:rsid w:val="32FD1152"/>
    <w:rsid w:val="330F4AF9"/>
    <w:rsid w:val="33170150"/>
    <w:rsid w:val="331F14A7"/>
    <w:rsid w:val="33240E2C"/>
    <w:rsid w:val="33256212"/>
    <w:rsid w:val="33327CB0"/>
    <w:rsid w:val="33353039"/>
    <w:rsid w:val="3340198F"/>
    <w:rsid w:val="334F37D5"/>
    <w:rsid w:val="3366678C"/>
    <w:rsid w:val="337467D7"/>
    <w:rsid w:val="3376327D"/>
    <w:rsid w:val="339D794B"/>
    <w:rsid w:val="33A930DF"/>
    <w:rsid w:val="33B2553C"/>
    <w:rsid w:val="33C70F91"/>
    <w:rsid w:val="33CC491A"/>
    <w:rsid w:val="33CC4E50"/>
    <w:rsid w:val="33DC0DA6"/>
    <w:rsid w:val="33DE0FDB"/>
    <w:rsid w:val="33DF3E68"/>
    <w:rsid w:val="34000F51"/>
    <w:rsid w:val="3409429F"/>
    <w:rsid w:val="340B5413"/>
    <w:rsid w:val="340D5451"/>
    <w:rsid w:val="340E0F5E"/>
    <w:rsid w:val="3416172F"/>
    <w:rsid w:val="341C1A5E"/>
    <w:rsid w:val="341C2EEE"/>
    <w:rsid w:val="344722CB"/>
    <w:rsid w:val="345319C9"/>
    <w:rsid w:val="3459271E"/>
    <w:rsid w:val="34656DB2"/>
    <w:rsid w:val="34732B28"/>
    <w:rsid w:val="34833175"/>
    <w:rsid w:val="34853B7A"/>
    <w:rsid w:val="34B90FB2"/>
    <w:rsid w:val="34BD369E"/>
    <w:rsid w:val="34C34D66"/>
    <w:rsid w:val="34D439B2"/>
    <w:rsid w:val="34E02AEA"/>
    <w:rsid w:val="34EB2066"/>
    <w:rsid w:val="34F12982"/>
    <w:rsid w:val="34F61513"/>
    <w:rsid w:val="34FC1F63"/>
    <w:rsid w:val="350918AB"/>
    <w:rsid w:val="35164BD7"/>
    <w:rsid w:val="352C5D76"/>
    <w:rsid w:val="35476FDE"/>
    <w:rsid w:val="35531BEF"/>
    <w:rsid w:val="35680E89"/>
    <w:rsid w:val="357C6521"/>
    <w:rsid w:val="357E2DFA"/>
    <w:rsid w:val="35822783"/>
    <w:rsid w:val="3596129D"/>
    <w:rsid w:val="35A63108"/>
    <w:rsid w:val="35BA6486"/>
    <w:rsid w:val="35BF4E3C"/>
    <w:rsid w:val="35C006BB"/>
    <w:rsid w:val="35C154E8"/>
    <w:rsid w:val="35EA3555"/>
    <w:rsid w:val="36372C24"/>
    <w:rsid w:val="363870C8"/>
    <w:rsid w:val="36527A5E"/>
    <w:rsid w:val="366963C1"/>
    <w:rsid w:val="36857491"/>
    <w:rsid w:val="368D270B"/>
    <w:rsid w:val="36967303"/>
    <w:rsid w:val="369F33B9"/>
    <w:rsid w:val="36CB0DA7"/>
    <w:rsid w:val="36D93CDC"/>
    <w:rsid w:val="36E01C79"/>
    <w:rsid w:val="36EB50AE"/>
    <w:rsid w:val="37272C99"/>
    <w:rsid w:val="373019DE"/>
    <w:rsid w:val="373B4949"/>
    <w:rsid w:val="37496540"/>
    <w:rsid w:val="37507FF6"/>
    <w:rsid w:val="37531461"/>
    <w:rsid w:val="3761086E"/>
    <w:rsid w:val="376143FD"/>
    <w:rsid w:val="37636CFF"/>
    <w:rsid w:val="376F1DB7"/>
    <w:rsid w:val="376F35E3"/>
    <w:rsid w:val="376F79E2"/>
    <w:rsid w:val="377039B9"/>
    <w:rsid w:val="3776440D"/>
    <w:rsid w:val="37782F85"/>
    <w:rsid w:val="37911C6B"/>
    <w:rsid w:val="37942DE2"/>
    <w:rsid w:val="379C5D37"/>
    <w:rsid w:val="379E50E8"/>
    <w:rsid w:val="379E702D"/>
    <w:rsid w:val="37AB6D9E"/>
    <w:rsid w:val="37B502A5"/>
    <w:rsid w:val="37BC2221"/>
    <w:rsid w:val="37C40AFB"/>
    <w:rsid w:val="37CA00C6"/>
    <w:rsid w:val="37CF29A3"/>
    <w:rsid w:val="37D963BF"/>
    <w:rsid w:val="37E35255"/>
    <w:rsid w:val="37FD5394"/>
    <w:rsid w:val="38000D28"/>
    <w:rsid w:val="3808196F"/>
    <w:rsid w:val="38196B78"/>
    <w:rsid w:val="382F0057"/>
    <w:rsid w:val="382F702F"/>
    <w:rsid w:val="38421270"/>
    <w:rsid w:val="384C2D71"/>
    <w:rsid w:val="385667D5"/>
    <w:rsid w:val="3859068E"/>
    <w:rsid w:val="386E0F73"/>
    <w:rsid w:val="387115FF"/>
    <w:rsid w:val="387E5A95"/>
    <w:rsid w:val="38965173"/>
    <w:rsid w:val="38AA5930"/>
    <w:rsid w:val="38BB18EB"/>
    <w:rsid w:val="38D67A7D"/>
    <w:rsid w:val="38E23DD8"/>
    <w:rsid w:val="38F34AC9"/>
    <w:rsid w:val="38F60D1F"/>
    <w:rsid w:val="39030B1B"/>
    <w:rsid w:val="39167469"/>
    <w:rsid w:val="39202592"/>
    <w:rsid w:val="392C73C4"/>
    <w:rsid w:val="393C6ED0"/>
    <w:rsid w:val="394474CE"/>
    <w:rsid w:val="394D60CF"/>
    <w:rsid w:val="39573916"/>
    <w:rsid w:val="39620EFB"/>
    <w:rsid w:val="39676EB6"/>
    <w:rsid w:val="3969300D"/>
    <w:rsid w:val="39735E72"/>
    <w:rsid w:val="3980705A"/>
    <w:rsid w:val="39832FBC"/>
    <w:rsid w:val="39833E36"/>
    <w:rsid w:val="398B4A67"/>
    <w:rsid w:val="39953712"/>
    <w:rsid w:val="39A935C5"/>
    <w:rsid w:val="39C8766D"/>
    <w:rsid w:val="39CB3DB0"/>
    <w:rsid w:val="39DF1EE9"/>
    <w:rsid w:val="39FE23D7"/>
    <w:rsid w:val="3A03119A"/>
    <w:rsid w:val="3A0A46FA"/>
    <w:rsid w:val="3A1027BE"/>
    <w:rsid w:val="3A223978"/>
    <w:rsid w:val="3A386F87"/>
    <w:rsid w:val="3A39340F"/>
    <w:rsid w:val="3A3C0BBB"/>
    <w:rsid w:val="3A3C0EF2"/>
    <w:rsid w:val="3A4D4109"/>
    <w:rsid w:val="3A63048C"/>
    <w:rsid w:val="3A7908DF"/>
    <w:rsid w:val="3A7E5C7D"/>
    <w:rsid w:val="3A820628"/>
    <w:rsid w:val="3A8512EE"/>
    <w:rsid w:val="3AB37829"/>
    <w:rsid w:val="3AD05793"/>
    <w:rsid w:val="3AD91380"/>
    <w:rsid w:val="3ADE52CC"/>
    <w:rsid w:val="3AE50EA1"/>
    <w:rsid w:val="3AE6715A"/>
    <w:rsid w:val="3AED266A"/>
    <w:rsid w:val="3AF506AC"/>
    <w:rsid w:val="3AF85087"/>
    <w:rsid w:val="3B0D21A6"/>
    <w:rsid w:val="3B4E6B32"/>
    <w:rsid w:val="3B527D91"/>
    <w:rsid w:val="3B593751"/>
    <w:rsid w:val="3B63015B"/>
    <w:rsid w:val="3B643BB0"/>
    <w:rsid w:val="3B732347"/>
    <w:rsid w:val="3B7346FF"/>
    <w:rsid w:val="3B807668"/>
    <w:rsid w:val="3B8561E0"/>
    <w:rsid w:val="3BAE311C"/>
    <w:rsid w:val="3BB16FD5"/>
    <w:rsid w:val="3BBC1B84"/>
    <w:rsid w:val="3BE051A5"/>
    <w:rsid w:val="3BE655DE"/>
    <w:rsid w:val="3BF1544C"/>
    <w:rsid w:val="3BF76179"/>
    <w:rsid w:val="3BFB7BD3"/>
    <w:rsid w:val="3C055914"/>
    <w:rsid w:val="3C1A112C"/>
    <w:rsid w:val="3C1B1F65"/>
    <w:rsid w:val="3C2B322B"/>
    <w:rsid w:val="3C311449"/>
    <w:rsid w:val="3C353387"/>
    <w:rsid w:val="3C402D23"/>
    <w:rsid w:val="3C415CC8"/>
    <w:rsid w:val="3C437021"/>
    <w:rsid w:val="3C4F7E87"/>
    <w:rsid w:val="3C612519"/>
    <w:rsid w:val="3C627E77"/>
    <w:rsid w:val="3C8E478E"/>
    <w:rsid w:val="3C9B7011"/>
    <w:rsid w:val="3CA20CB9"/>
    <w:rsid w:val="3CAD7649"/>
    <w:rsid w:val="3CB43221"/>
    <w:rsid w:val="3CB70E00"/>
    <w:rsid w:val="3CC152B7"/>
    <w:rsid w:val="3CD4155C"/>
    <w:rsid w:val="3CD41E40"/>
    <w:rsid w:val="3CD54D4D"/>
    <w:rsid w:val="3CE069B7"/>
    <w:rsid w:val="3D335E86"/>
    <w:rsid w:val="3D367828"/>
    <w:rsid w:val="3D3C447E"/>
    <w:rsid w:val="3D3D165E"/>
    <w:rsid w:val="3D4B5315"/>
    <w:rsid w:val="3D5C592F"/>
    <w:rsid w:val="3D8802CC"/>
    <w:rsid w:val="3D915D95"/>
    <w:rsid w:val="3D965FEB"/>
    <w:rsid w:val="3D9E74A0"/>
    <w:rsid w:val="3DA165D7"/>
    <w:rsid w:val="3DC3591C"/>
    <w:rsid w:val="3DDD67A7"/>
    <w:rsid w:val="3DE32D35"/>
    <w:rsid w:val="3DF5751B"/>
    <w:rsid w:val="3DFF671E"/>
    <w:rsid w:val="3E012496"/>
    <w:rsid w:val="3E09134A"/>
    <w:rsid w:val="3E1A189C"/>
    <w:rsid w:val="3E1C04BF"/>
    <w:rsid w:val="3E273C42"/>
    <w:rsid w:val="3E2B0043"/>
    <w:rsid w:val="3E2E4D96"/>
    <w:rsid w:val="3E3A4116"/>
    <w:rsid w:val="3E4225F0"/>
    <w:rsid w:val="3E491747"/>
    <w:rsid w:val="3E4929F7"/>
    <w:rsid w:val="3E5E2859"/>
    <w:rsid w:val="3E6C3359"/>
    <w:rsid w:val="3EA61C0D"/>
    <w:rsid w:val="3EAF051B"/>
    <w:rsid w:val="3EC160BC"/>
    <w:rsid w:val="3EC86B10"/>
    <w:rsid w:val="3ECF7AD4"/>
    <w:rsid w:val="3ED9181C"/>
    <w:rsid w:val="3EDA29D4"/>
    <w:rsid w:val="3EDE747D"/>
    <w:rsid w:val="3EE766E7"/>
    <w:rsid w:val="3EFC1401"/>
    <w:rsid w:val="3EFE0783"/>
    <w:rsid w:val="3F0463EA"/>
    <w:rsid w:val="3F19380F"/>
    <w:rsid w:val="3F3344E8"/>
    <w:rsid w:val="3F4403A3"/>
    <w:rsid w:val="3F462C12"/>
    <w:rsid w:val="3F557D3A"/>
    <w:rsid w:val="3F606598"/>
    <w:rsid w:val="3F620D12"/>
    <w:rsid w:val="3F6974EE"/>
    <w:rsid w:val="3F942C3E"/>
    <w:rsid w:val="3FBB0422"/>
    <w:rsid w:val="3FC217B1"/>
    <w:rsid w:val="3FC74205"/>
    <w:rsid w:val="3FCD20E6"/>
    <w:rsid w:val="3FF61548"/>
    <w:rsid w:val="40093DCF"/>
    <w:rsid w:val="402633E6"/>
    <w:rsid w:val="404E3C63"/>
    <w:rsid w:val="40543A77"/>
    <w:rsid w:val="40562AF2"/>
    <w:rsid w:val="405A7C3B"/>
    <w:rsid w:val="40607C8E"/>
    <w:rsid w:val="409534D4"/>
    <w:rsid w:val="409C64A6"/>
    <w:rsid w:val="40A567D9"/>
    <w:rsid w:val="40AA7EA6"/>
    <w:rsid w:val="40CA7670"/>
    <w:rsid w:val="40CD23C9"/>
    <w:rsid w:val="40EA21BB"/>
    <w:rsid w:val="40EC0389"/>
    <w:rsid w:val="40EE65D6"/>
    <w:rsid w:val="40F66B0A"/>
    <w:rsid w:val="40FC1638"/>
    <w:rsid w:val="41054AFB"/>
    <w:rsid w:val="41135982"/>
    <w:rsid w:val="41210759"/>
    <w:rsid w:val="41321807"/>
    <w:rsid w:val="413A6815"/>
    <w:rsid w:val="41683840"/>
    <w:rsid w:val="41862D01"/>
    <w:rsid w:val="41A225FB"/>
    <w:rsid w:val="41D91034"/>
    <w:rsid w:val="41DF489C"/>
    <w:rsid w:val="41E329EA"/>
    <w:rsid w:val="41E77BF5"/>
    <w:rsid w:val="41EC0D67"/>
    <w:rsid w:val="41F91290"/>
    <w:rsid w:val="421502BE"/>
    <w:rsid w:val="422C2A4E"/>
    <w:rsid w:val="422E7D02"/>
    <w:rsid w:val="42400FF7"/>
    <w:rsid w:val="42511211"/>
    <w:rsid w:val="425179D3"/>
    <w:rsid w:val="4259301D"/>
    <w:rsid w:val="426923B8"/>
    <w:rsid w:val="42694FC1"/>
    <w:rsid w:val="42747E97"/>
    <w:rsid w:val="42805A2D"/>
    <w:rsid w:val="42937208"/>
    <w:rsid w:val="42974BBA"/>
    <w:rsid w:val="42DB6100"/>
    <w:rsid w:val="42E6622B"/>
    <w:rsid w:val="42E842CB"/>
    <w:rsid w:val="42F12362"/>
    <w:rsid w:val="42F30518"/>
    <w:rsid w:val="42F44377"/>
    <w:rsid w:val="42F805A1"/>
    <w:rsid w:val="430627BC"/>
    <w:rsid w:val="431E7B7A"/>
    <w:rsid w:val="431F578E"/>
    <w:rsid w:val="432F3601"/>
    <w:rsid w:val="43315199"/>
    <w:rsid w:val="43316742"/>
    <w:rsid w:val="434E202B"/>
    <w:rsid w:val="43564E41"/>
    <w:rsid w:val="435F517D"/>
    <w:rsid w:val="43617A25"/>
    <w:rsid w:val="43A13899"/>
    <w:rsid w:val="43AC0ACD"/>
    <w:rsid w:val="43AD4A53"/>
    <w:rsid w:val="43B02B44"/>
    <w:rsid w:val="43B06524"/>
    <w:rsid w:val="43B14016"/>
    <w:rsid w:val="43BA656F"/>
    <w:rsid w:val="43CC2F32"/>
    <w:rsid w:val="43CD6450"/>
    <w:rsid w:val="43CE30BB"/>
    <w:rsid w:val="43DD53A7"/>
    <w:rsid w:val="43E31993"/>
    <w:rsid w:val="43E7169D"/>
    <w:rsid w:val="43E90705"/>
    <w:rsid w:val="43EB7685"/>
    <w:rsid w:val="440F6F8F"/>
    <w:rsid w:val="441718F9"/>
    <w:rsid w:val="441C1441"/>
    <w:rsid w:val="441E71D2"/>
    <w:rsid w:val="443C4C7A"/>
    <w:rsid w:val="444478CD"/>
    <w:rsid w:val="446634D1"/>
    <w:rsid w:val="44676639"/>
    <w:rsid w:val="446948F1"/>
    <w:rsid w:val="446A7EC8"/>
    <w:rsid w:val="4472423A"/>
    <w:rsid w:val="44731259"/>
    <w:rsid w:val="448434D9"/>
    <w:rsid w:val="44851F8E"/>
    <w:rsid w:val="44934DD1"/>
    <w:rsid w:val="44BB046E"/>
    <w:rsid w:val="44D25823"/>
    <w:rsid w:val="44D34460"/>
    <w:rsid w:val="44ED0C50"/>
    <w:rsid w:val="44FF3B08"/>
    <w:rsid w:val="45027043"/>
    <w:rsid w:val="45211C4C"/>
    <w:rsid w:val="4535243A"/>
    <w:rsid w:val="453964F1"/>
    <w:rsid w:val="455F46CF"/>
    <w:rsid w:val="45680290"/>
    <w:rsid w:val="45780A96"/>
    <w:rsid w:val="45805264"/>
    <w:rsid w:val="458A60D0"/>
    <w:rsid w:val="45943143"/>
    <w:rsid w:val="4597723C"/>
    <w:rsid w:val="459D79F5"/>
    <w:rsid w:val="45B46442"/>
    <w:rsid w:val="45B61DB8"/>
    <w:rsid w:val="45B93B8C"/>
    <w:rsid w:val="45C637D6"/>
    <w:rsid w:val="45DB0866"/>
    <w:rsid w:val="460220EF"/>
    <w:rsid w:val="46094EFB"/>
    <w:rsid w:val="460F771A"/>
    <w:rsid w:val="46122889"/>
    <w:rsid w:val="4639108E"/>
    <w:rsid w:val="46533CD8"/>
    <w:rsid w:val="46712183"/>
    <w:rsid w:val="468477C0"/>
    <w:rsid w:val="46864EAB"/>
    <w:rsid w:val="46941A31"/>
    <w:rsid w:val="469A2F6A"/>
    <w:rsid w:val="46A035A4"/>
    <w:rsid w:val="46AA05B1"/>
    <w:rsid w:val="46B71FFE"/>
    <w:rsid w:val="46E80268"/>
    <w:rsid w:val="46E9464B"/>
    <w:rsid w:val="46FF2B6E"/>
    <w:rsid w:val="47072FAE"/>
    <w:rsid w:val="470911B8"/>
    <w:rsid w:val="470D4A24"/>
    <w:rsid w:val="4714368D"/>
    <w:rsid w:val="471A5879"/>
    <w:rsid w:val="471B1DC2"/>
    <w:rsid w:val="471C1EA6"/>
    <w:rsid w:val="471F1F6A"/>
    <w:rsid w:val="474B6BF9"/>
    <w:rsid w:val="476D1E96"/>
    <w:rsid w:val="4772770F"/>
    <w:rsid w:val="477A4B1A"/>
    <w:rsid w:val="478D304E"/>
    <w:rsid w:val="47995357"/>
    <w:rsid w:val="47A345BE"/>
    <w:rsid w:val="47AF0FFA"/>
    <w:rsid w:val="47C4243A"/>
    <w:rsid w:val="47C87B80"/>
    <w:rsid w:val="47CA0277"/>
    <w:rsid w:val="47F67688"/>
    <w:rsid w:val="47FF7E5D"/>
    <w:rsid w:val="48030265"/>
    <w:rsid w:val="481752A5"/>
    <w:rsid w:val="48197AED"/>
    <w:rsid w:val="4831607D"/>
    <w:rsid w:val="48424CC1"/>
    <w:rsid w:val="484D62D8"/>
    <w:rsid w:val="484E4529"/>
    <w:rsid w:val="48514C46"/>
    <w:rsid w:val="4883492F"/>
    <w:rsid w:val="48865E52"/>
    <w:rsid w:val="488B752C"/>
    <w:rsid w:val="489F3E0A"/>
    <w:rsid w:val="48AC1443"/>
    <w:rsid w:val="48B230E5"/>
    <w:rsid w:val="48DB56C1"/>
    <w:rsid w:val="48E7796D"/>
    <w:rsid w:val="48EC5D8E"/>
    <w:rsid w:val="48FB5272"/>
    <w:rsid w:val="49130C28"/>
    <w:rsid w:val="491728F4"/>
    <w:rsid w:val="49354B1A"/>
    <w:rsid w:val="49365908"/>
    <w:rsid w:val="49390B9C"/>
    <w:rsid w:val="493D0088"/>
    <w:rsid w:val="495C0AA0"/>
    <w:rsid w:val="495E3838"/>
    <w:rsid w:val="49940662"/>
    <w:rsid w:val="499D660A"/>
    <w:rsid w:val="49AF6F45"/>
    <w:rsid w:val="49B14DFF"/>
    <w:rsid w:val="49C23B35"/>
    <w:rsid w:val="49C709E1"/>
    <w:rsid w:val="49D305FF"/>
    <w:rsid w:val="49D32142"/>
    <w:rsid w:val="49DE3F2F"/>
    <w:rsid w:val="49ED7329"/>
    <w:rsid w:val="49FD27EC"/>
    <w:rsid w:val="4A023C83"/>
    <w:rsid w:val="4A0C38BB"/>
    <w:rsid w:val="4A1E290C"/>
    <w:rsid w:val="4A226BB3"/>
    <w:rsid w:val="4A262893"/>
    <w:rsid w:val="4A3C6604"/>
    <w:rsid w:val="4A3D1391"/>
    <w:rsid w:val="4A4C4A99"/>
    <w:rsid w:val="4A5B2207"/>
    <w:rsid w:val="4A5E47CC"/>
    <w:rsid w:val="4A62378A"/>
    <w:rsid w:val="4A6841BE"/>
    <w:rsid w:val="4AB80380"/>
    <w:rsid w:val="4ACC7CB1"/>
    <w:rsid w:val="4ACF1226"/>
    <w:rsid w:val="4AEE3923"/>
    <w:rsid w:val="4AF744AF"/>
    <w:rsid w:val="4AFC3920"/>
    <w:rsid w:val="4B1D6ABD"/>
    <w:rsid w:val="4B2E13BF"/>
    <w:rsid w:val="4B3A576E"/>
    <w:rsid w:val="4B4B2FA2"/>
    <w:rsid w:val="4B4C5C77"/>
    <w:rsid w:val="4B6920E5"/>
    <w:rsid w:val="4B7645F1"/>
    <w:rsid w:val="4B8D3776"/>
    <w:rsid w:val="4B90755C"/>
    <w:rsid w:val="4B934558"/>
    <w:rsid w:val="4BA205E4"/>
    <w:rsid w:val="4BD05255"/>
    <w:rsid w:val="4BD30BD0"/>
    <w:rsid w:val="4BE42BF0"/>
    <w:rsid w:val="4C146A85"/>
    <w:rsid w:val="4C276567"/>
    <w:rsid w:val="4C313428"/>
    <w:rsid w:val="4C4419B1"/>
    <w:rsid w:val="4C457143"/>
    <w:rsid w:val="4C593D81"/>
    <w:rsid w:val="4C5A1718"/>
    <w:rsid w:val="4C6065BA"/>
    <w:rsid w:val="4C682B98"/>
    <w:rsid w:val="4C694F9D"/>
    <w:rsid w:val="4C696245"/>
    <w:rsid w:val="4C707C40"/>
    <w:rsid w:val="4C733220"/>
    <w:rsid w:val="4C9F296F"/>
    <w:rsid w:val="4CAE038F"/>
    <w:rsid w:val="4CC45498"/>
    <w:rsid w:val="4CD038B8"/>
    <w:rsid w:val="4CD83B70"/>
    <w:rsid w:val="4CD8581D"/>
    <w:rsid w:val="4CDD42EB"/>
    <w:rsid w:val="4CDF6F8C"/>
    <w:rsid w:val="4CE72F8A"/>
    <w:rsid w:val="4CE94B87"/>
    <w:rsid w:val="4CF02842"/>
    <w:rsid w:val="4CF6084E"/>
    <w:rsid w:val="4CF620A5"/>
    <w:rsid w:val="4CF70E09"/>
    <w:rsid w:val="4CF907DC"/>
    <w:rsid w:val="4D001B6A"/>
    <w:rsid w:val="4D044F83"/>
    <w:rsid w:val="4D046E29"/>
    <w:rsid w:val="4D0F785A"/>
    <w:rsid w:val="4D191DC6"/>
    <w:rsid w:val="4D27201E"/>
    <w:rsid w:val="4D2D462F"/>
    <w:rsid w:val="4D336B26"/>
    <w:rsid w:val="4D790CDE"/>
    <w:rsid w:val="4DA54215"/>
    <w:rsid w:val="4DAD1CF2"/>
    <w:rsid w:val="4DBA6E44"/>
    <w:rsid w:val="4DD17FA3"/>
    <w:rsid w:val="4DD27E5D"/>
    <w:rsid w:val="4DF603B7"/>
    <w:rsid w:val="4DFA480C"/>
    <w:rsid w:val="4E0D4BE0"/>
    <w:rsid w:val="4E272007"/>
    <w:rsid w:val="4E290190"/>
    <w:rsid w:val="4E2E3231"/>
    <w:rsid w:val="4E811599"/>
    <w:rsid w:val="4E9702AC"/>
    <w:rsid w:val="4EAE182F"/>
    <w:rsid w:val="4EC55D9A"/>
    <w:rsid w:val="4ED65E53"/>
    <w:rsid w:val="4EDB3AAB"/>
    <w:rsid w:val="4EE56BC1"/>
    <w:rsid w:val="4EE94BAE"/>
    <w:rsid w:val="4EF00E7C"/>
    <w:rsid w:val="4EF953BB"/>
    <w:rsid w:val="4F086B2B"/>
    <w:rsid w:val="4F146F0A"/>
    <w:rsid w:val="4F176EFD"/>
    <w:rsid w:val="4F247D92"/>
    <w:rsid w:val="4F4812FB"/>
    <w:rsid w:val="4F575F9B"/>
    <w:rsid w:val="4F5D2225"/>
    <w:rsid w:val="4F6571D7"/>
    <w:rsid w:val="4F680A09"/>
    <w:rsid w:val="4F7657BE"/>
    <w:rsid w:val="4F9D0B7A"/>
    <w:rsid w:val="4FB90197"/>
    <w:rsid w:val="4FCD7DE5"/>
    <w:rsid w:val="50004CC4"/>
    <w:rsid w:val="50082793"/>
    <w:rsid w:val="50106126"/>
    <w:rsid w:val="5011124B"/>
    <w:rsid w:val="501320F2"/>
    <w:rsid w:val="5015089F"/>
    <w:rsid w:val="501B2890"/>
    <w:rsid w:val="501E7659"/>
    <w:rsid w:val="502D1115"/>
    <w:rsid w:val="50305F66"/>
    <w:rsid w:val="503949D9"/>
    <w:rsid w:val="50453573"/>
    <w:rsid w:val="506A36AD"/>
    <w:rsid w:val="50796C50"/>
    <w:rsid w:val="50A74BC0"/>
    <w:rsid w:val="50D50D85"/>
    <w:rsid w:val="50E14691"/>
    <w:rsid w:val="50E73E78"/>
    <w:rsid w:val="51042C5A"/>
    <w:rsid w:val="5104358D"/>
    <w:rsid w:val="511F52C4"/>
    <w:rsid w:val="5120761D"/>
    <w:rsid w:val="512322CB"/>
    <w:rsid w:val="51370FA0"/>
    <w:rsid w:val="51497F84"/>
    <w:rsid w:val="516A4E5C"/>
    <w:rsid w:val="517543C1"/>
    <w:rsid w:val="519103AF"/>
    <w:rsid w:val="51A94DB9"/>
    <w:rsid w:val="51CC4095"/>
    <w:rsid w:val="51DD5FD6"/>
    <w:rsid w:val="52245A5C"/>
    <w:rsid w:val="52353487"/>
    <w:rsid w:val="52474E54"/>
    <w:rsid w:val="5255160B"/>
    <w:rsid w:val="526C20A2"/>
    <w:rsid w:val="526D6B29"/>
    <w:rsid w:val="526F01D1"/>
    <w:rsid w:val="52754AF4"/>
    <w:rsid w:val="527C4E5A"/>
    <w:rsid w:val="527E7398"/>
    <w:rsid w:val="5288622C"/>
    <w:rsid w:val="529C4E3B"/>
    <w:rsid w:val="529E0927"/>
    <w:rsid w:val="52AB3CCA"/>
    <w:rsid w:val="52DF4409"/>
    <w:rsid w:val="52E13019"/>
    <w:rsid w:val="52E47813"/>
    <w:rsid w:val="53013DF1"/>
    <w:rsid w:val="530C47E2"/>
    <w:rsid w:val="532071D8"/>
    <w:rsid w:val="532975EB"/>
    <w:rsid w:val="53325CCA"/>
    <w:rsid w:val="534A266D"/>
    <w:rsid w:val="534A583A"/>
    <w:rsid w:val="536C732B"/>
    <w:rsid w:val="537E5E23"/>
    <w:rsid w:val="5385656B"/>
    <w:rsid w:val="538C4158"/>
    <w:rsid w:val="53976FBE"/>
    <w:rsid w:val="539F4E06"/>
    <w:rsid w:val="53B10E9B"/>
    <w:rsid w:val="53B13BBE"/>
    <w:rsid w:val="53CB7788"/>
    <w:rsid w:val="53E43915"/>
    <w:rsid w:val="54154B31"/>
    <w:rsid w:val="542E5FA8"/>
    <w:rsid w:val="54421A36"/>
    <w:rsid w:val="545757ED"/>
    <w:rsid w:val="545E2DEC"/>
    <w:rsid w:val="545F6160"/>
    <w:rsid w:val="547355EA"/>
    <w:rsid w:val="547F166B"/>
    <w:rsid w:val="54956C18"/>
    <w:rsid w:val="549B10C4"/>
    <w:rsid w:val="549D7EA2"/>
    <w:rsid w:val="54A008B7"/>
    <w:rsid w:val="54A56330"/>
    <w:rsid w:val="54A56347"/>
    <w:rsid w:val="54B01F9D"/>
    <w:rsid w:val="54B0224D"/>
    <w:rsid w:val="54B27BEE"/>
    <w:rsid w:val="54CA02A1"/>
    <w:rsid w:val="54D222B5"/>
    <w:rsid w:val="54D62EF8"/>
    <w:rsid w:val="54DE27D6"/>
    <w:rsid w:val="54E13FB2"/>
    <w:rsid w:val="54ED6E78"/>
    <w:rsid w:val="54F232A5"/>
    <w:rsid w:val="54FC70BB"/>
    <w:rsid w:val="55023D3B"/>
    <w:rsid w:val="55032242"/>
    <w:rsid w:val="551161E5"/>
    <w:rsid w:val="551326CD"/>
    <w:rsid w:val="55160FDB"/>
    <w:rsid w:val="55185559"/>
    <w:rsid w:val="55283FAA"/>
    <w:rsid w:val="552D5EED"/>
    <w:rsid w:val="555807C3"/>
    <w:rsid w:val="5570744E"/>
    <w:rsid w:val="557B6BF7"/>
    <w:rsid w:val="559954B7"/>
    <w:rsid w:val="559B4B26"/>
    <w:rsid w:val="55AF7734"/>
    <w:rsid w:val="55C034DC"/>
    <w:rsid w:val="55C20715"/>
    <w:rsid w:val="55C55E8B"/>
    <w:rsid w:val="55D6425F"/>
    <w:rsid w:val="55D6790C"/>
    <w:rsid w:val="55DD0C9B"/>
    <w:rsid w:val="55EC2634"/>
    <w:rsid w:val="55F927C0"/>
    <w:rsid w:val="560D37A4"/>
    <w:rsid w:val="56237BBD"/>
    <w:rsid w:val="56417CA5"/>
    <w:rsid w:val="56492E55"/>
    <w:rsid w:val="56593453"/>
    <w:rsid w:val="565C246E"/>
    <w:rsid w:val="567F1BFA"/>
    <w:rsid w:val="568C72FF"/>
    <w:rsid w:val="569357FD"/>
    <w:rsid w:val="56BF20BE"/>
    <w:rsid w:val="56C41974"/>
    <w:rsid w:val="56CD0B1E"/>
    <w:rsid w:val="56DC0DBD"/>
    <w:rsid w:val="56E378AD"/>
    <w:rsid w:val="570B1BAF"/>
    <w:rsid w:val="57192A5E"/>
    <w:rsid w:val="572A3989"/>
    <w:rsid w:val="572E2886"/>
    <w:rsid w:val="57405985"/>
    <w:rsid w:val="5746051C"/>
    <w:rsid w:val="57540E5F"/>
    <w:rsid w:val="57551C4D"/>
    <w:rsid w:val="57611949"/>
    <w:rsid w:val="57691912"/>
    <w:rsid w:val="577A48E5"/>
    <w:rsid w:val="57853243"/>
    <w:rsid w:val="579241C7"/>
    <w:rsid w:val="5798756F"/>
    <w:rsid w:val="579A4486"/>
    <w:rsid w:val="57AD2C6F"/>
    <w:rsid w:val="57B62B14"/>
    <w:rsid w:val="57D50257"/>
    <w:rsid w:val="57D87387"/>
    <w:rsid w:val="57FB28E0"/>
    <w:rsid w:val="58095082"/>
    <w:rsid w:val="58142AE3"/>
    <w:rsid w:val="581F1A3E"/>
    <w:rsid w:val="5829396A"/>
    <w:rsid w:val="583301AC"/>
    <w:rsid w:val="58331046"/>
    <w:rsid w:val="58404DFC"/>
    <w:rsid w:val="5844688B"/>
    <w:rsid w:val="584D562D"/>
    <w:rsid w:val="584E4F36"/>
    <w:rsid w:val="58636FBD"/>
    <w:rsid w:val="586C2857"/>
    <w:rsid w:val="5879262B"/>
    <w:rsid w:val="58863CB5"/>
    <w:rsid w:val="58B47027"/>
    <w:rsid w:val="58ED5699"/>
    <w:rsid w:val="58F55F09"/>
    <w:rsid w:val="59176CF3"/>
    <w:rsid w:val="59263893"/>
    <w:rsid w:val="593101D0"/>
    <w:rsid w:val="59404493"/>
    <w:rsid w:val="595728AD"/>
    <w:rsid w:val="596246D5"/>
    <w:rsid w:val="596A60BF"/>
    <w:rsid w:val="598B70A1"/>
    <w:rsid w:val="598F58DF"/>
    <w:rsid w:val="599D5FFB"/>
    <w:rsid w:val="59B77A55"/>
    <w:rsid w:val="59C90BE6"/>
    <w:rsid w:val="59E53FCF"/>
    <w:rsid w:val="59F12E05"/>
    <w:rsid w:val="59F376B2"/>
    <w:rsid w:val="5A2847FD"/>
    <w:rsid w:val="5A455061"/>
    <w:rsid w:val="5A515B7E"/>
    <w:rsid w:val="5A531187"/>
    <w:rsid w:val="5A5832B1"/>
    <w:rsid w:val="5A5C5C51"/>
    <w:rsid w:val="5A836085"/>
    <w:rsid w:val="5A890069"/>
    <w:rsid w:val="5AA16002"/>
    <w:rsid w:val="5AA1673B"/>
    <w:rsid w:val="5ABC2CF5"/>
    <w:rsid w:val="5AC109F8"/>
    <w:rsid w:val="5AC57B92"/>
    <w:rsid w:val="5AD847F9"/>
    <w:rsid w:val="5AFB0C52"/>
    <w:rsid w:val="5AFF72D5"/>
    <w:rsid w:val="5B165255"/>
    <w:rsid w:val="5B215F15"/>
    <w:rsid w:val="5B2A2BD4"/>
    <w:rsid w:val="5B386719"/>
    <w:rsid w:val="5B493BE9"/>
    <w:rsid w:val="5B4A0E3F"/>
    <w:rsid w:val="5B5258E2"/>
    <w:rsid w:val="5B5833C6"/>
    <w:rsid w:val="5B5F6D6F"/>
    <w:rsid w:val="5B7F45A2"/>
    <w:rsid w:val="5B8026B5"/>
    <w:rsid w:val="5BA02ED7"/>
    <w:rsid w:val="5BB06BDE"/>
    <w:rsid w:val="5BCA2954"/>
    <w:rsid w:val="5BCF2F54"/>
    <w:rsid w:val="5BD3501A"/>
    <w:rsid w:val="5BEB0156"/>
    <w:rsid w:val="5BF72B35"/>
    <w:rsid w:val="5BFF3AF0"/>
    <w:rsid w:val="5C1F7056"/>
    <w:rsid w:val="5C2313D1"/>
    <w:rsid w:val="5C2C378B"/>
    <w:rsid w:val="5C30746B"/>
    <w:rsid w:val="5C534E4A"/>
    <w:rsid w:val="5C6E5BB7"/>
    <w:rsid w:val="5C80381D"/>
    <w:rsid w:val="5CAA1C7B"/>
    <w:rsid w:val="5CAB71AE"/>
    <w:rsid w:val="5CC51332"/>
    <w:rsid w:val="5CD44A8F"/>
    <w:rsid w:val="5CD526CC"/>
    <w:rsid w:val="5CDC3581"/>
    <w:rsid w:val="5CF63285"/>
    <w:rsid w:val="5D1B72DD"/>
    <w:rsid w:val="5D2507FA"/>
    <w:rsid w:val="5D2812C2"/>
    <w:rsid w:val="5D335644"/>
    <w:rsid w:val="5D5201C0"/>
    <w:rsid w:val="5D584DCA"/>
    <w:rsid w:val="5D68760C"/>
    <w:rsid w:val="5D776ECB"/>
    <w:rsid w:val="5D7822A9"/>
    <w:rsid w:val="5D9B4536"/>
    <w:rsid w:val="5D9C16E7"/>
    <w:rsid w:val="5D9C417E"/>
    <w:rsid w:val="5DA65EFA"/>
    <w:rsid w:val="5DB1514E"/>
    <w:rsid w:val="5DE94A19"/>
    <w:rsid w:val="5DF76312"/>
    <w:rsid w:val="5E0C2A1B"/>
    <w:rsid w:val="5E0D34C3"/>
    <w:rsid w:val="5E162DDF"/>
    <w:rsid w:val="5E1A58DA"/>
    <w:rsid w:val="5E1C257D"/>
    <w:rsid w:val="5E3968C0"/>
    <w:rsid w:val="5E3E24F3"/>
    <w:rsid w:val="5E3E33C0"/>
    <w:rsid w:val="5E402C20"/>
    <w:rsid w:val="5E514FD0"/>
    <w:rsid w:val="5E664D99"/>
    <w:rsid w:val="5E776913"/>
    <w:rsid w:val="5E7E7DFC"/>
    <w:rsid w:val="5E837EE4"/>
    <w:rsid w:val="5E8F00FF"/>
    <w:rsid w:val="5E960D37"/>
    <w:rsid w:val="5EA527C5"/>
    <w:rsid w:val="5EA97FDF"/>
    <w:rsid w:val="5EC01E10"/>
    <w:rsid w:val="5EC401AA"/>
    <w:rsid w:val="5EE41A7B"/>
    <w:rsid w:val="5EE66E12"/>
    <w:rsid w:val="5EF77FB2"/>
    <w:rsid w:val="5F030660"/>
    <w:rsid w:val="5F1970E2"/>
    <w:rsid w:val="5F313E05"/>
    <w:rsid w:val="5F3621B0"/>
    <w:rsid w:val="5F6B1B19"/>
    <w:rsid w:val="5F706BBE"/>
    <w:rsid w:val="5F8605DF"/>
    <w:rsid w:val="5F96589A"/>
    <w:rsid w:val="5F9710C3"/>
    <w:rsid w:val="5FA1448F"/>
    <w:rsid w:val="5FA16C3A"/>
    <w:rsid w:val="5FAD16DE"/>
    <w:rsid w:val="5FB32A6C"/>
    <w:rsid w:val="5FB555A2"/>
    <w:rsid w:val="5FCB58BD"/>
    <w:rsid w:val="5FD25EE0"/>
    <w:rsid w:val="5FD4310E"/>
    <w:rsid w:val="5FD537AD"/>
    <w:rsid w:val="60060CAA"/>
    <w:rsid w:val="601517A8"/>
    <w:rsid w:val="603F04E6"/>
    <w:rsid w:val="604F09E7"/>
    <w:rsid w:val="60692E08"/>
    <w:rsid w:val="606C365E"/>
    <w:rsid w:val="6070127A"/>
    <w:rsid w:val="6078151A"/>
    <w:rsid w:val="60827D9D"/>
    <w:rsid w:val="60A64F86"/>
    <w:rsid w:val="60A70823"/>
    <w:rsid w:val="60B568CE"/>
    <w:rsid w:val="60B62814"/>
    <w:rsid w:val="60CD4470"/>
    <w:rsid w:val="60DB18FB"/>
    <w:rsid w:val="60DB53BF"/>
    <w:rsid w:val="60DC4BAE"/>
    <w:rsid w:val="60EB2357"/>
    <w:rsid w:val="60FF2703"/>
    <w:rsid w:val="610A6723"/>
    <w:rsid w:val="613B20D6"/>
    <w:rsid w:val="61526094"/>
    <w:rsid w:val="61750921"/>
    <w:rsid w:val="617B609F"/>
    <w:rsid w:val="61915C95"/>
    <w:rsid w:val="61A02E98"/>
    <w:rsid w:val="61A15156"/>
    <w:rsid w:val="61A92379"/>
    <w:rsid w:val="61B03707"/>
    <w:rsid w:val="61B97B9B"/>
    <w:rsid w:val="61C516F9"/>
    <w:rsid w:val="61C77C1D"/>
    <w:rsid w:val="61DA3409"/>
    <w:rsid w:val="61E671F6"/>
    <w:rsid w:val="61F23BEC"/>
    <w:rsid w:val="61F74BFA"/>
    <w:rsid w:val="62050243"/>
    <w:rsid w:val="622246B9"/>
    <w:rsid w:val="622A095B"/>
    <w:rsid w:val="622A2DEB"/>
    <w:rsid w:val="62360E25"/>
    <w:rsid w:val="62450ADC"/>
    <w:rsid w:val="6251360F"/>
    <w:rsid w:val="6266594B"/>
    <w:rsid w:val="626F464F"/>
    <w:rsid w:val="627B1F67"/>
    <w:rsid w:val="628074C4"/>
    <w:rsid w:val="629244AA"/>
    <w:rsid w:val="62A1274D"/>
    <w:rsid w:val="62A23444"/>
    <w:rsid w:val="62A9037D"/>
    <w:rsid w:val="62B15989"/>
    <w:rsid w:val="62BC2B85"/>
    <w:rsid w:val="62BD2D1D"/>
    <w:rsid w:val="62E96ED1"/>
    <w:rsid w:val="62FD3A4D"/>
    <w:rsid w:val="6306019D"/>
    <w:rsid w:val="630759DF"/>
    <w:rsid w:val="630B2F69"/>
    <w:rsid w:val="630F1C32"/>
    <w:rsid w:val="63123A47"/>
    <w:rsid w:val="631A1780"/>
    <w:rsid w:val="6320500E"/>
    <w:rsid w:val="63262C0A"/>
    <w:rsid w:val="63341DFA"/>
    <w:rsid w:val="633D0FCB"/>
    <w:rsid w:val="635764B1"/>
    <w:rsid w:val="635B6514"/>
    <w:rsid w:val="636239D7"/>
    <w:rsid w:val="636A01F6"/>
    <w:rsid w:val="63731484"/>
    <w:rsid w:val="63804DAC"/>
    <w:rsid w:val="63897B39"/>
    <w:rsid w:val="638D023E"/>
    <w:rsid w:val="63C118F1"/>
    <w:rsid w:val="63C64EF4"/>
    <w:rsid w:val="63D71080"/>
    <w:rsid w:val="63DC5FFC"/>
    <w:rsid w:val="63F35B2D"/>
    <w:rsid w:val="63FA666B"/>
    <w:rsid w:val="64107CFC"/>
    <w:rsid w:val="64326ECB"/>
    <w:rsid w:val="644D5487"/>
    <w:rsid w:val="645E070C"/>
    <w:rsid w:val="64615DEA"/>
    <w:rsid w:val="6468092B"/>
    <w:rsid w:val="646E197C"/>
    <w:rsid w:val="649975AE"/>
    <w:rsid w:val="64A855E9"/>
    <w:rsid w:val="64AB544B"/>
    <w:rsid w:val="64AC1014"/>
    <w:rsid w:val="64AC146F"/>
    <w:rsid w:val="64B30D05"/>
    <w:rsid w:val="64C323E4"/>
    <w:rsid w:val="64CF4718"/>
    <w:rsid w:val="64DB0C56"/>
    <w:rsid w:val="64E40D0C"/>
    <w:rsid w:val="64F40D20"/>
    <w:rsid w:val="64FB59D6"/>
    <w:rsid w:val="64FE438D"/>
    <w:rsid w:val="65160523"/>
    <w:rsid w:val="65273846"/>
    <w:rsid w:val="653D52B1"/>
    <w:rsid w:val="65532CE7"/>
    <w:rsid w:val="65817895"/>
    <w:rsid w:val="658535D8"/>
    <w:rsid w:val="65932AEF"/>
    <w:rsid w:val="65A529F9"/>
    <w:rsid w:val="65AC6B45"/>
    <w:rsid w:val="65C069E1"/>
    <w:rsid w:val="65C77BFA"/>
    <w:rsid w:val="65D811D2"/>
    <w:rsid w:val="65DD49B8"/>
    <w:rsid w:val="65E71DA3"/>
    <w:rsid w:val="66087863"/>
    <w:rsid w:val="660C45AF"/>
    <w:rsid w:val="66157FDD"/>
    <w:rsid w:val="66177B41"/>
    <w:rsid w:val="661B1CB7"/>
    <w:rsid w:val="6638402D"/>
    <w:rsid w:val="663D4971"/>
    <w:rsid w:val="665C06E5"/>
    <w:rsid w:val="66705CF9"/>
    <w:rsid w:val="6678169B"/>
    <w:rsid w:val="668152C7"/>
    <w:rsid w:val="66AC6C3E"/>
    <w:rsid w:val="66B03615"/>
    <w:rsid w:val="66B5176D"/>
    <w:rsid w:val="66C04248"/>
    <w:rsid w:val="66CD0260"/>
    <w:rsid w:val="66F21A0E"/>
    <w:rsid w:val="67054A51"/>
    <w:rsid w:val="67057A7C"/>
    <w:rsid w:val="6736373F"/>
    <w:rsid w:val="673D3CDE"/>
    <w:rsid w:val="6743539C"/>
    <w:rsid w:val="674A631B"/>
    <w:rsid w:val="6758642F"/>
    <w:rsid w:val="67766D9B"/>
    <w:rsid w:val="677C0958"/>
    <w:rsid w:val="6784605C"/>
    <w:rsid w:val="678A0557"/>
    <w:rsid w:val="678C2447"/>
    <w:rsid w:val="678C679A"/>
    <w:rsid w:val="67994F05"/>
    <w:rsid w:val="679B362F"/>
    <w:rsid w:val="67BA52E0"/>
    <w:rsid w:val="67CE48E7"/>
    <w:rsid w:val="680269E4"/>
    <w:rsid w:val="68473728"/>
    <w:rsid w:val="68580BED"/>
    <w:rsid w:val="68590435"/>
    <w:rsid w:val="68622E3D"/>
    <w:rsid w:val="686A0AB4"/>
    <w:rsid w:val="686F27A7"/>
    <w:rsid w:val="687C47E2"/>
    <w:rsid w:val="68816516"/>
    <w:rsid w:val="68B05B3B"/>
    <w:rsid w:val="68B22EB8"/>
    <w:rsid w:val="68B31D9C"/>
    <w:rsid w:val="68C070B7"/>
    <w:rsid w:val="68EB7B8D"/>
    <w:rsid w:val="68FA543E"/>
    <w:rsid w:val="68FD36D6"/>
    <w:rsid w:val="69105E62"/>
    <w:rsid w:val="69124CA8"/>
    <w:rsid w:val="691734E4"/>
    <w:rsid w:val="691B3DD3"/>
    <w:rsid w:val="69306FEB"/>
    <w:rsid w:val="693A110C"/>
    <w:rsid w:val="69407A67"/>
    <w:rsid w:val="69550DAD"/>
    <w:rsid w:val="69670D86"/>
    <w:rsid w:val="696F3EA8"/>
    <w:rsid w:val="6970455A"/>
    <w:rsid w:val="697B3058"/>
    <w:rsid w:val="697E1F54"/>
    <w:rsid w:val="69850289"/>
    <w:rsid w:val="69927442"/>
    <w:rsid w:val="69B47B0D"/>
    <w:rsid w:val="69BD0975"/>
    <w:rsid w:val="69C40AF3"/>
    <w:rsid w:val="69C87835"/>
    <w:rsid w:val="69CF4947"/>
    <w:rsid w:val="69E935E9"/>
    <w:rsid w:val="69F529BF"/>
    <w:rsid w:val="69F866F7"/>
    <w:rsid w:val="69FA09DD"/>
    <w:rsid w:val="69FC7262"/>
    <w:rsid w:val="6A123F58"/>
    <w:rsid w:val="6A224376"/>
    <w:rsid w:val="6A272421"/>
    <w:rsid w:val="6A2F784C"/>
    <w:rsid w:val="6A3442F0"/>
    <w:rsid w:val="6A3F4BE6"/>
    <w:rsid w:val="6A426EFE"/>
    <w:rsid w:val="6A554E4C"/>
    <w:rsid w:val="6A575563"/>
    <w:rsid w:val="6A6D0E6C"/>
    <w:rsid w:val="6A7328C7"/>
    <w:rsid w:val="6A745A62"/>
    <w:rsid w:val="6A770324"/>
    <w:rsid w:val="6A863E32"/>
    <w:rsid w:val="6AB40A3E"/>
    <w:rsid w:val="6AB428CD"/>
    <w:rsid w:val="6ABD5FEA"/>
    <w:rsid w:val="6AD069C1"/>
    <w:rsid w:val="6AD7030E"/>
    <w:rsid w:val="6ADA17F5"/>
    <w:rsid w:val="6AE8354E"/>
    <w:rsid w:val="6AFB0824"/>
    <w:rsid w:val="6AFF397A"/>
    <w:rsid w:val="6B0F489A"/>
    <w:rsid w:val="6B2D7A0E"/>
    <w:rsid w:val="6B363971"/>
    <w:rsid w:val="6B462CF7"/>
    <w:rsid w:val="6B5122E4"/>
    <w:rsid w:val="6B7E4876"/>
    <w:rsid w:val="6B841E8D"/>
    <w:rsid w:val="6B860ECA"/>
    <w:rsid w:val="6B8A7781"/>
    <w:rsid w:val="6B9130F5"/>
    <w:rsid w:val="6B995E00"/>
    <w:rsid w:val="6BA177A2"/>
    <w:rsid w:val="6BAA2A14"/>
    <w:rsid w:val="6BAB0983"/>
    <w:rsid w:val="6BBF1257"/>
    <w:rsid w:val="6BD6505A"/>
    <w:rsid w:val="6BED374C"/>
    <w:rsid w:val="6C006BC9"/>
    <w:rsid w:val="6C105B82"/>
    <w:rsid w:val="6C172570"/>
    <w:rsid w:val="6C217A00"/>
    <w:rsid w:val="6C2934CE"/>
    <w:rsid w:val="6C2B1798"/>
    <w:rsid w:val="6C346005"/>
    <w:rsid w:val="6C380744"/>
    <w:rsid w:val="6C6579A3"/>
    <w:rsid w:val="6C6631A1"/>
    <w:rsid w:val="6C697290"/>
    <w:rsid w:val="6C6E1423"/>
    <w:rsid w:val="6C8817AC"/>
    <w:rsid w:val="6C914F72"/>
    <w:rsid w:val="6CAF619F"/>
    <w:rsid w:val="6CC03DCD"/>
    <w:rsid w:val="6CE77E97"/>
    <w:rsid w:val="6CED1CB3"/>
    <w:rsid w:val="6CF4571F"/>
    <w:rsid w:val="6CF9200A"/>
    <w:rsid w:val="6D0A4613"/>
    <w:rsid w:val="6D0D4104"/>
    <w:rsid w:val="6D147240"/>
    <w:rsid w:val="6D5B62A0"/>
    <w:rsid w:val="6D7A4C42"/>
    <w:rsid w:val="6D8221A6"/>
    <w:rsid w:val="6D877250"/>
    <w:rsid w:val="6D8A7502"/>
    <w:rsid w:val="6D972CA8"/>
    <w:rsid w:val="6D987428"/>
    <w:rsid w:val="6D99105A"/>
    <w:rsid w:val="6DA74E75"/>
    <w:rsid w:val="6DC46C3B"/>
    <w:rsid w:val="6DD13495"/>
    <w:rsid w:val="6DD326A5"/>
    <w:rsid w:val="6DDE382A"/>
    <w:rsid w:val="6DE87481"/>
    <w:rsid w:val="6E0877BA"/>
    <w:rsid w:val="6E1C0EF6"/>
    <w:rsid w:val="6E401B84"/>
    <w:rsid w:val="6E4E3D6E"/>
    <w:rsid w:val="6E513ADF"/>
    <w:rsid w:val="6E572BF0"/>
    <w:rsid w:val="6E6B1EF6"/>
    <w:rsid w:val="6E6C4C42"/>
    <w:rsid w:val="6E79048E"/>
    <w:rsid w:val="6E840390"/>
    <w:rsid w:val="6E8D3157"/>
    <w:rsid w:val="6E8F67A8"/>
    <w:rsid w:val="6EA07FB3"/>
    <w:rsid w:val="6EA13ECC"/>
    <w:rsid w:val="6EB94044"/>
    <w:rsid w:val="6EBF7D39"/>
    <w:rsid w:val="6ECB45DA"/>
    <w:rsid w:val="6EED49C0"/>
    <w:rsid w:val="6EF51463"/>
    <w:rsid w:val="6EF63293"/>
    <w:rsid w:val="6F230793"/>
    <w:rsid w:val="6F4610C2"/>
    <w:rsid w:val="6F6E11B3"/>
    <w:rsid w:val="6F88019D"/>
    <w:rsid w:val="6FB32286"/>
    <w:rsid w:val="6FC05C0F"/>
    <w:rsid w:val="6FCA5A5D"/>
    <w:rsid w:val="6FCE352C"/>
    <w:rsid w:val="6FD24A6F"/>
    <w:rsid w:val="6FDB2297"/>
    <w:rsid w:val="6FDC588B"/>
    <w:rsid w:val="6FE24358"/>
    <w:rsid w:val="6FE26FDF"/>
    <w:rsid w:val="6FEA7EC5"/>
    <w:rsid w:val="6FEF5D43"/>
    <w:rsid w:val="6FFD19CC"/>
    <w:rsid w:val="700D0A10"/>
    <w:rsid w:val="700D0E58"/>
    <w:rsid w:val="70203823"/>
    <w:rsid w:val="702D709F"/>
    <w:rsid w:val="703F7E89"/>
    <w:rsid w:val="705C4B38"/>
    <w:rsid w:val="70666005"/>
    <w:rsid w:val="70857086"/>
    <w:rsid w:val="708D412F"/>
    <w:rsid w:val="709D1187"/>
    <w:rsid w:val="709E7E23"/>
    <w:rsid w:val="70CB5430"/>
    <w:rsid w:val="70CC1BE0"/>
    <w:rsid w:val="70E45F97"/>
    <w:rsid w:val="70E73549"/>
    <w:rsid w:val="70EB4A25"/>
    <w:rsid w:val="70F13F4B"/>
    <w:rsid w:val="70F34E81"/>
    <w:rsid w:val="70F520CD"/>
    <w:rsid w:val="710D226C"/>
    <w:rsid w:val="71267542"/>
    <w:rsid w:val="71594B6E"/>
    <w:rsid w:val="716212DB"/>
    <w:rsid w:val="716C79A5"/>
    <w:rsid w:val="716D6F1F"/>
    <w:rsid w:val="71897772"/>
    <w:rsid w:val="718C2727"/>
    <w:rsid w:val="71950BFB"/>
    <w:rsid w:val="719C1D4A"/>
    <w:rsid w:val="71A94072"/>
    <w:rsid w:val="71AC20FB"/>
    <w:rsid w:val="71BE1432"/>
    <w:rsid w:val="71CD20B4"/>
    <w:rsid w:val="71CF1988"/>
    <w:rsid w:val="71EA02BD"/>
    <w:rsid w:val="71FC4872"/>
    <w:rsid w:val="72281B78"/>
    <w:rsid w:val="722A76FC"/>
    <w:rsid w:val="7231526A"/>
    <w:rsid w:val="72355D07"/>
    <w:rsid w:val="72391A79"/>
    <w:rsid w:val="724759C2"/>
    <w:rsid w:val="724E2AB3"/>
    <w:rsid w:val="72524AB8"/>
    <w:rsid w:val="725C38FE"/>
    <w:rsid w:val="72780225"/>
    <w:rsid w:val="72893EC0"/>
    <w:rsid w:val="728A58AF"/>
    <w:rsid w:val="7297431C"/>
    <w:rsid w:val="72B00E7B"/>
    <w:rsid w:val="72B3053F"/>
    <w:rsid w:val="72B356EC"/>
    <w:rsid w:val="72BC5C9B"/>
    <w:rsid w:val="72C03D97"/>
    <w:rsid w:val="72C86C56"/>
    <w:rsid w:val="72C94629"/>
    <w:rsid w:val="72CC5F0C"/>
    <w:rsid w:val="72CD3966"/>
    <w:rsid w:val="72E608DA"/>
    <w:rsid w:val="72E938D6"/>
    <w:rsid w:val="72FA0C86"/>
    <w:rsid w:val="72FB5541"/>
    <w:rsid w:val="72FD2525"/>
    <w:rsid w:val="72FE3403"/>
    <w:rsid w:val="72FF629D"/>
    <w:rsid w:val="73123452"/>
    <w:rsid w:val="731F0D2A"/>
    <w:rsid w:val="732E4A7D"/>
    <w:rsid w:val="733216E8"/>
    <w:rsid w:val="733259BA"/>
    <w:rsid w:val="733644EB"/>
    <w:rsid w:val="733A7431"/>
    <w:rsid w:val="733E3031"/>
    <w:rsid w:val="73465221"/>
    <w:rsid w:val="73565C48"/>
    <w:rsid w:val="735F2AAB"/>
    <w:rsid w:val="738A5B9F"/>
    <w:rsid w:val="739026C1"/>
    <w:rsid w:val="73931BBD"/>
    <w:rsid w:val="73940E4E"/>
    <w:rsid w:val="73A65FD4"/>
    <w:rsid w:val="73A861C6"/>
    <w:rsid w:val="73C42352"/>
    <w:rsid w:val="73D46E79"/>
    <w:rsid w:val="73DE5FF1"/>
    <w:rsid w:val="740E1202"/>
    <w:rsid w:val="740F250F"/>
    <w:rsid w:val="741377FB"/>
    <w:rsid w:val="7417755D"/>
    <w:rsid w:val="74322508"/>
    <w:rsid w:val="74432FA4"/>
    <w:rsid w:val="74452ADF"/>
    <w:rsid w:val="744F2505"/>
    <w:rsid w:val="74555AFF"/>
    <w:rsid w:val="745D212B"/>
    <w:rsid w:val="74633C6E"/>
    <w:rsid w:val="746E2193"/>
    <w:rsid w:val="74A563F4"/>
    <w:rsid w:val="74B92643"/>
    <w:rsid w:val="74D93C7C"/>
    <w:rsid w:val="74DE2400"/>
    <w:rsid w:val="74DF33D1"/>
    <w:rsid w:val="75163E08"/>
    <w:rsid w:val="75184E92"/>
    <w:rsid w:val="75280F76"/>
    <w:rsid w:val="75455CD4"/>
    <w:rsid w:val="754B35B4"/>
    <w:rsid w:val="754C3DC7"/>
    <w:rsid w:val="755C3532"/>
    <w:rsid w:val="75616D9B"/>
    <w:rsid w:val="757A100D"/>
    <w:rsid w:val="75832C33"/>
    <w:rsid w:val="75B9611A"/>
    <w:rsid w:val="75DC4673"/>
    <w:rsid w:val="75E04881"/>
    <w:rsid w:val="75FF59AC"/>
    <w:rsid w:val="76051E1C"/>
    <w:rsid w:val="760F102B"/>
    <w:rsid w:val="76164463"/>
    <w:rsid w:val="76213533"/>
    <w:rsid w:val="76273C44"/>
    <w:rsid w:val="762B032C"/>
    <w:rsid w:val="764C0F04"/>
    <w:rsid w:val="765C57B4"/>
    <w:rsid w:val="767F110B"/>
    <w:rsid w:val="76930D1A"/>
    <w:rsid w:val="76947517"/>
    <w:rsid w:val="76982C90"/>
    <w:rsid w:val="76C310B4"/>
    <w:rsid w:val="76CE29BF"/>
    <w:rsid w:val="76D374A5"/>
    <w:rsid w:val="76DF013F"/>
    <w:rsid w:val="76E677E1"/>
    <w:rsid w:val="76F61765"/>
    <w:rsid w:val="7705405E"/>
    <w:rsid w:val="77054E5E"/>
    <w:rsid w:val="772B460B"/>
    <w:rsid w:val="773202F8"/>
    <w:rsid w:val="774F6C00"/>
    <w:rsid w:val="7756760D"/>
    <w:rsid w:val="775C1067"/>
    <w:rsid w:val="7763329E"/>
    <w:rsid w:val="77677435"/>
    <w:rsid w:val="77686C8A"/>
    <w:rsid w:val="776F42E7"/>
    <w:rsid w:val="77742125"/>
    <w:rsid w:val="778921AB"/>
    <w:rsid w:val="77AD45E5"/>
    <w:rsid w:val="77B040ED"/>
    <w:rsid w:val="77C470E3"/>
    <w:rsid w:val="77C71435"/>
    <w:rsid w:val="77E73640"/>
    <w:rsid w:val="77F8433C"/>
    <w:rsid w:val="77FE6B23"/>
    <w:rsid w:val="77FF341A"/>
    <w:rsid w:val="78175941"/>
    <w:rsid w:val="78244A5D"/>
    <w:rsid w:val="78452F02"/>
    <w:rsid w:val="78545B7F"/>
    <w:rsid w:val="78706C74"/>
    <w:rsid w:val="78793518"/>
    <w:rsid w:val="787B769A"/>
    <w:rsid w:val="78B7284D"/>
    <w:rsid w:val="78F36773"/>
    <w:rsid w:val="791F31F5"/>
    <w:rsid w:val="792A30CD"/>
    <w:rsid w:val="79344907"/>
    <w:rsid w:val="793A4926"/>
    <w:rsid w:val="793B3FD2"/>
    <w:rsid w:val="79440EAD"/>
    <w:rsid w:val="79443FC4"/>
    <w:rsid w:val="794A3609"/>
    <w:rsid w:val="794A5D98"/>
    <w:rsid w:val="7950536D"/>
    <w:rsid w:val="79666E88"/>
    <w:rsid w:val="798A705B"/>
    <w:rsid w:val="79990D2A"/>
    <w:rsid w:val="79AB7E71"/>
    <w:rsid w:val="79AD0F3C"/>
    <w:rsid w:val="79B3393D"/>
    <w:rsid w:val="79C26D0D"/>
    <w:rsid w:val="79CE2729"/>
    <w:rsid w:val="79F521A7"/>
    <w:rsid w:val="7A0950DE"/>
    <w:rsid w:val="7A1E1FDC"/>
    <w:rsid w:val="7A2F540E"/>
    <w:rsid w:val="7A311F12"/>
    <w:rsid w:val="7A5213AA"/>
    <w:rsid w:val="7A57940D"/>
    <w:rsid w:val="7A5B1A3A"/>
    <w:rsid w:val="7A5C362F"/>
    <w:rsid w:val="7A736ABB"/>
    <w:rsid w:val="7A8F46AC"/>
    <w:rsid w:val="7A9279F6"/>
    <w:rsid w:val="7A9B7857"/>
    <w:rsid w:val="7AB03EDB"/>
    <w:rsid w:val="7AB14320"/>
    <w:rsid w:val="7AC064A1"/>
    <w:rsid w:val="7ACD530D"/>
    <w:rsid w:val="7AD10804"/>
    <w:rsid w:val="7AD53602"/>
    <w:rsid w:val="7AD70B11"/>
    <w:rsid w:val="7AD7365B"/>
    <w:rsid w:val="7AF44CD7"/>
    <w:rsid w:val="7B0E40F9"/>
    <w:rsid w:val="7B14665D"/>
    <w:rsid w:val="7B212D17"/>
    <w:rsid w:val="7B391533"/>
    <w:rsid w:val="7B3B13D3"/>
    <w:rsid w:val="7B3E01BF"/>
    <w:rsid w:val="7B566955"/>
    <w:rsid w:val="7B5B1B1D"/>
    <w:rsid w:val="7B7452EB"/>
    <w:rsid w:val="7B8267B3"/>
    <w:rsid w:val="7B841046"/>
    <w:rsid w:val="7B8937B3"/>
    <w:rsid w:val="7B9B7E0E"/>
    <w:rsid w:val="7BA70D1A"/>
    <w:rsid w:val="7BD60969"/>
    <w:rsid w:val="7BDD625C"/>
    <w:rsid w:val="7BF137C2"/>
    <w:rsid w:val="7C0C280B"/>
    <w:rsid w:val="7C186D40"/>
    <w:rsid w:val="7C49794C"/>
    <w:rsid w:val="7C4C331E"/>
    <w:rsid w:val="7C5003E6"/>
    <w:rsid w:val="7C52743D"/>
    <w:rsid w:val="7C714865"/>
    <w:rsid w:val="7C7A477A"/>
    <w:rsid w:val="7C7E3491"/>
    <w:rsid w:val="7C883008"/>
    <w:rsid w:val="7C9A2999"/>
    <w:rsid w:val="7CA2269D"/>
    <w:rsid w:val="7CB874CC"/>
    <w:rsid w:val="7CBF1B36"/>
    <w:rsid w:val="7CC815B3"/>
    <w:rsid w:val="7CD15019"/>
    <w:rsid w:val="7CED43A2"/>
    <w:rsid w:val="7CED5B70"/>
    <w:rsid w:val="7CF55942"/>
    <w:rsid w:val="7CF661F3"/>
    <w:rsid w:val="7D005360"/>
    <w:rsid w:val="7D1312C2"/>
    <w:rsid w:val="7D1961AD"/>
    <w:rsid w:val="7D297EA7"/>
    <w:rsid w:val="7D2F3ADC"/>
    <w:rsid w:val="7D4A280A"/>
    <w:rsid w:val="7D554CA6"/>
    <w:rsid w:val="7D5749E0"/>
    <w:rsid w:val="7D5B34C2"/>
    <w:rsid w:val="7DAA0E0C"/>
    <w:rsid w:val="7DAD2BFB"/>
    <w:rsid w:val="7DC013D7"/>
    <w:rsid w:val="7DEB21B0"/>
    <w:rsid w:val="7DFE3DC0"/>
    <w:rsid w:val="7E0268AB"/>
    <w:rsid w:val="7E2264CB"/>
    <w:rsid w:val="7E2D2677"/>
    <w:rsid w:val="7E33329E"/>
    <w:rsid w:val="7E347C99"/>
    <w:rsid w:val="7E425CF5"/>
    <w:rsid w:val="7E6C197E"/>
    <w:rsid w:val="7E8C61F0"/>
    <w:rsid w:val="7EA80DFD"/>
    <w:rsid w:val="7EB43986"/>
    <w:rsid w:val="7EB47F9E"/>
    <w:rsid w:val="7EC91008"/>
    <w:rsid w:val="7EDD3A02"/>
    <w:rsid w:val="7EEA3A51"/>
    <w:rsid w:val="7EF50D3F"/>
    <w:rsid w:val="7F034108"/>
    <w:rsid w:val="7F0B6DB8"/>
    <w:rsid w:val="7F2D4ECB"/>
    <w:rsid w:val="7F355B69"/>
    <w:rsid w:val="7F3C3F72"/>
    <w:rsid w:val="7F7454C7"/>
    <w:rsid w:val="7F76054A"/>
    <w:rsid w:val="7F9372BC"/>
    <w:rsid w:val="7F9F6E5F"/>
    <w:rsid w:val="7FAD5651"/>
    <w:rsid w:val="7FBA168C"/>
    <w:rsid w:val="7FC45774"/>
    <w:rsid w:val="7FD87181"/>
    <w:rsid w:val="7FE03BF0"/>
    <w:rsid w:val="F3FC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9"/>
    <w:autoRedefine/>
    <w:qFormat/>
    <w:uiPriority w:val="0"/>
    <w:pPr>
      <w:keepNext/>
      <w:keepLines/>
      <w:spacing w:before="340" w:after="330"/>
      <w:jc w:val="center"/>
      <w:outlineLvl w:val="0"/>
    </w:pPr>
    <w:rPr>
      <w:b/>
      <w:kern w:val="44"/>
      <w:sz w:val="44"/>
    </w:rPr>
  </w:style>
  <w:style w:type="paragraph" w:styleId="4">
    <w:name w:val="heading 2"/>
    <w:basedOn w:val="1"/>
    <w:next w:val="1"/>
    <w:link w:val="115"/>
    <w:autoRedefine/>
    <w:qFormat/>
    <w:uiPriority w:val="0"/>
    <w:pPr>
      <w:keepNext/>
      <w:keepLines/>
      <w:widowControl/>
      <w:spacing w:before="260" w:after="260"/>
      <w:jc w:val="center"/>
      <w:outlineLvl w:val="1"/>
    </w:pPr>
    <w:rPr>
      <w:rFonts w:ascii="Arial" w:hAnsi="Arial" w:eastAsia="黑体"/>
      <w:kern w:val="0"/>
      <w:sz w:val="44"/>
    </w:rPr>
  </w:style>
  <w:style w:type="paragraph" w:styleId="5">
    <w:name w:val="heading 3"/>
    <w:basedOn w:val="1"/>
    <w:next w:val="1"/>
    <w:link w:val="119"/>
    <w:autoRedefine/>
    <w:qFormat/>
    <w:uiPriority w:val="0"/>
    <w:pPr>
      <w:keepNext/>
      <w:keepLines/>
      <w:spacing w:before="260" w:after="260" w:line="413" w:lineRule="auto"/>
      <w:outlineLvl w:val="2"/>
    </w:pPr>
    <w:rPr>
      <w:b/>
      <w:sz w:val="32"/>
    </w:rPr>
  </w:style>
  <w:style w:type="paragraph" w:styleId="6">
    <w:name w:val="heading 4"/>
    <w:basedOn w:val="1"/>
    <w:next w:val="1"/>
    <w:link w:val="125"/>
    <w:autoRedefine/>
    <w:qFormat/>
    <w:uiPriority w:val="0"/>
    <w:pPr>
      <w:keepNext/>
      <w:keepLines/>
      <w:widowControl/>
      <w:spacing w:before="120" w:after="120" w:line="360" w:lineRule="auto"/>
      <w:jc w:val="center"/>
      <w:outlineLvl w:val="3"/>
    </w:pPr>
    <w:rPr>
      <w:rFonts w:ascii="Arial" w:hAnsi="Arial" w:eastAsia="黑体"/>
      <w:b/>
      <w:kern w:val="0"/>
      <w:sz w:val="28"/>
    </w:rPr>
  </w:style>
  <w:style w:type="paragraph" w:styleId="7">
    <w:name w:val="heading 5"/>
    <w:basedOn w:val="1"/>
    <w:next w:val="1"/>
    <w:link w:val="80"/>
    <w:autoRedefine/>
    <w:qFormat/>
    <w:uiPriority w:val="0"/>
    <w:pPr>
      <w:keepNext/>
      <w:keepLines/>
      <w:widowControl/>
      <w:spacing w:before="120" w:after="120" w:line="360" w:lineRule="auto"/>
      <w:ind w:firstLine="499"/>
      <w:jc w:val="center"/>
      <w:outlineLvl w:val="4"/>
    </w:pPr>
    <w:rPr>
      <w:rFonts w:ascii="宋体" w:hAnsi="宋体"/>
      <w:kern w:val="0"/>
      <w:sz w:val="24"/>
    </w:rPr>
  </w:style>
  <w:style w:type="paragraph" w:styleId="8">
    <w:name w:val="heading 6"/>
    <w:basedOn w:val="1"/>
    <w:next w:val="1"/>
    <w:link w:val="95"/>
    <w:autoRedefine/>
    <w:qFormat/>
    <w:uiPriority w:val="0"/>
    <w:pPr>
      <w:keepNext/>
      <w:keepLines/>
      <w:widowControl/>
      <w:numPr>
        <w:ilvl w:val="5"/>
        <w:numId w:val="1"/>
      </w:numPr>
      <w:tabs>
        <w:tab w:val="left" w:pos="1440"/>
        <w:tab w:val="clear" w:pos="2520"/>
      </w:tabs>
      <w:spacing w:before="240" w:after="64" w:line="317" w:lineRule="auto"/>
      <w:jc w:val="center"/>
      <w:outlineLvl w:val="5"/>
    </w:pPr>
    <w:rPr>
      <w:rFonts w:ascii="Arial" w:hAnsi="Arial" w:eastAsia="黑体"/>
      <w:kern w:val="0"/>
      <w:sz w:val="24"/>
    </w:rPr>
  </w:style>
  <w:style w:type="paragraph" w:styleId="9">
    <w:name w:val="heading 7"/>
    <w:basedOn w:val="1"/>
    <w:next w:val="1"/>
    <w:link w:val="106"/>
    <w:autoRedefine/>
    <w:qFormat/>
    <w:uiPriority w:val="0"/>
    <w:pPr>
      <w:keepNext/>
      <w:keepLines/>
      <w:widowControl/>
      <w:numPr>
        <w:ilvl w:val="6"/>
        <w:numId w:val="1"/>
      </w:numPr>
      <w:tabs>
        <w:tab w:val="left" w:pos="2520"/>
        <w:tab w:val="clear" w:pos="2940"/>
      </w:tabs>
      <w:spacing w:before="240" w:after="64" w:line="317" w:lineRule="auto"/>
      <w:jc w:val="center"/>
      <w:outlineLvl w:val="6"/>
    </w:pPr>
    <w:rPr>
      <w:kern w:val="0"/>
      <w:sz w:val="24"/>
    </w:rPr>
  </w:style>
  <w:style w:type="paragraph" w:styleId="10">
    <w:name w:val="heading 8"/>
    <w:basedOn w:val="1"/>
    <w:next w:val="1"/>
    <w:link w:val="118"/>
    <w:autoRedefine/>
    <w:qFormat/>
    <w:uiPriority w:val="0"/>
    <w:pPr>
      <w:keepNext/>
      <w:keepLines/>
      <w:widowControl/>
      <w:numPr>
        <w:ilvl w:val="7"/>
        <w:numId w:val="1"/>
      </w:numPr>
      <w:tabs>
        <w:tab w:val="left" w:pos="1440"/>
        <w:tab w:val="clear" w:pos="3360"/>
      </w:tabs>
      <w:spacing w:before="240" w:after="64" w:line="317" w:lineRule="auto"/>
      <w:jc w:val="center"/>
      <w:outlineLvl w:val="7"/>
    </w:pPr>
    <w:rPr>
      <w:rFonts w:ascii="Arial" w:hAnsi="Arial" w:eastAsia="黑体"/>
      <w:b/>
      <w:kern w:val="0"/>
      <w:sz w:val="24"/>
    </w:rPr>
  </w:style>
  <w:style w:type="paragraph" w:styleId="11">
    <w:name w:val="heading 9"/>
    <w:basedOn w:val="1"/>
    <w:next w:val="1"/>
    <w:link w:val="100"/>
    <w:autoRedefine/>
    <w:qFormat/>
    <w:uiPriority w:val="0"/>
    <w:pPr>
      <w:keepNext/>
      <w:keepLines/>
      <w:widowControl/>
      <w:numPr>
        <w:ilvl w:val="8"/>
        <w:numId w:val="1"/>
      </w:numPr>
      <w:tabs>
        <w:tab w:val="left" w:pos="1584"/>
        <w:tab w:val="clear" w:pos="3780"/>
      </w:tabs>
      <w:spacing w:before="240" w:after="64" w:line="317" w:lineRule="auto"/>
      <w:jc w:val="center"/>
      <w:outlineLvl w:val="8"/>
    </w:pPr>
    <w:rPr>
      <w:rFonts w:ascii="Arial" w:hAnsi="Arial" w:eastAsia="黑体"/>
      <w:b/>
      <w:kern w:val="0"/>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toc 7"/>
    <w:basedOn w:val="1"/>
    <w:next w:val="1"/>
    <w:autoRedefine/>
    <w:qFormat/>
    <w:uiPriority w:val="0"/>
    <w:pPr>
      <w:widowControl/>
      <w:ind w:left="2640"/>
      <w:jc w:val="left"/>
    </w:pPr>
    <w:rPr>
      <w:kern w:val="0"/>
      <w:sz w:val="44"/>
    </w:rPr>
  </w:style>
  <w:style w:type="paragraph" w:styleId="13">
    <w:name w:val="Normal Indent"/>
    <w:basedOn w:val="1"/>
    <w:link w:val="72"/>
    <w:autoRedefine/>
    <w:qFormat/>
    <w:uiPriority w:val="0"/>
    <w:pPr>
      <w:widowControl/>
      <w:ind w:firstLine="420"/>
      <w:jc w:val="center"/>
    </w:pPr>
    <w:rPr>
      <w:b/>
      <w:sz w:val="44"/>
    </w:rPr>
  </w:style>
  <w:style w:type="paragraph" w:styleId="14">
    <w:name w:val="caption"/>
    <w:basedOn w:val="1"/>
    <w:next w:val="1"/>
    <w:autoRedefine/>
    <w:qFormat/>
    <w:uiPriority w:val="0"/>
    <w:rPr>
      <w:rFonts w:ascii="Cambria" w:hAnsi="Cambria" w:eastAsia="黑体"/>
      <w:sz w:val="20"/>
    </w:rPr>
  </w:style>
  <w:style w:type="paragraph" w:styleId="15">
    <w:name w:val="Document Map"/>
    <w:basedOn w:val="1"/>
    <w:link w:val="66"/>
    <w:autoRedefine/>
    <w:qFormat/>
    <w:uiPriority w:val="0"/>
    <w:pPr>
      <w:widowControl/>
      <w:shd w:val="clear" w:color="auto" w:fill="000080"/>
      <w:jc w:val="center"/>
    </w:pPr>
    <w:rPr>
      <w:b/>
      <w:kern w:val="0"/>
      <w:sz w:val="44"/>
    </w:rPr>
  </w:style>
  <w:style w:type="paragraph" w:styleId="16">
    <w:name w:val="annotation text"/>
    <w:basedOn w:val="1"/>
    <w:link w:val="88"/>
    <w:autoRedefine/>
    <w:qFormat/>
    <w:uiPriority w:val="0"/>
    <w:pPr>
      <w:adjustRightInd w:val="0"/>
      <w:spacing w:line="360" w:lineRule="atLeast"/>
      <w:jc w:val="center"/>
      <w:textAlignment w:val="baseline"/>
    </w:pPr>
    <w:rPr>
      <w:b/>
      <w:kern w:val="0"/>
      <w:sz w:val="24"/>
    </w:rPr>
  </w:style>
  <w:style w:type="paragraph" w:styleId="17">
    <w:name w:val="Body Text 3"/>
    <w:basedOn w:val="1"/>
    <w:autoRedefine/>
    <w:qFormat/>
    <w:uiPriority w:val="0"/>
    <w:pPr>
      <w:spacing w:after="120"/>
    </w:pPr>
    <w:rPr>
      <w:sz w:val="16"/>
      <w:szCs w:val="16"/>
    </w:rPr>
  </w:style>
  <w:style w:type="paragraph" w:styleId="18">
    <w:name w:val="Body Text"/>
    <w:basedOn w:val="1"/>
    <w:link w:val="120"/>
    <w:autoRedefine/>
    <w:qFormat/>
    <w:uiPriority w:val="0"/>
    <w:rPr>
      <w:rFonts w:eastAsia="楷体_GB2312"/>
      <w:sz w:val="30"/>
    </w:rPr>
  </w:style>
  <w:style w:type="paragraph" w:styleId="19">
    <w:name w:val="Body Text Indent"/>
    <w:basedOn w:val="1"/>
    <w:next w:val="13"/>
    <w:link w:val="89"/>
    <w:autoRedefine/>
    <w:qFormat/>
    <w:uiPriority w:val="0"/>
    <w:pPr>
      <w:spacing w:after="120"/>
      <w:ind w:left="420" w:leftChars="200"/>
    </w:pPr>
  </w:style>
  <w:style w:type="paragraph" w:styleId="20">
    <w:name w:val="List 2"/>
    <w:basedOn w:val="1"/>
    <w:autoRedefine/>
    <w:qFormat/>
    <w:uiPriority w:val="0"/>
    <w:pPr>
      <w:ind w:left="100" w:leftChars="200" w:hanging="200" w:hangingChars="200"/>
    </w:pPr>
  </w:style>
  <w:style w:type="paragraph" w:styleId="21">
    <w:name w:val="Block Text"/>
    <w:basedOn w:val="1"/>
    <w:autoRedefine/>
    <w:qFormat/>
    <w:uiPriority w:val="0"/>
    <w:pPr>
      <w:adjustRightInd w:val="0"/>
      <w:ind w:left="420" w:right="33"/>
      <w:jc w:val="center"/>
      <w:textAlignment w:val="baseline"/>
    </w:pPr>
    <w:rPr>
      <w:b/>
      <w:kern w:val="0"/>
      <w:sz w:val="24"/>
    </w:rPr>
  </w:style>
  <w:style w:type="paragraph" w:styleId="22">
    <w:name w:val="index 4"/>
    <w:basedOn w:val="1"/>
    <w:next w:val="1"/>
    <w:autoRedefine/>
    <w:qFormat/>
    <w:uiPriority w:val="0"/>
    <w:pPr>
      <w:ind w:left="600" w:leftChars="600"/>
    </w:pPr>
    <w:rPr>
      <w:szCs w:val="24"/>
    </w:rPr>
  </w:style>
  <w:style w:type="paragraph" w:styleId="23">
    <w:name w:val="toc 5"/>
    <w:basedOn w:val="1"/>
    <w:next w:val="1"/>
    <w:autoRedefine/>
    <w:qFormat/>
    <w:uiPriority w:val="0"/>
    <w:pPr>
      <w:widowControl/>
      <w:ind w:left="1760"/>
      <w:jc w:val="left"/>
    </w:pPr>
    <w:rPr>
      <w:kern w:val="0"/>
      <w:sz w:val="44"/>
    </w:rPr>
  </w:style>
  <w:style w:type="paragraph" w:styleId="24">
    <w:name w:val="toc 3"/>
    <w:basedOn w:val="1"/>
    <w:next w:val="1"/>
    <w:autoRedefine/>
    <w:qFormat/>
    <w:uiPriority w:val="0"/>
    <w:pPr>
      <w:widowControl/>
      <w:ind w:left="880"/>
      <w:jc w:val="left"/>
    </w:pPr>
    <w:rPr>
      <w:i/>
      <w:kern w:val="0"/>
      <w:sz w:val="44"/>
    </w:rPr>
  </w:style>
  <w:style w:type="paragraph" w:styleId="25">
    <w:name w:val="Plain Text"/>
    <w:basedOn w:val="1"/>
    <w:link w:val="117"/>
    <w:autoRedefine/>
    <w:qFormat/>
    <w:uiPriority w:val="0"/>
    <w:rPr>
      <w:rFonts w:ascii="宋体" w:hAnsi="Courier New"/>
    </w:rPr>
  </w:style>
  <w:style w:type="paragraph" w:styleId="26">
    <w:name w:val="toc 8"/>
    <w:basedOn w:val="1"/>
    <w:next w:val="1"/>
    <w:autoRedefine/>
    <w:qFormat/>
    <w:uiPriority w:val="0"/>
    <w:pPr>
      <w:widowControl/>
      <w:ind w:left="3080"/>
      <w:jc w:val="left"/>
    </w:pPr>
    <w:rPr>
      <w:kern w:val="0"/>
      <w:sz w:val="44"/>
    </w:rPr>
  </w:style>
  <w:style w:type="paragraph" w:styleId="27">
    <w:name w:val="Date"/>
    <w:basedOn w:val="1"/>
    <w:next w:val="1"/>
    <w:autoRedefine/>
    <w:qFormat/>
    <w:uiPriority w:val="0"/>
    <w:pPr>
      <w:ind w:left="100" w:leftChars="2500"/>
    </w:pPr>
    <w:rPr>
      <w:sz w:val="36"/>
    </w:rPr>
  </w:style>
  <w:style w:type="paragraph" w:styleId="28">
    <w:name w:val="Body Text Indent 2"/>
    <w:basedOn w:val="1"/>
    <w:autoRedefine/>
    <w:qFormat/>
    <w:uiPriority w:val="0"/>
    <w:pPr>
      <w:spacing w:after="120" w:line="480" w:lineRule="auto"/>
      <w:ind w:left="420" w:leftChars="200"/>
    </w:pPr>
  </w:style>
  <w:style w:type="paragraph" w:styleId="29">
    <w:name w:val="endnote text"/>
    <w:basedOn w:val="1"/>
    <w:autoRedefine/>
    <w:qFormat/>
    <w:uiPriority w:val="0"/>
    <w:pPr>
      <w:widowControl/>
      <w:snapToGrid w:val="0"/>
      <w:jc w:val="center"/>
    </w:pPr>
    <w:rPr>
      <w:b/>
      <w:kern w:val="0"/>
      <w:sz w:val="44"/>
    </w:rPr>
  </w:style>
  <w:style w:type="paragraph" w:styleId="30">
    <w:name w:val="Balloon Text"/>
    <w:basedOn w:val="1"/>
    <w:link w:val="116"/>
    <w:autoRedefine/>
    <w:qFormat/>
    <w:uiPriority w:val="0"/>
    <w:rPr>
      <w:sz w:val="18"/>
    </w:rPr>
  </w:style>
  <w:style w:type="paragraph" w:styleId="31">
    <w:name w:val="footer"/>
    <w:basedOn w:val="1"/>
    <w:link w:val="111"/>
    <w:autoRedefine/>
    <w:qFormat/>
    <w:uiPriority w:val="0"/>
    <w:pPr>
      <w:tabs>
        <w:tab w:val="center" w:pos="4153"/>
        <w:tab w:val="right" w:pos="8306"/>
      </w:tabs>
      <w:snapToGrid w:val="0"/>
      <w:jc w:val="left"/>
    </w:pPr>
    <w:rPr>
      <w:sz w:val="18"/>
    </w:rPr>
  </w:style>
  <w:style w:type="paragraph" w:styleId="32">
    <w:name w:val="header"/>
    <w:basedOn w:val="1"/>
    <w:link w:val="74"/>
    <w:autoRedefine/>
    <w:qFormat/>
    <w:uiPriority w:val="0"/>
    <w:pPr>
      <w:pBdr>
        <w:bottom w:val="single" w:color="auto" w:sz="6" w:space="1"/>
      </w:pBdr>
      <w:tabs>
        <w:tab w:val="center" w:pos="4153"/>
        <w:tab w:val="right" w:pos="8306"/>
      </w:tabs>
      <w:snapToGrid w:val="0"/>
      <w:jc w:val="center"/>
    </w:pPr>
    <w:rPr>
      <w:sz w:val="18"/>
    </w:rPr>
  </w:style>
  <w:style w:type="paragraph" w:styleId="33">
    <w:name w:val="toc 1"/>
    <w:basedOn w:val="1"/>
    <w:next w:val="1"/>
    <w:autoRedefine/>
    <w:qFormat/>
    <w:uiPriority w:val="39"/>
  </w:style>
  <w:style w:type="paragraph" w:styleId="34">
    <w:name w:val="toc 4"/>
    <w:basedOn w:val="1"/>
    <w:next w:val="1"/>
    <w:autoRedefine/>
    <w:qFormat/>
    <w:uiPriority w:val="0"/>
    <w:pPr>
      <w:widowControl/>
      <w:ind w:left="1320"/>
      <w:jc w:val="left"/>
    </w:pPr>
    <w:rPr>
      <w:kern w:val="0"/>
      <w:sz w:val="44"/>
    </w:rPr>
  </w:style>
  <w:style w:type="paragraph" w:styleId="35">
    <w:name w:val="Subtitle"/>
    <w:basedOn w:val="1"/>
    <w:next w:val="1"/>
    <w:link w:val="67"/>
    <w:autoRedefine/>
    <w:qFormat/>
    <w:uiPriority w:val="0"/>
    <w:pPr>
      <w:spacing w:before="240" w:after="60" w:line="312" w:lineRule="auto"/>
      <w:jc w:val="center"/>
      <w:outlineLvl w:val="1"/>
    </w:pPr>
    <w:rPr>
      <w:rFonts w:ascii="Cambria" w:hAnsi="Cambria"/>
      <w:b/>
      <w:bCs/>
      <w:kern w:val="28"/>
      <w:sz w:val="32"/>
      <w:szCs w:val="32"/>
    </w:rPr>
  </w:style>
  <w:style w:type="paragraph" w:styleId="36">
    <w:name w:val="footnote text"/>
    <w:basedOn w:val="1"/>
    <w:autoRedefine/>
    <w:qFormat/>
    <w:uiPriority w:val="0"/>
    <w:pPr>
      <w:adjustRightInd w:val="0"/>
      <w:spacing w:line="312" w:lineRule="atLeast"/>
      <w:jc w:val="center"/>
      <w:textAlignment w:val="baseline"/>
    </w:pPr>
    <w:rPr>
      <w:b/>
      <w:kern w:val="0"/>
      <w:sz w:val="18"/>
    </w:rPr>
  </w:style>
  <w:style w:type="paragraph" w:styleId="37">
    <w:name w:val="toc 6"/>
    <w:basedOn w:val="1"/>
    <w:next w:val="1"/>
    <w:autoRedefine/>
    <w:qFormat/>
    <w:uiPriority w:val="0"/>
    <w:pPr>
      <w:widowControl/>
      <w:ind w:left="2200"/>
      <w:jc w:val="left"/>
    </w:pPr>
    <w:rPr>
      <w:kern w:val="0"/>
      <w:sz w:val="44"/>
    </w:rPr>
  </w:style>
  <w:style w:type="paragraph" w:styleId="38">
    <w:name w:val="Body Text Indent 3"/>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rPr>
  </w:style>
  <w:style w:type="paragraph" w:styleId="39">
    <w:name w:val="toc 2"/>
    <w:basedOn w:val="1"/>
    <w:next w:val="1"/>
    <w:autoRedefine/>
    <w:qFormat/>
    <w:uiPriority w:val="0"/>
    <w:pPr>
      <w:widowControl/>
      <w:ind w:left="440"/>
      <w:jc w:val="left"/>
    </w:pPr>
    <w:rPr>
      <w:smallCaps/>
      <w:kern w:val="0"/>
      <w:sz w:val="44"/>
    </w:rPr>
  </w:style>
  <w:style w:type="paragraph" w:styleId="40">
    <w:name w:val="toc 9"/>
    <w:basedOn w:val="1"/>
    <w:next w:val="1"/>
    <w:autoRedefine/>
    <w:qFormat/>
    <w:uiPriority w:val="0"/>
    <w:pPr>
      <w:widowControl/>
      <w:ind w:left="3520"/>
      <w:jc w:val="left"/>
    </w:pPr>
    <w:rPr>
      <w:kern w:val="0"/>
      <w:sz w:val="44"/>
    </w:rPr>
  </w:style>
  <w:style w:type="paragraph" w:styleId="41">
    <w:name w:val="Body Text 2"/>
    <w:basedOn w:val="1"/>
    <w:autoRedefine/>
    <w:qFormat/>
    <w:uiPriority w:val="0"/>
    <w:pPr>
      <w:spacing w:after="120" w:line="480" w:lineRule="auto"/>
    </w:pPr>
    <w:rPr>
      <w:szCs w:val="24"/>
    </w:rPr>
  </w:style>
  <w:style w:type="paragraph" w:styleId="42">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43">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44">
    <w:name w:val="Title"/>
    <w:basedOn w:val="1"/>
    <w:next w:val="1"/>
    <w:link w:val="127"/>
    <w:autoRedefine/>
    <w:qFormat/>
    <w:uiPriority w:val="0"/>
    <w:pPr>
      <w:widowControl/>
      <w:spacing w:before="240" w:after="60"/>
      <w:jc w:val="center"/>
      <w:outlineLvl w:val="0"/>
    </w:pPr>
    <w:rPr>
      <w:rFonts w:ascii="Arial" w:hAnsi="Arial"/>
      <w:b/>
      <w:kern w:val="0"/>
      <w:sz w:val="44"/>
    </w:rPr>
  </w:style>
  <w:style w:type="paragraph" w:styleId="45">
    <w:name w:val="annotation subject"/>
    <w:basedOn w:val="16"/>
    <w:next w:val="16"/>
    <w:link w:val="68"/>
    <w:autoRedefine/>
    <w:semiHidden/>
    <w:qFormat/>
    <w:uiPriority w:val="0"/>
    <w:pPr>
      <w:adjustRightInd/>
      <w:spacing w:line="240" w:lineRule="auto"/>
      <w:jc w:val="left"/>
      <w:textAlignment w:val="auto"/>
    </w:pPr>
    <w:rPr>
      <w:bCs/>
      <w:kern w:val="2"/>
      <w:sz w:val="21"/>
    </w:rPr>
  </w:style>
  <w:style w:type="paragraph" w:styleId="46">
    <w:name w:val="Body Text First Indent"/>
    <w:basedOn w:val="18"/>
    <w:autoRedefine/>
    <w:qFormat/>
    <w:uiPriority w:val="0"/>
    <w:pPr>
      <w:spacing w:line="312" w:lineRule="auto"/>
      <w:ind w:firstLine="420"/>
    </w:pPr>
  </w:style>
  <w:style w:type="paragraph" w:styleId="47">
    <w:name w:val="Body Text First Indent 2"/>
    <w:basedOn w:val="19"/>
    <w:next w:val="1"/>
    <w:autoRedefine/>
    <w:qFormat/>
    <w:uiPriority w:val="0"/>
    <w:pPr>
      <w:ind w:firstLine="420" w:firstLineChars="200"/>
    </w:pPr>
  </w:style>
  <w:style w:type="table" w:styleId="49">
    <w:name w:val="Table Grid"/>
    <w:basedOn w:val="48"/>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0"/>
    <w:rPr>
      <w:rFonts w:ascii="Verdana" w:hAnsi="Verdana" w:eastAsia="仿宋_GB2312"/>
      <w:b/>
      <w:bCs/>
      <w:kern w:val="0"/>
      <w:sz w:val="24"/>
      <w:lang w:eastAsia="en-US"/>
    </w:rPr>
  </w:style>
  <w:style w:type="character" w:styleId="52">
    <w:name w:val="endnote reference"/>
    <w:basedOn w:val="50"/>
    <w:autoRedefine/>
    <w:qFormat/>
    <w:uiPriority w:val="0"/>
    <w:rPr>
      <w:rFonts w:ascii="Verdana" w:hAnsi="Verdana" w:eastAsia="仿宋_GB2312"/>
      <w:kern w:val="0"/>
      <w:sz w:val="24"/>
      <w:vertAlign w:val="superscript"/>
      <w:lang w:eastAsia="en-US"/>
    </w:rPr>
  </w:style>
  <w:style w:type="character" w:styleId="53">
    <w:name w:val="page number"/>
    <w:basedOn w:val="50"/>
    <w:autoRedefine/>
    <w:qFormat/>
    <w:uiPriority w:val="0"/>
    <w:rPr>
      <w:rFonts w:ascii="Verdana" w:hAnsi="Verdana" w:eastAsia="仿宋_GB2312"/>
      <w:kern w:val="0"/>
      <w:sz w:val="24"/>
      <w:lang w:eastAsia="en-US"/>
    </w:rPr>
  </w:style>
  <w:style w:type="character" w:styleId="54">
    <w:name w:val="FollowedHyperlink"/>
    <w:basedOn w:val="50"/>
    <w:autoRedefine/>
    <w:qFormat/>
    <w:uiPriority w:val="0"/>
    <w:rPr>
      <w:rFonts w:hint="eastAsia" w:ascii="微软雅黑" w:hAnsi="微软雅黑" w:eastAsia="微软雅黑" w:cs="微软雅黑"/>
      <w:color w:val="02396F"/>
      <w:kern w:val="0"/>
      <w:sz w:val="24"/>
      <w:u w:val="single"/>
      <w:lang w:eastAsia="en-US"/>
    </w:rPr>
  </w:style>
  <w:style w:type="character" w:styleId="55">
    <w:name w:val="Emphasis"/>
    <w:autoRedefine/>
    <w:qFormat/>
    <w:uiPriority w:val="0"/>
    <w:rPr>
      <w:i/>
      <w:iCs/>
    </w:rPr>
  </w:style>
  <w:style w:type="character" w:styleId="56">
    <w:name w:val="HTML Definition"/>
    <w:basedOn w:val="50"/>
    <w:autoRedefine/>
    <w:qFormat/>
    <w:uiPriority w:val="0"/>
    <w:rPr>
      <w:rFonts w:ascii="Verdana" w:hAnsi="Verdana" w:eastAsia="仿宋_GB2312"/>
      <w:kern w:val="0"/>
      <w:sz w:val="24"/>
      <w:lang w:eastAsia="en-US"/>
    </w:rPr>
  </w:style>
  <w:style w:type="character" w:styleId="57">
    <w:name w:val="HTML Typewriter"/>
    <w:basedOn w:val="50"/>
    <w:autoRedefine/>
    <w:qFormat/>
    <w:uiPriority w:val="0"/>
    <w:rPr>
      <w:rFonts w:hint="default" w:ascii="monospace" w:hAnsi="monospace" w:eastAsia="monospace" w:cs="monospace"/>
      <w:kern w:val="0"/>
      <w:sz w:val="20"/>
      <w:lang w:eastAsia="en-US"/>
    </w:rPr>
  </w:style>
  <w:style w:type="character" w:styleId="58">
    <w:name w:val="HTML Acronym"/>
    <w:basedOn w:val="50"/>
    <w:autoRedefine/>
    <w:qFormat/>
    <w:uiPriority w:val="0"/>
    <w:rPr>
      <w:rFonts w:ascii="Verdana" w:hAnsi="Verdana" w:eastAsia="仿宋_GB2312"/>
      <w:kern w:val="0"/>
      <w:sz w:val="24"/>
      <w:lang w:eastAsia="en-US"/>
    </w:rPr>
  </w:style>
  <w:style w:type="character" w:styleId="59">
    <w:name w:val="HTML Variable"/>
    <w:basedOn w:val="50"/>
    <w:autoRedefine/>
    <w:qFormat/>
    <w:uiPriority w:val="0"/>
    <w:rPr>
      <w:rFonts w:ascii="Verdana" w:hAnsi="Verdana" w:eastAsia="仿宋_GB2312"/>
      <w:kern w:val="0"/>
      <w:sz w:val="24"/>
      <w:lang w:eastAsia="en-US"/>
    </w:rPr>
  </w:style>
  <w:style w:type="character" w:styleId="60">
    <w:name w:val="Hyperlink"/>
    <w:basedOn w:val="50"/>
    <w:autoRedefine/>
    <w:qFormat/>
    <w:uiPriority w:val="99"/>
    <w:rPr>
      <w:rFonts w:ascii="微软雅黑" w:hAnsi="微软雅黑" w:eastAsia="微软雅黑" w:cs="微软雅黑"/>
      <w:color w:val="02396F"/>
      <w:kern w:val="0"/>
      <w:sz w:val="24"/>
      <w:u w:val="single"/>
      <w:lang w:eastAsia="en-US"/>
    </w:rPr>
  </w:style>
  <w:style w:type="character" w:styleId="61">
    <w:name w:val="HTML Code"/>
    <w:basedOn w:val="50"/>
    <w:autoRedefine/>
    <w:qFormat/>
    <w:uiPriority w:val="0"/>
    <w:rPr>
      <w:rFonts w:hint="default" w:ascii="monospace" w:hAnsi="monospace" w:eastAsia="monospace" w:cs="monospace"/>
      <w:kern w:val="0"/>
      <w:sz w:val="20"/>
      <w:lang w:eastAsia="en-US"/>
    </w:rPr>
  </w:style>
  <w:style w:type="character" w:styleId="62">
    <w:name w:val="HTML Cite"/>
    <w:basedOn w:val="50"/>
    <w:autoRedefine/>
    <w:qFormat/>
    <w:uiPriority w:val="0"/>
    <w:rPr>
      <w:rFonts w:ascii="Verdana" w:hAnsi="Verdana" w:eastAsia="仿宋_GB2312"/>
      <w:kern w:val="0"/>
      <w:sz w:val="24"/>
      <w:lang w:eastAsia="en-US"/>
    </w:rPr>
  </w:style>
  <w:style w:type="character" w:styleId="63">
    <w:name w:val="footnote reference"/>
    <w:basedOn w:val="50"/>
    <w:autoRedefine/>
    <w:qFormat/>
    <w:uiPriority w:val="0"/>
    <w:rPr>
      <w:rFonts w:ascii="Verdana" w:hAnsi="Verdana" w:eastAsia="仿宋_GB2312"/>
      <w:kern w:val="0"/>
      <w:sz w:val="24"/>
      <w:vertAlign w:val="superscript"/>
      <w:lang w:eastAsia="en-US"/>
    </w:rPr>
  </w:style>
  <w:style w:type="character" w:styleId="64">
    <w:name w:val="HTML Keyboard"/>
    <w:basedOn w:val="50"/>
    <w:autoRedefine/>
    <w:qFormat/>
    <w:uiPriority w:val="0"/>
    <w:rPr>
      <w:rFonts w:hint="default" w:ascii="monospace" w:hAnsi="monospace" w:eastAsia="monospace" w:cs="monospace"/>
      <w:kern w:val="0"/>
      <w:sz w:val="20"/>
      <w:lang w:eastAsia="en-US"/>
    </w:rPr>
  </w:style>
  <w:style w:type="character" w:styleId="65">
    <w:name w:val="HTML Sample"/>
    <w:basedOn w:val="50"/>
    <w:autoRedefine/>
    <w:qFormat/>
    <w:uiPriority w:val="0"/>
    <w:rPr>
      <w:rFonts w:ascii="monospace" w:hAnsi="monospace" w:eastAsia="monospace" w:cs="monospace"/>
      <w:kern w:val="0"/>
      <w:sz w:val="24"/>
      <w:lang w:eastAsia="en-US"/>
    </w:rPr>
  </w:style>
  <w:style w:type="character" w:customStyle="1" w:styleId="66">
    <w:name w:val="文档结构图 Char"/>
    <w:link w:val="15"/>
    <w:autoRedefine/>
    <w:qFormat/>
    <w:uiPriority w:val="0"/>
    <w:rPr>
      <w:rFonts w:eastAsia="宋体"/>
      <w:b/>
      <w:sz w:val="44"/>
      <w:lang w:val="en-US" w:eastAsia="zh-CN" w:bidi="ar-SA"/>
    </w:rPr>
  </w:style>
  <w:style w:type="character" w:customStyle="1" w:styleId="67">
    <w:name w:val="副标题 Char"/>
    <w:link w:val="35"/>
    <w:autoRedefine/>
    <w:qFormat/>
    <w:uiPriority w:val="0"/>
    <w:rPr>
      <w:rFonts w:ascii="Cambria" w:hAnsi="Cambria"/>
      <w:b/>
      <w:bCs/>
      <w:kern w:val="28"/>
      <w:sz w:val="32"/>
      <w:szCs w:val="32"/>
      <w:lang w:bidi="ar-SA"/>
    </w:rPr>
  </w:style>
  <w:style w:type="character" w:customStyle="1" w:styleId="68">
    <w:name w:val="批注主题 Char"/>
    <w:link w:val="45"/>
    <w:autoRedefine/>
    <w:qFormat/>
    <w:uiPriority w:val="0"/>
    <w:rPr>
      <w:rFonts w:eastAsia="宋体"/>
      <w:b/>
      <w:bCs/>
      <w:kern w:val="2"/>
      <w:sz w:val="21"/>
      <w:lang w:val="en-US" w:eastAsia="zh-CN" w:bidi="ar-SA"/>
    </w:rPr>
  </w:style>
  <w:style w:type="character" w:customStyle="1" w:styleId="69">
    <w:name w:val="s1"/>
    <w:basedOn w:val="50"/>
    <w:autoRedefine/>
    <w:qFormat/>
    <w:uiPriority w:val="0"/>
    <w:rPr>
      <w:rFonts w:ascii="Verdana" w:hAnsi="Verdana" w:eastAsia="仿宋_GB2312"/>
      <w:color w:val="118EFF"/>
      <w:kern w:val="0"/>
      <w:sz w:val="24"/>
      <w:lang w:eastAsia="en-US"/>
    </w:rPr>
  </w:style>
  <w:style w:type="character" w:customStyle="1" w:styleId="70">
    <w:name w:val="Intense Reference"/>
    <w:autoRedefine/>
    <w:qFormat/>
    <w:uiPriority w:val="0"/>
    <w:rPr>
      <w:b/>
      <w:bCs/>
      <w:smallCaps/>
      <w:color w:val="C0504D"/>
      <w:spacing w:val="5"/>
      <w:u w:val="single"/>
    </w:rPr>
  </w:style>
  <w:style w:type="character" w:customStyle="1" w:styleId="71">
    <w:name w:val="qxdate"/>
    <w:basedOn w:val="50"/>
    <w:autoRedefine/>
    <w:qFormat/>
    <w:uiPriority w:val="0"/>
    <w:rPr>
      <w:rFonts w:ascii="Verdana" w:hAnsi="Verdana" w:eastAsia="仿宋_GB2312"/>
      <w:color w:val="333333"/>
      <w:kern w:val="0"/>
      <w:sz w:val="18"/>
      <w:szCs w:val="18"/>
      <w:lang w:eastAsia="en-US"/>
    </w:rPr>
  </w:style>
  <w:style w:type="character" w:customStyle="1" w:styleId="72">
    <w:name w:val="正文缩进 Char"/>
    <w:basedOn w:val="50"/>
    <w:link w:val="13"/>
    <w:autoRedefine/>
    <w:qFormat/>
    <w:uiPriority w:val="0"/>
    <w:rPr>
      <w:rFonts w:ascii="Verdana" w:hAnsi="Verdana" w:eastAsia="宋体"/>
      <w:b/>
      <w:kern w:val="0"/>
      <w:sz w:val="44"/>
      <w:lang w:val="en-US" w:eastAsia="zh-CN"/>
    </w:rPr>
  </w:style>
  <w:style w:type="character" w:customStyle="1" w:styleId="73">
    <w:name w:val="prev2"/>
    <w:basedOn w:val="50"/>
    <w:autoRedefine/>
    <w:qFormat/>
    <w:uiPriority w:val="0"/>
    <w:rPr>
      <w:rFonts w:ascii="Verdana" w:hAnsi="Verdana" w:eastAsia="仿宋_GB2312"/>
      <w:color w:val="888888"/>
      <w:kern w:val="0"/>
      <w:sz w:val="24"/>
      <w:lang w:eastAsia="en-US"/>
    </w:rPr>
  </w:style>
  <w:style w:type="character" w:customStyle="1" w:styleId="74">
    <w:name w:val="页眉 Char"/>
    <w:link w:val="32"/>
    <w:autoRedefine/>
    <w:qFormat/>
    <w:uiPriority w:val="0"/>
    <w:rPr>
      <w:rFonts w:eastAsia="宋体"/>
      <w:kern w:val="2"/>
      <w:sz w:val="18"/>
      <w:lang w:val="en-US" w:eastAsia="zh-CN" w:bidi="ar-SA"/>
    </w:rPr>
  </w:style>
  <w:style w:type="character" w:customStyle="1" w:styleId="75">
    <w:name w:val="引用 Char"/>
    <w:link w:val="76"/>
    <w:autoRedefine/>
    <w:qFormat/>
    <w:uiPriority w:val="0"/>
    <w:rPr>
      <w:i/>
      <w:iCs/>
      <w:color w:val="000000"/>
      <w:kern w:val="2"/>
      <w:sz w:val="21"/>
      <w:szCs w:val="22"/>
      <w:lang w:bidi="ar-SA"/>
    </w:rPr>
  </w:style>
  <w:style w:type="paragraph" w:styleId="76">
    <w:name w:val="Quote"/>
    <w:basedOn w:val="1"/>
    <w:next w:val="1"/>
    <w:link w:val="75"/>
    <w:autoRedefine/>
    <w:qFormat/>
    <w:uiPriority w:val="0"/>
    <w:rPr>
      <w:i/>
      <w:iCs/>
      <w:color w:val="000000"/>
      <w:szCs w:val="22"/>
    </w:rPr>
  </w:style>
  <w:style w:type="character" w:customStyle="1" w:styleId="77">
    <w:name w:val="日期 Char1"/>
    <w:autoRedefine/>
    <w:qFormat/>
    <w:uiPriority w:val="0"/>
    <w:rPr>
      <w:kern w:val="2"/>
      <w:sz w:val="21"/>
      <w:szCs w:val="22"/>
    </w:rPr>
  </w:style>
  <w:style w:type="character" w:customStyle="1" w:styleId="78">
    <w:name w:val="next1"/>
    <w:basedOn w:val="50"/>
    <w:autoRedefine/>
    <w:qFormat/>
    <w:uiPriority w:val="0"/>
    <w:rPr>
      <w:rFonts w:ascii="Verdana" w:hAnsi="Verdana" w:eastAsia="仿宋_GB2312"/>
      <w:color w:val="888888"/>
      <w:kern w:val="0"/>
      <w:sz w:val="24"/>
      <w:lang w:eastAsia="en-US"/>
    </w:rPr>
  </w:style>
  <w:style w:type="character" w:customStyle="1" w:styleId="79">
    <w:name w:val="textcontents"/>
    <w:autoRedefine/>
    <w:qFormat/>
    <w:uiPriority w:val="0"/>
    <w:rPr>
      <w:rFonts w:cs="Times New Roman"/>
    </w:rPr>
  </w:style>
  <w:style w:type="character" w:customStyle="1" w:styleId="80">
    <w:name w:val="标题 5 Char"/>
    <w:link w:val="7"/>
    <w:autoRedefine/>
    <w:qFormat/>
    <w:uiPriority w:val="0"/>
    <w:rPr>
      <w:rFonts w:ascii="宋体" w:hAnsi="宋体" w:eastAsia="宋体"/>
      <w:sz w:val="24"/>
      <w:lang w:val="en-US" w:eastAsia="zh-CN" w:bidi="ar-SA"/>
    </w:rPr>
  </w:style>
  <w:style w:type="character" w:customStyle="1" w:styleId="81">
    <w:name w:val="prev"/>
    <w:basedOn w:val="50"/>
    <w:autoRedefine/>
    <w:qFormat/>
    <w:uiPriority w:val="0"/>
    <w:rPr>
      <w:rFonts w:hint="eastAsia" w:ascii="微软雅黑" w:hAnsi="微软雅黑" w:eastAsia="微软雅黑" w:cs="微软雅黑"/>
      <w:kern w:val="0"/>
      <w:sz w:val="21"/>
      <w:szCs w:val="21"/>
      <w:lang w:eastAsia="en-US"/>
    </w:rPr>
  </w:style>
  <w:style w:type="character" w:customStyle="1" w:styleId="82">
    <w:name w:val="c-icon28"/>
    <w:basedOn w:val="50"/>
    <w:autoRedefine/>
    <w:qFormat/>
    <w:uiPriority w:val="0"/>
    <w:rPr>
      <w:rFonts w:ascii="Verdana" w:hAnsi="Verdana" w:eastAsia="仿宋_GB2312"/>
      <w:kern w:val="0"/>
      <w:sz w:val="24"/>
      <w:lang w:eastAsia="en-US"/>
    </w:rPr>
  </w:style>
  <w:style w:type="character" w:customStyle="1" w:styleId="83">
    <w:name w:val="first-child"/>
    <w:basedOn w:val="50"/>
    <w:autoRedefine/>
    <w:qFormat/>
    <w:uiPriority w:val="0"/>
    <w:rPr>
      <w:rFonts w:ascii="Verdana" w:hAnsi="Verdana" w:eastAsia="仿宋_GB2312"/>
      <w:kern w:val="0"/>
      <w:sz w:val="24"/>
      <w:lang w:eastAsia="en-US"/>
    </w:rPr>
  </w:style>
  <w:style w:type="character" w:customStyle="1" w:styleId="84">
    <w:name w:val="Char Char4"/>
    <w:autoRedefine/>
    <w:qFormat/>
    <w:uiPriority w:val="0"/>
    <w:rPr>
      <w:rFonts w:eastAsia="楷体_GB2312"/>
      <w:kern w:val="2"/>
      <w:sz w:val="30"/>
      <w:lang w:val="en-US" w:eastAsia="zh-CN" w:bidi="ar-SA"/>
    </w:rPr>
  </w:style>
  <w:style w:type="character" w:customStyle="1" w:styleId="85">
    <w:name w:val="next2"/>
    <w:basedOn w:val="50"/>
    <w:autoRedefine/>
    <w:qFormat/>
    <w:uiPriority w:val="0"/>
    <w:rPr>
      <w:rFonts w:ascii="Verdana" w:hAnsi="Verdana" w:eastAsia="仿宋_GB2312"/>
      <w:color w:val="888888"/>
      <w:kern w:val="0"/>
      <w:sz w:val="24"/>
      <w:lang w:eastAsia="en-US"/>
    </w:rPr>
  </w:style>
  <w:style w:type="character" w:customStyle="1" w:styleId="86">
    <w:name w:val="纯文本 Char Char Char Char"/>
    <w:basedOn w:val="50"/>
    <w:autoRedefine/>
    <w:qFormat/>
    <w:uiPriority w:val="0"/>
    <w:rPr>
      <w:rFonts w:ascii="宋体" w:hAnsi="Courier New" w:eastAsia="宋体"/>
      <w:kern w:val="2"/>
      <w:sz w:val="21"/>
      <w:lang w:val="en-US" w:eastAsia="zh-CN"/>
    </w:rPr>
  </w:style>
  <w:style w:type="character" w:customStyle="1" w:styleId="87">
    <w:name w:val="文档结构图 Char1"/>
    <w:autoRedefine/>
    <w:qFormat/>
    <w:uiPriority w:val="0"/>
    <w:rPr>
      <w:rFonts w:ascii="宋体"/>
      <w:kern w:val="2"/>
      <w:sz w:val="18"/>
      <w:szCs w:val="18"/>
    </w:rPr>
  </w:style>
  <w:style w:type="character" w:customStyle="1" w:styleId="88">
    <w:name w:val="批注文字 Char"/>
    <w:basedOn w:val="50"/>
    <w:link w:val="16"/>
    <w:autoRedefine/>
    <w:qFormat/>
    <w:uiPriority w:val="0"/>
    <w:rPr>
      <w:rFonts w:ascii="Verdana" w:hAnsi="Verdana" w:eastAsia="宋体"/>
      <w:b/>
      <w:kern w:val="0"/>
      <w:sz w:val="24"/>
      <w:lang w:val="en-US" w:eastAsia="zh-CN" w:bidi="ar-SA"/>
    </w:rPr>
  </w:style>
  <w:style w:type="character" w:customStyle="1" w:styleId="89">
    <w:name w:val="正文文本缩进 Char"/>
    <w:basedOn w:val="50"/>
    <w:link w:val="19"/>
    <w:autoRedefine/>
    <w:qFormat/>
    <w:uiPriority w:val="0"/>
    <w:rPr>
      <w:rFonts w:ascii="Verdana" w:hAnsi="Verdana" w:eastAsia="宋体"/>
      <w:kern w:val="2"/>
      <w:sz w:val="21"/>
      <w:lang w:val="en-US" w:eastAsia="zh-CN"/>
    </w:rPr>
  </w:style>
  <w:style w:type="character" w:customStyle="1" w:styleId="90">
    <w:name w:val="hover22"/>
    <w:basedOn w:val="50"/>
    <w:autoRedefine/>
    <w:qFormat/>
    <w:uiPriority w:val="0"/>
    <w:rPr>
      <w:rFonts w:ascii="Verdana" w:hAnsi="Verdana" w:eastAsia="仿宋_GB2312"/>
      <w:kern w:val="0"/>
      <w:sz w:val="24"/>
      <w:lang w:eastAsia="en-US"/>
    </w:rPr>
  </w:style>
  <w:style w:type="character" w:customStyle="1" w:styleId="91">
    <w:name w:val="批注主题 Char1"/>
    <w:autoRedefine/>
    <w:qFormat/>
    <w:uiPriority w:val="0"/>
    <w:rPr>
      <w:b/>
      <w:bCs/>
      <w:kern w:val="2"/>
      <w:sz w:val="21"/>
      <w:szCs w:val="22"/>
    </w:rPr>
  </w:style>
  <w:style w:type="character" w:customStyle="1" w:styleId="92">
    <w:name w:val="Intense Emphasis"/>
    <w:autoRedefine/>
    <w:qFormat/>
    <w:uiPriority w:val="0"/>
    <w:rPr>
      <w:b/>
      <w:bCs/>
      <w:i/>
      <w:iCs/>
      <w:color w:val="4F81BD"/>
    </w:rPr>
  </w:style>
  <w:style w:type="character" w:customStyle="1" w:styleId="93">
    <w:name w:val="明显引用 Char"/>
    <w:link w:val="94"/>
    <w:autoRedefine/>
    <w:qFormat/>
    <w:uiPriority w:val="0"/>
    <w:rPr>
      <w:b/>
      <w:bCs/>
      <w:i/>
      <w:iCs/>
      <w:color w:val="4F81BD"/>
      <w:kern w:val="2"/>
      <w:sz w:val="21"/>
      <w:szCs w:val="22"/>
      <w:lang w:bidi="ar-SA"/>
    </w:rPr>
  </w:style>
  <w:style w:type="paragraph" w:styleId="94">
    <w:name w:val="Intense Quote"/>
    <w:basedOn w:val="1"/>
    <w:next w:val="1"/>
    <w:link w:val="93"/>
    <w:autoRedefine/>
    <w:qFormat/>
    <w:uiPriority w:val="0"/>
    <w:pPr>
      <w:pBdr>
        <w:bottom w:val="single" w:color="4F81BD" w:sz="4" w:space="4"/>
      </w:pBdr>
      <w:spacing w:before="200" w:after="280"/>
      <w:ind w:left="936" w:right="936"/>
    </w:pPr>
    <w:rPr>
      <w:b/>
      <w:bCs/>
      <w:i/>
      <w:iCs/>
      <w:color w:val="4F81BD"/>
      <w:szCs w:val="22"/>
    </w:rPr>
  </w:style>
  <w:style w:type="character" w:customStyle="1" w:styleId="95">
    <w:name w:val="标题 6 Char"/>
    <w:link w:val="8"/>
    <w:autoRedefine/>
    <w:qFormat/>
    <w:uiPriority w:val="0"/>
    <w:rPr>
      <w:rFonts w:ascii="Arial" w:hAnsi="Arial" w:eastAsia="黑体"/>
      <w:sz w:val="24"/>
      <w:lang w:val="en-US" w:eastAsia="zh-CN" w:bidi="ar-SA"/>
    </w:rPr>
  </w:style>
  <w:style w:type="character" w:customStyle="1" w:styleId="96">
    <w:name w:val="标题5 Char Char"/>
    <w:link w:val="97"/>
    <w:autoRedefine/>
    <w:qFormat/>
    <w:uiPriority w:val="0"/>
    <w:rPr>
      <w:rFonts w:ascii="Arial" w:hAnsi="Arial"/>
      <w:b/>
      <w:bCs/>
      <w:sz w:val="24"/>
      <w:szCs w:val="32"/>
      <w:lang w:bidi="ar-SA"/>
    </w:rPr>
  </w:style>
  <w:style w:type="paragraph" w:customStyle="1" w:styleId="97">
    <w:name w:val="标题5"/>
    <w:basedOn w:val="5"/>
    <w:link w:val="96"/>
    <w:autoRedefine/>
    <w:qFormat/>
    <w:uiPriority w:val="0"/>
    <w:rPr>
      <w:rFonts w:ascii="Arial" w:hAnsi="Arial"/>
      <w:bCs/>
      <w:kern w:val="0"/>
      <w:sz w:val="24"/>
      <w:szCs w:val="32"/>
    </w:rPr>
  </w:style>
  <w:style w:type="character" w:customStyle="1" w:styleId="98">
    <w:name w:val="Char Char Char Char Char"/>
    <w:basedOn w:val="50"/>
    <w:autoRedefine/>
    <w:qFormat/>
    <w:uiPriority w:val="0"/>
    <w:rPr>
      <w:rFonts w:ascii="宋体" w:hAnsi="Courier New" w:eastAsia="宋体"/>
      <w:kern w:val="2"/>
      <w:sz w:val="21"/>
      <w:lang w:val="en-US" w:eastAsia="zh-CN"/>
    </w:rPr>
  </w:style>
  <w:style w:type="character" w:customStyle="1" w:styleId="99">
    <w:name w:val="标题 1 Char"/>
    <w:link w:val="3"/>
    <w:autoRedefine/>
    <w:qFormat/>
    <w:uiPriority w:val="0"/>
    <w:rPr>
      <w:rFonts w:ascii="Times New Roman" w:hAnsi="Times New Roman" w:eastAsia="宋体"/>
      <w:b/>
      <w:kern w:val="44"/>
      <w:sz w:val="44"/>
      <w:lang w:val="en-US" w:eastAsia="zh-CN" w:bidi="ar-SA"/>
    </w:rPr>
  </w:style>
  <w:style w:type="character" w:customStyle="1" w:styleId="100">
    <w:name w:val="标题 9 Char"/>
    <w:link w:val="11"/>
    <w:autoRedefine/>
    <w:qFormat/>
    <w:uiPriority w:val="0"/>
    <w:rPr>
      <w:rFonts w:ascii="Arial" w:hAnsi="Arial" w:eastAsia="黑体"/>
      <w:b/>
      <w:sz w:val="21"/>
      <w:lang w:val="en-US" w:eastAsia="zh-CN" w:bidi="ar-SA"/>
    </w:rPr>
  </w:style>
  <w:style w:type="character" w:customStyle="1" w:styleId="101">
    <w:name w:val="Para head"/>
    <w:basedOn w:val="50"/>
    <w:autoRedefine/>
    <w:qFormat/>
    <w:uiPriority w:val="0"/>
    <w:rPr>
      <w:rFonts w:ascii="Arial" w:hAnsi="Arial" w:eastAsia="Times New Roman"/>
      <w:kern w:val="0"/>
      <w:sz w:val="20"/>
      <w:lang w:eastAsia="en-US"/>
    </w:rPr>
  </w:style>
  <w:style w:type="character" w:customStyle="1" w:styleId="102">
    <w:name w:val="hover23"/>
    <w:basedOn w:val="50"/>
    <w:autoRedefine/>
    <w:qFormat/>
    <w:uiPriority w:val="0"/>
    <w:rPr>
      <w:rFonts w:ascii="Verdana" w:hAnsi="Verdana" w:eastAsia="仿宋_GB2312"/>
      <w:color w:val="315EFB"/>
      <w:kern w:val="0"/>
      <w:sz w:val="24"/>
      <w:lang w:eastAsia="en-US"/>
    </w:rPr>
  </w:style>
  <w:style w:type="character" w:customStyle="1" w:styleId="103">
    <w:name w:val="批注文字 Char Char"/>
    <w:autoRedefine/>
    <w:qFormat/>
    <w:uiPriority w:val="0"/>
    <w:rPr>
      <w:rFonts w:ascii="宋体" w:hAnsi="Times New Roman" w:eastAsia="宋体" w:cs="Times New Roman"/>
      <w:sz w:val="28"/>
      <w:szCs w:val="20"/>
    </w:rPr>
  </w:style>
  <w:style w:type="character" w:customStyle="1" w:styleId="104">
    <w:name w:val="g1481"/>
    <w:basedOn w:val="50"/>
    <w:autoRedefine/>
    <w:qFormat/>
    <w:uiPriority w:val="0"/>
    <w:rPr>
      <w:rFonts w:ascii="Verdana" w:hAnsi="Verdana" w:eastAsia="仿宋_GB2312"/>
      <w:color w:val="5F897B"/>
      <w:kern w:val="0"/>
      <w:sz w:val="22"/>
      <w:lang w:eastAsia="en-US"/>
    </w:rPr>
  </w:style>
  <w:style w:type="character" w:customStyle="1" w:styleId="105">
    <w:name w:val="cfdate"/>
    <w:basedOn w:val="50"/>
    <w:autoRedefine/>
    <w:qFormat/>
    <w:uiPriority w:val="0"/>
    <w:rPr>
      <w:rFonts w:ascii="Verdana" w:hAnsi="Verdana" w:eastAsia="仿宋_GB2312"/>
      <w:color w:val="333333"/>
      <w:kern w:val="0"/>
      <w:sz w:val="18"/>
      <w:szCs w:val="18"/>
      <w:lang w:eastAsia="en-US"/>
    </w:rPr>
  </w:style>
  <w:style w:type="character" w:customStyle="1" w:styleId="106">
    <w:name w:val="标题 7 Char"/>
    <w:link w:val="9"/>
    <w:autoRedefine/>
    <w:qFormat/>
    <w:uiPriority w:val="0"/>
    <w:rPr>
      <w:rFonts w:eastAsia="宋体"/>
      <w:sz w:val="24"/>
      <w:lang w:val="en-US" w:eastAsia="zh-CN" w:bidi="ar-SA"/>
    </w:rPr>
  </w:style>
  <w:style w:type="character" w:customStyle="1" w:styleId="107">
    <w:name w:val="redfilenumber"/>
    <w:basedOn w:val="50"/>
    <w:autoRedefine/>
    <w:qFormat/>
    <w:uiPriority w:val="0"/>
    <w:rPr>
      <w:rFonts w:ascii="Verdana" w:hAnsi="Verdana" w:eastAsia="仿宋_GB2312"/>
      <w:color w:val="BA2636"/>
      <w:kern w:val="0"/>
      <w:sz w:val="18"/>
      <w:szCs w:val="18"/>
      <w:lang w:eastAsia="en-US"/>
    </w:rPr>
  </w:style>
  <w:style w:type="character" w:customStyle="1" w:styleId="108">
    <w:name w:val="displayarti"/>
    <w:basedOn w:val="50"/>
    <w:autoRedefine/>
    <w:qFormat/>
    <w:uiPriority w:val="0"/>
    <w:rPr>
      <w:rFonts w:ascii="Verdana" w:hAnsi="Verdana" w:eastAsia="仿宋_GB2312"/>
      <w:color w:val="FFFFFF"/>
      <w:kern w:val="0"/>
      <w:sz w:val="24"/>
      <w:shd w:val="clear" w:color="auto" w:fill="A00000"/>
      <w:lang w:eastAsia="en-US"/>
    </w:rPr>
  </w:style>
  <w:style w:type="character" w:customStyle="1" w:styleId="109">
    <w:name w:val="批注框文本 Char1"/>
    <w:autoRedefine/>
    <w:qFormat/>
    <w:uiPriority w:val="0"/>
    <w:rPr>
      <w:kern w:val="2"/>
      <w:sz w:val="18"/>
      <w:szCs w:val="18"/>
    </w:rPr>
  </w:style>
  <w:style w:type="character" w:customStyle="1" w:styleId="110">
    <w:name w:val="prev3"/>
    <w:basedOn w:val="50"/>
    <w:autoRedefine/>
    <w:qFormat/>
    <w:uiPriority w:val="0"/>
    <w:rPr>
      <w:rFonts w:ascii="微软雅黑" w:hAnsi="微软雅黑" w:eastAsia="微软雅黑" w:cs="微软雅黑"/>
      <w:kern w:val="0"/>
      <w:sz w:val="21"/>
      <w:szCs w:val="21"/>
      <w:lang w:eastAsia="en-US"/>
    </w:rPr>
  </w:style>
  <w:style w:type="character" w:customStyle="1" w:styleId="111">
    <w:name w:val="页脚 Char"/>
    <w:link w:val="31"/>
    <w:autoRedefine/>
    <w:qFormat/>
    <w:uiPriority w:val="0"/>
    <w:rPr>
      <w:rFonts w:eastAsia="宋体"/>
      <w:kern w:val="2"/>
      <w:sz w:val="18"/>
      <w:lang w:val="en-US" w:eastAsia="zh-CN" w:bidi="ar-SA"/>
    </w:rPr>
  </w:style>
  <w:style w:type="character" w:customStyle="1" w:styleId="112">
    <w:name w:val="next3"/>
    <w:basedOn w:val="50"/>
    <w:autoRedefine/>
    <w:qFormat/>
    <w:uiPriority w:val="0"/>
    <w:rPr>
      <w:rFonts w:hint="eastAsia" w:ascii="微软雅黑" w:hAnsi="微软雅黑" w:eastAsia="微软雅黑" w:cs="微软雅黑"/>
      <w:kern w:val="0"/>
      <w:sz w:val="21"/>
      <w:szCs w:val="21"/>
      <w:lang w:eastAsia="en-US"/>
    </w:rPr>
  </w:style>
  <w:style w:type="character" w:customStyle="1" w:styleId="113">
    <w:name w:val="next"/>
    <w:basedOn w:val="50"/>
    <w:autoRedefine/>
    <w:qFormat/>
    <w:uiPriority w:val="0"/>
    <w:rPr>
      <w:rFonts w:ascii="微软雅黑" w:hAnsi="微软雅黑" w:eastAsia="微软雅黑" w:cs="微软雅黑"/>
      <w:kern w:val="0"/>
      <w:sz w:val="21"/>
      <w:szCs w:val="21"/>
      <w:lang w:eastAsia="en-US"/>
    </w:rPr>
  </w:style>
  <w:style w:type="character" w:customStyle="1" w:styleId="114">
    <w:name w:val="redfilefwwh"/>
    <w:basedOn w:val="50"/>
    <w:autoRedefine/>
    <w:qFormat/>
    <w:uiPriority w:val="0"/>
    <w:rPr>
      <w:rFonts w:ascii="Verdana" w:hAnsi="Verdana" w:eastAsia="仿宋_GB2312"/>
      <w:color w:val="BA2636"/>
      <w:kern w:val="0"/>
      <w:sz w:val="18"/>
      <w:szCs w:val="18"/>
      <w:lang w:eastAsia="en-US"/>
    </w:rPr>
  </w:style>
  <w:style w:type="character" w:customStyle="1" w:styleId="115">
    <w:name w:val="标题 2 Char"/>
    <w:link w:val="4"/>
    <w:autoRedefine/>
    <w:qFormat/>
    <w:uiPriority w:val="0"/>
    <w:rPr>
      <w:rFonts w:ascii="Arial" w:hAnsi="Arial" w:eastAsia="黑体"/>
      <w:sz w:val="44"/>
      <w:lang w:val="en-US" w:eastAsia="zh-CN" w:bidi="ar-SA"/>
    </w:rPr>
  </w:style>
  <w:style w:type="character" w:customStyle="1" w:styleId="116">
    <w:name w:val="批注框文本 Char"/>
    <w:link w:val="30"/>
    <w:autoRedefine/>
    <w:qFormat/>
    <w:uiPriority w:val="0"/>
    <w:rPr>
      <w:rFonts w:eastAsia="宋体"/>
      <w:kern w:val="2"/>
      <w:sz w:val="18"/>
      <w:lang w:val="en-US" w:eastAsia="zh-CN" w:bidi="ar-SA"/>
    </w:rPr>
  </w:style>
  <w:style w:type="character" w:customStyle="1" w:styleId="117">
    <w:name w:val="纯文本 Char"/>
    <w:basedOn w:val="50"/>
    <w:link w:val="25"/>
    <w:autoRedefine/>
    <w:qFormat/>
    <w:uiPriority w:val="0"/>
    <w:rPr>
      <w:rFonts w:ascii="宋体" w:hAnsi="Courier New" w:eastAsia="宋体"/>
      <w:kern w:val="2"/>
      <w:sz w:val="21"/>
      <w:lang w:val="en-US" w:eastAsia="zh-CN"/>
    </w:rPr>
  </w:style>
  <w:style w:type="character" w:customStyle="1" w:styleId="118">
    <w:name w:val="标题 8 Char"/>
    <w:link w:val="10"/>
    <w:autoRedefine/>
    <w:qFormat/>
    <w:uiPriority w:val="0"/>
    <w:rPr>
      <w:rFonts w:ascii="Arial" w:hAnsi="Arial" w:eastAsia="黑体"/>
      <w:b/>
      <w:sz w:val="24"/>
      <w:lang w:val="en-US" w:eastAsia="zh-CN" w:bidi="ar-SA"/>
    </w:rPr>
  </w:style>
  <w:style w:type="character" w:customStyle="1" w:styleId="119">
    <w:name w:val="标题 3 Char"/>
    <w:basedOn w:val="50"/>
    <w:link w:val="5"/>
    <w:autoRedefine/>
    <w:qFormat/>
    <w:uiPriority w:val="0"/>
    <w:rPr>
      <w:rFonts w:ascii="Verdana" w:hAnsi="Verdana" w:eastAsia="宋体"/>
      <w:b/>
      <w:kern w:val="2"/>
      <w:sz w:val="32"/>
      <w:lang w:val="en-US" w:eastAsia="zh-CN"/>
    </w:rPr>
  </w:style>
  <w:style w:type="character" w:customStyle="1" w:styleId="120">
    <w:name w:val="正文文本 Char"/>
    <w:basedOn w:val="50"/>
    <w:link w:val="18"/>
    <w:autoRedefine/>
    <w:qFormat/>
    <w:uiPriority w:val="0"/>
    <w:rPr>
      <w:rFonts w:ascii="Verdana" w:hAnsi="Verdana" w:eastAsia="楷体_GB2312"/>
      <w:kern w:val="2"/>
      <w:sz w:val="30"/>
      <w:lang w:val="en-US" w:eastAsia="zh-CN"/>
    </w:rPr>
  </w:style>
  <w:style w:type="character" w:customStyle="1" w:styleId="121">
    <w:name w:val="正文文本 Char1"/>
    <w:autoRedefine/>
    <w:qFormat/>
    <w:uiPriority w:val="0"/>
    <w:rPr>
      <w:kern w:val="2"/>
      <w:sz w:val="21"/>
      <w:szCs w:val="22"/>
    </w:rPr>
  </w:style>
  <w:style w:type="character" w:customStyle="1" w:styleId="122">
    <w:name w:val="标题4 Char Char"/>
    <w:link w:val="123"/>
    <w:autoRedefine/>
    <w:qFormat/>
    <w:uiPriority w:val="0"/>
    <w:rPr>
      <w:rFonts w:ascii="Arial" w:hAnsi="Arial"/>
      <w:b/>
      <w:bCs/>
      <w:sz w:val="24"/>
      <w:szCs w:val="32"/>
      <w:lang w:bidi="ar-SA"/>
    </w:rPr>
  </w:style>
  <w:style w:type="paragraph" w:customStyle="1" w:styleId="123">
    <w:name w:val="标题4"/>
    <w:basedOn w:val="4"/>
    <w:next w:val="22"/>
    <w:link w:val="122"/>
    <w:autoRedefine/>
    <w:qFormat/>
    <w:uiPriority w:val="0"/>
    <w:pPr>
      <w:widowControl w:val="0"/>
      <w:jc w:val="both"/>
    </w:pPr>
    <w:rPr>
      <w:rFonts w:eastAsia="宋体"/>
      <w:b/>
      <w:bCs/>
      <w:sz w:val="24"/>
      <w:szCs w:val="32"/>
    </w:rPr>
  </w:style>
  <w:style w:type="character" w:customStyle="1" w:styleId="124">
    <w:name w:val="layui-layer-tabnow"/>
    <w:basedOn w:val="50"/>
    <w:autoRedefine/>
    <w:qFormat/>
    <w:uiPriority w:val="0"/>
    <w:rPr>
      <w:rFonts w:ascii="Verdana" w:hAnsi="Verdana" w:eastAsia="仿宋_GB2312"/>
      <w:kern w:val="0"/>
      <w:sz w:val="24"/>
      <w:bdr w:val="single" w:color="CCCCCC" w:sz="6" w:space="0"/>
      <w:shd w:val="clear" w:color="auto" w:fill="FFFFFF"/>
      <w:lang w:eastAsia="en-US"/>
    </w:rPr>
  </w:style>
  <w:style w:type="character" w:customStyle="1" w:styleId="125">
    <w:name w:val="标题 4 Char"/>
    <w:link w:val="6"/>
    <w:autoRedefine/>
    <w:qFormat/>
    <w:uiPriority w:val="0"/>
    <w:rPr>
      <w:rFonts w:ascii="Arial" w:hAnsi="Arial" w:eastAsia="黑体"/>
      <w:b/>
      <w:sz w:val="28"/>
      <w:lang w:val="en-US" w:eastAsia="zh-CN" w:bidi="ar-SA"/>
    </w:rPr>
  </w:style>
  <w:style w:type="character" w:customStyle="1" w:styleId="126">
    <w:name w:val="Char Char9"/>
    <w:autoRedefine/>
    <w:qFormat/>
    <w:uiPriority w:val="0"/>
    <w:rPr>
      <w:kern w:val="2"/>
      <w:sz w:val="21"/>
      <w:szCs w:val="22"/>
      <w:lang w:bidi="ar-SA"/>
    </w:rPr>
  </w:style>
  <w:style w:type="character" w:customStyle="1" w:styleId="127">
    <w:name w:val="标题 Char"/>
    <w:link w:val="44"/>
    <w:autoRedefine/>
    <w:qFormat/>
    <w:uiPriority w:val="0"/>
    <w:rPr>
      <w:rFonts w:ascii="Arial" w:hAnsi="Arial" w:eastAsia="宋体"/>
      <w:b/>
      <w:sz w:val="44"/>
      <w:lang w:val="en-US" w:eastAsia="zh-CN" w:bidi="ar-SA"/>
    </w:rPr>
  </w:style>
  <w:style w:type="character" w:customStyle="1" w:styleId="128">
    <w:name w:val="gjfg"/>
    <w:basedOn w:val="50"/>
    <w:autoRedefine/>
    <w:qFormat/>
    <w:uiPriority w:val="0"/>
    <w:rPr>
      <w:rFonts w:ascii="Verdana" w:hAnsi="Verdana" w:eastAsia="仿宋_GB2312"/>
      <w:kern w:val="0"/>
      <w:sz w:val="24"/>
      <w:lang w:eastAsia="en-US"/>
    </w:rPr>
  </w:style>
  <w:style w:type="character" w:customStyle="1" w:styleId="129">
    <w:name w:val="Subtle Reference"/>
    <w:autoRedefine/>
    <w:qFormat/>
    <w:uiPriority w:val="0"/>
    <w:rPr>
      <w:smallCaps/>
      <w:color w:val="C0504D"/>
      <w:u w:val="single"/>
    </w:rPr>
  </w:style>
  <w:style w:type="character" w:customStyle="1" w:styleId="130">
    <w:name w:val="Book Title"/>
    <w:autoRedefine/>
    <w:qFormat/>
    <w:uiPriority w:val="0"/>
    <w:rPr>
      <w:b/>
      <w:bCs/>
      <w:smallCaps/>
      <w:spacing w:val="5"/>
    </w:rPr>
  </w:style>
  <w:style w:type="character" w:customStyle="1" w:styleId="131">
    <w:name w:val="ewb-state"/>
    <w:basedOn w:val="50"/>
    <w:autoRedefine/>
    <w:qFormat/>
    <w:uiPriority w:val="0"/>
    <w:rPr>
      <w:rFonts w:ascii="Verdana" w:hAnsi="Verdana" w:eastAsia="仿宋_GB2312"/>
      <w:color w:val="FFFFFF"/>
      <w:kern w:val="0"/>
      <w:sz w:val="21"/>
      <w:szCs w:val="21"/>
      <w:lang w:eastAsia="en-US"/>
    </w:rPr>
  </w:style>
  <w:style w:type="character" w:customStyle="1" w:styleId="132">
    <w:name w:val="prev1"/>
    <w:basedOn w:val="50"/>
    <w:autoRedefine/>
    <w:qFormat/>
    <w:uiPriority w:val="0"/>
    <w:rPr>
      <w:rFonts w:ascii="Verdana" w:hAnsi="Verdana" w:eastAsia="仿宋_GB2312"/>
      <w:color w:val="888888"/>
      <w:kern w:val="0"/>
      <w:sz w:val="24"/>
      <w:lang w:eastAsia="en-US"/>
    </w:rPr>
  </w:style>
  <w:style w:type="character" w:customStyle="1" w:styleId="133">
    <w:name w:val="Subtle Emphasis"/>
    <w:autoRedefine/>
    <w:qFormat/>
    <w:uiPriority w:val="0"/>
    <w:rPr>
      <w:i/>
      <w:iCs/>
      <w:color w:val="808080"/>
    </w:rPr>
  </w:style>
  <w:style w:type="character" w:customStyle="1" w:styleId="134">
    <w:name w:val="Char Char16"/>
    <w:autoRedefine/>
    <w:qFormat/>
    <w:uiPriority w:val="0"/>
    <w:rPr>
      <w:rFonts w:eastAsia="宋体"/>
      <w:b/>
      <w:kern w:val="2"/>
      <w:sz w:val="32"/>
      <w:lang w:val="en-US" w:eastAsia="zh-CN" w:bidi="ar-SA"/>
    </w:rPr>
  </w:style>
  <w:style w:type="paragraph" w:styleId="135">
    <w:name w:val="List Paragraph"/>
    <w:basedOn w:val="1"/>
    <w:autoRedefine/>
    <w:qFormat/>
    <w:uiPriority w:val="0"/>
    <w:pPr>
      <w:ind w:firstLine="420" w:firstLineChars="200"/>
    </w:pPr>
    <w:rPr>
      <w:sz w:val="36"/>
    </w:rPr>
  </w:style>
  <w:style w:type="paragraph" w:customStyle="1" w:styleId="136">
    <w:name w:val="样式 标题 3 + (中文) 黑体 小四 非加粗 段前: 7.8 磅 段后: 0 磅 行距: 固定值 20 磅"/>
    <w:basedOn w:val="5"/>
    <w:autoRedefine/>
    <w:qFormat/>
    <w:uiPriority w:val="0"/>
    <w:pPr>
      <w:spacing w:before="0" w:after="0" w:line="400" w:lineRule="exact"/>
    </w:pPr>
    <w:rPr>
      <w:rFonts w:eastAsia="黑体" w:cs="宋体"/>
      <w:b w:val="0"/>
      <w:sz w:val="24"/>
    </w:rPr>
  </w:style>
  <w:style w:type="paragraph" w:customStyle="1" w:styleId="137">
    <w:name w:val="1正文"/>
    <w:basedOn w:val="1"/>
    <w:autoRedefine/>
    <w:qFormat/>
    <w:uiPriority w:val="0"/>
    <w:rPr>
      <w:rFonts w:ascii="宋体" w:hAnsi="宋体"/>
      <w:szCs w:val="24"/>
      <w:lang w:val="zh-CN"/>
    </w:rPr>
  </w:style>
  <w:style w:type="paragraph" w:customStyle="1" w:styleId="138">
    <w:name w:val="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Char Char Char"/>
    <w:basedOn w:val="1"/>
    <w:autoRedefine/>
    <w:qFormat/>
    <w:uiPriority w:val="0"/>
  </w:style>
  <w:style w:type="paragraph" w:customStyle="1" w:styleId="140">
    <w:name w:val="TOC Heading"/>
    <w:basedOn w:val="3"/>
    <w:next w:val="1"/>
    <w:autoRedefine/>
    <w:qFormat/>
    <w:uiPriority w:val="0"/>
    <w:pPr>
      <w:outlineLvl w:val="9"/>
    </w:pPr>
    <w:rPr>
      <w:rFonts w:ascii="Calibri" w:hAnsi="Calibri"/>
      <w:bCs/>
      <w:szCs w:val="44"/>
    </w:rPr>
  </w:style>
  <w:style w:type="paragraph" w:customStyle="1" w:styleId="141">
    <w:name w:val="Normal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2">
    <w:name w:val="样式 标题 2 + Times New Roman 四号 非加粗 段前: 5 磅 段后: 0 磅 行距: 固定值 20..."/>
    <w:basedOn w:val="4"/>
    <w:autoRedefine/>
    <w:qFormat/>
    <w:uiPriority w:val="0"/>
    <w:pPr>
      <w:widowControl w:val="0"/>
      <w:spacing w:before="100" w:after="0" w:line="400" w:lineRule="exact"/>
      <w:jc w:val="both"/>
    </w:pPr>
    <w:rPr>
      <w:rFonts w:ascii="Times New Roman" w:hAnsi="Times New Roman" w:cs="宋体"/>
      <w:sz w:val="28"/>
    </w:rPr>
  </w:style>
  <w:style w:type="paragraph" w:customStyle="1" w:styleId="143">
    <w:name w:val="Char1"/>
    <w:basedOn w:val="1"/>
    <w:autoRedefine/>
    <w:qFormat/>
    <w:uiPriority w:val="0"/>
    <w:pPr>
      <w:widowControl/>
      <w:spacing w:after="160" w:line="240" w:lineRule="exact"/>
      <w:jc w:val="left"/>
    </w:pPr>
  </w:style>
  <w:style w:type="paragraph" w:customStyle="1" w:styleId="144">
    <w:name w:val="刊登"/>
    <w:basedOn w:val="1"/>
    <w:autoRedefine/>
    <w:qFormat/>
    <w:uiPriority w:val="0"/>
    <w:pPr>
      <w:ind w:firstLine="588"/>
    </w:pPr>
    <w:rPr>
      <w:sz w:val="30"/>
    </w:rPr>
  </w:style>
  <w:style w:type="paragraph" w:customStyle="1" w:styleId="145">
    <w:name w:val="列出段落1"/>
    <w:basedOn w:val="1"/>
    <w:autoRedefine/>
    <w:qFormat/>
    <w:uiPriority w:val="34"/>
    <w:pPr>
      <w:ind w:firstLine="420"/>
    </w:pPr>
    <w:rPr>
      <w:rFonts w:ascii="Calibri" w:hAnsi="Calibri"/>
      <w:szCs w:val="22"/>
    </w:rPr>
  </w:style>
  <w:style w:type="paragraph" w:customStyle="1" w:styleId="146">
    <w:name w:val="列表段落1"/>
    <w:basedOn w:val="1"/>
    <w:autoRedefine/>
    <w:qFormat/>
    <w:uiPriority w:val="34"/>
    <w:pPr>
      <w:ind w:firstLine="420"/>
    </w:pPr>
  </w:style>
  <w:style w:type="paragraph" w:customStyle="1" w:styleId="147">
    <w:name w:val="正文 New New"/>
    <w:autoRedefine/>
    <w:qFormat/>
    <w:uiPriority w:val="0"/>
    <w:pPr>
      <w:widowControl w:val="0"/>
      <w:jc w:val="both"/>
    </w:pPr>
    <w:rPr>
      <w:rFonts w:ascii="Times New Roman" w:hAnsi="Times New Roman" w:eastAsia="宋体" w:cs="Times New Roman"/>
      <w:lang w:val="en-US" w:eastAsia="zh-CN" w:bidi="ar-SA"/>
    </w:rPr>
  </w:style>
  <w:style w:type="paragraph" w:customStyle="1" w:styleId="148">
    <w:name w:val="菲页(卷)"/>
    <w:basedOn w:val="3"/>
    <w:next w:val="149"/>
    <w:autoRedefine/>
    <w:qFormat/>
    <w:uiPriority w:val="0"/>
    <w:pPr>
      <w:keepLines w:val="0"/>
      <w:widowControl/>
      <w:numPr>
        <w:ilvl w:val="0"/>
        <w:numId w:val="1"/>
      </w:numPr>
      <w:tabs>
        <w:tab w:val="left" w:pos="432"/>
        <w:tab w:val="clear" w:pos="360"/>
      </w:tabs>
      <w:spacing w:before="0" w:after="0"/>
      <w:outlineLvl w:val="1"/>
    </w:pPr>
    <w:rPr>
      <w:rFonts w:ascii="黑体" w:eastAsia="黑体"/>
      <w:kern w:val="0"/>
      <w:sz w:val="52"/>
    </w:rPr>
  </w:style>
  <w:style w:type="paragraph" w:customStyle="1" w:styleId="14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0">
    <w:name w:val="样式1"/>
    <w:basedOn w:val="1"/>
    <w:autoRedefine/>
    <w:qFormat/>
    <w:uiPriority w:val="0"/>
    <w:pPr>
      <w:spacing w:before="120" w:after="120" w:line="300" w:lineRule="auto"/>
    </w:pPr>
    <w:rPr>
      <w:rFonts w:ascii="宋体" w:hAnsi="宋体"/>
      <w:sz w:val="24"/>
    </w:rPr>
  </w:style>
  <w:style w:type="paragraph" w:customStyle="1" w:styleId="151">
    <w:name w:val="xl44"/>
    <w:basedOn w:val="1"/>
    <w:autoRedefine/>
    <w:qFormat/>
    <w:uiPriority w:val="0"/>
    <w:pPr>
      <w:widowControl/>
      <w:spacing w:before="100" w:beforeAutospacing="1" w:after="100" w:afterAutospacing="1"/>
      <w:jc w:val="center"/>
    </w:pPr>
    <w:rPr>
      <w:rFonts w:ascii="Arial Unicode MS" w:hAnsi="Arial Unicode MS" w:eastAsia="Arial Unicode MS"/>
      <w:kern w:val="0"/>
      <w:sz w:val="40"/>
    </w:rPr>
  </w:style>
  <w:style w:type="paragraph" w:customStyle="1" w:styleId="152">
    <w:name w:val="目录文字"/>
    <w:basedOn w:val="1"/>
    <w:autoRedefine/>
    <w:qFormat/>
    <w:uiPriority w:val="0"/>
    <w:pPr>
      <w:widowControl/>
      <w:spacing w:line="480" w:lineRule="auto"/>
      <w:jc w:val="center"/>
    </w:pPr>
    <w:rPr>
      <w:rFonts w:ascii="宋体" w:hAnsi="宋体"/>
      <w:b/>
      <w:kern w:val="0"/>
      <w:sz w:val="24"/>
    </w:rPr>
  </w:style>
  <w:style w:type="paragraph" w:customStyle="1" w:styleId="153">
    <w:name w:val="菲页1"/>
    <w:basedOn w:val="4"/>
    <w:autoRedefine/>
    <w:qFormat/>
    <w:uiPriority w:val="0"/>
    <w:rPr>
      <w:rFonts w:ascii="黑体" w:hAnsi="宋体"/>
      <w:b/>
      <w:sz w:val="52"/>
    </w:rPr>
  </w:style>
  <w:style w:type="paragraph" w:customStyle="1" w:styleId="154">
    <w:name w:val="Char11"/>
    <w:basedOn w:val="1"/>
    <w:autoRedefine/>
    <w:qFormat/>
    <w:uiPriority w:val="0"/>
    <w:rPr>
      <w:rFonts w:ascii="Tahoma" w:hAnsi="Tahoma"/>
      <w:sz w:val="24"/>
    </w:rPr>
  </w:style>
  <w:style w:type="paragraph" w:customStyle="1" w:styleId="155">
    <w:name w:val="菲页2"/>
    <w:basedOn w:val="5"/>
    <w:autoRedefine/>
    <w:qFormat/>
    <w:uiPriority w:val="0"/>
    <w:pPr>
      <w:widowControl/>
      <w:numPr>
        <w:ilvl w:val="2"/>
        <w:numId w:val="1"/>
      </w:numPr>
      <w:tabs>
        <w:tab w:val="left" w:pos="720"/>
        <w:tab w:val="clear" w:pos="1260"/>
      </w:tabs>
      <w:spacing w:before="120" w:after="120" w:line="360" w:lineRule="auto"/>
      <w:jc w:val="center"/>
    </w:pPr>
    <w:rPr>
      <w:rFonts w:ascii="黑体" w:hAnsi="宋体" w:eastAsia="黑体"/>
      <w:kern w:val="0"/>
      <w:sz w:val="44"/>
    </w:rPr>
  </w:style>
  <w:style w:type="paragraph" w:customStyle="1" w:styleId="156">
    <w:name w:val="Table Paragraph"/>
    <w:basedOn w:val="1"/>
    <w:autoRedefine/>
    <w:qFormat/>
    <w:uiPriority w:val="99"/>
    <w:pPr>
      <w:jc w:val="left"/>
    </w:pPr>
    <w:rPr>
      <w:rFonts w:ascii="宋体" w:hAnsi="宋体" w:cs="宋体"/>
      <w:kern w:val="0"/>
      <w:sz w:val="22"/>
      <w:szCs w:val="22"/>
      <w:lang w:eastAsia="en-US"/>
    </w:rPr>
  </w:style>
  <w:style w:type="paragraph" w:customStyle="1" w:styleId="15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空半行"/>
    <w:basedOn w:val="1"/>
    <w:autoRedefine/>
    <w:qFormat/>
    <w:uiPriority w:val="0"/>
    <w:pPr>
      <w:adjustRightInd w:val="0"/>
      <w:spacing w:line="120" w:lineRule="exact"/>
      <w:textAlignment w:val="baseline"/>
    </w:pPr>
    <w:rPr>
      <w:rFonts w:eastAsia="仿宋_GB2312"/>
      <w:color w:val="FFFFFF"/>
      <w:kern w:val="0"/>
      <w:sz w:val="30"/>
    </w:rPr>
  </w:style>
  <w:style w:type="paragraph" w:customStyle="1" w:styleId="159">
    <w:name w:val="正文不缩进段落"/>
    <w:basedOn w:val="1"/>
    <w:next w:val="1"/>
    <w:autoRedefine/>
    <w:qFormat/>
    <w:uiPriority w:val="0"/>
    <w:pPr>
      <w:spacing w:beforeLines="50" w:line="276" w:lineRule="auto"/>
    </w:pPr>
    <w:rPr>
      <w:rFonts w:ascii="Arial" w:hAnsi="Arial" w:cs="Arial"/>
    </w:rPr>
  </w:style>
  <w:style w:type="paragraph" w:customStyle="1" w:styleId="160">
    <w:name w:val="flNote"/>
    <w:basedOn w:val="1"/>
    <w:autoRedefine/>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61">
    <w:name w:val="列项——（一级）"/>
    <w:autoRedefine/>
    <w:qFormat/>
    <w:uiPriority w:val="0"/>
    <w:pPr>
      <w:widowControl w:val="0"/>
      <w:numPr>
        <w:ilvl w:val="0"/>
        <w:numId w:val="2"/>
      </w:numPr>
      <w:jc w:val="both"/>
    </w:pPr>
    <w:rPr>
      <w:rFonts w:ascii="宋体" w:hAnsi="Times New Roman" w:eastAsia="宋体" w:cs="Times New Roman"/>
      <w:sz w:val="21"/>
      <w:szCs w:val="22"/>
      <w:lang w:val="en-US" w:eastAsia="zh-CN" w:bidi="ar-SA"/>
    </w:rPr>
  </w:style>
  <w:style w:type="paragraph" w:customStyle="1" w:styleId="162">
    <w:name w:val="Char Char Char Char"/>
    <w:basedOn w:val="1"/>
    <w:autoRedefine/>
    <w:qFormat/>
    <w:uiPriority w:val="0"/>
    <w:pPr>
      <w:widowControl/>
      <w:spacing w:line="360" w:lineRule="auto"/>
      <w:ind w:firstLine="200" w:firstLineChars="200"/>
      <w:jc w:val="center"/>
    </w:pPr>
    <w:rPr>
      <w:b/>
      <w:kern w:val="0"/>
      <w:sz w:val="44"/>
    </w:rPr>
  </w:style>
  <w:style w:type="paragraph" w:customStyle="1" w:styleId="163">
    <w:name w:val="目录"/>
    <w:basedOn w:val="1"/>
    <w:autoRedefine/>
    <w:qFormat/>
    <w:uiPriority w:val="0"/>
    <w:pPr>
      <w:widowControl/>
      <w:jc w:val="center"/>
    </w:pPr>
    <w:rPr>
      <w:rFonts w:ascii="宋体"/>
      <w:kern w:val="0"/>
      <w:sz w:val="36"/>
    </w:rPr>
  </w:style>
  <w:style w:type="paragraph" w:customStyle="1" w:styleId="164">
    <w:name w:val="WPSOffice手动目录 1"/>
    <w:autoRedefine/>
    <w:qFormat/>
    <w:uiPriority w:val="0"/>
    <w:rPr>
      <w:rFonts w:ascii="Times New Roman" w:hAnsi="Times New Roman" w:eastAsia="宋体" w:cs="Times New Roman"/>
      <w:lang w:val="en-US" w:eastAsia="zh-CN" w:bidi="ar-SA"/>
    </w:rPr>
  </w:style>
  <w:style w:type="paragraph" w:customStyle="1" w:styleId="165">
    <w:name w:val="p1"/>
    <w:basedOn w:val="1"/>
    <w:autoRedefine/>
    <w:qFormat/>
    <w:uiPriority w:val="0"/>
    <w:pPr>
      <w:spacing w:line="380" w:lineRule="atLeast"/>
      <w:jc w:val="left"/>
    </w:pPr>
    <w:rPr>
      <w:rFonts w:ascii="Helvetica Neue" w:hAnsi="Helvetica Neue" w:eastAsia="Helvetica Neue"/>
      <w:color w:val="000000"/>
      <w:kern w:val="0"/>
      <w:sz w:val="26"/>
      <w:szCs w:val="26"/>
    </w:rPr>
  </w:style>
  <w:style w:type="paragraph" w:customStyle="1" w:styleId="166">
    <w:name w:val="默认段落字体 Para Char"/>
    <w:basedOn w:val="1"/>
    <w:autoRedefine/>
    <w:qFormat/>
    <w:uiPriority w:val="0"/>
    <w:rPr>
      <w:rFonts w:ascii="Tahoma" w:hAnsi="Tahoma"/>
      <w:sz w:val="24"/>
    </w:rPr>
  </w:style>
  <w:style w:type="paragraph" w:customStyle="1" w:styleId="167">
    <w:name w:val="Revision"/>
    <w:autoRedefine/>
    <w:qFormat/>
    <w:uiPriority w:val="0"/>
    <w:rPr>
      <w:rFonts w:ascii="Times New Roman" w:hAnsi="Times New Roman" w:eastAsia="宋体" w:cs="Times New Roman"/>
      <w:kern w:val="2"/>
      <w:sz w:val="21"/>
      <w:szCs w:val="24"/>
      <w:lang w:val="en-US" w:eastAsia="zh-CN" w:bidi="ar-SA"/>
    </w:rPr>
  </w:style>
  <w:style w:type="paragraph" w:customStyle="1" w:styleId="16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rPr>
  </w:style>
  <w:style w:type="paragraph" w:customStyle="1" w:styleId="169">
    <w:name w:val="Char2"/>
    <w:basedOn w:val="1"/>
    <w:autoRedefine/>
    <w:qFormat/>
    <w:uiPriority w:val="0"/>
    <w:pPr>
      <w:adjustRightInd w:val="0"/>
      <w:spacing w:line="360" w:lineRule="auto"/>
    </w:pPr>
    <w:rPr>
      <w:kern w:val="0"/>
      <w:sz w:val="24"/>
    </w:rPr>
  </w:style>
  <w:style w:type="paragraph" w:styleId="170">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1">
    <w:name w:val="默认段落字体 Para Char Char Char Char"/>
    <w:basedOn w:val="1"/>
    <w:autoRedefine/>
    <w:qFormat/>
    <w:uiPriority w:val="0"/>
    <w:rPr>
      <w:szCs w:val="24"/>
    </w:rPr>
  </w:style>
  <w:style w:type="paragraph" w:customStyle="1" w:styleId="172">
    <w:name w:val="Char Char Char Char Char Char Char Char"/>
    <w:basedOn w:val="1"/>
    <w:autoRedefine/>
    <w:qFormat/>
    <w:uiPriority w:val="0"/>
  </w:style>
  <w:style w:type="character" w:customStyle="1" w:styleId="173">
    <w:name w:val="NormalCharacter"/>
    <w:autoRedefine/>
    <w:qFormat/>
    <w:uiPriority w:val="0"/>
  </w:style>
  <w:style w:type="paragraph" w:customStyle="1" w:styleId="174">
    <w:name w:val="wang正文"/>
    <w:basedOn w:val="1"/>
    <w:autoRedefine/>
    <w:qFormat/>
    <w:uiPriority w:val="0"/>
    <w:pPr>
      <w:tabs>
        <w:tab w:val="left" w:pos="6840"/>
      </w:tabs>
      <w:topLinePunct/>
      <w:ind w:firstLine="420"/>
    </w:pPr>
    <w:rPr>
      <w:kern w:val="0"/>
    </w:rPr>
  </w:style>
  <w:style w:type="table" w:customStyle="1" w:styleId="175">
    <w:name w:val="Table Normal"/>
    <w:semiHidden/>
    <w:unhideWhenUsed/>
    <w:qFormat/>
    <w:uiPriority w:val="0"/>
    <w:tblPr>
      <w:tblCellMar>
        <w:top w:w="0" w:type="dxa"/>
        <w:left w:w="0" w:type="dxa"/>
        <w:bottom w:w="0" w:type="dxa"/>
        <w:right w:w="0" w:type="dxa"/>
      </w:tblCellMar>
    </w:tblPr>
  </w:style>
  <w:style w:type="paragraph" w:customStyle="1" w:styleId="176">
    <w:name w:val="样式2"/>
    <w:basedOn w:val="1"/>
    <w:qFormat/>
    <w:uiPriority w:val="0"/>
    <w:rPr>
      <w:rFonts w:ascii="仿宋_GB2312" w:eastAsia="仿宋_GB2312"/>
      <w:sz w:val="32"/>
    </w:rPr>
  </w:style>
  <w:style w:type="paragraph" w:customStyle="1" w:styleId="177">
    <w:name w:val="Table Text"/>
    <w:basedOn w:val="1"/>
    <w:semiHidden/>
    <w:qFormat/>
    <w:uiPriority w:val="0"/>
    <w:rPr>
      <w:rFonts w:ascii="宋体" w:hAnsi="宋体" w:eastAsia="宋体" w:cs="宋体"/>
      <w:sz w:val="24"/>
      <w:szCs w:val="24"/>
      <w:lang w:val="en-US" w:eastAsia="en-US" w:bidi="ar-SA"/>
    </w:rPr>
  </w:style>
  <w:style w:type="character" w:customStyle="1" w:styleId="178">
    <w:name w:val="font11"/>
    <w:basedOn w:val="50"/>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jlszfcgzx</Company>
  <Pages>51</Pages>
  <Words>7162</Words>
  <Characters>7875</Characters>
  <Lines>153</Lines>
  <Paragraphs>43</Paragraphs>
  <TotalTime>13</TotalTime>
  <ScaleCrop>false</ScaleCrop>
  <LinksUpToDate>false</LinksUpToDate>
  <CharactersWithSpaces>8063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2021-03-22T01:19:00Z</dcterms:created>
  <dc:creator>yxl</dc:creator>
  <cp:lastModifiedBy>你咋那么淘那</cp:lastModifiedBy>
  <cp:lastPrinted>2020-12-10T02:24:00Z</cp:lastPrinted>
  <dcterms:modified xsi:type="dcterms:W3CDTF">2025-03-12T05:38:16Z</dcterms:modified>
  <dc:title>吉林省政府采购中心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5DD3A4C8767D460184967C11FA6FC164_13</vt:lpwstr>
  </property>
  <property fmtid="{D5CDD505-2E9C-101B-9397-08002B2CF9AE}" pid="4" name="KSOTemplateDocerSaveRecord">
    <vt:lpwstr>eyJoZGlkIjoiZGEyM2I3YmUwNmY3MWI2NTIyNDUzOTMwY2QxMDFiYjMiLCJ1c2VySWQiOiIzNjg3Mzk3NDUifQ==</vt:lpwstr>
  </property>
</Properties>
</file>