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61201B">
      <w:pPr>
        <w:bidi w:val="0"/>
        <w:rPr>
          <w:color w:val="auto"/>
          <w:highlight w:val="none"/>
        </w:rPr>
      </w:pPr>
    </w:p>
    <w:p w14:paraId="1BD17A53">
      <w:pPr>
        <w:bidi w:val="0"/>
        <w:rPr>
          <w:color w:val="auto"/>
          <w:highlight w:val="none"/>
        </w:rPr>
      </w:pPr>
    </w:p>
    <w:p w14:paraId="3B025932">
      <w:pPr>
        <w:bidi w:val="0"/>
        <w:rPr>
          <w:color w:val="auto"/>
          <w:highlight w:val="none"/>
        </w:rPr>
      </w:pPr>
    </w:p>
    <w:p w14:paraId="6D3B5D02">
      <w:pPr>
        <w:rPr>
          <w:color w:val="auto"/>
          <w:highlight w:val="none"/>
        </w:rPr>
      </w:pPr>
    </w:p>
    <w:p w14:paraId="43ED5E99">
      <w:pPr>
        <w:bidi w:val="0"/>
        <w:rPr>
          <w:color w:val="auto"/>
          <w:highlight w:val="none"/>
        </w:rPr>
      </w:pPr>
    </w:p>
    <w:p w14:paraId="07B5D61C">
      <w:pPr>
        <w:rPr>
          <w:color w:val="auto"/>
          <w:highlight w:val="none"/>
        </w:rPr>
      </w:pPr>
    </w:p>
    <w:p w14:paraId="601AFF44">
      <w:pPr>
        <w:pStyle w:val="42"/>
        <w:rPr>
          <w:rFonts w:ascii="宋体" w:hAnsi="宋体" w:cs="宋体"/>
          <w:color w:val="auto"/>
          <w:highlight w:val="none"/>
        </w:rPr>
      </w:pPr>
    </w:p>
    <w:p w14:paraId="5C372422">
      <w:pPr>
        <w:adjustRightInd/>
        <w:spacing w:line="360" w:lineRule="auto"/>
        <w:jc w:val="center"/>
        <w:outlineLvl w:val="0"/>
        <w:rPr>
          <w:rFonts w:hint="eastAsia" w:ascii="宋体" w:hAnsi="宋体" w:eastAsia="宋体" w:cs="宋体"/>
          <w:color w:val="auto"/>
          <w:sz w:val="44"/>
          <w:szCs w:val="44"/>
          <w:highlight w:val="none"/>
          <w:lang w:eastAsia="zh-CN"/>
        </w:rPr>
      </w:pPr>
      <w:r>
        <w:rPr>
          <w:rFonts w:hint="eastAsia" w:ascii="宋体" w:hAnsi="宋体" w:cs="宋体"/>
          <w:color w:val="auto"/>
          <w:sz w:val="44"/>
          <w:szCs w:val="44"/>
          <w:highlight w:val="none"/>
          <w:lang w:eastAsia="zh-CN"/>
        </w:rPr>
        <w:t>浙江艺术职业学院</w:t>
      </w:r>
    </w:p>
    <w:p w14:paraId="354EE0FB">
      <w:pPr>
        <w:adjustRightInd/>
        <w:spacing w:line="360" w:lineRule="auto"/>
        <w:jc w:val="center"/>
        <w:rPr>
          <w:rFonts w:ascii="宋体" w:hAnsi="宋体" w:cs="宋体"/>
          <w:color w:val="auto"/>
          <w:sz w:val="44"/>
          <w:szCs w:val="44"/>
          <w:highlight w:val="none"/>
        </w:rPr>
      </w:pPr>
      <w:r>
        <w:rPr>
          <w:rFonts w:hint="eastAsia" w:ascii="宋体" w:hAnsi="宋体" w:cs="宋体"/>
          <w:color w:val="auto"/>
          <w:sz w:val="44"/>
          <w:szCs w:val="44"/>
          <w:highlight w:val="none"/>
          <w:lang w:eastAsia="zh-CN"/>
        </w:rPr>
        <w:t>监理服务项目</w:t>
      </w:r>
    </w:p>
    <w:p w14:paraId="26558749">
      <w:pPr>
        <w:adjustRightInd/>
        <w:spacing w:line="360" w:lineRule="auto"/>
        <w:jc w:val="center"/>
        <w:rPr>
          <w:rFonts w:ascii="宋体" w:hAnsi="宋体" w:cs="宋体"/>
          <w:color w:val="auto"/>
          <w:sz w:val="48"/>
          <w:szCs w:val="48"/>
          <w:highlight w:val="none"/>
        </w:rPr>
      </w:pPr>
    </w:p>
    <w:p w14:paraId="04EC4D7E">
      <w:pPr>
        <w:rPr>
          <w:rFonts w:ascii="宋体" w:hAnsi="宋体" w:cs="宋体"/>
          <w:color w:val="auto"/>
          <w:highlight w:val="none"/>
        </w:rPr>
      </w:pPr>
    </w:p>
    <w:p w14:paraId="4B0EA670">
      <w:pPr>
        <w:rPr>
          <w:rFonts w:ascii="宋体" w:hAnsi="宋体" w:cs="宋体"/>
          <w:color w:val="auto"/>
          <w:highlight w:val="none"/>
        </w:rPr>
      </w:pPr>
    </w:p>
    <w:p w14:paraId="3B0C26B6">
      <w:pPr>
        <w:adjustRightInd/>
        <w:spacing w:line="360" w:lineRule="auto"/>
        <w:jc w:val="center"/>
        <w:outlineLvl w:val="0"/>
        <w:rPr>
          <w:rFonts w:ascii="宋体" w:hAnsi="宋体" w:cs="宋体"/>
          <w:color w:val="auto"/>
          <w:sz w:val="48"/>
          <w:szCs w:val="48"/>
          <w:highlight w:val="none"/>
        </w:rPr>
      </w:pPr>
      <w:bookmarkStart w:id="0" w:name="_Toc25568"/>
      <w:r>
        <w:rPr>
          <w:rFonts w:hint="eastAsia" w:ascii="宋体" w:hAnsi="宋体" w:cs="宋体"/>
          <w:color w:val="auto"/>
          <w:sz w:val="48"/>
          <w:szCs w:val="48"/>
          <w:highlight w:val="none"/>
        </w:rPr>
        <w:t>竞争性磋商文件</w:t>
      </w:r>
      <w:bookmarkEnd w:id="0"/>
    </w:p>
    <w:p w14:paraId="79BCEF68">
      <w:pPr>
        <w:adjustRightInd/>
        <w:spacing w:line="360" w:lineRule="auto"/>
        <w:jc w:val="center"/>
        <w:outlineLvl w:val="0"/>
        <w:rPr>
          <w:rFonts w:ascii="宋体" w:hAnsi="宋体" w:cs="宋体"/>
          <w:b/>
          <w:color w:val="auto"/>
          <w:sz w:val="44"/>
          <w:szCs w:val="44"/>
          <w:highlight w:val="none"/>
        </w:rPr>
      </w:pPr>
      <w:bookmarkStart w:id="1" w:name="_Toc24822"/>
      <w:r>
        <w:rPr>
          <w:rFonts w:hint="eastAsia" w:ascii="宋体" w:hAnsi="宋体" w:cs="宋体"/>
          <w:b/>
          <w:color w:val="auto"/>
          <w:sz w:val="44"/>
          <w:szCs w:val="44"/>
          <w:highlight w:val="none"/>
        </w:rPr>
        <w:t>（电子交易）</w:t>
      </w:r>
      <w:bookmarkEnd w:id="1"/>
    </w:p>
    <w:p w14:paraId="3AB56B46">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rPr>
        <w:t>编号:</w:t>
      </w:r>
      <w:r>
        <w:rPr>
          <w:rFonts w:hint="eastAsia" w:ascii="宋体" w:hAnsi="宋体" w:cs="宋体"/>
          <w:color w:val="auto"/>
          <w:sz w:val="32"/>
          <w:szCs w:val="32"/>
          <w:highlight w:val="none"/>
          <w:lang w:eastAsia="zh-CN"/>
        </w:rPr>
        <w:t>ZXZB-ZJYS-2025001C</w:t>
      </w:r>
    </w:p>
    <w:p w14:paraId="0AF5D0B6">
      <w:pPr>
        <w:spacing w:line="360" w:lineRule="auto"/>
        <w:rPr>
          <w:rFonts w:ascii="宋体" w:hAnsi="宋体" w:cs="宋体"/>
          <w:b/>
          <w:color w:val="auto"/>
          <w:sz w:val="44"/>
          <w:szCs w:val="44"/>
          <w:highlight w:val="none"/>
        </w:rPr>
      </w:pPr>
    </w:p>
    <w:p w14:paraId="271DBA0C">
      <w:pPr>
        <w:spacing w:line="360" w:lineRule="auto"/>
        <w:jc w:val="center"/>
        <w:rPr>
          <w:rFonts w:ascii="宋体" w:hAnsi="宋体" w:cs="宋体"/>
          <w:b/>
          <w:color w:val="auto"/>
          <w:sz w:val="44"/>
          <w:szCs w:val="44"/>
          <w:highlight w:val="none"/>
        </w:rPr>
      </w:pPr>
    </w:p>
    <w:p w14:paraId="07987378">
      <w:pPr>
        <w:spacing w:line="360" w:lineRule="auto"/>
        <w:jc w:val="center"/>
        <w:rPr>
          <w:rFonts w:ascii="宋体" w:hAnsi="宋体" w:cs="宋体"/>
          <w:color w:val="auto"/>
          <w:sz w:val="24"/>
          <w:highlight w:val="none"/>
        </w:rPr>
      </w:pPr>
    </w:p>
    <w:p w14:paraId="773E8D20">
      <w:pPr>
        <w:spacing w:line="360" w:lineRule="auto"/>
        <w:jc w:val="center"/>
        <w:rPr>
          <w:rFonts w:ascii="宋体" w:hAnsi="宋体" w:cs="宋体"/>
          <w:color w:val="auto"/>
          <w:sz w:val="24"/>
          <w:highlight w:val="none"/>
        </w:rPr>
      </w:pPr>
    </w:p>
    <w:p w14:paraId="3CA0295C">
      <w:pPr>
        <w:snapToGrid w:val="0"/>
        <w:spacing w:line="360" w:lineRule="auto"/>
        <w:jc w:val="center"/>
        <w:outlineLvl w:val="0"/>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浙江艺术职业学院</w:t>
      </w:r>
    </w:p>
    <w:p w14:paraId="14D04684">
      <w:pPr>
        <w:spacing w:line="360" w:lineRule="auto"/>
        <w:jc w:val="center"/>
        <w:outlineLvl w:val="0"/>
        <w:rPr>
          <w:rFonts w:ascii="宋体" w:hAnsi="宋体" w:cs="宋体"/>
          <w:bCs/>
          <w:color w:val="auto"/>
          <w:sz w:val="32"/>
          <w:szCs w:val="32"/>
          <w:highlight w:val="none"/>
        </w:rPr>
      </w:pPr>
      <w:bookmarkStart w:id="2" w:name="_Toc13527"/>
      <w:r>
        <w:rPr>
          <w:rFonts w:hint="eastAsia" w:ascii="宋体" w:hAnsi="宋体" w:cs="宋体"/>
          <w:bCs/>
          <w:color w:val="auto"/>
          <w:sz w:val="32"/>
          <w:szCs w:val="32"/>
          <w:highlight w:val="none"/>
        </w:rPr>
        <w:t>浙江致信招标代理有限公司</w:t>
      </w:r>
      <w:bookmarkEnd w:id="2"/>
    </w:p>
    <w:p w14:paraId="6A976C4F">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p>
    <w:p w14:paraId="468F6E81">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3" w:name="_Hlt67893495"/>
      <w:bookmarkEnd w:id="3"/>
    </w:p>
    <w:sdt>
      <w:sdtPr>
        <w:rPr>
          <w:rFonts w:ascii="宋体" w:hAnsi="宋体" w:eastAsia="宋体" w:cs="Times New Roman"/>
          <w:color w:val="auto"/>
          <w:kern w:val="2"/>
          <w:szCs w:val="24"/>
          <w:highlight w:val="none"/>
          <w:lang w:val="en-US" w:eastAsia="zh-CN" w:bidi="ar-SA"/>
        </w:rPr>
        <w:id w:val="147470947"/>
        <w15:color w:val="DBDBDB"/>
        <w:docPartObj>
          <w:docPartGallery w:val="Table of Contents"/>
          <w:docPartUnique/>
        </w:docPartObj>
      </w:sdtPr>
      <w:sdtEndPr>
        <w:rPr>
          <w:rFonts w:ascii="宋体" w:hAnsi="宋体" w:eastAsia="宋体" w:cs="宋体"/>
          <w:color w:val="auto"/>
          <w:kern w:val="2"/>
          <w:sz w:val="21"/>
          <w:szCs w:val="32"/>
          <w:highlight w:val="none"/>
          <w:lang w:val="en-US" w:eastAsia="zh-CN" w:bidi="ar-SA"/>
        </w:rPr>
      </w:sdtEndPr>
      <w:sdtContent>
        <w:p w14:paraId="241EB3EE">
          <w:pPr>
            <w:bidi w:val="0"/>
            <w:rPr>
              <w:color w:val="auto"/>
              <w:highlight w:val="none"/>
              <w:lang w:val="en-US" w:eastAsia="zh-CN"/>
            </w:rPr>
          </w:pPr>
        </w:p>
        <w:p w14:paraId="3A45C22D">
          <w:pPr>
            <w:bidi w:val="0"/>
            <w:rPr>
              <w:color w:val="auto"/>
              <w:highlight w:val="none"/>
              <w:lang w:val="en-US" w:eastAsia="zh-CN"/>
            </w:rPr>
          </w:pPr>
        </w:p>
        <w:p w14:paraId="674B6B31">
          <w:pPr>
            <w:spacing w:before="0" w:beforeLines="0" w:after="0" w:afterLines="0" w:line="240" w:lineRule="auto"/>
            <w:ind w:left="0" w:leftChars="0" w:right="0" w:rightChars="0" w:firstLine="0" w:firstLineChars="0"/>
            <w:jc w:val="center"/>
            <w:rPr>
              <w:b/>
              <w:bCs/>
              <w:color w:val="auto"/>
              <w:sz w:val="40"/>
              <w:szCs w:val="48"/>
              <w:highlight w:val="none"/>
            </w:rPr>
          </w:pPr>
          <w:r>
            <w:rPr>
              <w:rFonts w:ascii="宋体" w:hAnsi="宋体" w:eastAsia="宋体"/>
              <w:b/>
              <w:bCs/>
              <w:color w:val="auto"/>
              <w:sz w:val="40"/>
              <w:szCs w:val="48"/>
              <w:highlight w:val="none"/>
            </w:rPr>
            <w:t>目</w:t>
          </w:r>
          <w:r>
            <w:rPr>
              <w:rFonts w:hint="eastAsia" w:ascii="宋体" w:hAnsi="宋体" w:eastAsia="宋体"/>
              <w:b/>
              <w:bCs/>
              <w:color w:val="auto"/>
              <w:sz w:val="40"/>
              <w:szCs w:val="48"/>
              <w:highlight w:val="none"/>
              <w:lang w:val="en-US" w:eastAsia="zh-CN"/>
            </w:rPr>
            <w:t xml:space="preserve"> </w:t>
          </w:r>
          <w:r>
            <w:rPr>
              <w:rFonts w:ascii="宋体" w:hAnsi="宋体" w:eastAsia="宋体"/>
              <w:b/>
              <w:bCs/>
              <w:color w:val="auto"/>
              <w:sz w:val="40"/>
              <w:szCs w:val="48"/>
              <w:highlight w:val="none"/>
            </w:rPr>
            <w:t>录</w:t>
          </w:r>
        </w:p>
        <w:p w14:paraId="64B1BD39">
          <w:pPr>
            <w:pStyle w:val="966"/>
            <w:keepNext w:val="0"/>
            <w:keepLines w:val="0"/>
            <w:pageBreakBefore w:val="0"/>
            <w:widowControl/>
            <w:tabs>
              <w:tab w:val="right" w:leader="dot" w:pos="9746"/>
            </w:tabs>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32"/>
              <w:szCs w:val="32"/>
              <w:highlight w:val="none"/>
            </w:rPr>
          </w:pPr>
          <w:r>
            <w:rPr>
              <w:rFonts w:ascii="宋体" w:hAnsi="宋体" w:cs="宋体"/>
              <w:color w:val="auto"/>
              <w:sz w:val="32"/>
              <w:szCs w:val="32"/>
              <w:highlight w:val="none"/>
            </w:rPr>
            <w:fldChar w:fldCharType="begin"/>
          </w:r>
          <w:r>
            <w:rPr>
              <w:rFonts w:ascii="宋体" w:hAnsi="宋体" w:cs="宋体"/>
              <w:color w:val="auto"/>
              <w:sz w:val="32"/>
              <w:szCs w:val="32"/>
              <w:highlight w:val="none"/>
            </w:rPr>
            <w:instrText xml:space="preserve">TOC \o "1-1" \h \u </w:instrText>
          </w:r>
          <w:r>
            <w:rPr>
              <w:rFonts w:ascii="宋体" w:hAnsi="宋体" w:cs="宋体"/>
              <w:color w:val="auto"/>
              <w:sz w:val="32"/>
              <w:szCs w:val="32"/>
              <w:highlight w:val="none"/>
            </w:rPr>
            <w:fldChar w:fldCharType="separate"/>
          </w:r>
        </w:p>
        <w:p w14:paraId="052413D8">
          <w:pPr>
            <w:pStyle w:val="966"/>
            <w:keepNext w:val="0"/>
            <w:keepLines w:val="0"/>
            <w:pageBreakBefore w:val="0"/>
            <w:widowControl/>
            <w:tabs>
              <w:tab w:val="right" w:leader="dot" w:pos="9746"/>
            </w:tabs>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_Toc17429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第一部分 竞争性磋商公告</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_Toc17429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3</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009C43CD">
          <w:pPr>
            <w:pStyle w:val="966"/>
            <w:keepNext w:val="0"/>
            <w:keepLines w:val="0"/>
            <w:pageBreakBefore w:val="0"/>
            <w:widowControl/>
            <w:tabs>
              <w:tab w:val="right" w:leader="dot" w:pos="9746"/>
            </w:tabs>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_Toc8751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第二部分 供应商须知</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_Toc8751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7</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5AC2ADE6">
          <w:pPr>
            <w:pStyle w:val="966"/>
            <w:keepNext w:val="0"/>
            <w:keepLines w:val="0"/>
            <w:pageBreakBefore w:val="0"/>
            <w:widowControl/>
            <w:tabs>
              <w:tab w:val="right" w:leader="dot" w:pos="9746"/>
            </w:tabs>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_Toc12756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第三部分 采购需求</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_Toc12756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23</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1E691367">
          <w:pPr>
            <w:pStyle w:val="966"/>
            <w:keepNext w:val="0"/>
            <w:keepLines w:val="0"/>
            <w:pageBreakBefore w:val="0"/>
            <w:widowControl/>
            <w:tabs>
              <w:tab w:val="right" w:leader="dot" w:pos="9746"/>
            </w:tabs>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_Toc23741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第四部分 评审办法</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_Toc23741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28</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02C9D554">
          <w:pPr>
            <w:pStyle w:val="966"/>
            <w:keepNext w:val="0"/>
            <w:keepLines w:val="0"/>
            <w:pageBreakBefore w:val="0"/>
            <w:widowControl/>
            <w:tabs>
              <w:tab w:val="right" w:leader="dot" w:pos="9746"/>
            </w:tabs>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_Toc10403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第五部分 拟签订的合同文本</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_Toc10403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30</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32454ACE">
          <w:pPr>
            <w:pStyle w:val="966"/>
            <w:keepNext w:val="0"/>
            <w:keepLines w:val="0"/>
            <w:pageBreakBefore w:val="0"/>
            <w:widowControl/>
            <w:tabs>
              <w:tab w:val="right" w:leader="dot" w:pos="9746"/>
            </w:tabs>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HYPERLINK \l _Toc5140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第六部分</w:t>
          </w:r>
          <w:r>
            <w:rPr>
              <w:rFonts w:hint="eastAsia" w:ascii="宋体" w:hAnsi="宋体" w:eastAsia="宋体" w:cs="宋体"/>
              <w:color w:val="auto"/>
              <w:sz w:val="32"/>
              <w:szCs w:val="32"/>
              <w:highlight w:val="none"/>
              <w:lang w:val="en-US" w:eastAsia="zh-CN"/>
            </w:rPr>
            <w:t xml:space="preserve"> </w:t>
          </w:r>
          <w:r>
            <w:rPr>
              <w:rFonts w:hint="eastAsia" w:ascii="宋体" w:hAnsi="宋体" w:eastAsia="宋体" w:cs="宋体"/>
              <w:color w:val="auto"/>
              <w:sz w:val="32"/>
              <w:szCs w:val="32"/>
              <w:highlight w:val="none"/>
            </w:rPr>
            <w:t>应提交的有关格式范例</w:t>
          </w:r>
          <w:r>
            <w:rPr>
              <w:rFonts w:hint="eastAsia" w:ascii="宋体" w:hAnsi="宋体" w:eastAsia="宋体" w:cs="宋体"/>
              <w:color w:val="auto"/>
              <w:sz w:val="32"/>
              <w:szCs w:val="32"/>
              <w:highlight w:val="none"/>
            </w:rPr>
            <w:tab/>
          </w:r>
          <w:r>
            <w:rPr>
              <w:rFonts w:hint="eastAsia" w:ascii="宋体" w:hAnsi="宋体" w:eastAsia="宋体" w:cs="宋体"/>
              <w:color w:val="auto"/>
              <w:sz w:val="32"/>
              <w:szCs w:val="32"/>
              <w:highlight w:val="none"/>
            </w:rPr>
            <w:fldChar w:fldCharType="begin"/>
          </w:r>
          <w:r>
            <w:rPr>
              <w:rFonts w:hint="eastAsia" w:ascii="宋体" w:hAnsi="宋体" w:eastAsia="宋体" w:cs="宋体"/>
              <w:color w:val="auto"/>
              <w:sz w:val="32"/>
              <w:szCs w:val="32"/>
              <w:highlight w:val="none"/>
            </w:rPr>
            <w:instrText xml:space="preserve"> PAGEREF _Toc5140 \h </w:instrText>
          </w:r>
          <w:r>
            <w:rPr>
              <w:rFonts w:hint="eastAsia" w:ascii="宋体" w:hAnsi="宋体" w:eastAsia="宋体" w:cs="宋体"/>
              <w:color w:val="auto"/>
              <w:sz w:val="32"/>
              <w:szCs w:val="32"/>
              <w:highlight w:val="none"/>
            </w:rPr>
            <w:fldChar w:fldCharType="separate"/>
          </w:r>
          <w:r>
            <w:rPr>
              <w:rFonts w:hint="eastAsia" w:ascii="宋体" w:hAnsi="宋体" w:eastAsia="宋体" w:cs="宋体"/>
              <w:color w:val="auto"/>
              <w:sz w:val="32"/>
              <w:szCs w:val="32"/>
              <w:highlight w:val="none"/>
            </w:rPr>
            <w:t>40</w:t>
          </w:r>
          <w:r>
            <w:rPr>
              <w:rFonts w:hint="eastAsia" w:ascii="宋体" w:hAnsi="宋体" w:eastAsia="宋体" w:cs="宋体"/>
              <w:color w:val="auto"/>
              <w:sz w:val="32"/>
              <w:szCs w:val="32"/>
              <w:highlight w:val="none"/>
            </w:rPr>
            <w:fldChar w:fldCharType="end"/>
          </w:r>
          <w:r>
            <w:rPr>
              <w:rFonts w:hint="eastAsia" w:ascii="宋体" w:hAnsi="宋体" w:eastAsia="宋体" w:cs="宋体"/>
              <w:color w:val="auto"/>
              <w:sz w:val="32"/>
              <w:szCs w:val="32"/>
              <w:highlight w:val="none"/>
            </w:rPr>
            <w:fldChar w:fldCharType="end"/>
          </w:r>
        </w:p>
        <w:p w14:paraId="08A1E38D">
          <w:pPr>
            <w:pStyle w:val="966"/>
            <w:tabs>
              <w:tab w:val="right" w:leader="dot" w:pos="9746"/>
            </w:tabs>
            <w:rPr>
              <w:color w:val="auto"/>
              <w:highlight w:val="none"/>
            </w:rPr>
          </w:pPr>
        </w:p>
        <w:p w14:paraId="735E157A">
          <w:pPr>
            <w:spacing w:line="360" w:lineRule="auto"/>
            <w:ind w:firstLine="840" w:firstLineChars="400"/>
            <w:rPr>
              <w:rFonts w:ascii="宋体" w:hAnsi="宋体" w:cs="宋体"/>
              <w:color w:val="auto"/>
              <w:sz w:val="24"/>
              <w:highlight w:val="none"/>
            </w:rPr>
          </w:pPr>
          <w:r>
            <w:rPr>
              <w:rFonts w:ascii="宋体" w:hAnsi="宋体" w:cs="宋体"/>
              <w:color w:val="auto"/>
              <w:szCs w:val="32"/>
              <w:highlight w:val="none"/>
            </w:rPr>
            <w:fldChar w:fldCharType="end"/>
          </w:r>
          <w:bookmarkStart w:id="4" w:name="_Hlt91233176"/>
          <w:bookmarkEnd w:id="4"/>
          <w:bookmarkStart w:id="5" w:name="_Toc91899869"/>
        </w:p>
      </w:sdtContent>
    </w:sdt>
    <w:p w14:paraId="463B1AB8">
      <w:pPr>
        <w:spacing w:line="360" w:lineRule="auto"/>
        <w:rPr>
          <w:rFonts w:ascii="宋体" w:hAnsi="宋体" w:cs="宋体"/>
          <w:color w:val="auto"/>
          <w:sz w:val="24"/>
          <w:highlight w:val="none"/>
        </w:rPr>
      </w:pPr>
    </w:p>
    <w:bookmarkEnd w:id="5"/>
    <w:p w14:paraId="00222086">
      <w:pPr>
        <w:adjustRightInd/>
        <w:spacing w:line="360" w:lineRule="auto"/>
        <w:jc w:val="center"/>
        <w:outlineLvl w:val="0"/>
        <w:rPr>
          <w:rFonts w:hint="eastAsia" w:ascii="宋体" w:hAnsi="宋体" w:cs="宋体"/>
          <w:b/>
          <w:color w:val="auto"/>
          <w:sz w:val="36"/>
          <w:szCs w:val="20"/>
          <w:highlight w:val="none"/>
        </w:rPr>
        <w:sectPr>
          <w:headerReference r:id="rId4" w:type="first"/>
          <w:footerReference r:id="rId7" w:type="first"/>
          <w:headerReference r:id="rId3" w:type="default"/>
          <w:footerReference r:id="rId5" w:type="default"/>
          <w:footerReference r:id="rId6" w:type="even"/>
          <w:pgSz w:w="11906" w:h="16838"/>
          <w:pgMar w:top="1440" w:right="1080" w:bottom="1440" w:left="1080" w:header="851" w:footer="992" w:gutter="0"/>
          <w:cols w:space="720" w:num="1"/>
          <w:titlePg/>
          <w:docGrid w:linePitch="312" w:charSpace="0"/>
        </w:sectPr>
      </w:pPr>
      <w:bookmarkStart w:id="6" w:name="_Hlt74729822"/>
      <w:bookmarkEnd w:id="6"/>
      <w:bookmarkStart w:id="7" w:name="_Hlt74649545"/>
      <w:bookmarkEnd w:id="7"/>
      <w:bookmarkStart w:id="8" w:name="_Hlt74728647"/>
      <w:bookmarkEnd w:id="8"/>
      <w:bookmarkStart w:id="9" w:name="_Hlt74707423"/>
      <w:bookmarkEnd w:id="9"/>
      <w:bookmarkStart w:id="10" w:name="_Toc17429"/>
      <w:bookmarkStart w:id="11" w:name="第二部分"/>
      <w:bookmarkStart w:id="12" w:name="_Toc91899870"/>
      <w:bookmarkStart w:id="13" w:name="_Toc91899871"/>
      <w:bookmarkStart w:id="454" w:name="_GoBack"/>
      <w:bookmarkEnd w:id="454"/>
    </w:p>
    <w:p w14:paraId="6A09855F">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第一部分 竞争性磋商公告</w:t>
      </w:r>
      <w:bookmarkEnd w:id="10"/>
    </w:p>
    <w:p w14:paraId="33FD68CB">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val="0"/>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项目概况</w:t>
      </w:r>
    </w:p>
    <w:p w14:paraId="196BB313">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val="0"/>
        <w:spacing w:line="360" w:lineRule="auto"/>
        <w:ind w:firstLine="480" w:firstLineChars="200"/>
        <w:textAlignment w:val="auto"/>
        <w:rPr>
          <w:rFonts w:ascii="宋体" w:hAnsi="宋体" w:cs="宋体"/>
          <w:color w:val="auto"/>
          <w:sz w:val="24"/>
          <w:highlight w:val="none"/>
          <w:u w:val="single"/>
        </w:rPr>
      </w:pPr>
      <w:r>
        <w:rPr>
          <w:rFonts w:hint="eastAsia" w:ascii="宋体" w:hAnsi="宋体" w:cs="宋体"/>
          <w:color w:val="auto"/>
          <w:sz w:val="24"/>
          <w:highlight w:val="none"/>
          <w:u w:val="single"/>
          <w:lang w:eastAsia="zh-CN"/>
        </w:rPr>
        <w:t>浙江艺术职业学院监理服务项目</w:t>
      </w:r>
      <w:r>
        <w:rPr>
          <w:rFonts w:hint="eastAsia" w:ascii="宋体" w:hAnsi="宋体" w:cs="宋体"/>
          <w:color w:val="auto"/>
          <w:sz w:val="24"/>
          <w:highlight w:val="none"/>
        </w:rPr>
        <w:t>的潜在供应商应在政采云平台（</w:t>
      </w:r>
      <w:r>
        <w:rPr>
          <w:color w:val="auto"/>
          <w:highlight w:val="none"/>
        </w:rPr>
        <w:fldChar w:fldCharType="begin"/>
      </w:r>
      <w:r>
        <w:rPr>
          <w:color w:val="auto"/>
          <w:highlight w:val="none"/>
        </w:rPr>
        <w:instrText xml:space="preserve"> HYPERLINK "https://www.zcygov.cn/）获取（下载）招标文件，并于2021年"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https://www.zcygov.cn/）获取（下载）采购文件，并于</w:t>
      </w:r>
      <w:r>
        <w:rPr>
          <w:rFonts w:hint="eastAsia" w:ascii="宋体" w:hAnsi="宋体" w:cs="宋体"/>
          <w:color w:val="auto"/>
          <w:sz w:val="24"/>
          <w:highlight w:val="none"/>
          <w:u w:val="single"/>
          <w:lang w:eastAsia="zh-CN"/>
        </w:rPr>
        <w:t>2025年04月02日13点30分00秒</w:t>
      </w:r>
      <w:r>
        <w:rPr>
          <w:rFonts w:hint="eastAsia" w:ascii="宋体" w:hAnsi="宋体" w:cs="宋体"/>
          <w:bCs/>
          <w:color w:val="auto"/>
          <w:sz w:val="24"/>
          <w:highlight w:val="none"/>
          <w:u w:val="singl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提交（上传）响应文件。</w:t>
      </w:r>
    </w:p>
    <w:p w14:paraId="0F53898A">
      <w:pPr>
        <w:keepNext w:val="0"/>
        <w:keepLines w:val="0"/>
        <w:pageBreakBefore w:val="0"/>
        <w:kinsoku/>
        <w:wordWrap/>
        <w:overflowPunct/>
        <w:topLinePunct w:val="0"/>
        <w:autoSpaceDE/>
        <w:autoSpaceDN/>
        <w:bidi w:val="0"/>
        <w:adjustRightInd w:val="0"/>
        <w:snapToGrid w:val="0"/>
        <w:spacing w:line="360" w:lineRule="auto"/>
        <w:textAlignment w:val="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2B4B191E">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color w:val="auto"/>
          <w:sz w:val="24"/>
          <w:highlight w:val="none"/>
          <w:lang w:eastAsia="zh-CN"/>
        </w:rPr>
      </w:pP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ZXZB-ZJYS-2025001C</w:t>
      </w:r>
    </w:p>
    <w:p w14:paraId="072105EF">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Cs/>
          <w:color w:val="auto"/>
          <w:sz w:val="24"/>
          <w:highlight w:val="none"/>
          <w:lang w:eastAsia="zh-CN"/>
        </w:rPr>
      </w:pPr>
      <w:r>
        <w:rPr>
          <w:rFonts w:hint="eastAsia" w:ascii="宋体" w:hAnsi="宋体" w:cs="宋体"/>
          <w:b/>
          <w:color w:val="auto"/>
          <w:sz w:val="24"/>
          <w:highlight w:val="none"/>
        </w:rPr>
        <w:t>项目名称：</w:t>
      </w:r>
      <w:r>
        <w:rPr>
          <w:rFonts w:hint="eastAsia" w:ascii="宋体" w:hAnsi="宋体" w:cs="宋体"/>
          <w:bCs/>
          <w:color w:val="auto"/>
          <w:sz w:val="24"/>
          <w:highlight w:val="none"/>
          <w:lang w:eastAsia="zh-CN"/>
        </w:rPr>
        <w:t>浙江艺术职业学院监理服务项目</w:t>
      </w:r>
    </w:p>
    <w:p w14:paraId="1CF9A410">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highlight w:val="none"/>
          <w:lang w:val="en-US" w:eastAsia="zh-CN"/>
        </w:rPr>
      </w:pPr>
      <w:r>
        <w:rPr>
          <w:rFonts w:hint="eastAsia" w:ascii="宋体" w:hAnsi="宋体" w:cs="宋体"/>
          <w:b/>
          <w:color w:val="auto"/>
          <w:sz w:val="24"/>
          <w:highlight w:val="none"/>
        </w:rPr>
        <w:t>预算金额（元）：</w:t>
      </w:r>
      <w:r>
        <w:rPr>
          <w:rFonts w:hint="eastAsia" w:ascii="宋体" w:hAnsi="宋体" w:cs="宋体"/>
          <w:b w:val="0"/>
          <w:bCs/>
          <w:color w:val="auto"/>
          <w:sz w:val="24"/>
          <w:highlight w:val="none"/>
          <w:lang w:val="en-US" w:eastAsia="zh-CN"/>
        </w:rPr>
        <w:t>250000</w:t>
      </w:r>
    </w:p>
    <w:p w14:paraId="30C08B24">
      <w:pPr>
        <w:keepNext w:val="0"/>
        <w:keepLines w:val="0"/>
        <w:pageBreakBefore w:val="0"/>
        <w:kinsoku/>
        <w:wordWrap/>
        <w:overflowPunct/>
        <w:topLinePunct w:val="0"/>
        <w:autoSpaceDE/>
        <w:autoSpaceDN/>
        <w:bidi w:val="0"/>
        <w:adjustRightInd w:val="0"/>
        <w:snapToGrid w:val="0"/>
        <w:spacing w:line="360" w:lineRule="auto"/>
        <w:ind w:firstLine="480"/>
        <w:textAlignment w:val="auto"/>
        <w:rPr>
          <w:rFonts w:hint="default" w:ascii="宋体" w:hAnsi="宋体" w:eastAsia="宋体" w:cs="宋体"/>
          <w:color w:val="auto"/>
          <w:sz w:val="24"/>
          <w:highlight w:val="none"/>
          <w:lang w:val="en-US" w:eastAsia="zh-CN"/>
        </w:rPr>
      </w:pPr>
      <w:r>
        <w:rPr>
          <w:rFonts w:hint="eastAsia" w:ascii="宋体" w:hAnsi="宋体" w:cs="宋体"/>
          <w:b/>
          <w:color w:val="auto"/>
          <w:sz w:val="24"/>
          <w:highlight w:val="none"/>
        </w:rPr>
        <w:t>最高限价（元）：</w:t>
      </w:r>
      <w:r>
        <w:rPr>
          <w:rFonts w:hint="eastAsia" w:ascii="宋体" w:hAnsi="宋体" w:cs="宋体"/>
          <w:b w:val="0"/>
          <w:bCs/>
          <w:color w:val="auto"/>
          <w:sz w:val="24"/>
          <w:highlight w:val="none"/>
          <w:lang w:val="en-US" w:eastAsia="zh-CN"/>
        </w:rPr>
        <w:t>250000</w:t>
      </w:r>
    </w:p>
    <w:p w14:paraId="0DAD7BEF">
      <w:pPr>
        <w:pStyle w:val="5"/>
        <w:keepNext w:val="0"/>
        <w:keepLines w:val="0"/>
        <w:pageBreakBefore w:val="0"/>
        <w:kinsoku/>
        <w:wordWrap/>
        <w:overflowPunct/>
        <w:topLinePunct w:val="0"/>
        <w:autoSpaceDE/>
        <w:autoSpaceDN/>
        <w:bidi w:val="0"/>
        <w:adjustRightInd w:val="0"/>
        <w:snapToGrid w:val="0"/>
        <w:spacing w:line="360" w:lineRule="auto"/>
        <w:ind w:firstLine="480"/>
        <w:textAlignment w:val="auto"/>
        <w:rPr>
          <w:rFonts w:hAnsi="宋体" w:cs="宋体"/>
          <w:b/>
          <w:color w:val="auto"/>
          <w:sz w:val="24"/>
          <w:highlight w:val="none"/>
        </w:rPr>
      </w:pPr>
      <w:r>
        <w:rPr>
          <w:rFonts w:hint="eastAsia" w:hAnsi="宋体" w:cs="宋体"/>
          <w:b/>
          <w:color w:val="auto"/>
          <w:sz w:val="24"/>
          <w:highlight w:val="none"/>
        </w:rPr>
        <w:t>采购需求：</w:t>
      </w:r>
    </w:p>
    <w:p w14:paraId="6AB1D736">
      <w:pPr>
        <w:pStyle w:val="5"/>
        <w:keepNext w:val="0"/>
        <w:keepLines w:val="0"/>
        <w:pageBreakBefore w:val="0"/>
        <w:kinsoku/>
        <w:wordWrap/>
        <w:overflowPunct/>
        <w:topLinePunct w:val="0"/>
        <w:autoSpaceDE/>
        <w:autoSpaceDN/>
        <w:bidi w:val="0"/>
        <w:adjustRightInd w:val="0"/>
        <w:snapToGrid w:val="0"/>
        <w:spacing w:line="360" w:lineRule="auto"/>
        <w:ind w:left="0" w:leftChars="0" w:firstLine="480" w:firstLineChars="200"/>
        <w:textAlignment w:val="auto"/>
        <w:rPr>
          <w:rFonts w:hAnsi="宋体" w:cs="宋体"/>
          <w:bCs/>
          <w:color w:val="auto"/>
          <w:sz w:val="24"/>
          <w:highlight w:val="none"/>
        </w:rPr>
      </w:pPr>
      <w:r>
        <w:rPr>
          <w:rFonts w:hint="eastAsia" w:hAnsi="宋体" w:cs="宋体"/>
          <w:bCs/>
          <w:color w:val="auto"/>
          <w:sz w:val="24"/>
          <w:highlight w:val="none"/>
        </w:rPr>
        <w:t>标项一：</w:t>
      </w:r>
    </w:p>
    <w:p w14:paraId="5578AC80">
      <w:pPr>
        <w:pStyle w:val="5"/>
        <w:keepNext w:val="0"/>
        <w:keepLines w:val="0"/>
        <w:pageBreakBefore w:val="0"/>
        <w:kinsoku/>
        <w:wordWrap/>
        <w:overflowPunct/>
        <w:topLinePunct w:val="0"/>
        <w:autoSpaceDE/>
        <w:autoSpaceDN/>
        <w:bidi w:val="0"/>
        <w:adjustRightInd w:val="0"/>
        <w:snapToGrid w:val="0"/>
        <w:spacing w:line="360" w:lineRule="auto"/>
        <w:ind w:left="0" w:leftChars="0" w:firstLine="960" w:firstLineChars="400"/>
        <w:textAlignment w:val="auto"/>
        <w:rPr>
          <w:rFonts w:hint="eastAsia" w:hAnsi="宋体" w:eastAsia="宋体" w:cs="宋体"/>
          <w:bCs/>
          <w:color w:val="auto"/>
          <w:sz w:val="24"/>
          <w:highlight w:val="none"/>
          <w:lang w:eastAsia="zh-CN"/>
        </w:rPr>
      </w:pPr>
      <w:r>
        <w:rPr>
          <w:rFonts w:hint="eastAsia" w:hAnsi="宋体" w:cs="宋体"/>
          <w:bCs/>
          <w:color w:val="auto"/>
          <w:sz w:val="24"/>
          <w:highlight w:val="none"/>
        </w:rPr>
        <w:t xml:space="preserve">标项名称: </w:t>
      </w:r>
      <w:r>
        <w:rPr>
          <w:rFonts w:hint="eastAsia" w:hAnsi="宋体" w:cs="宋体"/>
          <w:bCs/>
          <w:color w:val="auto"/>
          <w:sz w:val="24"/>
          <w:highlight w:val="none"/>
          <w:lang w:eastAsia="zh-CN"/>
        </w:rPr>
        <w:t>浙江艺术职业学院监理服务项目</w:t>
      </w:r>
    </w:p>
    <w:p w14:paraId="1CC7FB3D">
      <w:pPr>
        <w:pStyle w:val="5"/>
        <w:keepNext w:val="0"/>
        <w:keepLines w:val="0"/>
        <w:pageBreakBefore w:val="0"/>
        <w:kinsoku/>
        <w:wordWrap/>
        <w:overflowPunct/>
        <w:topLinePunct w:val="0"/>
        <w:autoSpaceDE/>
        <w:autoSpaceDN/>
        <w:bidi w:val="0"/>
        <w:adjustRightInd w:val="0"/>
        <w:snapToGrid w:val="0"/>
        <w:spacing w:line="360" w:lineRule="auto"/>
        <w:ind w:left="0" w:leftChars="0" w:firstLine="960" w:firstLineChars="400"/>
        <w:textAlignment w:val="auto"/>
        <w:rPr>
          <w:rFonts w:hint="eastAsia" w:hAnsi="宋体" w:cs="宋体"/>
          <w:bCs/>
          <w:color w:val="auto"/>
          <w:sz w:val="24"/>
          <w:highlight w:val="none"/>
        </w:rPr>
      </w:pPr>
      <w:r>
        <w:rPr>
          <w:rFonts w:hint="eastAsia" w:hAnsi="宋体" w:cs="宋体"/>
          <w:bCs/>
          <w:color w:val="auto"/>
          <w:sz w:val="24"/>
          <w:highlight w:val="none"/>
        </w:rPr>
        <w:t>数量: 1项</w:t>
      </w:r>
    </w:p>
    <w:p w14:paraId="79CA4F01">
      <w:pPr>
        <w:pStyle w:val="5"/>
        <w:keepNext w:val="0"/>
        <w:keepLines w:val="0"/>
        <w:pageBreakBefore w:val="0"/>
        <w:kinsoku/>
        <w:wordWrap/>
        <w:overflowPunct/>
        <w:topLinePunct w:val="0"/>
        <w:autoSpaceDE/>
        <w:autoSpaceDN/>
        <w:bidi w:val="0"/>
        <w:adjustRightInd w:val="0"/>
        <w:snapToGrid w:val="0"/>
        <w:spacing w:line="360" w:lineRule="auto"/>
        <w:ind w:left="0" w:leftChars="0" w:firstLine="960" w:firstLineChars="400"/>
        <w:textAlignment w:val="auto"/>
        <w:rPr>
          <w:rFonts w:hint="default" w:hAnsi="宋体" w:eastAsia="宋体" w:cs="宋体"/>
          <w:bCs/>
          <w:color w:val="auto"/>
          <w:sz w:val="24"/>
          <w:highlight w:val="none"/>
          <w:lang w:val="en-US" w:eastAsia="zh-CN"/>
        </w:rPr>
      </w:pPr>
      <w:r>
        <w:rPr>
          <w:rFonts w:hint="eastAsia" w:hAnsi="宋体" w:cs="宋体"/>
          <w:bCs/>
          <w:color w:val="auto"/>
          <w:sz w:val="24"/>
          <w:highlight w:val="none"/>
        </w:rPr>
        <w:t xml:space="preserve">预算金额（元）: </w:t>
      </w:r>
      <w:r>
        <w:rPr>
          <w:rFonts w:hint="eastAsia" w:hAnsi="宋体" w:cs="宋体"/>
          <w:bCs/>
          <w:color w:val="auto"/>
          <w:sz w:val="24"/>
          <w:highlight w:val="none"/>
          <w:lang w:val="en-US" w:eastAsia="zh-CN"/>
        </w:rPr>
        <w:t>250000</w:t>
      </w:r>
    </w:p>
    <w:p w14:paraId="65E3B0D4">
      <w:pPr>
        <w:pStyle w:val="5"/>
        <w:keepNext w:val="0"/>
        <w:keepLines w:val="0"/>
        <w:pageBreakBefore w:val="0"/>
        <w:kinsoku/>
        <w:wordWrap/>
        <w:overflowPunct/>
        <w:topLinePunct w:val="0"/>
        <w:autoSpaceDE/>
        <w:autoSpaceDN/>
        <w:bidi w:val="0"/>
        <w:adjustRightInd w:val="0"/>
        <w:snapToGrid w:val="0"/>
        <w:spacing w:line="360" w:lineRule="auto"/>
        <w:ind w:left="0" w:leftChars="0" w:firstLine="960" w:firstLineChars="400"/>
        <w:textAlignment w:val="auto"/>
        <w:rPr>
          <w:rFonts w:hAnsi="宋体" w:cs="宋体"/>
          <w:bCs/>
          <w:color w:val="auto"/>
          <w:sz w:val="24"/>
          <w:highlight w:val="none"/>
        </w:rPr>
      </w:pPr>
      <w:r>
        <w:rPr>
          <w:rFonts w:hint="eastAsia" w:hAnsi="宋体" w:cs="宋体"/>
          <w:bCs/>
          <w:color w:val="auto"/>
          <w:sz w:val="24"/>
          <w:highlight w:val="none"/>
        </w:rPr>
        <w:t xml:space="preserve">简要规格描述或项目基本概况介绍、用途：详见竞争性磋商文件第三部分 采购需求 </w:t>
      </w:r>
    </w:p>
    <w:p w14:paraId="70252E78">
      <w:pPr>
        <w:pStyle w:val="5"/>
        <w:keepNext w:val="0"/>
        <w:keepLines w:val="0"/>
        <w:pageBreakBefore w:val="0"/>
        <w:kinsoku/>
        <w:wordWrap/>
        <w:overflowPunct/>
        <w:topLinePunct w:val="0"/>
        <w:autoSpaceDE/>
        <w:autoSpaceDN/>
        <w:bidi w:val="0"/>
        <w:adjustRightInd w:val="0"/>
        <w:snapToGrid w:val="0"/>
        <w:spacing w:line="360" w:lineRule="auto"/>
        <w:ind w:left="0" w:leftChars="0" w:firstLine="960" w:firstLineChars="400"/>
        <w:textAlignment w:val="auto"/>
        <w:rPr>
          <w:rFonts w:hAnsi="宋体" w:cs="宋体"/>
          <w:bCs/>
          <w:color w:val="auto"/>
          <w:sz w:val="24"/>
          <w:highlight w:val="none"/>
        </w:rPr>
      </w:pPr>
      <w:r>
        <w:rPr>
          <w:rFonts w:hint="eastAsia" w:hAnsi="宋体" w:cs="宋体"/>
          <w:bCs/>
          <w:color w:val="auto"/>
          <w:sz w:val="24"/>
          <w:highlight w:val="none"/>
        </w:rPr>
        <w:t>备注：</w:t>
      </w:r>
    </w:p>
    <w:p w14:paraId="5364A9EB">
      <w:pPr>
        <w:pStyle w:val="5"/>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bCs/>
          <w:color w:val="auto"/>
          <w:sz w:val="24"/>
          <w:highlight w:val="none"/>
          <w:lang w:eastAsia="zh-CN"/>
        </w:rPr>
      </w:pPr>
      <w:r>
        <w:rPr>
          <w:rFonts w:hint="eastAsia" w:ascii="宋体" w:hAnsi="宋体" w:eastAsia="宋体" w:cs="宋体"/>
          <w:b/>
          <w:bCs w:val="0"/>
          <w:color w:val="auto"/>
          <w:sz w:val="24"/>
          <w:highlight w:val="none"/>
        </w:rPr>
        <w:t>合同履约期限：</w:t>
      </w:r>
      <w:r>
        <w:rPr>
          <w:rFonts w:hint="eastAsia" w:hAnsi="宋体" w:cs="宋体"/>
          <w:b/>
          <w:bCs w:val="0"/>
          <w:color w:val="auto"/>
          <w:sz w:val="24"/>
          <w:highlight w:val="none"/>
          <w:lang w:val="en-US" w:eastAsia="zh-CN"/>
        </w:rPr>
        <w:t>合同签订后一年，服务期内单个监理项目履约期限：1.</w:t>
      </w:r>
      <w:r>
        <w:rPr>
          <w:rFonts w:hint="eastAsia" w:ascii="宋体" w:hAnsi="宋体" w:eastAsia="宋体" w:cs="宋体"/>
          <w:b/>
          <w:bCs w:val="0"/>
          <w:color w:val="auto"/>
          <w:sz w:val="24"/>
          <w:highlight w:val="none"/>
        </w:rPr>
        <w:t>施工阶段监理服务期：监理合同生效起至全部工程竣工验收合格（包括整改完毕）、结算、竣工相关资料备案完成；</w:t>
      </w:r>
      <w:r>
        <w:rPr>
          <w:rFonts w:hint="eastAsia" w:hAnsi="宋体" w:cs="宋体"/>
          <w:b/>
          <w:bCs w:val="0"/>
          <w:color w:val="auto"/>
          <w:sz w:val="24"/>
          <w:highlight w:val="none"/>
          <w:lang w:val="en-US" w:eastAsia="zh-CN"/>
        </w:rPr>
        <w:t>2.</w:t>
      </w:r>
      <w:r>
        <w:rPr>
          <w:rFonts w:hint="eastAsia" w:ascii="宋体" w:hAnsi="宋体" w:eastAsia="宋体" w:cs="宋体"/>
          <w:b/>
          <w:bCs w:val="0"/>
          <w:color w:val="auto"/>
          <w:sz w:val="24"/>
          <w:highlight w:val="none"/>
        </w:rPr>
        <w:t>保修阶段监理服务期：从工程竣工验收合格之日起</w:t>
      </w:r>
      <w:r>
        <w:rPr>
          <w:rFonts w:hint="eastAsia" w:hAnsi="宋体" w:cs="宋体"/>
          <w:b/>
          <w:bCs w:val="0"/>
          <w:color w:val="auto"/>
          <w:sz w:val="24"/>
          <w:highlight w:val="none"/>
          <w:lang w:val="en-US" w:eastAsia="zh-CN"/>
        </w:rPr>
        <w:t>2</w:t>
      </w:r>
      <w:r>
        <w:rPr>
          <w:rFonts w:hint="eastAsia" w:ascii="宋体" w:hAnsi="宋体" w:eastAsia="宋体" w:cs="宋体"/>
          <w:b/>
          <w:bCs w:val="0"/>
          <w:color w:val="auto"/>
          <w:sz w:val="24"/>
          <w:highlight w:val="none"/>
        </w:rPr>
        <w:t>年。</w:t>
      </w:r>
    </w:p>
    <w:p w14:paraId="413E5D05">
      <w:pPr>
        <w:pStyle w:val="5"/>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eastAsia="宋体" w:cs="宋体"/>
          <w:bCs/>
          <w:color w:val="auto"/>
          <w:sz w:val="24"/>
          <w:highlight w:val="none"/>
        </w:rPr>
      </w:pPr>
      <w:r>
        <w:rPr>
          <w:rFonts w:hint="eastAsia" w:ascii="宋体" w:hAnsi="宋体" w:eastAsia="宋体" w:cs="宋体"/>
          <w:b/>
          <w:bCs w:val="0"/>
          <w:color w:val="auto"/>
          <w:sz w:val="24"/>
          <w:highlight w:val="none"/>
        </w:rPr>
        <w:t>本项目接受联合体：</w:t>
      </w:r>
      <w:r>
        <w:rPr>
          <w:rFonts w:hint="eastAsia" w:ascii="宋体" w:hAnsi="宋体" w:eastAsia="宋体" w:cs="宋体"/>
          <w:bCs/>
          <w:color w:val="auto"/>
          <w:sz w:val="24"/>
          <w:highlight w:val="none"/>
          <w:lang w:val="en-US" w:eastAsia="zh-CN"/>
        </w:rPr>
        <w:t>是</w:t>
      </w:r>
      <w:r>
        <w:rPr>
          <w:rFonts w:hint="eastAsia" w:ascii="宋体" w:hAnsi="宋体" w:eastAsia="宋体" w:cs="宋体"/>
          <w:bCs/>
          <w:color w:val="auto"/>
          <w:sz w:val="24"/>
          <w:highlight w:val="none"/>
        </w:rPr>
        <w:t>。</w:t>
      </w:r>
    </w:p>
    <w:p w14:paraId="008703A3">
      <w:pPr>
        <w:keepNext w:val="0"/>
        <w:keepLines w:val="0"/>
        <w:pageBreakBefore w:val="0"/>
        <w:kinsoku/>
        <w:wordWrap/>
        <w:overflowPunct/>
        <w:topLinePunct w:val="0"/>
        <w:autoSpaceDE/>
        <w:autoSpaceDN/>
        <w:bidi w:val="0"/>
        <w:adjustRightInd w:val="0"/>
        <w:snapToGrid w:val="0"/>
        <w:spacing w:line="360" w:lineRule="auto"/>
        <w:textAlignment w:val="auto"/>
        <w:rPr>
          <w:rFonts w:ascii="宋体" w:hAnsi="宋体" w:cs="宋体"/>
          <w:b/>
          <w:color w:val="auto"/>
          <w:sz w:val="24"/>
          <w:highlight w:val="none"/>
        </w:rPr>
      </w:pPr>
      <w:r>
        <w:rPr>
          <w:rFonts w:hint="eastAsia" w:ascii="宋体" w:hAnsi="宋体" w:cs="宋体"/>
          <w:b/>
          <w:color w:val="auto"/>
          <w:sz w:val="24"/>
          <w:highlight w:val="none"/>
        </w:rPr>
        <w:t>二、</w:t>
      </w:r>
      <w:bookmarkStart w:id="14" w:name="_Hlk101132948"/>
      <w:r>
        <w:rPr>
          <w:rFonts w:hint="eastAsia" w:ascii="宋体" w:hAnsi="宋体" w:cs="宋体"/>
          <w:b/>
          <w:color w:val="auto"/>
          <w:sz w:val="24"/>
          <w:highlight w:val="none"/>
        </w:rPr>
        <w:t>申请人的资格要求</w:t>
      </w:r>
      <w:bookmarkEnd w:id="14"/>
      <w:r>
        <w:rPr>
          <w:rFonts w:hint="eastAsia" w:ascii="宋体" w:hAnsi="宋体" w:cs="宋体"/>
          <w:b/>
          <w:color w:val="auto"/>
          <w:sz w:val="24"/>
          <w:highlight w:val="none"/>
        </w:rPr>
        <w:t>：</w:t>
      </w:r>
    </w:p>
    <w:p w14:paraId="20F8FC27">
      <w:pPr>
        <w:keepNext w:val="0"/>
        <w:keepLines w:val="0"/>
        <w:pageBreakBefore w:val="0"/>
        <w:kinsoku/>
        <w:wordWrap/>
        <w:overflowPunct/>
        <w:topLinePunct w:val="0"/>
        <w:autoSpaceDE/>
        <w:autoSpaceDN/>
        <w:bidi w:val="0"/>
        <w:adjustRightInd w:val="0"/>
        <w:snapToGrid w:val="0"/>
        <w:spacing w:line="360" w:lineRule="auto"/>
        <w:ind w:firstLine="480"/>
        <w:textAlignment w:val="auto"/>
        <w:rPr>
          <w:rFonts w:hint="eastAsia" w:ascii="宋体" w:hAnsi="宋体" w:eastAsia="宋体" w:cs="宋体"/>
          <w:snapToGrid w:val="0"/>
          <w:color w:val="auto"/>
          <w:kern w:val="28"/>
          <w:sz w:val="24"/>
          <w:szCs w:val="20"/>
          <w:highlight w:val="none"/>
          <w:lang w:eastAsia="zh-CN"/>
        </w:rPr>
      </w:pPr>
      <w:r>
        <w:rPr>
          <w:rFonts w:hint="eastAsia" w:ascii="宋体" w:hAnsi="宋体" w:cs="宋体"/>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r>
        <w:rPr>
          <w:rFonts w:hint="eastAsia" w:ascii="宋体" w:hAnsi="宋体" w:cs="宋体"/>
          <w:snapToGrid w:val="0"/>
          <w:color w:val="auto"/>
          <w:kern w:val="28"/>
          <w:sz w:val="24"/>
          <w:szCs w:val="20"/>
          <w:highlight w:val="none"/>
          <w:lang w:eastAsia="zh-CN"/>
        </w:rPr>
        <w:t>。</w:t>
      </w:r>
    </w:p>
    <w:p w14:paraId="32CD02AF">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cs="宋体"/>
          <w:snapToGrid w:val="0"/>
          <w:color w:val="auto"/>
          <w:kern w:val="28"/>
          <w:sz w:val="24"/>
          <w:szCs w:val="20"/>
          <w:highlight w:val="none"/>
        </w:rPr>
        <w:t>2.落实政府采购政策需满足的资格要求：标项</w:t>
      </w:r>
      <w:r>
        <w:rPr>
          <w:rFonts w:hint="eastAsia" w:ascii="宋体" w:hAnsi="宋体" w:cs="宋体"/>
          <w:snapToGrid w:val="0"/>
          <w:color w:val="auto"/>
          <w:kern w:val="28"/>
          <w:sz w:val="24"/>
          <w:szCs w:val="20"/>
          <w:highlight w:val="none"/>
          <w:lang w:val="en-US" w:eastAsia="zh-CN"/>
        </w:rPr>
        <w:t>一</w:t>
      </w:r>
      <w:r>
        <w:rPr>
          <w:rFonts w:hint="eastAsia" w:ascii="宋体" w:hAnsi="宋体" w:cs="宋体"/>
          <w:snapToGrid w:val="0"/>
          <w:color w:val="auto"/>
          <w:kern w:val="28"/>
          <w:sz w:val="24"/>
          <w:szCs w:val="20"/>
          <w:highlight w:val="none"/>
        </w:rPr>
        <w:t>：专门面向中小企业,服务全部由符合政策要求的中小企业承接，提供中小企业声明函</w:t>
      </w:r>
      <w:r>
        <w:rPr>
          <w:rFonts w:hint="eastAsia" w:ascii="宋体" w:hAnsi="宋体" w:cs="宋体"/>
          <w:snapToGrid w:val="0"/>
          <w:color w:val="auto"/>
          <w:kern w:val="28"/>
          <w:sz w:val="24"/>
          <w:szCs w:val="20"/>
          <w:highlight w:val="none"/>
          <w:lang w:eastAsia="zh-CN"/>
        </w:rPr>
        <w:t>。</w:t>
      </w:r>
    </w:p>
    <w:p w14:paraId="444F69B0">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3.本项目的特定资格要求：标项一：</w:t>
      </w:r>
      <w:r>
        <w:rPr>
          <w:rFonts w:hint="eastAsia" w:ascii="宋体" w:hAnsi="宋体" w:cs="宋体"/>
          <w:color w:val="auto"/>
          <w:sz w:val="24"/>
          <w:highlight w:val="none"/>
          <w:lang w:val="en-US" w:eastAsia="zh-CN"/>
        </w:rPr>
        <w:t>具有工程监理综合资质 或 同时具有房屋建筑工程监理乙级及以上资质、市政公用工程监理乙级及以上资质</w:t>
      </w:r>
      <w:r>
        <w:rPr>
          <w:rFonts w:hint="eastAsia" w:ascii="宋体" w:hAnsi="宋体" w:cs="宋体"/>
          <w:color w:val="auto"/>
          <w:sz w:val="24"/>
          <w:highlight w:val="none"/>
        </w:rPr>
        <w:t>。</w:t>
      </w:r>
    </w:p>
    <w:p w14:paraId="149B51D4">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013AF2B">
      <w:pPr>
        <w:keepNext w:val="0"/>
        <w:keepLines w:val="0"/>
        <w:pageBreakBefore w:val="0"/>
        <w:kinsoku/>
        <w:wordWrap/>
        <w:overflowPunct/>
        <w:topLinePunct w:val="0"/>
        <w:autoSpaceDE/>
        <w:autoSpaceDN/>
        <w:bidi w:val="0"/>
        <w:adjustRightInd w:val="0"/>
        <w:snapToGrid w:val="0"/>
        <w:spacing w:line="360" w:lineRule="auto"/>
        <w:textAlignment w:val="auto"/>
        <w:rPr>
          <w:rFonts w:ascii="宋体" w:hAnsi="宋体" w:cs="宋体"/>
          <w:b/>
          <w:color w:val="auto"/>
          <w:sz w:val="24"/>
          <w:highlight w:val="none"/>
        </w:rPr>
      </w:pPr>
      <w:r>
        <w:rPr>
          <w:rFonts w:hint="eastAsia" w:ascii="宋体" w:hAnsi="宋体" w:cs="宋体"/>
          <w:b/>
          <w:color w:val="auto"/>
          <w:sz w:val="24"/>
          <w:highlight w:val="none"/>
        </w:rPr>
        <w:t xml:space="preserve">三、获取采购文件 </w:t>
      </w:r>
    </w:p>
    <w:p w14:paraId="59ED1356">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lang w:eastAsia="zh-CN"/>
        </w:rPr>
        <w:t>2025年</w:t>
      </w:r>
      <w:r>
        <w:rPr>
          <w:rFonts w:hint="eastAsia" w:ascii="宋体" w:hAnsi="宋体" w:cs="宋体"/>
          <w:color w:val="auto"/>
          <w:sz w:val="24"/>
          <w:highlight w:val="none"/>
          <w:u w:val="single"/>
          <w:lang w:val="en-US" w:eastAsia="zh-CN"/>
        </w:rPr>
        <w:t>04</w:t>
      </w:r>
      <w:r>
        <w:rPr>
          <w:rFonts w:hint="eastAsia" w:ascii="宋体" w:hAnsi="宋体" w:cs="宋体"/>
          <w:color w:val="auto"/>
          <w:sz w:val="24"/>
          <w:highlight w:val="none"/>
          <w:u w:val="single"/>
          <w:lang w:eastAsia="zh-CN"/>
        </w:rPr>
        <w:t>月</w:t>
      </w:r>
      <w:r>
        <w:rPr>
          <w:rFonts w:hint="eastAsia" w:ascii="宋体" w:hAnsi="宋体" w:cs="宋体"/>
          <w:color w:val="auto"/>
          <w:sz w:val="24"/>
          <w:highlight w:val="none"/>
          <w:u w:val="single"/>
          <w:lang w:val="en-US" w:eastAsia="zh-CN"/>
        </w:rPr>
        <w:t>02</w:t>
      </w:r>
      <w:r>
        <w:rPr>
          <w:rFonts w:hint="eastAsia" w:ascii="宋体" w:hAnsi="宋体" w:cs="宋体"/>
          <w:color w:val="auto"/>
          <w:sz w:val="24"/>
          <w:highlight w:val="none"/>
          <w:u w:val="single"/>
          <w:lang w:eastAsia="zh-CN"/>
        </w:rPr>
        <w:t>日</w:t>
      </w:r>
      <w:r>
        <w:rPr>
          <w:rFonts w:hint="eastAsia" w:ascii="宋体" w:hAnsi="宋体" w:cs="宋体"/>
          <w:color w:val="auto"/>
          <w:sz w:val="24"/>
          <w:highlight w:val="none"/>
        </w:rPr>
        <w:t>，每天上午00:00至12:00，下午12:00至23:59（北京时间，线上获取法定节假日均可，线下获取文件法定节假日除外）</w:t>
      </w:r>
    </w:p>
    <w:p w14:paraId="0405892C">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政采云平台（https://www.zcygov.cn/）</w:t>
      </w:r>
    </w:p>
    <w:p w14:paraId="2AECBDD8">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color w:val="auto"/>
          <w:sz w:val="24"/>
          <w:highlight w:val="none"/>
          <w:lang w:val="en-US" w:eastAsia="zh-CN"/>
        </w:rPr>
      </w:pPr>
      <w:r>
        <w:rPr>
          <w:rFonts w:hint="eastAsia" w:ascii="宋体" w:hAnsi="宋体" w:cs="宋体"/>
          <w:b/>
          <w:color w:val="auto"/>
          <w:sz w:val="24"/>
          <w:highlight w:val="none"/>
        </w:rPr>
        <w:t>方式：</w:t>
      </w:r>
      <w:r>
        <w:rPr>
          <w:rFonts w:hint="eastAsia" w:ascii="宋体" w:hAnsi="宋体" w:cs="宋体"/>
          <w:color w:val="auto"/>
          <w:sz w:val="24"/>
          <w:highlight w:val="none"/>
        </w:rPr>
        <w:t>供应商登录政采云平台https://www.zcygov.cn/在线申请获取采购文件（进入“项目采购”应用，在获取采购文件菜单中选择项目，申请获取采购文件）。</w:t>
      </w:r>
    </w:p>
    <w:p w14:paraId="5A1274CB">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0</w:t>
      </w:r>
    </w:p>
    <w:p w14:paraId="42ADA13C">
      <w:pPr>
        <w:keepNext w:val="0"/>
        <w:keepLines w:val="0"/>
        <w:pageBreakBefore w:val="0"/>
        <w:kinsoku/>
        <w:wordWrap/>
        <w:overflowPunct/>
        <w:topLinePunct w:val="0"/>
        <w:autoSpaceDE/>
        <w:autoSpaceDN/>
        <w:bidi w:val="0"/>
        <w:adjustRightInd w:val="0"/>
        <w:snapToGrid w:val="0"/>
        <w:spacing w:line="360" w:lineRule="auto"/>
        <w:textAlignment w:val="auto"/>
        <w:rPr>
          <w:rFonts w:ascii="宋体" w:hAnsi="宋体" w:cs="宋体"/>
          <w:b/>
          <w:color w:val="auto"/>
          <w:sz w:val="24"/>
          <w:highlight w:val="none"/>
        </w:rPr>
      </w:pPr>
      <w:r>
        <w:rPr>
          <w:rFonts w:hint="eastAsia" w:ascii="宋体" w:hAnsi="宋体" w:cs="宋体"/>
          <w:b/>
          <w:color w:val="auto"/>
          <w:sz w:val="24"/>
          <w:highlight w:val="none"/>
        </w:rPr>
        <w:t>四、响应文件提交（上传）</w:t>
      </w:r>
    </w:p>
    <w:p w14:paraId="6E8EB585">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截止时间：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2025年</w:t>
      </w:r>
      <w:r>
        <w:rPr>
          <w:rFonts w:hint="eastAsia" w:ascii="宋体" w:hAnsi="宋体" w:cs="宋体"/>
          <w:color w:val="auto"/>
          <w:sz w:val="24"/>
          <w:highlight w:val="none"/>
          <w:u w:val="single"/>
          <w:lang w:eastAsia="zh-CN"/>
        </w:rPr>
        <w:t>04月02日13点30分</w:t>
      </w:r>
      <w:r>
        <w:rPr>
          <w:rFonts w:hint="eastAsia" w:ascii="宋体" w:hAnsi="宋体" w:cs="宋体"/>
          <w:color w:val="auto"/>
          <w:sz w:val="24"/>
          <w:highlight w:val="none"/>
        </w:rPr>
        <w:t>（北京时间）</w:t>
      </w:r>
    </w:p>
    <w:p w14:paraId="74CC307D">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ascii="宋体" w:hAnsi="宋体" w:cs="宋体"/>
          <w:b/>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A48AC50">
      <w:pPr>
        <w:keepNext w:val="0"/>
        <w:keepLines w:val="0"/>
        <w:pageBreakBefore w:val="0"/>
        <w:kinsoku/>
        <w:wordWrap/>
        <w:overflowPunct/>
        <w:topLinePunct w:val="0"/>
        <w:autoSpaceDE/>
        <w:autoSpaceDN/>
        <w:bidi w:val="0"/>
        <w:adjustRightInd w:val="0"/>
        <w:snapToGrid w:val="0"/>
        <w:spacing w:line="360" w:lineRule="auto"/>
        <w:textAlignment w:val="auto"/>
        <w:rPr>
          <w:rFonts w:ascii="宋体" w:hAnsi="宋体" w:cs="宋体"/>
          <w:color w:val="auto"/>
          <w:sz w:val="24"/>
          <w:highlight w:val="none"/>
        </w:rPr>
      </w:pPr>
      <w:r>
        <w:rPr>
          <w:rFonts w:hint="eastAsia" w:ascii="宋体" w:hAnsi="宋体" w:cs="宋体"/>
          <w:b/>
          <w:color w:val="auto"/>
          <w:sz w:val="24"/>
          <w:highlight w:val="none"/>
        </w:rPr>
        <w:t xml:space="preserve">五、响应文件开启 </w:t>
      </w:r>
    </w:p>
    <w:p w14:paraId="2A656EBA">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ascii="宋体" w:hAnsi="宋体" w:cs="宋体"/>
          <w:bCs/>
          <w:color w:val="auto"/>
          <w:sz w:val="24"/>
          <w:highlight w:val="none"/>
          <w:u w:val="single"/>
        </w:rPr>
      </w:pPr>
      <w:r>
        <w:rPr>
          <w:rFonts w:hint="eastAsia" w:ascii="宋体" w:hAnsi="宋体" w:cs="宋体"/>
          <w:b/>
          <w:color w:val="auto"/>
          <w:sz w:val="24"/>
          <w:highlight w:val="none"/>
        </w:rPr>
        <w:t>开启时间：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2025年</w:t>
      </w:r>
      <w:r>
        <w:rPr>
          <w:rFonts w:hint="eastAsia" w:ascii="宋体" w:hAnsi="宋体" w:cs="宋体"/>
          <w:color w:val="auto"/>
          <w:sz w:val="24"/>
          <w:highlight w:val="none"/>
          <w:u w:val="single"/>
          <w:lang w:eastAsia="zh-CN"/>
        </w:rPr>
        <w:t>04月02日13点30分</w:t>
      </w:r>
      <w:r>
        <w:rPr>
          <w:rFonts w:hint="eastAsia" w:ascii="宋体" w:hAnsi="宋体" w:cs="宋体"/>
          <w:color w:val="auto"/>
          <w:sz w:val="24"/>
          <w:highlight w:val="none"/>
        </w:rPr>
        <w:t>（北京时间）</w:t>
      </w:r>
    </w:p>
    <w:p w14:paraId="095D56DE">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政采云平台（https://www.zcygov.cn/）</w:t>
      </w:r>
    </w:p>
    <w:p w14:paraId="2D3CA194">
      <w:pPr>
        <w:keepNext w:val="0"/>
        <w:keepLines w:val="0"/>
        <w:pageBreakBefore w:val="0"/>
        <w:kinsoku/>
        <w:wordWrap/>
        <w:overflowPunct/>
        <w:topLinePunct w:val="0"/>
        <w:autoSpaceDE/>
        <w:autoSpaceDN/>
        <w:bidi w:val="0"/>
        <w:adjustRightInd w:val="0"/>
        <w:snapToGrid w:val="0"/>
        <w:spacing w:line="360" w:lineRule="auto"/>
        <w:textAlignment w:val="auto"/>
        <w:rPr>
          <w:rFonts w:ascii="宋体" w:hAnsi="宋体" w:cs="宋体"/>
          <w:color w:val="auto"/>
          <w:sz w:val="24"/>
          <w:highlight w:val="none"/>
        </w:rPr>
      </w:pPr>
      <w:r>
        <w:rPr>
          <w:rFonts w:hint="eastAsia" w:ascii="宋体" w:hAnsi="宋体" w:cs="宋体"/>
          <w:b/>
          <w:color w:val="auto"/>
          <w:sz w:val="24"/>
          <w:highlight w:val="none"/>
        </w:rPr>
        <w:t xml:space="preserve">六、公告期限 </w:t>
      </w:r>
    </w:p>
    <w:p w14:paraId="4573A448">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自本公告发布之日起3个工作日。</w:t>
      </w:r>
    </w:p>
    <w:p w14:paraId="7392038D">
      <w:pPr>
        <w:keepNext w:val="0"/>
        <w:keepLines w:val="0"/>
        <w:pageBreakBefore w:val="0"/>
        <w:kinsoku/>
        <w:wordWrap/>
        <w:overflowPunct/>
        <w:topLinePunct w:val="0"/>
        <w:autoSpaceDE/>
        <w:autoSpaceDN/>
        <w:bidi w:val="0"/>
        <w:adjustRightInd w:val="0"/>
        <w:snapToGrid w:val="0"/>
        <w:spacing w:line="360" w:lineRule="auto"/>
        <w:textAlignment w:val="auto"/>
        <w:rPr>
          <w:rFonts w:ascii="宋体" w:hAnsi="宋体" w:cs="宋体"/>
          <w:b/>
          <w:color w:val="auto"/>
          <w:sz w:val="24"/>
          <w:highlight w:val="none"/>
        </w:rPr>
      </w:pPr>
      <w:r>
        <w:rPr>
          <w:rFonts w:hint="eastAsia" w:ascii="宋体" w:hAnsi="宋体" w:cs="宋体"/>
          <w:b/>
          <w:color w:val="auto"/>
          <w:sz w:val="24"/>
          <w:highlight w:val="none"/>
        </w:rPr>
        <w:t>七、其他补充事宜</w:t>
      </w:r>
    </w:p>
    <w:p w14:paraId="31CC3924">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BAF433D">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0695A71">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5B1E4D1">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4.其他事项：（1）以联合体形式参加磋商的，提供联合协议(本项目不接受联合体响应或者供应商不以联合体形式参加磋商的，则不需要提供) 。（2）单位负责人为同一人或者存在直接控股、管理关系的不同供应商，不得参加同一合同项下的政府采购活动；为采购项目提供整体设计、规范编制或者项目管理、监理、检测等服务后不得再参加该采购项目的其他采购活动。（3）需要落实的政府采购政策：包括节约资源、保护环境、支持创新、促进中小企业发展等。详见采购文件的第二部分总则。（4）电子交易的说明：①电子交易：本项目以数据电文形式，依托“政府采购云平台（www.zcygov.cn）”进行招投标活动，不接受纸质响应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响应文件的制作：在“政采云电子交易客户端”中完成“填写基本信息”、“导入投标文件”、“标书关联”、“标书检查”、“电子签名”、“生成电子标书”等操作；⑤采购人、采购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⑧响应文件的传输递交：供应商在响应文件提交（上传）截止时间前将加密的响应文件上传至政府采购云平台，还可以在响应文件提交（上传）截止时间前直接提交或者以邮政快递方式递交备份响应文件1份。备份响应文件的制作、存储、密封详见采购文件第二部分第15点—“备份响应文件”；⑨响应文件的解密：供应商按照平台提示和采购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响应文件无效；⑩具体操作指南：详见政采云平台“服务中心-帮助文档-项目采购-操作流程-电子招投标-政府采购项目电子交易管理操作指南-供应商”。（5）采购文件公告期限与竞争性磋商公告的公告期限一致。</w:t>
      </w:r>
    </w:p>
    <w:p w14:paraId="20A26771">
      <w:pPr>
        <w:keepNext w:val="0"/>
        <w:keepLines w:val="0"/>
        <w:pageBreakBefore w:val="0"/>
        <w:kinsoku/>
        <w:wordWrap/>
        <w:overflowPunct/>
        <w:topLinePunct w:val="0"/>
        <w:autoSpaceDE/>
        <w:autoSpaceDN/>
        <w:bidi w:val="0"/>
        <w:adjustRightInd w:val="0"/>
        <w:snapToGrid w:val="0"/>
        <w:spacing w:line="360" w:lineRule="auto"/>
        <w:textAlignment w:val="auto"/>
        <w:rPr>
          <w:rFonts w:ascii="宋体" w:hAnsi="宋体" w:cs="宋体"/>
          <w:b/>
          <w:color w:val="auto"/>
          <w:sz w:val="24"/>
          <w:highlight w:val="none"/>
        </w:rPr>
      </w:pPr>
      <w:r>
        <w:rPr>
          <w:rFonts w:hint="eastAsia" w:ascii="宋体" w:hAnsi="宋体" w:cs="宋体"/>
          <w:b/>
          <w:color w:val="auto"/>
          <w:sz w:val="24"/>
          <w:highlight w:val="none"/>
        </w:rPr>
        <w:t>八、对本次采购提出询问、质疑、投诉，请按以下方式联系</w:t>
      </w:r>
    </w:p>
    <w:p w14:paraId="4A7FC839">
      <w:pPr>
        <w:shd w:val="clear" w:color="auto" w:fill="auto"/>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1.采购人信息</w:t>
      </w:r>
    </w:p>
    <w:p w14:paraId="413B41CA">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浙江艺术职业学院</w:t>
      </w:r>
      <w:r>
        <w:rPr>
          <w:rFonts w:hint="eastAsia" w:ascii="宋体" w:hAnsi="宋体" w:cs="宋体"/>
          <w:color w:val="auto"/>
          <w:sz w:val="24"/>
          <w:highlight w:val="none"/>
        </w:rPr>
        <w:t xml:space="preserve"> </w:t>
      </w:r>
    </w:p>
    <w:p w14:paraId="55F8CE56">
      <w:pPr>
        <w:shd w:val="clear" w:color="auto" w:fill="auto"/>
        <w:snapToGri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杭州市滨江区滨文路518号</w:t>
      </w:r>
    </w:p>
    <w:p w14:paraId="2F7AAB2C">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项目联系人（询问）： 鲁老师</w:t>
      </w:r>
    </w:p>
    <w:p w14:paraId="42BF6FA8">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项目联系方式（询问）：0571-87160082 </w:t>
      </w:r>
    </w:p>
    <w:p w14:paraId="2653C249">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质疑联系人： 吴老师</w:t>
      </w:r>
    </w:p>
    <w:p w14:paraId="2470C9B4">
      <w:pPr>
        <w:shd w:val="clear" w:color="auto" w:fill="auto"/>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质疑联系方式： 0571-87150820</w:t>
      </w:r>
    </w:p>
    <w:p w14:paraId="47C1C671">
      <w:pPr>
        <w:shd w:val="clear" w:color="auto" w:fill="auto"/>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2.采购代理机构信息</w:t>
      </w:r>
    </w:p>
    <w:p w14:paraId="4EED57DC">
      <w:pPr>
        <w:shd w:val="clear" w:color="auto" w:fill="auto"/>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名</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称：</w:t>
      </w:r>
      <w:r>
        <w:rPr>
          <w:rFonts w:hint="eastAsia" w:ascii="宋体" w:hAnsi="宋体" w:cs="宋体"/>
          <w:color w:val="auto"/>
          <w:sz w:val="24"/>
          <w:highlight w:val="none"/>
          <w:lang w:eastAsia="zh-CN"/>
        </w:rPr>
        <w:t>浙江致信招标代理有限公司</w:t>
      </w:r>
    </w:p>
    <w:p w14:paraId="79556AF9">
      <w:pPr>
        <w:shd w:val="clear" w:color="auto" w:fill="auto"/>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地  址：</w:t>
      </w:r>
      <w:r>
        <w:rPr>
          <w:rFonts w:hint="eastAsia" w:ascii="宋体" w:hAnsi="宋体" w:cs="宋体"/>
          <w:color w:val="auto"/>
          <w:sz w:val="24"/>
          <w:highlight w:val="none"/>
          <w:lang w:val="en-US" w:eastAsia="zh-CN"/>
        </w:rPr>
        <w:t>浙江省杭州市西湖区天目山路7号1号楼裙楼</w:t>
      </w:r>
    </w:p>
    <w:p w14:paraId="7D446C7C">
      <w:pPr>
        <w:shd w:val="clear" w:color="auto" w:fill="auto"/>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项目联系人（询问）：</w:t>
      </w:r>
      <w:r>
        <w:rPr>
          <w:rFonts w:hint="eastAsia" w:ascii="宋体" w:hAnsi="宋体" w:cs="宋体"/>
          <w:color w:val="auto"/>
          <w:sz w:val="24"/>
          <w:highlight w:val="none"/>
          <w:lang w:val="en-US" w:eastAsia="zh-CN"/>
        </w:rPr>
        <w:t>徐工、王金玉、张笑文</w:t>
      </w:r>
    </w:p>
    <w:p w14:paraId="11F28A92">
      <w:pPr>
        <w:shd w:val="clear" w:color="auto" w:fill="auto"/>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项目联系方式（询问）：0571-85388866</w:t>
      </w:r>
    </w:p>
    <w:p w14:paraId="1DD1B73F">
      <w:pPr>
        <w:shd w:val="clear" w:color="auto" w:fill="auto"/>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质疑联系人：俞工</w:t>
      </w:r>
    </w:p>
    <w:p w14:paraId="7E80A06E">
      <w:pPr>
        <w:shd w:val="clear" w:color="auto" w:fill="auto"/>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质疑联系方式：0571-88026807</w:t>
      </w:r>
    </w:p>
    <w:p w14:paraId="42DB936F">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3.同级政府采购监督管理部门</w:t>
      </w:r>
    </w:p>
    <w:p w14:paraId="61987591">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名  称：浙江省财政厅政府采购监管处、浙江省政府采购行政裁决服务中心（杭州）</w:t>
      </w:r>
    </w:p>
    <w:p w14:paraId="15E129CF">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地  址：浙江省杭州市上城区四季青街道新业路市民之家G03办公室</w:t>
      </w:r>
    </w:p>
    <w:p w14:paraId="49610540">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传  真：/</w:t>
      </w:r>
    </w:p>
    <w:p w14:paraId="232EF94C">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联系人：朱女士、王女士</w:t>
      </w:r>
    </w:p>
    <w:p w14:paraId="798F2CCB">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监督投诉电话：0571-85252453</w:t>
      </w:r>
    </w:p>
    <w:p w14:paraId="76488649">
      <w:pPr>
        <w:shd w:val="clear" w:color="auto" w:fill="auto"/>
        <w:snapToGrid w:val="0"/>
        <w:spacing w:line="360" w:lineRule="auto"/>
        <w:ind w:firstLine="480" w:firstLineChars="200"/>
        <w:rPr>
          <w:rFonts w:hint="eastAsia" w:ascii="宋体" w:hAnsi="宋体" w:cs="宋体"/>
          <w:color w:val="auto"/>
          <w:sz w:val="24"/>
          <w:highlight w:val="none"/>
        </w:rPr>
      </w:pPr>
    </w:p>
    <w:p w14:paraId="40472C93">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政策咨询：何一平、冯华，0571-87058424、87055741</w:t>
      </w:r>
    </w:p>
    <w:p w14:paraId="1C7FD55A">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预算金额未达100万元的采购项目，由采购人处理采购争议。</w:t>
      </w:r>
    </w:p>
    <w:p w14:paraId="7F705796">
      <w:pPr>
        <w:shd w:val="clear" w:color="auto" w:fill="auto"/>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若对项目采购电子交易系统操作有疑问，可登录政采云（https://www.zcygov.cn/），点击右侧咨询小采，获取采小蜜智能服务管家帮助，或拨打政采云服务热线400-881-7190获取热线服务帮助。       </w:t>
      </w:r>
    </w:p>
    <w:p w14:paraId="0CBFB0F1">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color w:val="auto"/>
          <w:highlight w:val="none"/>
        </w:rPr>
      </w:pPr>
      <w:r>
        <w:rPr>
          <w:rFonts w:hint="eastAsia" w:ascii="宋体" w:hAnsi="宋体" w:cs="宋体"/>
          <w:color w:val="auto"/>
          <w:sz w:val="24"/>
          <w:highlight w:val="none"/>
        </w:rPr>
        <w:t>CA问题联系电话（人工）：汇信CA 400-888-4636；天谷CA 400-087-8198。</w:t>
      </w:r>
    </w:p>
    <w:p w14:paraId="509A3FA3">
      <w:pPr>
        <w:rPr>
          <w:color w:val="auto"/>
          <w:highlight w:val="none"/>
        </w:rPr>
        <w:sectPr>
          <w:pgSz w:w="11906" w:h="16838"/>
          <w:pgMar w:top="1440" w:right="1080" w:bottom="1440" w:left="1080" w:header="851" w:footer="992" w:gutter="0"/>
          <w:cols w:space="720" w:num="1"/>
          <w:titlePg/>
          <w:docGrid w:linePitch="312" w:charSpace="0"/>
        </w:sectPr>
      </w:pPr>
    </w:p>
    <w:p w14:paraId="1597F913">
      <w:pPr>
        <w:adjustRightInd/>
        <w:spacing w:line="360" w:lineRule="auto"/>
        <w:jc w:val="center"/>
        <w:outlineLvl w:val="0"/>
        <w:rPr>
          <w:rFonts w:ascii="宋体" w:hAnsi="宋体" w:cs="宋体"/>
          <w:b/>
          <w:color w:val="auto"/>
          <w:sz w:val="36"/>
          <w:szCs w:val="20"/>
          <w:highlight w:val="none"/>
        </w:rPr>
      </w:pPr>
      <w:bookmarkStart w:id="15" w:name="_Toc8751"/>
      <w:r>
        <w:rPr>
          <w:rFonts w:hint="eastAsia" w:ascii="宋体" w:hAnsi="宋体" w:cs="宋体"/>
          <w:b/>
          <w:color w:val="auto"/>
          <w:sz w:val="36"/>
          <w:szCs w:val="20"/>
          <w:highlight w:val="none"/>
        </w:rPr>
        <w:t>第二部分 供应商须知</w:t>
      </w:r>
      <w:bookmarkEnd w:id="15"/>
    </w:p>
    <w:bookmarkEnd w:id="11"/>
    <w:bookmarkEnd w:id="12"/>
    <w:p w14:paraId="01E0A53D">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97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2093"/>
        <w:gridCol w:w="6927"/>
      </w:tblGrid>
      <w:tr w14:paraId="2FCE1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tcPr>
          <w:p w14:paraId="490AEBD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2093" w:type="dxa"/>
            <w:vAlign w:val="center"/>
          </w:tcPr>
          <w:p w14:paraId="113CADA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927" w:type="dxa"/>
            <w:vAlign w:val="center"/>
          </w:tcPr>
          <w:p w14:paraId="6964562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1FC25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35" w:hRule="atLeast"/>
          <w:jc w:val="center"/>
        </w:trPr>
        <w:tc>
          <w:tcPr>
            <w:tcW w:w="714" w:type="dxa"/>
            <w:vAlign w:val="center"/>
          </w:tcPr>
          <w:p w14:paraId="4875887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2093" w:type="dxa"/>
            <w:vAlign w:val="center"/>
          </w:tcPr>
          <w:p w14:paraId="609DB0D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927" w:type="dxa"/>
            <w:vAlign w:val="center"/>
          </w:tcPr>
          <w:p w14:paraId="082C2E04">
            <w:pPr>
              <w:spacing w:line="360" w:lineRule="auto"/>
              <w:rPr>
                <w:rFonts w:ascii="宋体" w:hAnsi="宋体" w:cs="宋体"/>
                <w:color w:val="auto"/>
                <w:sz w:val="24"/>
                <w:highlight w:val="none"/>
              </w:rPr>
            </w:pPr>
            <w:r>
              <w:rPr>
                <w:rFonts w:hint="eastAsia" w:ascii="宋体" w:hAnsi="宋体" w:cs="宋体"/>
                <w:color w:val="auto"/>
                <w:sz w:val="24"/>
                <w:highlight w:val="none"/>
              </w:rPr>
              <w:t>标的：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浙江艺术职业学院监理服务项目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其他未列明行业 。</w:t>
            </w:r>
          </w:p>
        </w:tc>
      </w:tr>
      <w:tr w14:paraId="33330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3EFE8B05">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c>
          <w:tcPr>
            <w:tcW w:w="2093" w:type="dxa"/>
            <w:vAlign w:val="center"/>
          </w:tcPr>
          <w:p w14:paraId="2CF0C081">
            <w:pPr>
              <w:snapToGrid w:val="0"/>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项目概况</w:t>
            </w:r>
          </w:p>
        </w:tc>
        <w:tc>
          <w:tcPr>
            <w:tcW w:w="6927" w:type="dxa"/>
            <w:vAlign w:val="center"/>
          </w:tcPr>
          <w:p w14:paraId="441735A9">
            <w:pPr>
              <w:spacing w:line="360" w:lineRule="auto"/>
              <w:rPr>
                <w:rFonts w:hint="default" w:ascii="宋体" w:hAnsi="宋体" w:eastAsia="宋体" w:cs="宋体"/>
                <w:color w:val="auto"/>
                <w:sz w:val="24"/>
                <w:highlight w:val="none"/>
                <w:lang w:val="en-US" w:eastAsia="zh-CN"/>
              </w:rPr>
            </w:pPr>
            <w:r>
              <w:rPr>
                <w:rFonts w:hint="default" w:ascii="宋体" w:hAnsi="宋体" w:eastAsia="宋体" w:cs="宋体"/>
                <w:color w:val="auto"/>
                <w:sz w:val="24"/>
                <w:highlight w:val="none"/>
                <w:lang w:val="en-US" w:eastAsia="zh-CN"/>
              </w:rPr>
              <w:t>1.项目名称：浙江艺术职业学院</w:t>
            </w:r>
            <w:r>
              <w:rPr>
                <w:rFonts w:hint="eastAsia" w:ascii="宋体" w:hAnsi="宋体" w:cs="宋体"/>
                <w:color w:val="auto"/>
                <w:sz w:val="24"/>
                <w:highlight w:val="none"/>
                <w:lang w:val="en-US" w:eastAsia="zh-CN"/>
              </w:rPr>
              <w:t>监理服务项目</w:t>
            </w:r>
          </w:p>
          <w:p w14:paraId="0E8A8775">
            <w:pPr>
              <w:spacing w:line="360" w:lineRule="auto"/>
              <w:rPr>
                <w:rFonts w:hint="default" w:ascii="宋体" w:hAnsi="宋体" w:eastAsia="宋体" w:cs="宋体"/>
                <w:color w:val="auto"/>
                <w:sz w:val="24"/>
                <w:highlight w:val="none"/>
                <w:lang w:val="en-US" w:eastAsia="zh-CN"/>
              </w:rPr>
            </w:pPr>
            <w:r>
              <w:rPr>
                <w:rFonts w:hint="default" w:ascii="宋体" w:hAnsi="宋体" w:eastAsia="宋体" w:cs="宋体"/>
                <w:color w:val="auto"/>
                <w:sz w:val="24"/>
                <w:highlight w:val="none"/>
                <w:lang w:val="en-US" w:eastAsia="zh-CN"/>
              </w:rPr>
              <w:t>2.项目地点：项目地点为浙江艺术职业学院。</w:t>
            </w:r>
          </w:p>
        </w:tc>
      </w:tr>
      <w:tr w14:paraId="24A04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4961FDC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2093" w:type="dxa"/>
            <w:vAlign w:val="center"/>
          </w:tcPr>
          <w:p w14:paraId="1116E072">
            <w:pPr>
              <w:snapToGrid w:val="0"/>
              <w:spacing w:line="360" w:lineRule="auto"/>
              <w:jc w:val="center"/>
              <w:rPr>
                <w:rFonts w:hint="eastAsia" w:ascii="宋体" w:hAnsi="宋体" w:cs="宋体"/>
                <w:b/>
                <w:color w:val="auto"/>
                <w:sz w:val="24"/>
                <w:highlight w:val="none"/>
                <w:lang w:val="en-US" w:eastAsia="zh-CN"/>
              </w:rPr>
            </w:pPr>
            <w:r>
              <w:rPr>
                <w:rFonts w:hint="eastAsia" w:ascii="宋体" w:hAnsi="宋体" w:cs="宋体"/>
                <w:b/>
                <w:color w:val="auto"/>
                <w:sz w:val="24"/>
                <w:highlight w:val="none"/>
                <w:lang w:val="en-US" w:eastAsia="zh-CN"/>
              </w:rPr>
              <w:t>磋商答疑时间</w:t>
            </w:r>
          </w:p>
        </w:tc>
        <w:tc>
          <w:tcPr>
            <w:tcW w:w="6927" w:type="dxa"/>
            <w:vAlign w:val="center"/>
          </w:tcPr>
          <w:p w14:paraId="49999A5E">
            <w:pPr>
              <w:spacing w:line="360" w:lineRule="auto"/>
              <w:rPr>
                <w:rFonts w:hint="eastAsia" w:ascii="宋体" w:hAnsi="宋体" w:cs="宋体"/>
                <w:color w:val="auto"/>
                <w:sz w:val="24"/>
                <w:highlight w:val="none"/>
                <w:u w:val="none"/>
                <w:lang w:val="en-US" w:eastAsia="zh-CN"/>
              </w:rPr>
            </w:pPr>
            <w:r>
              <w:rPr>
                <w:rFonts w:hint="eastAsia" w:ascii="宋体" w:hAnsi="宋体" w:cs="宋体"/>
                <w:color w:val="auto"/>
                <w:sz w:val="24"/>
                <w:highlight w:val="none"/>
                <w:u w:val="none"/>
                <w:lang w:val="en-US" w:eastAsia="zh-CN"/>
              </w:rPr>
              <w:t>供应商对磋商文件有异议的，应当在2025年</w:t>
            </w:r>
            <w:r>
              <w:rPr>
                <w:rFonts w:hint="eastAsia" w:ascii="宋体" w:hAnsi="宋体" w:cs="宋体"/>
                <w:color w:val="auto"/>
                <w:sz w:val="24"/>
                <w:highlight w:val="none"/>
                <w:u w:val="none"/>
                <w:lang w:val="en-US" w:eastAsia="zh-CN"/>
              </w:rPr>
              <w:t>XX月XX日</w:t>
            </w:r>
            <w:r>
              <w:rPr>
                <w:rFonts w:hint="eastAsia" w:ascii="宋体" w:hAnsi="宋体" w:cs="宋体"/>
                <w:color w:val="auto"/>
                <w:sz w:val="24"/>
                <w:highlight w:val="none"/>
                <w:u w:val="none"/>
                <w:lang w:val="en-US" w:eastAsia="zh-CN"/>
              </w:rPr>
              <w:t>17：00前以书面（含传真）形式向采购代理机构一次性提出，采购人将在规定的时间内统一进行澄清和修改，并书面（含传真、政采云提示等）通知所有依法获取磋商文件的供应商。供应商未按规定要求提出的，则视同认可磋商文件，但法律法规及规范性文件有明确规定的除外。</w:t>
            </w:r>
          </w:p>
        </w:tc>
      </w:tr>
      <w:tr w14:paraId="3FF82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489AB49C">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c>
          <w:tcPr>
            <w:tcW w:w="2093" w:type="dxa"/>
            <w:vAlign w:val="center"/>
          </w:tcPr>
          <w:p w14:paraId="447B45ED">
            <w:pPr>
              <w:snapToGrid w:val="0"/>
              <w:spacing w:line="360" w:lineRule="auto"/>
              <w:jc w:val="center"/>
              <w:rPr>
                <w:rFonts w:hint="eastAsia" w:ascii="宋体" w:hAnsi="宋体" w:cs="宋体"/>
                <w:b/>
                <w:color w:val="auto"/>
                <w:sz w:val="24"/>
                <w:highlight w:val="none"/>
              </w:rPr>
            </w:pPr>
            <w:r>
              <w:rPr>
                <w:rFonts w:hint="eastAsia" w:ascii="宋体" w:hAnsi="宋体"/>
                <w:b/>
                <w:bCs w:val="0"/>
                <w:color w:val="auto"/>
                <w:sz w:val="24"/>
                <w:highlight w:val="none"/>
              </w:rPr>
              <w:t>磋商</w:t>
            </w:r>
            <w:r>
              <w:rPr>
                <w:rFonts w:hint="eastAsia" w:ascii="宋体" w:hAnsi="宋体"/>
                <w:b/>
                <w:bCs w:val="0"/>
                <w:color w:val="auto"/>
                <w:sz w:val="24"/>
                <w:highlight w:val="none"/>
                <w:lang w:val="en-US" w:eastAsia="zh-CN"/>
              </w:rPr>
              <w:t>响应截止</w:t>
            </w:r>
            <w:r>
              <w:rPr>
                <w:rFonts w:hint="eastAsia" w:ascii="宋体" w:hAnsi="宋体"/>
                <w:b/>
                <w:bCs w:val="0"/>
                <w:color w:val="auto"/>
                <w:sz w:val="24"/>
                <w:highlight w:val="none"/>
              </w:rPr>
              <w:t>时间及地点</w:t>
            </w:r>
          </w:p>
        </w:tc>
        <w:tc>
          <w:tcPr>
            <w:tcW w:w="6927" w:type="dxa"/>
            <w:vAlign w:val="center"/>
          </w:tcPr>
          <w:p w14:paraId="2A26DCA7">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详见：“第一部分 竞争性磋商公告”</w:t>
            </w:r>
          </w:p>
        </w:tc>
      </w:tr>
      <w:tr w14:paraId="32451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90" w:hRule="atLeast"/>
          <w:jc w:val="center"/>
        </w:trPr>
        <w:tc>
          <w:tcPr>
            <w:tcW w:w="714" w:type="dxa"/>
            <w:vAlign w:val="center"/>
          </w:tcPr>
          <w:p w14:paraId="16B1FF68">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c>
          <w:tcPr>
            <w:tcW w:w="2093" w:type="dxa"/>
            <w:vAlign w:val="center"/>
          </w:tcPr>
          <w:p w14:paraId="0D43B8A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分包</w:t>
            </w:r>
          </w:p>
        </w:tc>
        <w:tc>
          <w:tcPr>
            <w:tcW w:w="6927" w:type="dxa"/>
            <w:vAlign w:val="center"/>
          </w:tcPr>
          <w:p w14:paraId="2891D7A2">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47475417"/>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sym w:font="Wingdings" w:char="00FE"/>
                </w:r>
              </w:sdtContent>
            </w:sdt>
            <w:sdt>
              <w:sdtPr>
                <w:rPr>
                  <w:rFonts w:hint="default" w:ascii="宋体" w:hAnsi="宋体" w:cs="宋体"/>
                  <w:color w:val="auto"/>
                  <w:kern w:val="0"/>
                  <w:sz w:val="24"/>
                  <w:highlight w:val="none"/>
                  <w:lang w:val="en-US"/>
                </w:rPr>
                <w:id w:val="-1477286927"/>
              </w:sdtPr>
              <w:sdtEndPr>
                <w:rPr>
                  <w:rFonts w:hint="eastAsia" w:ascii="宋体" w:hAnsi="宋体" w:cs="宋体"/>
                  <w:color w:val="auto"/>
                  <w:kern w:val="0"/>
                  <w:sz w:val="24"/>
                  <w:highlight w:val="none"/>
                  <w:lang w:val="en-US"/>
                </w:rPr>
              </w:sdtEndPr>
              <w:sdtContent>
                <w:r>
                  <w:rPr>
                    <w:rFonts w:hint="eastAsia" w:ascii="宋体" w:hAnsi="宋体" w:cs="宋体"/>
                    <w:color w:val="auto"/>
                    <w:kern w:val="0"/>
                    <w:sz w:val="24"/>
                    <w:highlight w:val="none"/>
                    <w:lang w:val="en-US" w:eastAsia="zh-CN"/>
                  </w:rPr>
                  <w:t xml:space="preserve"> </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同意将非主体、非关键性的工作分包。</w:t>
            </w:r>
          </w:p>
          <w:p w14:paraId="58D7A3A9">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sym w:font="Wingdings" w:char="00A8"/>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202B63C1">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382EB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17" w:hRule="atLeast"/>
          <w:jc w:val="center"/>
        </w:trPr>
        <w:tc>
          <w:tcPr>
            <w:tcW w:w="714" w:type="dxa"/>
            <w:vAlign w:val="center"/>
          </w:tcPr>
          <w:p w14:paraId="57E8084D">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6</w:t>
            </w:r>
          </w:p>
        </w:tc>
        <w:tc>
          <w:tcPr>
            <w:tcW w:w="2093" w:type="dxa"/>
            <w:vAlign w:val="center"/>
          </w:tcPr>
          <w:p w14:paraId="73DA548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磋商前答疑会或现场考察</w:t>
            </w:r>
          </w:p>
        </w:tc>
        <w:tc>
          <w:tcPr>
            <w:tcW w:w="6927" w:type="dxa"/>
            <w:vAlign w:val="center"/>
          </w:tcPr>
          <w:p w14:paraId="755CED29">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212966419"/>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42FEAC23">
            <w:pPr>
              <w:spacing w:line="360" w:lineRule="auto"/>
              <w:rPr>
                <w:rFonts w:ascii="宋体" w:hAnsi="宋体" w:cs="宋体"/>
                <w:color w:val="auto"/>
                <w:sz w:val="24"/>
                <w:szCs w:val="20"/>
                <w:highlight w:val="none"/>
              </w:rPr>
            </w:pPr>
            <w:sdt>
              <w:sdtPr>
                <w:rPr>
                  <w:rFonts w:hint="eastAsia" w:ascii="宋体" w:hAnsi="宋体" w:cs="宋体"/>
                  <w:color w:val="auto"/>
                  <w:kern w:val="0"/>
                  <w:sz w:val="24"/>
                  <w:highlight w:val="none"/>
                </w:rPr>
                <w:id w:val="-999802974"/>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时间：,地点：，联系人：，联系方式：</w:t>
            </w:r>
            <w:r>
              <w:rPr>
                <w:rFonts w:hint="eastAsia" w:ascii="宋体" w:hAnsi="宋体" w:cs="宋体"/>
                <w:color w:val="auto"/>
                <w:sz w:val="24"/>
                <w:szCs w:val="20"/>
                <w:highlight w:val="none"/>
              </w:rPr>
              <w:t>。</w:t>
            </w:r>
          </w:p>
        </w:tc>
      </w:tr>
      <w:tr w14:paraId="4C43F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846" w:hRule="atLeast"/>
          <w:jc w:val="center"/>
        </w:trPr>
        <w:tc>
          <w:tcPr>
            <w:tcW w:w="714" w:type="dxa"/>
            <w:vAlign w:val="center"/>
          </w:tcPr>
          <w:p w14:paraId="7D0E35AB">
            <w:pPr>
              <w:snapToGrid w:val="0"/>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7</w:t>
            </w:r>
          </w:p>
        </w:tc>
        <w:tc>
          <w:tcPr>
            <w:tcW w:w="2093" w:type="dxa"/>
            <w:vMerge w:val="restart"/>
            <w:vAlign w:val="center"/>
          </w:tcPr>
          <w:p w14:paraId="68BE37C8">
            <w:pPr>
              <w:snapToGrid w:val="0"/>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响应文件的组成及编制</w:t>
            </w:r>
          </w:p>
        </w:tc>
        <w:tc>
          <w:tcPr>
            <w:tcW w:w="6927" w:type="dxa"/>
            <w:vMerge w:val="restart"/>
            <w:vAlign w:val="center"/>
          </w:tcPr>
          <w:p w14:paraId="6E597B6C">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磋商响应文件由</w:t>
            </w:r>
            <w:r>
              <w:rPr>
                <w:rFonts w:hint="eastAsia" w:ascii="宋体" w:hAnsi="宋体" w:cs="宋体"/>
                <w:color w:val="auto"/>
                <w:sz w:val="24"/>
                <w:highlight w:val="none"/>
              </w:rPr>
              <w:t>资格证明文件</w:t>
            </w:r>
            <w:r>
              <w:rPr>
                <w:rFonts w:hint="eastAsia" w:ascii="宋体" w:hAnsi="宋体" w:cs="宋体"/>
                <w:color w:val="auto"/>
                <w:sz w:val="24"/>
                <w:highlight w:val="none"/>
                <w:lang w:eastAsia="zh-CN"/>
              </w:rPr>
              <w:t>、</w:t>
            </w:r>
            <w:r>
              <w:rPr>
                <w:rFonts w:hint="eastAsia" w:ascii="宋体" w:hAnsi="宋体" w:cs="宋体"/>
                <w:color w:val="auto"/>
                <w:sz w:val="24"/>
                <w:highlight w:val="none"/>
              </w:rPr>
              <w:t>资信证明</w:t>
            </w:r>
            <w:r>
              <w:rPr>
                <w:rFonts w:hint="eastAsia" w:ascii="宋体" w:hAnsi="宋体" w:cs="宋体"/>
                <w:color w:val="auto"/>
                <w:sz w:val="24"/>
                <w:highlight w:val="none"/>
                <w:lang w:val="en-US" w:eastAsia="zh-CN"/>
              </w:rPr>
              <w:t>文件、报价文件三部分组成。</w:t>
            </w:r>
          </w:p>
          <w:p w14:paraId="28FDC7EC">
            <w:pPr>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注：</w:t>
            </w:r>
            <w:r>
              <w:rPr>
                <w:rFonts w:hint="eastAsia" w:ascii="宋体" w:hAnsi="宋体" w:cs="宋体"/>
                <w:color w:val="auto"/>
                <w:kern w:val="0"/>
                <w:sz w:val="24"/>
                <w:highlight w:val="none"/>
                <w:lang w:val="zh-CN"/>
              </w:rPr>
              <w:t>供应商未提供有效的资格证明文件的，视为供应商不具备采购文件中规定的资格要求，响应文件无效。</w:t>
            </w:r>
          </w:p>
          <w:p w14:paraId="32D1B5F7">
            <w:pPr>
              <w:spacing w:line="360" w:lineRule="auto"/>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cs="宋体"/>
                <w:color w:val="auto"/>
                <w:sz w:val="24"/>
                <w:highlight w:val="none"/>
              </w:rPr>
              <w:t>响应文件编制：供应商应先安装“政采云电子交易客户端”，并按照本竞争性磋商文件和“政采云平台”的要求，通过“政采云电子交易客户端”编制并加密响应文件。</w:t>
            </w:r>
          </w:p>
          <w:p w14:paraId="75FFE6E5">
            <w:pPr>
              <w:spacing w:line="360" w:lineRule="auto"/>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lang w:eastAsia="zh-CN"/>
              </w:rPr>
              <w:t>）</w:t>
            </w:r>
            <w:r>
              <w:rPr>
                <w:rFonts w:hint="eastAsia" w:ascii="宋体" w:hAnsi="宋体" w:cs="宋体"/>
                <w:color w:val="auto"/>
                <w:sz w:val="24"/>
                <w:highlight w:val="none"/>
              </w:rPr>
              <w:t>响应文件的形式：电子响应文件（包括“电子加密投响应文件”和“备份响应文件”，在磋商响应文件编制完成后同时生成）。</w:t>
            </w:r>
          </w:p>
          <w:p w14:paraId="4FF0AFD1">
            <w:pPr>
              <w:spacing w:line="360" w:lineRule="auto"/>
              <w:rPr>
                <w:rFonts w:hint="eastAsia" w:ascii="宋体" w:hAnsi="宋体" w:cs="宋体"/>
                <w:color w:val="auto"/>
                <w:sz w:val="24"/>
                <w:highlight w:val="none"/>
              </w:rPr>
            </w:pPr>
            <w:r>
              <w:rPr>
                <w:rFonts w:hint="eastAsia" w:ascii="宋体" w:hAnsi="宋体" w:cs="宋体"/>
                <w:color w:val="auto"/>
                <w:sz w:val="24"/>
                <w:highlight w:val="none"/>
              </w:rPr>
              <w:t>“电子加密响应文件”是指通过“政采云电子交易客户端”完成磋商响应文件编制后生成并加密的数据电文形式的响应文件；“备份响应文件”是指与“电子加密响应文件”同时生成的数据电文形式的电子文件，其他方式编制的备份响应文件无效。</w:t>
            </w:r>
          </w:p>
          <w:p w14:paraId="18BB41E5">
            <w:pPr>
              <w:spacing w:line="360" w:lineRule="auto"/>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w:t>
            </w:r>
            <w:r>
              <w:rPr>
                <w:rFonts w:hint="eastAsia" w:ascii="宋体" w:hAnsi="宋体" w:cs="宋体"/>
                <w:color w:val="auto"/>
                <w:sz w:val="24"/>
                <w:highlight w:val="none"/>
              </w:rPr>
              <w:t>响应文件份数：“电子加密响应文件”：在线上传递交一份，“备份响应文件”（供应商如需提供的）</w:t>
            </w:r>
          </w:p>
        </w:tc>
      </w:tr>
      <w:tr w14:paraId="5B864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59C54249">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8</w:t>
            </w:r>
          </w:p>
        </w:tc>
        <w:tc>
          <w:tcPr>
            <w:tcW w:w="2093" w:type="dxa"/>
            <w:vMerge w:val="continue"/>
            <w:vAlign w:val="center"/>
          </w:tcPr>
          <w:p w14:paraId="56B33F10">
            <w:pPr>
              <w:snapToGrid w:val="0"/>
              <w:spacing w:line="360" w:lineRule="auto"/>
              <w:jc w:val="center"/>
              <w:rPr>
                <w:rFonts w:ascii="宋体" w:hAnsi="宋体" w:cs="宋体"/>
                <w:b/>
                <w:color w:val="auto"/>
                <w:sz w:val="24"/>
                <w:highlight w:val="none"/>
              </w:rPr>
            </w:pPr>
          </w:p>
        </w:tc>
        <w:tc>
          <w:tcPr>
            <w:tcW w:w="6927" w:type="dxa"/>
            <w:vMerge w:val="continue"/>
            <w:vAlign w:val="center"/>
          </w:tcPr>
          <w:p w14:paraId="6AD93AD1">
            <w:pPr>
              <w:spacing w:line="360" w:lineRule="auto"/>
              <w:rPr>
                <w:rFonts w:hint="eastAsia" w:ascii="宋体" w:hAnsi="宋体" w:cs="宋体"/>
                <w:color w:val="auto"/>
                <w:sz w:val="24"/>
                <w:highlight w:val="none"/>
              </w:rPr>
            </w:pPr>
          </w:p>
        </w:tc>
      </w:tr>
      <w:tr w14:paraId="4C8ED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714" w:type="dxa"/>
            <w:vAlign w:val="center"/>
          </w:tcPr>
          <w:p w14:paraId="2E868821">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2093" w:type="dxa"/>
            <w:vAlign w:val="center"/>
          </w:tcPr>
          <w:p w14:paraId="01B71946">
            <w:pPr>
              <w:snapToGrid w:val="0"/>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响应文件的上传、递交</w:t>
            </w:r>
          </w:p>
        </w:tc>
        <w:tc>
          <w:tcPr>
            <w:tcW w:w="6927" w:type="dxa"/>
            <w:vAlign w:val="center"/>
          </w:tcPr>
          <w:p w14:paraId="723F40E4">
            <w:pPr>
              <w:spacing w:line="360" w:lineRule="auto"/>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lang w:eastAsia="zh-CN"/>
              </w:rPr>
              <w:t>）</w:t>
            </w:r>
            <w:r>
              <w:rPr>
                <w:rFonts w:hint="eastAsia" w:ascii="宋体" w:hAnsi="宋体" w:cs="宋体"/>
                <w:color w:val="auto"/>
                <w:sz w:val="24"/>
                <w:highlight w:val="none"/>
              </w:rPr>
              <w:t>本项目实行电子招投标。</w:t>
            </w:r>
          </w:p>
          <w:p w14:paraId="534C0635">
            <w:pPr>
              <w:spacing w:line="360" w:lineRule="auto"/>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cs="宋体"/>
                <w:color w:val="auto"/>
                <w:sz w:val="24"/>
                <w:highlight w:val="none"/>
              </w:rPr>
              <w:t>供应商应按要求提供电子响应文件：</w:t>
            </w:r>
            <w:r>
              <w:rPr>
                <w:rFonts w:hint="eastAsia" w:ascii="宋体" w:hAnsi="宋体" w:cs="宋体"/>
                <w:color w:val="auto"/>
                <w:sz w:val="24"/>
                <w:highlight w:val="none"/>
                <w:lang w:val="en-US" w:eastAsia="zh-CN"/>
              </w:rPr>
              <w:t>①</w:t>
            </w:r>
            <w:r>
              <w:rPr>
                <w:rFonts w:hint="eastAsia" w:ascii="宋体" w:hAnsi="宋体" w:cs="宋体"/>
                <w:color w:val="auto"/>
                <w:sz w:val="24"/>
                <w:highlight w:val="none"/>
              </w:rPr>
              <w:t>按政采云平台项目采购-电子交易操作指南及本磋商文件要求制作、加密并递交，超过上传时间的视为放弃投标资格，作无效标处理；通过“政采云平台”上传递交的“电子加密响应文件”无法按时解密，供应商递交了备份响应文件的，以备份响应文件为依据，否则视为磋商响应文件撤回。</w:t>
            </w:r>
          </w:p>
          <w:p w14:paraId="5AF4DB5C">
            <w:pPr>
              <w:spacing w:line="360" w:lineRule="auto"/>
              <w:rPr>
                <w:rFonts w:hint="eastAsia" w:ascii="宋体" w:hAnsi="宋体" w:cs="宋体"/>
                <w:color w:val="auto"/>
                <w:sz w:val="24"/>
                <w:highlight w:val="none"/>
              </w:rPr>
            </w:pPr>
            <w:r>
              <w:rPr>
                <w:rFonts w:hint="eastAsia" w:ascii="宋体" w:hAnsi="宋体" w:cs="宋体"/>
                <w:color w:val="auto"/>
                <w:sz w:val="24"/>
                <w:highlight w:val="none"/>
                <w:lang w:val="en-US" w:eastAsia="zh-CN"/>
              </w:rPr>
              <w:t>②</w:t>
            </w:r>
            <w:r>
              <w:rPr>
                <w:rFonts w:hint="eastAsia" w:ascii="宋体" w:hAnsi="宋体" w:cs="宋体"/>
                <w:color w:val="auto"/>
                <w:sz w:val="24"/>
                <w:highlight w:val="none"/>
              </w:rPr>
              <w:t>供应商应当在磋商响应截止时间前完成电子响应文件的传输递交，磋商响应截止时间前可以补充、修改或者撤回电子响应文件。补充或者修改电子响应文件的，应当先行撤回原文件，补充、修改后重新传输递交。磋商响应截止时间前未完成传输的，视为撤回响应文件。磋商响应截止时间后递交的响应文件，电子交易平台将拒收。</w:t>
            </w:r>
          </w:p>
          <w:p w14:paraId="6C339E10">
            <w:pPr>
              <w:spacing w:line="360" w:lineRule="auto"/>
              <w:rPr>
                <w:rFonts w:hint="eastAsia" w:ascii="宋体" w:hAnsi="宋体" w:cs="宋体"/>
                <w:color w:val="auto"/>
                <w:sz w:val="24"/>
                <w:highlight w:val="none"/>
              </w:rPr>
            </w:pPr>
            <w:r>
              <w:rPr>
                <w:rFonts w:hint="eastAsia" w:ascii="宋体" w:hAnsi="宋体" w:cs="宋体"/>
                <w:color w:val="auto"/>
                <w:sz w:val="24"/>
                <w:highlight w:val="none"/>
                <w:lang w:val="en-US" w:eastAsia="zh-CN"/>
              </w:rPr>
              <w:t>③</w:t>
            </w:r>
            <w:r>
              <w:rPr>
                <w:rFonts w:hint="eastAsia" w:ascii="宋体" w:hAnsi="宋体" w:cs="宋体"/>
                <w:color w:val="auto"/>
                <w:sz w:val="24"/>
                <w:highlight w:val="none"/>
              </w:rPr>
              <w:t>“电子加密响应文件”成功上传递交后，供应商可自行打印响应文件接收回执</w:t>
            </w:r>
          </w:p>
        </w:tc>
      </w:tr>
      <w:tr w14:paraId="3343D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066" w:hRule="atLeast"/>
          <w:jc w:val="center"/>
        </w:trPr>
        <w:tc>
          <w:tcPr>
            <w:tcW w:w="714" w:type="dxa"/>
            <w:vAlign w:val="center"/>
          </w:tcPr>
          <w:p w14:paraId="371DF21E">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c>
          <w:tcPr>
            <w:tcW w:w="2093" w:type="dxa"/>
            <w:vAlign w:val="center"/>
          </w:tcPr>
          <w:p w14:paraId="5D673B47">
            <w:pPr>
              <w:snapToGrid w:val="0"/>
              <w:spacing w:line="360" w:lineRule="auto"/>
              <w:jc w:val="center"/>
              <w:rPr>
                <w:rFonts w:hint="eastAsia" w:ascii="宋体" w:hAnsi="宋体" w:cs="宋体"/>
                <w:b/>
                <w:color w:val="auto"/>
                <w:sz w:val="24"/>
                <w:highlight w:val="none"/>
                <w:lang w:val="en-US" w:eastAsia="zh-CN"/>
              </w:rPr>
            </w:pPr>
            <w:r>
              <w:rPr>
                <w:rFonts w:hint="eastAsia" w:ascii="宋体" w:hAnsi="宋体" w:cs="宋体"/>
                <w:b/>
                <w:color w:val="auto"/>
                <w:sz w:val="24"/>
                <w:highlight w:val="none"/>
              </w:rPr>
              <w:t>备份响应文件送达地点和签收人员</w:t>
            </w:r>
          </w:p>
        </w:tc>
        <w:tc>
          <w:tcPr>
            <w:tcW w:w="6927" w:type="dxa"/>
            <w:vAlign w:val="center"/>
          </w:tcPr>
          <w:p w14:paraId="7420747F">
            <w:pPr>
              <w:pStyle w:val="33"/>
              <w:spacing w:line="360" w:lineRule="auto"/>
              <w:rPr>
                <w:rFonts w:hAnsi="宋体" w:cs="宋体"/>
                <w:color w:val="auto"/>
                <w:kern w:val="28"/>
                <w:sz w:val="24"/>
                <w:szCs w:val="24"/>
                <w:highlight w:val="none"/>
              </w:rPr>
            </w:pPr>
            <w:r>
              <w:rPr>
                <w:rFonts w:hint="eastAsia" w:hAnsi="宋体" w:cs="宋体"/>
                <w:color w:val="auto"/>
                <w:kern w:val="28"/>
                <w:sz w:val="24"/>
                <w:szCs w:val="24"/>
                <w:highlight w:val="none"/>
              </w:rPr>
              <w:t>备份响应文件送达地点：</w:t>
            </w:r>
            <w:r>
              <w:rPr>
                <w:rFonts w:hint="eastAsia" w:hAnsi="宋体" w:cs="宋体"/>
                <w:color w:val="auto"/>
                <w:sz w:val="24"/>
                <w:highlight w:val="none"/>
                <w:u w:val="single"/>
                <w:lang w:eastAsia="zh-CN"/>
              </w:rPr>
              <w:t>杭州市西湖区东海宾馆裙楼301室</w:t>
            </w:r>
            <w:r>
              <w:rPr>
                <w:rFonts w:hint="eastAsia" w:hAnsi="宋体" w:cs="宋体"/>
                <w:color w:val="auto"/>
                <w:kern w:val="28"/>
                <w:sz w:val="24"/>
                <w:szCs w:val="24"/>
                <w:highlight w:val="none"/>
              </w:rPr>
              <w:t>；</w:t>
            </w:r>
          </w:p>
          <w:p w14:paraId="256D25BE">
            <w:pPr>
              <w:pStyle w:val="33"/>
              <w:spacing w:line="360" w:lineRule="auto"/>
              <w:rPr>
                <w:rFonts w:hAnsi="宋体" w:cs="宋体"/>
                <w:color w:val="auto"/>
                <w:sz w:val="24"/>
                <w:szCs w:val="24"/>
                <w:highlight w:val="none"/>
              </w:rPr>
            </w:pPr>
            <w:r>
              <w:rPr>
                <w:rFonts w:hint="eastAsia" w:hAnsi="宋体" w:cs="宋体"/>
                <w:color w:val="auto"/>
                <w:kern w:val="28"/>
                <w:sz w:val="24"/>
                <w:szCs w:val="24"/>
                <w:highlight w:val="none"/>
              </w:rPr>
              <w:t>备份响应文件签收人员联系电话：</w:t>
            </w:r>
            <w:r>
              <w:rPr>
                <w:rFonts w:hint="eastAsia" w:hAnsi="宋体" w:cs="宋体"/>
                <w:color w:val="auto"/>
                <w:sz w:val="24"/>
                <w:highlight w:val="none"/>
                <w:u w:val="single"/>
                <w:lang w:val="en-US" w:eastAsia="zh-CN"/>
              </w:rPr>
              <w:t>徐工/17706633850</w:t>
            </w:r>
            <w:r>
              <w:rPr>
                <w:rFonts w:hint="eastAsia" w:hAnsi="宋体" w:cs="宋体"/>
                <w:color w:val="auto"/>
                <w:sz w:val="24"/>
                <w:szCs w:val="24"/>
                <w:highlight w:val="none"/>
              </w:rPr>
              <w:t>。</w:t>
            </w:r>
          </w:p>
          <w:p w14:paraId="73FC51FA">
            <w:pPr>
              <w:pStyle w:val="33"/>
              <w:spacing w:line="360" w:lineRule="auto"/>
              <w:rPr>
                <w:rFonts w:hint="eastAsia" w:ascii="宋体" w:hAnsi="宋体" w:cs="宋体"/>
                <w:color w:val="auto"/>
                <w:sz w:val="24"/>
                <w:highlight w:val="none"/>
                <w:lang w:val="en-US" w:eastAsia="zh-CN"/>
              </w:rPr>
            </w:pPr>
            <w:r>
              <w:rPr>
                <w:rFonts w:hint="eastAsia" w:hAnsi="宋体" w:cs="宋体"/>
                <w:b/>
                <w:color w:val="auto"/>
                <w:sz w:val="24"/>
                <w:szCs w:val="24"/>
                <w:highlight w:val="none"/>
              </w:rPr>
              <w:t>采购人、采购代理机构不强制或变相强制供应商提交备份响应文件。</w:t>
            </w:r>
          </w:p>
        </w:tc>
      </w:tr>
      <w:tr w14:paraId="300C5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4F055635">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w:t>
            </w:r>
          </w:p>
        </w:tc>
        <w:tc>
          <w:tcPr>
            <w:tcW w:w="2093" w:type="dxa"/>
            <w:vAlign w:val="center"/>
          </w:tcPr>
          <w:p w14:paraId="68964FDA">
            <w:pPr>
              <w:snapToGrid w:val="0"/>
              <w:spacing w:line="360" w:lineRule="auto"/>
              <w:jc w:val="center"/>
              <w:rPr>
                <w:rFonts w:hint="eastAsia" w:ascii="宋体" w:hAnsi="宋体" w:cs="宋体"/>
                <w:color w:val="auto"/>
                <w:sz w:val="24"/>
                <w:highlight w:val="none"/>
                <w:lang w:val="en-US" w:eastAsia="zh-CN"/>
              </w:rPr>
            </w:pPr>
            <w:r>
              <w:rPr>
                <w:rFonts w:hint="eastAsia" w:ascii="宋体" w:hAnsi="宋体" w:cs="宋体"/>
                <w:b/>
                <w:bCs/>
                <w:color w:val="auto"/>
                <w:sz w:val="24"/>
                <w:highlight w:val="none"/>
                <w:lang w:val="en-US" w:eastAsia="zh-CN"/>
              </w:rPr>
              <w:t>电子加密响应文件的解密和异常情况处理</w:t>
            </w:r>
          </w:p>
        </w:tc>
        <w:tc>
          <w:tcPr>
            <w:tcW w:w="6927" w:type="dxa"/>
            <w:vAlign w:val="center"/>
          </w:tcPr>
          <w:p w14:paraId="77D3B013">
            <w:pPr>
              <w:spacing w:line="440" w:lineRule="exact"/>
              <w:rPr>
                <w:rFonts w:ascii="宋体" w:hAnsi="宋体"/>
                <w:color w:val="auto"/>
                <w:sz w:val="24"/>
                <w:highlight w:val="none"/>
              </w:rPr>
            </w:pPr>
            <w:r>
              <w:rPr>
                <w:rFonts w:hint="eastAsia" w:ascii="宋体" w:hAnsi="宋体"/>
                <w:color w:val="auto"/>
                <w:sz w:val="24"/>
                <w:highlight w:val="none"/>
              </w:rPr>
              <w:t>（1）开标后，采购组织机构将向各供应商发出“电子加密响应文件”的解密通知，各供应商代表应当在接到解密通知后30分钟内自行完成“电子加密响应文件”的在线解密。</w:t>
            </w:r>
          </w:p>
          <w:p w14:paraId="1E808439">
            <w:pPr>
              <w:spacing w:line="440" w:lineRule="exact"/>
              <w:rPr>
                <w:rFonts w:ascii="宋体" w:hAnsi="宋体"/>
                <w:color w:val="auto"/>
                <w:sz w:val="24"/>
                <w:highlight w:val="none"/>
              </w:rPr>
            </w:pPr>
            <w:r>
              <w:rPr>
                <w:rFonts w:hint="eastAsia" w:ascii="宋体" w:hAnsi="宋体"/>
                <w:color w:val="auto"/>
                <w:sz w:val="24"/>
                <w:highlight w:val="none"/>
              </w:rPr>
              <w:t>（2）通过“政采云平台”成功上传递交的“电子加密响应文件”无法按时解密的，供应商递交了备份响应文件的，以备份响应文件为依据，否则视为响应文件撤回。通过“政采云平台”上传递交的“电子加密响应文件”已按时解密的，“备份响应文件”自动失效。供应商仅递交备份响应文件的，投标无效。</w:t>
            </w:r>
          </w:p>
          <w:p w14:paraId="42B10505">
            <w:pPr>
              <w:spacing w:line="440" w:lineRule="exact"/>
              <w:rPr>
                <w:rFonts w:hint="eastAsia" w:ascii="宋体" w:hAnsi="宋体" w:eastAsia="宋体" w:cs="Times New Roman"/>
                <w:color w:val="auto"/>
                <w:kern w:val="2"/>
                <w:sz w:val="24"/>
                <w:szCs w:val="24"/>
                <w:highlight w:val="none"/>
                <w:lang w:val="en-US" w:eastAsia="zh-CN" w:bidi="ar-SA"/>
              </w:rPr>
            </w:pPr>
            <w:r>
              <w:rPr>
                <w:rFonts w:hint="eastAsia" w:ascii="宋体" w:hAnsi="宋体"/>
                <w:color w:val="auto"/>
                <w:sz w:val="24"/>
                <w:highlight w:val="none"/>
              </w:rPr>
              <w:t xml:space="preserve">3、为保障解密成功，派授权代表出席的供应商建议携带笔记本电脑及CA数字证书至开标现场完成传输、解密等事宜。（交易中心不提供无线网络，请供应商自行解决上网问题）  </w:t>
            </w:r>
          </w:p>
        </w:tc>
      </w:tr>
      <w:tr w14:paraId="4023B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243092CC">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12</w:t>
            </w:r>
          </w:p>
        </w:tc>
        <w:tc>
          <w:tcPr>
            <w:tcW w:w="2093" w:type="dxa"/>
            <w:vAlign w:val="center"/>
          </w:tcPr>
          <w:p w14:paraId="36F5A9AC">
            <w:pPr>
              <w:snapToGrid w:val="0"/>
              <w:spacing w:line="360" w:lineRule="auto"/>
              <w:jc w:val="center"/>
              <w:rPr>
                <w:rFonts w:hint="eastAsia" w:ascii="宋体" w:hAnsi="宋体" w:cs="宋体"/>
                <w:color w:val="auto"/>
                <w:sz w:val="24"/>
                <w:highlight w:val="none"/>
                <w:lang w:val="en-US" w:eastAsia="zh-CN"/>
              </w:rPr>
            </w:pPr>
            <w:r>
              <w:rPr>
                <w:rFonts w:hint="eastAsia" w:ascii="宋体" w:hAnsi="宋体" w:cs="宋体"/>
                <w:b/>
                <w:bCs/>
                <w:color w:val="auto"/>
                <w:sz w:val="24"/>
                <w:highlight w:val="none"/>
              </w:rPr>
              <w:t>可中止电子交易</w:t>
            </w:r>
            <w:r>
              <w:rPr>
                <w:rFonts w:hint="eastAsia" w:ascii="宋体" w:hAnsi="宋体" w:cs="宋体"/>
                <w:b/>
                <w:bCs/>
                <w:color w:val="auto"/>
                <w:sz w:val="24"/>
                <w:highlight w:val="none"/>
                <w:lang w:val="en-US" w:eastAsia="zh-CN"/>
              </w:rPr>
              <w:t>活动的情形</w:t>
            </w:r>
          </w:p>
        </w:tc>
        <w:tc>
          <w:tcPr>
            <w:tcW w:w="6927" w:type="dxa"/>
            <w:vAlign w:val="center"/>
          </w:tcPr>
          <w:p w14:paraId="4F23F082">
            <w:pPr>
              <w:spacing w:line="440" w:lineRule="exact"/>
              <w:rPr>
                <w:rFonts w:ascii="宋体" w:hAnsi="宋体"/>
                <w:color w:val="auto"/>
                <w:sz w:val="24"/>
                <w:highlight w:val="none"/>
              </w:rPr>
            </w:pPr>
            <w:r>
              <w:rPr>
                <w:rFonts w:hint="eastAsia" w:ascii="宋体" w:hAnsi="宋体"/>
                <w:color w:val="auto"/>
                <w:sz w:val="24"/>
                <w:highlight w:val="none"/>
              </w:rPr>
              <w:t>采购过程中出现以下情形，导致电子交易平台无法正常运行，或者无法保证电子交易的公平、公正和安全时，采购组织机构可中止电子交易活动：</w:t>
            </w:r>
          </w:p>
          <w:p w14:paraId="72F61C69">
            <w:pPr>
              <w:spacing w:line="440" w:lineRule="exact"/>
              <w:rPr>
                <w:rFonts w:ascii="宋体" w:hAnsi="宋体"/>
                <w:color w:val="auto"/>
                <w:sz w:val="24"/>
                <w:highlight w:val="none"/>
              </w:rPr>
            </w:pPr>
            <w:r>
              <w:rPr>
                <w:rFonts w:hint="eastAsia" w:ascii="宋体" w:hAnsi="宋体"/>
                <w:color w:val="auto"/>
                <w:sz w:val="24"/>
                <w:highlight w:val="none"/>
              </w:rPr>
              <w:t>（1）电子交易平台发生故障而无法登录访问的；</w:t>
            </w:r>
          </w:p>
          <w:p w14:paraId="3C0BCA64">
            <w:pPr>
              <w:spacing w:line="440" w:lineRule="exact"/>
              <w:rPr>
                <w:rFonts w:ascii="宋体" w:hAnsi="宋体"/>
                <w:color w:val="auto"/>
                <w:sz w:val="24"/>
                <w:highlight w:val="none"/>
              </w:rPr>
            </w:pPr>
            <w:r>
              <w:rPr>
                <w:rFonts w:hint="eastAsia" w:ascii="宋体" w:hAnsi="宋体"/>
                <w:color w:val="auto"/>
                <w:sz w:val="24"/>
                <w:highlight w:val="none"/>
              </w:rPr>
              <w:t>（2）电子交易平台应用或数据库出现错误，不能进行正常操作的；</w:t>
            </w:r>
          </w:p>
          <w:p w14:paraId="64B4CEC5">
            <w:pPr>
              <w:spacing w:line="440" w:lineRule="exact"/>
              <w:rPr>
                <w:rFonts w:ascii="宋体" w:hAnsi="宋体"/>
                <w:color w:val="auto"/>
                <w:sz w:val="24"/>
                <w:highlight w:val="none"/>
              </w:rPr>
            </w:pPr>
            <w:r>
              <w:rPr>
                <w:rFonts w:hint="eastAsia" w:ascii="宋体" w:hAnsi="宋体"/>
                <w:color w:val="auto"/>
                <w:sz w:val="24"/>
                <w:highlight w:val="none"/>
              </w:rPr>
              <w:t>（3）电子交易平台发现严重安全漏洞，有潜在泄密危险的；</w:t>
            </w:r>
          </w:p>
          <w:p w14:paraId="65865FF9">
            <w:pPr>
              <w:spacing w:line="440" w:lineRule="exact"/>
              <w:rPr>
                <w:rFonts w:ascii="宋体" w:hAnsi="宋体"/>
                <w:color w:val="auto"/>
                <w:sz w:val="24"/>
                <w:highlight w:val="none"/>
              </w:rPr>
            </w:pPr>
            <w:r>
              <w:rPr>
                <w:rFonts w:hint="eastAsia" w:ascii="宋体" w:hAnsi="宋体"/>
                <w:color w:val="auto"/>
                <w:sz w:val="24"/>
                <w:highlight w:val="none"/>
              </w:rPr>
              <w:t>（4）病毒发作导致不能进行正常操作的；</w:t>
            </w:r>
          </w:p>
          <w:p w14:paraId="50093886">
            <w:pPr>
              <w:spacing w:line="440" w:lineRule="exact"/>
              <w:rPr>
                <w:rFonts w:ascii="宋体" w:hAnsi="宋体"/>
                <w:color w:val="auto"/>
                <w:sz w:val="24"/>
                <w:highlight w:val="none"/>
              </w:rPr>
            </w:pPr>
            <w:r>
              <w:rPr>
                <w:rFonts w:hint="eastAsia" w:ascii="宋体" w:hAnsi="宋体"/>
                <w:color w:val="auto"/>
                <w:sz w:val="24"/>
                <w:highlight w:val="none"/>
              </w:rPr>
              <w:t>（5）其他无法保证电子交易的公平、公正和安全的情况。</w:t>
            </w:r>
          </w:p>
          <w:p w14:paraId="7CCF9AFC">
            <w:pPr>
              <w:spacing w:line="440" w:lineRule="exact"/>
              <w:rPr>
                <w:rFonts w:hint="eastAsia" w:ascii="宋体" w:hAnsi="宋体" w:eastAsia="宋体" w:cs="Times New Roman"/>
                <w:color w:val="auto"/>
                <w:kern w:val="2"/>
                <w:sz w:val="24"/>
                <w:szCs w:val="24"/>
                <w:highlight w:val="none"/>
                <w:lang w:val="en-US" w:eastAsia="zh-CN" w:bidi="ar-SA"/>
              </w:rPr>
            </w:pPr>
            <w:r>
              <w:rPr>
                <w:rFonts w:hint="eastAsia" w:ascii="宋体" w:hAnsi="宋体"/>
                <w:color w:val="auto"/>
                <w:sz w:val="24"/>
                <w:highlight w:val="none"/>
              </w:rPr>
              <w:t>出现上述情形，不影响采购公平、公正性的，采购组织机构可以待上述情形消除后继续组织电子交易活动，也可以决定某些环节以纸质形式进行；影响或可能影响采购公平、公正性的，应当重新采购。</w:t>
            </w:r>
          </w:p>
        </w:tc>
      </w:tr>
      <w:tr w14:paraId="5ACD9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2C756DE7">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w:t>
            </w:r>
          </w:p>
        </w:tc>
        <w:tc>
          <w:tcPr>
            <w:tcW w:w="2093" w:type="dxa"/>
            <w:vAlign w:val="center"/>
          </w:tcPr>
          <w:p w14:paraId="2D803ED8">
            <w:pPr>
              <w:spacing w:line="440" w:lineRule="exact"/>
              <w:jc w:val="center"/>
              <w:rPr>
                <w:rFonts w:hint="eastAsia" w:ascii="宋体" w:hAnsi="宋体" w:eastAsia="宋体" w:cs="Times New Roman"/>
                <w:bCs/>
                <w:color w:val="auto"/>
                <w:kern w:val="2"/>
                <w:sz w:val="24"/>
                <w:szCs w:val="24"/>
                <w:highlight w:val="none"/>
                <w:lang w:val="en-US" w:eastAsia="zh-CN" w:bidi="ar-SA"/>
              </w:rPr>
            </w:pPr>
            <w:r>
              <w:rPr>
                <w:rFonts w:hint="eastAsia" w:ascii="宋体" w:hAnsi="宋体"/>
                <w:b/>
                <w:bCs/>
                <w:color w:val="auto"/>
                <w:sz w:val="24"/>
                <w:highlight w:val="none"/>
              </w:rPr>
              <w:t>磋商有效期</w:t>
            </w:r>
          </w:p>
        </w:tc>
        <w:tc>
          <w:tcPr>
            <w:tcW w:w="6927" w:type="dxa"/>
            <w:vAlign w:val="center"/>
          </w:tcPr>
          <w:p w14:paraId="5E72FD1B">
            <w:pPr>
              <w:spacing w:line="440" w:lineRule="exact"/>
              <w:rPr>
                <w:rFonts w:hint="eastAsia" w:ascii="宋体" w:hAnsi="宋体" w:eastAsia="宋体" w:cs="Times New Roman"/>
                <w:color w:val="auto"/>
                <w:kern w:val="2"/>
                <w:sz w:val="24"/>
                <w:szCs w:val="24"/>
                <w:highlight w:val="none"/>
                <w:lang w:val="en-US" w:eastAsia="zh-CN" w:bidi="ar-SA"/>
              </w:rPr>
            </w:pPr>
            <w:r>
              <w:rPr>
                <w:rFonts w:hint="eastAsia" w:ascii="宋体" w:hAnsi="宋体"/>
                <w:color w:val="auto"/>
                <w:sz w:val="24"/>
                <w:highlight w:val="none"/>
                <w:lang w:val="en-US" w:eastAsia="zh-CN"/>
              </w:rPr>
              <w:t>9</w:t>
            </w:r>
            <w:r>
              <w:rPr>
                <w:rFonts w:hint="eastAsia" w:ascii="宋体" w:hAnsi="宋体"/>
                <w:color w:val="auto"/>
                <w:sz w:val="24"/>
                <w:highlight w:val="none"/>
              </w:rPr>
              <w:t>0天（日历天）</w:t>
            </w:r>
          </w:p>
        </w:tc>
      </w:tr>
      <w:tr w14:paraId="17082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31390A59">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2093" w:type="dxa"/>
            <w:vAlign w:val="center"/>
          </w:tcPr>
          <w:p w14:paraId="68D9EDA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927" w:type="dxa"/>
            <w:vAlign w:val="center"/>
          </w:tcPr>
          <w:p w14:paraId="461900DE">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color w:val="auto"/>
                <w:sz w:val="24"/>
                <w:highlight w:val="none"/>
              </w:rPr>
              <w:t>报价单是报价的唯一载体</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lang w:val="zh-CN"/>
              </w:rPr>
              <w:t>响应文件中</w:t>
            </w:r>
            <w:r>
              <w:rPr>
                <w:rFonts w:hint="eastAsia" w:ascii="宋体" w:hAnsi="宋体" w:eastAsia="宋体" w:cs="宋体"/>
                <w:color w:val="auto"/>
                <w:kern w:val="0"/>
                <w:sz w:val="24"/>
                <w:highlight w:val="none"/>
                <w:lang w:val="zh-CN" w:eastAsia="zh-CN"/>
              </w:rPr>
              <w:t>价格全部采用</w:t>
            </w:r>
            <w:r>
              <w:rPr>
                <w:rFonts w:hint="eastAsia" w:ascii="宋体" w:hAnsi="宋体" w:eastAsia="宋体" w:cs="宋体"/>
                <w:color w:val="auto"/>
                <w:kern w:val="0"/>
                <w:sz w:val="24"/>
                <w:highlight w:val="none"/>
                <w:lang w:val="en-US" w:eastAsia="zh-CN"/>
              </w:rPr>
              <w:t>折扣率进行</w:t>
            </w:r>
            <w:r>
              <w:rPr>
                <w:rFonts w:hint="eastAsia" w:ascii="宋体" w:hAnsi="宋体" w:eastAsia="宋体" w:cs="宋体"/>
                <w:color w:val="auto"/>
                <w:kern w:val="0"/>
                <w:sz w:val="24"/>
                <w:highlight w:val="none"/>
                <w:lang w:val="zh-CN" w:eastAsia="zh-CN"/>
              </w:rPr>
              <w:t>报价</w:t>
            </w:r>
            <w:r>
              <w:rPr>
                <w:rFonts w:hint="eastAsia" w:ascii="宋体" w:hAnsi="宋体" w:eastAsia="宋体" w:cs="宋体"/>
                <w:color w:val="auto"/>
                <w:kern w:val="0"/>
                <w:sz w:val="24"/>
                <w:highlight w:val="none"/>
                <w:lang w:val="en-US" w:eastAsia="zh-CN"/>
              </w:rPr>
              <w:t>（如打九折，填写90%）</w:t>
            </w:r>
            <w:r>
              <w:rPr>
                <w:rFonts w:hint="eastAsia" w:ascii="宋体" w:hAnsi="宋体" w:cs="宋体"/>
                <w:color w:val="auto"/>
                <w:kern w:val="0"/>
                <w:sz w:val="24"/>
                <w:highlight w:val="none"/>
                <w:lang w:val="zh-CN"/>
              </w:rPr>
              <w:t>。采购文件未列明，而供应商认为必需的费用也需列入报价。</w:t>
            </w:r>
          </w:p>
          <w:p w14:paraId="0BFAC7B3">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最后报价出现下列情形的，响应文件无效：</w:t>
            </w:r>
          </w:p>
          <w:p w14:paraId="733245D5">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响应文件出现不是唯一的、有选择性最后报价的；</w:t>
            </w:r>
          </w:p>
          <w:p w14:paraId="62B283FC">
            <w:pPr>
              <w:snapToGrid w:val="0"/>
              <w:spacing w:line="360" w:lineRule="auto"/>
              <w:ind w:firstLine="241" w:firstLineChars="100"/>
              <w:jc w:val="left"/>
              <w:rPr>
                <w:rFonts w:ascii="宋体" w:hAnsi="宋体" w:cs="宋体"/>
                <w:color w:val="auto"/>
                <w:highlight w:val="none"/>
              </w:rPr>
            </w:pPr>
            <w:r>
              <w:rPr>
                <w:rFonts w:hint="eastAsia" w:ascii="宋体" w:hAnsi="宋体" w:cs="宋体"/>
                <w:b/>
                <w:color w:val="auto"/>
                <w:kern w:val="0"/>
                <w:sz w:val="24"/>
                <w:highlight w:val="none"/>
                <w:lang w:val="zh-CN"/>
              </w:rPr>
              <w:t>最后报价超过采购文件中规定的最高限价的;</w:t>
            </w:r>
          </w:p>
          <w:p w14:paraId="3EE58315">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26D152BA">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供应商对根据修正原则修正后的报价不确认的</w:t>
            </w:r>
            <w:r>
              <w:rPr>
                <w:rFonts w:hint="eastAsia" w:ascii="宋体" w:hAnsi="宋体" w:cs="宋体"/>
                <w:b/>
                <w:color w:val="auto"/>
                <w:sz w:val="24"/>
                <w:highlight w:val="none"/>
              </w:rPr>
              <w:t>。</w:t>
            </w:r>
          </w:p>
        </w:tc>
      </w:tr>
      <w:tr w14:paraId="10259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4DDB759E">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2093" w:type="dxa"/>
            <w:vAlign w:val="center"/>
          </w:tcPr>
          <w:p w14:paraId="5B334AE2">
            <w:pPr>
              <w:snapToGrid w:val="0"/>
              <w:spacing w:line="360" w:lineRule="auto"/>
              <w:jc w:val="center"/>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rPr>
              <w:t>其它</w:t>
            </w:r>
            <w:r>
              <w:rPr>
                <w:rFonts w:hint="eastAsia" w:ascii="宋体" w:hAnsi="宋体" w:cs="宋体"/>
                <w:b/>
                <w:color w:val="auto"/>
                <w:sz w:val="24"/>
                <w:highlight w:val="none"/>
                <w:lang w:val="en-US" w:eastAsia="zh-CN"/>
              </w:rPr>
              <w:t>要求</w:t>
            </w:r>
          </w:p>
        </w:tc>
        <w:tc>
          <w:tcPr>
            <w:tcW w:w="6927" w:type="dxa"/>
            <w:vAlign w:val="center"/>
          </w:tcPr>
          <w:p w14:paraId="69685F55">
            <w:pPr>
              <w:spacing w:line="360" w:lineRule="auto"/>
              <w:rPr>
                <w:rFonts w:hint="eastAsia" w:ascii="宋体" w:hAnsi="宋体" w:eastAsia="宋体" w:cs="宋体"/>
                <w:snapToGrid w:val="0"/>
                <w:color w:val="auto"/>
                <w:kern w:val="28"/>
                <w:sz w:val="24"/>
                <w:highlight w:val="none"/>
                <w:lang w:val="en-US" w:eastAsia="zh-CN"/>
              </w:rPr>
            </w:pPr>
            <w:r>
              <w:rPr>
                <w:rFonts w:hint="eastAsia" w:ascii="宋体" w:hAnsi="宋体" w:eastAsia="宋体" w:cs="宋体"/>
                <w:snapToGrid w:val="0"/>
                <w:color w:val="auto"/>
                <w:kern w:val="28"/>
                <w:sz w:val="24"/>
                <w:highlight w:val="none"/>
                <w:lang w:val="en-US" w:eastAsia="zh-CN"/>
              </w:rPr>
              <w:t>在确定成交供应商后，签订合同前，成交供应商须提供两份完整的纸质磋商响应文件（其中报价文件必须为含有最终报价及最终报价明细表的完整文件）给采购人及代理机构，纸质响应文件须与电子响应文件格式及内容一致。</w:t>
            </w:r>
          </w:p>
        </w:tc>
      </w:tr>
      <w:tr w14:paraId="30985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45CB31C7">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2093" w:type="dxa"/>
            <w:vAlign w:val="center"/>
          </w:tcPr>
          <w:p w14:paraId="3C25DDB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采购代理服务费</w:t>
            </w:r>
          </w:p>
        </w:tc>
        <w:tc>
          <w:tcPr>
            <w:tcW w:w="6927" w:type="dxa"/>
            <w:vAlign w:val="center"/>
          </w:tcPr>
          <w:p w14:paraId="535CAB11">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（1）按[2002]1980号文件规定的招标费率标准的7折收取服务费，不足3000元按3000元收取；</w:t>
            </w:r>
          </w:p>
          <w:p w14:paraId="6D1F0AD8">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（2）成交供应商在领取中标</w:t>
            </w:r>
            <w:r>
              <w:rPr>
                <w:rFonts w:hint="eastAsia" w:ascii="宋体" w:hAnsi="宋体" w:cs="宋体"/>
                <w:snapToGrid w:val="0"/>
                <w:color w:val="auto"/>
                <w:kern w:val="28"/>
                <w:sz w:val="24"/>
                <w:highlight w:val="none"/>
                <w:lang w:eastAsia="zh-CN"/>
              </w:rPr>
              <w:t>、</w:t>
            </w:r>
            <w:r>
              <w:rPr>
                <w:rFonts w:hint="eastAsia" w:ascii="宋体" w:hAnsi="宋体" w:cs="宋体"/>
                <w:snapToGrid w:val="0"/>
                <w:color w:val="auto"/>
                <w:kern w:val="28"/>
                <w:sz w:val="24"/>
                <w:highlight w:val="none"/>
                <w:lang w:val="en-US" w:eastAsia="zh-CN"/>
              </w:rPr>
              <w:t>成交</w:t>
            </w:r>
            <w:r>
              <w:rPr>
                <w:rFonts w:hint="eastAsia" w:ascii="宋体" w:hAnsi="宋体" w:cs="宋体"/>
                <w:snapToGrid w:val="0"/>
                <w:color w:val="auto"/>
                <w:kern w:val="28"/>
                <w:sz w:val="24"/>
                <w:highlight w:val="none"/>
              </w:rPr>
              <w:t>通知书前，应向代理机构交纳</w:t>
            </w:r>
            <w:r>
              <w:rPr>
                <w:rFonts w:hint="eastAsia" w:ascii="宋体" w:hAnsi="宋体" w:cs="宋体"/>
                <w:snapToGrid w:val="0"/>
                <w:color w:val="auto"/>
                <w:kern w:val="28"/>
                <w:sz w:val="24"/>
                <w:highlight w:val="none"/>
                <w:lang w:val="en-US" w:eastAsia="zh-CN"/>
              </w:rPr>
              <w:t>采购</w:t>
            </w:r>
            <w:r>
              <w:rPr>
                <w:rFonts w:hint="eastAsia" w:ascii="宋体" w:hAnsi="宋体" w:cs="宋体"/>
                <w:snapToGrid w:val="0"/>
                <w:color w:val="auto"/>
                <w:kern w:val="28"/>
                <w:sz w:val="24"/>
                <w:highlight w:val="none"/>
              </w:rPr>
              <w:t>代理服务费；</w:t>
            </w:r>
          </w:p>
          <w:p w14:paraId="130E3FA3">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（3）招标代理服务费以电汇方式支付；</w:t>
            </w:r>
          </w:p>
          <w:p w14:paraId="37B9621D">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（4）成交供应商如未按上述规定办理，本招标代理机构有权对不足部分进行追索；</w:t>
            </w:r>
          </w:p>
          <w:p w14:paraId="393AB6B3">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（5）服务费缴纳账号：</w:t>
            </w:r>
          </w:p>
          <w:p w14:paraId="7BED9060">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户名：浙江致信招标代理有限公司宁波分公司</w:t>
            </w:r>
          </w:p>
          <w:p w14:paraId="5C39533E">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账号：33030100201000007592</w:t>
            </w:r>
          </w:p>
          <w:p w14:paraId="01C2ACB2">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开户行：浙江泰隆商业银行宁波路林小微企业专营支行</w:t>
            </w:r>
          </w:p>
        </w:tc>
      </w:tr>
    </w:tbl>
    <w:p w14:paraId="78DEC439">
      <w:pPr>
        <w:snapToGrid w:val="0"/>
        <w:spacing w:line="360" w:lineRule="auto"/>
        <w:jc w:val="center"/>
        <w:rPr>
          <w:rFonts w:ascii="宋体" w:hAnsi="宋体" w:cs="宋体"/>
          <w:b/>
          <w:color w:val="auto"/>
          <w:sz w:val="32"/>
          <w:szCs w:val="20"/>
          <w:highlight w:val="none"/>
        </w:rPr>
      </w:pPr>
    </w:p>
    <w:bookmarkEnd w:id="13"/>
    <w:p w14:paraId="26616028">
      <w:pPr>
        <w:widowControl/>
        <w:adjustRightInd/>
        <w:jc w:val="left"/>
        <w:rPr>
          <w:rFonts w:ascii="宋体" w:hAnsi="宋体" w:cs="宋体"/>
          <w:b/>
          <w:color w:val="auto"/>
          <w:sz w:val="32"/>
          <w:szCs w:val="20"/>
          <w:highlight w:val="none"/>
        </w:rPr>
      </w:pPr>
      <w:bookmarkStart w:id="16" w:name="第三部分"/>
      <w:bookmarkStart w:id="17" w:name="_Toc164416483"/>
      <w:r>
        <w:rPr>
          <w:rFonts w:hint="eastAsia" w:ascii="宋体" w:hAnsi="宋体" w:cs="宋体"/>
          <w:b/>
          <w:color w:val="auto"/>
          <w:sz w:val="32"/>
          <w:szCs w:val="20"/>
          <w:highlight w:val="none"/>
        </w:rPr>
        <w:br w:type="page"/>
      </w:r>
    </w:p>
    <w:p w14:paraId="0BA5B77F">
      <w:pPr>
        <w:snapToGrid w:val="0"/>
        <w:spacing w:line="360" w:lineRule="auto"/>
        <w:jc w:val="center"/>
        <w:outlineLvl w:val="1"/>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751BFECA">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1. 适用范围</w:t>
      </w:r>
    </w:p>
    <w:p w14:paraId="5AE6463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本采购文件适用于该项目的采购邀请、响应文件提交、响应文件开启、资格审查及信用信息查询、磋商、评审、成交供应商确定、合同、验收等行为（法律、法规另有规定的，从其规定）。</w:t>
      </w:r>
    </w:p>
    <w:p w14:paraId="79C0322E">
      <w:pPr>
        <w:numPr>
          <w:ilvl w:val="0"/>
          <w:numId w:val="1"/>
        </w:num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定义</w:t>
      </w:r>
    </w:p>
    <w:p w14:paraId="45512AA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“采购人”系指竞争性磋商公告中载明的本项目的采购人。</w:t>
      </w:r>
    </w:p>
    <w:p w14:paraId="39CF73C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“采购代理机构”系指竞争性磋商公告中载明的本项目的采购代理机构。</w:t>
      </w:r>
    </w:p>
    <w:p w14:paraId="1CCE293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“供应商”系指是指提交响应文件和报价、参与竞争性磋商采购活动的法人、其他组织或者自然人。</w:t>
      </w:r>
    </w:p>
    <w:p w14:paraId="1948842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2DB69C8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提交响应文件时须提供《业务专用章使用说明函》（附件4）。</w:t>
      </w:r>
    </w:p>
    <w:p w14:paraId="35E1AD0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2.6“电子交易平台”系指本项目政府采购活动所依托的政府采购云平台（https://www.zcygov.cn/）。</w:t>
      </w:r>
    </w:p>
    <w:p w14:paraId="68A3814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404888855"/>
        </w:sdtPr>
        <w:sdtEndPr>
          <w:rPr>
            <w:rFonts w:hint="eastAsia" w:ascii="宋体" w:hAnsi="宋体" w:cs="宋体"/>
            <w:color w:val="auto"/>
            <w:kern w:val="0"/>
            <w:sz w:val="24"/>
            <w:highlight w:val="none"/>
          </w:rPr>
        </w:sdtEndPr>
        <w:sdtContent>
          <w:sdt>
            <w:sdtPr>
              <w:rPr>
                <w:rFonts w:hint="eastAsia" w:ascii="宋体" w:hAnsi="宋体" w:cs="宋体"/>
                <w:color w:val="auto"/>
                <w:kern w:val="0"/>
                <w:sz w:val="24"/>
                <w:highlight w:val="none"/>
              </w:rPr>
              <w:id w:val="147482651"/>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sym w:font="Wingdings" w:char="00FE"/>
              </w:r>
            </w:sdtContent>
          </w:sdt>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147473747"/>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系指不适用本项目的要求，“※”系指磋商过程中可能实质性变动的内容。</w:t>
      </w:r>
    </w:p>
    <w:p w14:paraId="7BE82368">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3.采购项目需要落实的政府采购政策</w:t>
      </w:r>
    </w:p>
    <w:p w14:paraId="29F4CFC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3.1支持中小企业发展</w:t>
      </w:r>
    </w:p>
    <w:p w14:paraId="6A68CD4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3.1.1中小企业，是指在中华人民共和国境内依法设立，依据国务院批准的中小企业划分标准确定的中型企业、小型企业和微型企业，但与大企业的负责人为同一人，或者与大企业存在直接控股、管理关系的除外。</w:t>
      </w:r>
    </w:p>
    <w:p w14:paraId="4346FC9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343BBFA3">
      <w:pPr>
        <w:widowControl/>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bCs/>
          <w:color w:val="auto"/>
          <w:sz w:val="24"/>
          <w:highlight w:val="none"/>
        </w:rPr>
        <w:t>3.1.2</w:t>
      </w:r>
      <w:r>
        <w:rPr>
          <w:rFonts w:hint="eastAsia" w:ascii="宋体" w:hAnsi="宋体" w:cs="宋体"/>
          <w:color w:val="auto"/>
          <w:kern w:val="0"/>
          <w:sz w:val="24"/>
          <w:highlight w:val="none"/>
        </w:rPr>
        <w:t>在政府采购活动中，供应商提供的工程符合下列情形的，享受中小企业扶持政策：</w:t>
      </w:r>
      <w:r>
        <w:rPr>
          <w:rFonts w:hint="eastAsia" w:ascii="宋体" w:hAnsi="宋体" w:cs="宋体"/>
          <w:color w:val="auto"/>
          <w:sz w:val="24"/>
          <w:highlight w:val="none"/>
        </w:rPr>
        <w:t>在工程采购项目中，工程由中小企业承建，即工程施工单位为中小企业</w:t>
      </w:r>
      <w:r>
        <w:rPr>
          <w:rFonts w:hint="eastAsia" w:ascii="宋体" w:hAnsi="宋体" w:cs="宋体"/>
          <w:color w:val="auto"/>
          <w:kern w:val="0"/>
          <w:sz w:val="24"/>
          <w:highlight w:val="none"/>
        </w:rPr>
        <w:t>。</w:t>
      </w:r>
    </w:p>
    <w:p w14:paraId="59083127">
      <w:pPr>
        <w:widowControl/>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6A3BE7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3.1.3对于未预留份额专门面向中小企业的政府采购工程项目，以及预留份额政府采购工程项目中的非预留部分标项，对小型和微型企业的最后报价给予10%的扣除，用扣除后的价格参与评审。接受大中型企业与小微企业组成联合体或者允许大中型企业向一家或者多家小微企业分包的政府采购工程项目，对于</w:t>
      </w:r>
      <w:bookmarkStart w:id="18" w:name="_Hlk101132181"/>
      <w:r>
        <w:rPr>
          <w:rFonts w:hint="eastAsia" w:ascii="宋体" w:hAnsi="宋体" w:cs="宋体"/>
          <w:color w:val="auto"/>
          <w:sz w:val="24"/>
          <w:highlight w:val="none"/>
        </w:rPr>
        <w:t>联合协议或者分包意向协议约定小微企业的合同份额占到合同总金额30%以上的</w:t>
      </w:r>
      <w:bookmarkEnd w:id="18"/>
      <w:r>
        <w:rPr>
          <w:rFonts w:hint="eastAsia" w:ascii="宋体" w:hAnsi="宋体" w:cs="宋体"/>
          <w:color w:val="auto"/>
          <w:sz w:val="24"/>
          <w:highlight w:val="none"/>
        </w:rPr>
        <w:t>，对联合体或者大中型企业的报价给予4%的扣除，用扣除后的价格参加评审。组成联合体或者接受分包的小微企业与联合体内其他企业、分包企业之间存在直接控股、管理关系的，不享受价格扣除优惠政策。</w:t>
      </w:r>
    </w:p>
    <w:p w14:paraId="2EBD4E8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3.1.4符合《关于促进残疾人就业政府采购政策的通知》（财库〔2017〕141号）规定的条件并提供《残疾人福利性单位声明函》（附件1）的残疾人福利性单位视同小型、微型企业；</w:t>
      </w:r>
    </w:p>
    <w:p w14:paraId="3E47750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3.1.5符合《关于政府采购支持监狱企业发展有关问题的通知》（财库[2014]68号）规定的监狱企业并提供由省级以上监狱管理局、戒毒管理局（含新疆生产建设兵团）出具的属于监狱企业证明文件的，视同为小型、微型企业。</w:t>
      </w:r>
    </w:p>
    <w:p w14:paraId="31B083B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0F3F0A8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3.1.7中小企业享受扶持政策获得政府采购合同的，小微企业不得将合同分包给大中型企业，中型企业不得将合同分包给大型企业。</w:t>
      </w:r>
    </w:p>
    <w:p w14:paraId="540299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3.2平等对待内外资企业和符合条件的破产重整企业：</w:t>
      </w:r>
    </w:p>
    <w:p w14:paraId="03E71C70">
      <w:pPr>
        <w:snapToGrid w:val="0"/>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14:paraId="221908DD">
      <w:pPr>
        <w:pStyle w:val="887"/>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4.1在线询问、质疑、投诉</w:t>
      </w:r>
    </w:p>
    <w:p w14:paraId="0102E383">
      <w:pPr>
        <w:pStyle w:val="887"/>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A62B524">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28392E29">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4BD6E64">
      <w:pPr>
        <w:autoSpaceDE w:val="0"/>
        <w:autoSpaceDN w:val="0"/>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7D646972">
      <w:pPr>
        <w:pStyle w:val="33"/>
        <w:snapToGrid w:val="0"/>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.1提出质疑的供应商应当是参与所质疑项目采购活动的供应商。潜在供应商已依法获取其可质疑的采购文件的，可以对该文件提出质疑。</w:t>
      </w:r>
    </w:p>
    <w:p w14:paraId="5306C613">
      <w:pPr>
        <w:pStyle w:val="33"/>
        <w:snapToGrid w:val="0"/>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6C824875">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4.3.2.1对采购文件提出质疑的，质疑期限为供应商获得采购文件之日或者采购文件公告期限届满之日起计算。</w:t>
      </w:r>
    </w:p>
    <w:p w14:paraId="5578D9B3">
      <w:pPr>
        <w:pStyle w:val="33"/>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w:t>
      </w:r>
    </w:p>
    <w:p w14:paraId="5C920EAE">
      <w:pPr>
        <w:pStyle w:val="33"/>
        <w:snapToGrid w:val="0"/>
        <w:spacing w:line="360" w:lineRule="auto"/>
        <w:ind w:firstLine="480" w:firstLineChars="200"/>
        <w:rPr>
          <w:rFonts w:hAnsi="宋体" w:cs="宋体"/>
          <w:color w:val="auto"/>
          <w:sz w:val="24"/>
          <w:highlight w:val="none"/>
        </w:rPr>
      </w:pPr>
      <w:r>
        <w:rPr>
          <w:rFonts w:hint="eastAsia" w:hAnsi="宋体" w:cs="宋体"/>
          <w:color w:val="auto"/>
          <w:sz w:val="24"/>
          <w:highlight w:val="none"/>
        </w:rPr>
        <w:t>4.3.2.3对采购结果提出质疑的，质疑期限自采购结果公告期限届满之日起计算。</w:t>
      </w:r>
    </w:p>
    <w:p w14:paraId="630F3340">
      <w:pPr>
        <w:pStyle w:val="33"/>
        <w:snapToGrid w:val="0"/>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4BAEFFC7">
      <w:pPr>
        <w:pStyle w:val="33"/>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4.3.3.1供应商的姓名或者名称、地址、邮编、联系人及联系电话；</w:t>
      </w:r>
    </w:p>
    <w:p w14:paraId="311FCEC7">
      <w:pPr>
        <w:pStyle w:val="33"/>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4.3.3.2质疑项目的名称、编号；</w:t>
      </w:r>
    </w:p>
    <w:p w14:paraId="7CBFCCBE">
      <w:pPr>
        <w:pStyle w:val="33"/>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4.3.3.3具体、明确的质疑事项和与质疑事项相关的请求；</w:t>
      </w:r>
    </w:p>
    <w:p w14:paraId="0BCC406C">
      <w:pPr>
        <w:pStyle w:val="33"/>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4.3.3.4事实依据；</w:t>
      </w:r>
    </w:p>
    <w:p w14:paraId="016762CF">
      <w:pPr>
        <w:pStyle w:val="33"/>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4.3.3.5必要的法律依据；</w:t>
      </w:r>
    </w:p>
    <w:p w14:paraId="6E850267">
      <w:pPr>
        <w:pStyle w:val="33"/>
        <w:snapToGrid w:val="0"/>
        <w:spacing w:line="360" w:lineRule="auto"/>
        <w:ind w:firstLine="720" w:firstLineChars="3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0B04B85E">
      <w:pPr>
        <w:pStyle w:val="887"/>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16E6FC96">
      <w:pPr>
        <w:pStyle w:val="887"/>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质疑函范本及制作说明详见附件2。</w:t>
      </w:r>
    </w:p>
    <w:p w14:paraId="616DF4B9">
      <w:pPr>
        <w:pStyle w:val="887"/>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4.3.4对同一采购程序环节的质疑，供应商须在法定质疑期内一次性提出。</w:t>
      </w:r>
    </w:p>
    <w:p w14:paraId="72E9FC7C">
      <w:pPr>
        <w:pStyle w:val="887"/>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w:t>
      </w:r>
    </w:p>
    <w:p w14:paraId="052FADE8">
      <w:pPr>
        <w:pStyle w:val="887"/>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7511DD0E">
      <w:pPr>
        <w:pStyle w:val="887"/>
        <w:shd w:val="clear" w:color="auto" w:fill="FFFFFF"/>
        <w:adjustRightInd w:val="0"/>
        <w:snapToGrid w:val="0"/>
        <w:spacing w:before="0" w:beforeAutospacing="0" w:after="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7433B82B">
      <w:pPr>
        <w:pStyle w:val="887"/>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4540BF7A">
      <w:pPr>
        <w:pStyle w:val="887"/>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1C2A9A25">
      <w:pPr>
        <w:pStyle w:val="887"/>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4.4.3供应商投诉应当有明确的请求和必要的证明材料。</w:t>
      </w:r>
    </w:p>
    <w:p w14:paraId="75A3BF18">
      <w:pPr>
        <w:pStyle w:val="887"/>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4.4.4以联合体形式参加政府采购活动的，其投诉应当由组成联合体的所有供应商共同提出。</w:t>
      </w:r>
    </w:p>
    <w:p w14:paraId="611358AA">
      <w:pPr>
        <w:pStyle w:val="887"/>
        <w:shd w:val="clear" w:color="auto" w:fill="FFFFFF"/>
        <w:adjustRightInd w:val="0"/>
        <w:snapToGrid w:val="0"/>
        <w:spacing w:before="0" w:beforeAutospacing="0" w:after="0" w:afterAutospacing="0" w:line="360" w:lineRule="auto"/>
        <w:ind w:firstLine="480" w:firstLineChars="200"/>
        <w:contextualSpacing/>
        <w:rPr>
          <w:color w:val="auto"/>
          <w:highlight w:val="none"/>
        </w:rPr>
      </w:pPr>
      <w:r>
        <w:rPr>
          <w:rFonts w:hint="eastAsia"/>
          <w:color w:val="auto"/>
          <w:highlight w:val="none"/>
        </w:rPr>
        <w:t>投诉书范本及制作说明详见附件3。</w:t>
      </w:r>
    </w:p>
    <w:p w14:paraId="6C3DA9DF">
      <w:pPr>
        <w:pStyle w:val="128"/>
        <w:snapToGrid w:val="0"/>
        <w:spacing w:before="0"/>
        <w:ind w:firstLine="360"/>
        <w:rPr>
          <w:rFonts w:ascii="宋体" w:hAnsi="宋体" w:cs="宋体"/>
          <w:color w:val="auto"/>
          <w:sz w:val="18"/>
          <w:szCs w:val="18"/>
          <w:highlight w:val="none"/>
        </w:rPr>
      </w:pPr>
    </w:p>
    <w:p w14:paraId="0849E3B5">
      <w:pPr>
        <w:snapToGrid w:val="0"/>
        <w:spacing w:line="360" w:lineRule="auto"/>
        <w:jc w:val="center"/>
        <w:outlineLvl w:val="1"/>
        <w:rPr>
          <w:rFonts w:ascii="宋体" w:hAnsi="宋体" w:cs="宋体"/>
          <w:b/>
          <w:color w:val="auto"/>
          <w:sz w:val="32"/>
          <w:szCs w:val="20"/>
          <w:highlight w:val="none"/>
        </w:rPr>
      </w:pPr>
      <w:r>
        <w:rPr>
          <w:rFonts w:hint="eastAsia" w:ascii="宋体" w:hAnsi="宋体" w:cs="宋体"/>
          <w:b/>
          <w:color w:val="auto"/>
          <w:sz w:val="32"/>
          <w:szCs w:val="20"/>
          <w:highlight w:val="none"/>
        </w:rPr>
        <w:t>二、采购文件的构成、澄清、修改</w:t>
      </w:r>
    </w:p>
    <w:p w14:paraId="25818F83">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w:t>
      </w:r>
      <w:r>
        <w:rPr>
          <w:rFonts w:hint="eastAsia" w:hAnsi="宋体" w:cs="宋体"/>
          <w:b/>
          <w:color w:val="auto"/>
          <w:sz w:val="24"/>
          <w:szCs w:val="24"/>
          <w:highlight w:val="none"/>
          <w:lang w:eastAsia="zh-CN"/>
        </w:rPr>
        <w:t>.</w:t>
      </w:r>
      <w:r>
        <w:rPr>
          <w:rFonts w:hint="eastAsia" w:hAnsi="宋体" w:cs="宋体"/>
          <w:b/>
          <w:color w:val="auto"/>
          <w:sz w:val="24"/>
          <w:szCs w:val="24"/>
          <w:highlight w:val="none"/>
        </w:rPr>
        <w:t>采购文件的构成</w:t>
      </w:r>
    </w:p>
    <w:p w14:paraId="445228C7">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采购文件包括下列文件及附件：</w:t>
      </w:r>
    </w:p>
    <w:p w14:paraId="16E80F92">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5.1.1竞争性磋商公告；</w:t>
      </w:r>
    </w:p>
    <w:p w14:paraId="34C8F144">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5.1.2供应商须知；</w:t>
      </w:r>
    </w:p>
    <w:p w14:paraId="4FEAF612">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4CDBF5CF">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5.1.4评审办法；</w:t>
      </w:r>
    </w:p>
    <w:p w14:paraId="54F55CAA">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743A92FA">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2559225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澄清或者修改的内容为采购文件的组成部分</w:t>
      </w:r>
      <w:r>
        <w:rPr>
          <w:rFonts w:hint="eastAsia" w:ascii="宋体" w:hAnsi="宋体" w:cs="宋体"/>
          <w:color w:val="auto"/>
          <w:sz w:val="24"/>
          <w:highlight w:val="none"/>
        </w:rPr>
        <w:t>。</w:t>
      </w:r>
    </w:p>
    <w:p w14:paraId="1E135FA4">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采购文件的澄清、修改</w:t>
      </w:r>
    </w:p>
    <w:p w14:paraId="370368A8">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6.1已获取采购文件的潜在供应商，若有问题需要澄清，应于响应文件提交（上传）截止时间前，以书面形式向采购代理机构提出。</w:t>
      </w:r>
    </w:p>
    <w:p w14:paraId="673A6AE0">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6.2 采购代理机构对采购文件进行澄清或修改的，将同时通过电子交易平台通知已获取采购文件的潜在供应商。依法应当公告的，将按规定公告，同时视情况延长响应文件提交（上传）截止时间和响应文件开启时间。该澄清或者修改的内容为采购文件的组成部分。</w:t>
      </w:r>
    </w:p>
    <w:p w14:paraId="210C2EEC">
      <w:pPr>
        <w:pStyle w:val="23"/>
        <w:rPr>
          <w:rFonts w:hAnsi="宋体" w:cs="宋体"/>
          <w:color w:val="auto"/>
          <w:sz w:val="18"/>
          <w:szCs w:val="18"/>
          <w:highlight w:val="none"/>
          <w:lang w:val="en-US"/>
        </w:rPr>
      </w:pPr>
    </w:p>
    <w:p w14:paraId="5885D9C2">
      <w:pPr>
        <w:snapToGrid w:val="0"/>
        <w:spacing w:line="360" w:lineRule="auto"/>
        <w:jc w:val="center"/>
        <w:outlineLvl w:val="1"/>
        <w:rPr>
          <w:rFonts w:ascii="宋体" w:hAnsi="宋体" w:cs="宋体"/>
          <w:b/>
          <w:color w:val="auto"/>
          <w:sz w:val="32"/>
          <w:szCs w:val="20"/>
          <w:highlight w:val="none"/>
        </w:rPr>
      </w:pPr>
      <w:r>
        <w:rPr>
          <w:rFonts w:hint="eastAsia" w:ascii="宋体" w:hAnsi="宋体" w:cs="宋体"/>
          <w:b/>
          <w:color w:val="auto"/>
          <w:sz w:val="32"/>
          <w:szCs w:val="20"/>
          <w:highlight w:val="none"/>
        </w:rPr>
        <w:t>三、提交响应文件</w:t>
      </w:r>
    </w:p>
    <w:p w14:paraId="76046C72">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采购文件的获取</w:t>
      </w:r>
    </w:p>
    <w:p w14:paraId="5E9B6B89">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详见竞争性磋商公告中获取采购文件的时间期限、地点、方式及采购文件售价。</w:t>
      </w:r>
    </w:p>
    <w:p w14:paraId="2D540102">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8.磋商前答疑会或现场考察</w:t>
      </w:r>
    </w:p>
    <w:p w14:paraId="55B90C4C">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采购人组织潜在供应商现场考察或者召开磋商前答疑会的，潜在供应商按第二部分供应商须知前附表的规定参加现场考察或者磋商前答疑会。</w:t>
      </w:r>
    </w:p>
    <w:p w14:paraId="4A17468C">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9.磋商保证金</w:t>
      </w:r>
    </w:p>
    <w:p w14:paraId="27C95D5C">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本项目不需缴纳磋商保证金。</w:t>
      </w:r>
    </w:p>
    <w:p w14:paraId="07F9914B">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响应文件的语言</w:t>
      </w:r>
    </w:p>
    <w:p w14:paraId="52F8ABF6">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响应文件及供应商与采购有关的来往通知、函件和文件均应使用中文。</w:t>
      </w:r>
    </w:p>
    <w:p w14:paraId="0D7F1085">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11. 响应文件的组成</w:t>
      </w:r>
    </w:p>
    <w:p w14:paraId="3ACF681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70B1442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196F9BF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50246F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C3425">
      <w:pPr>
        <w:snapToGrid w:val="0"/>
        <w:spacing w:line="360" w:lineRule="auto"/>
        <w:ind w:firstLine="480" w:firstLineChars="200"/>
        <w:rPr>
          <w:rFonts w:ascii="宋体" w:hAnsi="宋体" w:cs="宋体"/>
          <w:b/>
          <w:bCs/>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b/>
          <w:bCs/>
          <w:color w:val="auto"/>
          <w:sz w:val="24"/>
          <w:highlight w:val="none"/>
          <w:lang w:eastAsia="zh-CN"/>
        </w:rPr>
        <w:t>资信技术</w:t>
      </w:r>
      <w:r>
        <w:rPr>
          <w:rFonts w:hint="eastAsia" w:ascii="宋体" w:hAnsi="宋体" w:cs="宋体"/>
          <w:b/>
          <w:bCs/>
          <w:color w:val="auto"/>
          <w:sz w:val="24"/>
          <w:highlight w:val="none"/>
          <w:lang w:val="zh-CN"/>
        </w:rPr>
        <w:t>文件：</w:t>
      </w:r>
    </w:p>
    <w:p w14:paraId="379DBED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11.2.1响应函；</w:t>
      </w:r>
    </w:p>
    <w:p w14:paraId="477E138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6A51E24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符合性审查资料；</w:t>
      </w:r>
    </w:p>
    <w:p w14:paraId="38F44CA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评审标准相应的</w:t>
      </w:r>
      <w:r>
        <w:rPr>
          <w:rFonts w:hint="eastAsia" w:ascii="宋体" w:hAnsi="宋体" w:cs="宋体"/>
          <w:color w:val="auto"/>
          <w:sz w:val="24"/>
          <w:highlight w:val="none"/>
          <w:lang w:eastAsia="zh-CN"/>
        </w:rPr>
        <w:t>资信技术</w:t>
      </w:r>
      <w:r>
        <w:rPr>
          <w:rFonts w:hint="eastAsia" w:ascii="宋体" w:hAnsi="宋体" w:cs="宋体"/>
          <w:color w:val="auto"/>
          <w:sz w:val="24"/>
          <w:highlight w:val="none"/>
        </w:rPr>
        <w:t>资料（格式自拟，）；</w:t>
      </w:r>
    </w:p>
    <w:p w14:paraId="19D779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hint="eastAsia" w:ascii="宋体" w:hAnsi="宋体" w:cs="宋体"/>
          <w:color w:val="auto"/>
          <w:sz w:val="24"/>
          <w:highlight w:val="none"/>
          <w:lang w:val="en-US" w:eastAsia="zh-CN"/>
        </w:rPr>
        <w:t>5</w:t>
      </w:r>
      <w:r>
        <w:rPr>
          <w:rFonts w:hint="eastAsia" w:ascii="宋体" w:hAnsi="宋体" w:cs="宋体"/>
          <w:color w:val="auto"/>
          <w:sz w:val="24"/>
          <w:highlight w:val="none"/>
          <w:lang w:eastAsia="zh-CN"/>
        </w:rPr>
        <w:t>资信技术</w:t>
      </w:r>
      <w:r>
        <w:rPr>
          <w:rFonts w:hint="eastAsia" w:ascii="宋体" w:hAnsi="宋体" w:cs="宋体"/>
          <w:color w:val="auto"/>
          <w:sz w:val="24"/>
          <w:highlight w:val="none"/>
        </w:rPr>
        <w:t>偏离表；</w:t>
      </w:r>
    </w:p>
    <w:p w14:paraId="0BF3AAAA">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lang w:val="zh-CN"/>
        </w:rPr>
        <w:t>政府采购供应商廉洁自律承诺书；</w:t>
      </w:r>
    </w:p>
    <w:p w14:paraId="75760045">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p>
    <w:p w14:paraId="06222D8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11.3.1报价单；</w:t>
      </w:r>
    </w:p>
    <w:p w14:paraId="5931D9D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11.3.2报价明细表；</w:t>
      </w:r>
    </w:p>
    <w:p w14:paraId="395E71C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11.3.3中小企业声明函。</w:t>
      </w:r>
    </w:p>
    <w:p w14:paraId="3B14ECAB">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响应文件含有采购人不能接受的附加条件的，响应文件无效；</w:t>
      </w:r>
    </w:p>
    <w:p w14:paraId="14B143AC">
      <w:pP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rPr>
        <w:t>供应商提供虚假材料的，响应文件无效。</w:t>
      </w:r>
    </w:p>
    <w:p w14:paraId="3CB95838">
      <w:pPr>
        <w:pStyle w:val="128"/>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响应文件的编制</w:t>
      </w:r>
    </w:p>
    <w:p w14:paraId="339E517F">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响应文件分为资格文件、资信技术文件、报价文件三部分。各供应商在编制响应文件时请按照采购文件第六部分规定的格式进行，混乱的编排导致响应文件被误读或磋商小组查找不到有效文件是供应商的风险。</w:t>
      </w:r>
    </w:p>
    <w:p w14:paraId="2BDB5A4A">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12.2供应商进行电子投标应安装客户端软件—“政采云电子交易客户端”，并按照采购文件和电子交易平台的要求编制并加密响应文件。供应商未按规定加密的响应文件，电子交易平台将拒收并提示。</w:t>
      </w:r>
    </w:p>
    <w:p w14:paraId="31C5AB1C">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792C683F">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13.响应文件的签署、盖章</w:t>
      </w:r>
    </w:p>
    <w:p w14:paraId="4FB35EEC">
      <w:pPr>
        <w:pStyle w:val="128"/>
        <w:snapToGrid w:val="0"/>
        <w:spacing w:before="0"/>
        <w:ind w:firstLine="480"/>
        <w:rPr>
          <w:rFonts w:ascii="宋体" w:hAnsi="宋体" w:cs="宋体"/>
          <w:b/>
          <w:color w:val="auto"/>
          <w:highlight w:val="none"/>
        </w:rPr>
      </w:pPr>
      <w:r>
        <w:rPr>
          <w:rFonts w:hint="eastAsia" w:ascii="宋体" w:hAnsi="宋体" w:cs="宋体"/>
          <w:color w:val="auto"/>
          <w:szCs w:val="24"/>
          <w:highlight w:val="none"/>
        </w:rPr>
        <w:t>13.1响应文件按照采购文件第六部分格式要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▲供应商的响应文件未按照采购文件要求签署、盖章的，其响应文件无效</w:t>
      </w:r>
      <w:r>
        <w:rPr>
          <w:rFonts w:hint="eastAsia" w:ascii="宋体" w:hAnsi="宋体" w:cs="宋体"/>
          <w:color w:val="auto"/>
          <w:szCs w:val="24"/>
          <w:highlight w:val="none"/>
        </w:rPr>
        <w:t>。</w:t>
      </w:r>
    </w:p>
    <w:p w14:paraId="209A42D9">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13.2为确保网上操作合法、有效和安全，供应商应当在响应文件提交（上传）截止时间前完成在“政府采购云平台”的身份认证，确保在电子投标过程中能够对相关数据电文进行加密和使用电子签名。</w:t>
      </w:r>
    </w:p>
    <w:p w14:paraId="6984F012">
      <w:pPr>
        <w:pStyle w:val="128"/>
        <w:snapToGrid w:val="0"/>
        <w:spacing w:before="0"/>
        <w:ind w:firstLine="480"/>
        <w:rPr>
          <w:rFonts w:ascii="宋体" w:hAnsi="宋体" w:cs="宋体"/>
          <w:color w:val="auto"/>
          <w:szCs w:val="24"/>
          <w:highlight w:val="none"/>
        </w:rPr>
      </w:pPr>
      <w:r>
        <w:rPr>
          <w:rFonts w:hint="eastAsia" w:ascii="宋体" w:hAnsi="宋体" w:cs="宋体"/>
          <w:color w:val="auto"/>
          <w:highlight w:val="none"/>
        </w:rPr>
        <w:t>13.3采购文件对响应文件签署、盖章的要求适用于电子签名。</w:t>
      </w:r>
    </w:p>
    <w:p w14:paraId="22699783">
      <w:pPr>
        <w:pStyle w:val="128"/>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响应文件的提交、补充、修改、撤回</w:t>
      </w:r>
    </w:p>
    <w:p w14:paraId="4B3DCFAE">
      <w:pPr>
        <w:pStyle w:val="128"/>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响应文件提交（上传）截止时间后递交的响应文件，电子交易平台将拒收。</w:t>
      </w:r>
    </w:p>
    <w:p w14:paraId="3E5E6890">
      <w:pPr>
        <w:pStyle w:val="128"/>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14.2电子交易平台收到响应文件，将妥善保存并即时向供应商发出确认回执通知。在响应文件提交（上传）截止时间前，除供应商补充、修改或者撤回响应文件外，任何单位和个人不得解密或提取响应文件。</w:t>
      </w:r>
    </w:p>
    <w:p w14:paraId="6739C4A2">
      <w:pPr>
        <w:pStyle w:val="128"/>
        <w:snapToGrid w:val="0"/>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代理机构可以视情况延长响应文件提交的截止时间。在上述情况下，采购代理机构与供应商以前在响应文件提交截止时间方面的全部权利、责任和义务，将适用于延长至新的响应文件提交截止时间。</w:t>
      </w:r>
    </w:p>
    <w:p w14:paraId="06E8B995">
      <w:pPr>
        <w:pStyle w:val="33"/>
        <w:snapToGrid w:val="0"/>
        <w:spacing w:line="360" w:lineRule="auto"/>
        <w:rPr>
          <w:rFonts w:hAnsi="宋体" w:cs="宋体"/>
          <w:b/>
          <w:color w:val="auto"/>
          <w:sz w:val="24"/>
          <w:szCs w:val="24"/>
          <w:highlight w:val="none"/>
        </w:rPr>
      </w:pPr>
      <w:r>
        <w:rPr>
          <w:rFonts w:hint="eastAsia" w:hAnsi="宋体" w:cs="宋体"/>
          <w:b/>
          <w:color w:val="auto"/>
          <w:sz w:val="24"/>
          <w:szCs w:val="24"/>
          <w:highlight w:val="none"/>
        </w:rPr>
        <w:t>15.备份响应文件</w:t>
      </w:r>
    </w:p>
    <w:p w14:paraId="7F15758C">
      <w:pPr>
        <w:pStyle w:val="33"/>
        <w:snapToGrid w:val="0"/>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15.1供应商在电子交易平台传输递交响应文件后，还可以在响应文件提交（上传）截止时间前直接提交或者以邮政快递方式递交备份响应文件1份，</w:t>
      </w:r>
      <w:r>
        <w:rPr>
          <w:rFonts w:hint="eastAsia" w:hAnsi="宋体" w:cs="宋体"/>
          <w:b/>
          <w:color w:val="auto"/>
          <w:sz w:val="24"/>
          <w:szCs w:val="24"/>
          <w:highlight w:val="none"/>
        </w:rPr>
        <w:t>但采购人、采购代理机构不强制或变相强制供应商提交备份响应文件。</w:t>
      </w:r>
    </w:p>
    <w:p w14:paraId="709130E4">
      <w:pPr>
        <w:pStyle w:val="33"/>
        <w:snapToGrid w:val="0"/>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15.2备份响应文件须在“政采云投标客户端”制作生成，并储存在</w:t>
      </w:r>
      <w:r>
        <w:rPr>
          <w:rFonts w:hint="eastAsia" w:hAnsi="宋体" w:cs="宋体"/>
          <w:color w:val="auto"/>
          <w:sz w:val="24"/>
          <w:highlight w:val="none"/>
        </w:rPr>
        <w:t>DVD光盘等存储介质</w:t>
      </w:r>
      <w:r>
        <w:rPr>
          <w:rFonts w:hint="eastAsia" w:hAnsi="宋体" w:cs="宋体"/>
          <w:color w:val="auto"/>
          <w:sz w:val="24"/>
          <w:szCs w:val="24"/>
          <w:highlight w:val="none"/>
        </w:rPr>
        <w:t>中。备份响应文件应当密封包装并在包装上加盖公章并注明采购项目名称，供应商名称(联合体参与的，包装物封面需注明联合体，并注明联合体成员各方的名称和联合协议中约定的牵头人的名称)。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存储、密封规定的备份响应文件将被视为无效或者被拒绝接收。</w:t>
      </w:r>
    </w:p>
    <w:p w14:paraId="224842EE">
      <w:pPr>
        <w:pStyle w:val="33"/>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响应文件的，供应商应于响应文件提交（上传）截止时间前在竞争性磋商公告中载明的响应文件开启地点将备份响应文件提交给采购代理机构，采购代理机构将拒绝接受逾期送达的备份响应文件。</w:t>
      </w:r>
    </w:p>
    <w:p w14:paraId="20A6AE38">
      <w:pPr>
        <w:pStyle w:val="33"/>
        <w:snapToGrid w:val="0"/>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15.4以邮政快递方式递交备份响应文件的，供应商应先将备份响应文件按要求密封和标记，再进行邮政快递包装后邮寄。备份响应文件须在响应文件提交（上传）截止时间之前送达</w:t>
      </w:r>
      <w:r>
        <w:rPr>
          <w:rFonts w:hint="eastAsia" w:hAnsi="宋体" w:cs="宋体"/>
          <w:snapToGrid/>
          <w:color w:val="auto"/>
          <w:sz w:val="24"/>
          <w:szCs w:val="24"/>
          <w:highlight w:val="none"/>
        </w:rPr>
        <w:t>采购文件第二部分供应商须知前附表规定的备份响应文件送达地点；</w:t>
      </w:r>
      <w:r>
        <w:rPr>
          <w:rFonts w:hint="eastAsia" w:hAnsi="宋体" w:cs="宋体"/>
          <w:color w:val="auto"/>
          <w:sz w:val="24"/>
          <w:szCs w:val="24"/>
          <w:highlight w:val="none"/>
        </w:rPr>
        <w:t>送达时间以签收人签收时间为准。采购代理机构将拒绝接受逾期送达的备份响应文件。邮寄过程中，电子备份响应文件发生泄露、遗失、损坏或延期送达等情况的，由供应商自行负责。</w:t>
      </w:r>
    </w:p>
    <w:p w14:paraId="77DB980B">
      <w:pPr>
        <w:pStyle w:val="33"/>
        <w:snapToGrid w:val="0"/>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15.5供应商仅提交备份响应文件，未在电子交易平台传输递交响应文件的，响应文件无效。</w:t>
      </w:r>
    </w:p>
    <w:p w14:paraId="2878878E">
      <w:pPr>
        <w:pStyle w:val="128"/>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16.响应文件的无效处理</w:t>
      </w:r>
    </w:p>
    <w:p w14:paraId="1E13304A">
      <w:pPr>
        <w:pStyle w:val="25"/>
        <w:spacing w:line="360" w:lineRule="auto"/>
        <w:ind w:firstLine="360" w:firstLineChars="150"/>
        <w:rPr>
          <w:rFonts w:cs="宋体"/>
          <w:color w:val="auto"/>
          <w:szCs w:val="21"/>
          <w:highlight w:val="none"/>
        </w:rPr>
      </w:pPr>
      <w:r>
        <w:rPr>
          <w:rFonts w:hint="eastAsia" w:cs="宋体"/>
          <w:color w:val="auto"/>
          <w:szCs w:val="21"/>
          <w:highlight w:val="none"/>
        </w:rPr>
        <w:t>有采购文件第四部分</w:t>
      </w:r>
      <w:r>
        <w:rPr>
          <w:rFonts w:hint="eastAsia" w:cs="宋体"/>
          <w:color w:val="auto"/>
          <w:highlight w:val="none"/>
        </w:rPr>
        <w:t>4.2规定</w:t>
      </w:r>
      <w:r>
        <w:rPr>
          <w:rFonts w:hint="eastAsia" w:cs="宋体"/>
          <w:color w:val="auto"/>
          <w:szCs w:val="21"/>
          <w:highlight w:val="none"/>
        </w:rPr>
        <w:t>的情形之一的，响应文件无效：</w:t>
      </w:r>
    </w:p>
    <w:p w14:paraId="0C9E19A2">
      <w:pPr>
        <w:pStyle w:val="128"/>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17.响应文件有效期</w:t>
      </w:r>
    </w:p>
    <w:p w14:paraId="314E8259">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17.1响应文件有效期为从提交响应文件的截止之日起90天。▲</w:t>
      </w:r>
      <w:r>
        <w:rPr>
          <w:rFonts w:hint="eastAsia" w:ascii="宋体" w:hAnsi="宋体" w:cs="宋体"/>
          <w:b/>
          <w:color w:val="auto"/>
          <w:sz w:val="24"/>
          <w:szCs w:val="20"/>
          <w:highlight w:val="none"/>
        </w:rPr>
        <w:t>供应商的响应文件中承</w:t>
      </w:r>
      <w:r>
        <w:rPr>
          <w:rFonts w:hint="eastAsia" w:ascii="宋体" w:hAnsi="宋体" w:cs="宋体"/>
          <w:b/>
          <w:color w:val="auto"/>
          <w:sz w:val="24"/>
          <w:szCs w:val="21"/>
          <w:highlight w:val="none"/>
        </w:rPr>
        <w:t>诺的响应文件有效期少于采购文件中载明的响应文件有效期的，响应文件无效。</w:t>
      </w:r>
    </w:p>
    <w:p w14:paraId="0887824B">
      <w:pPr>
        <w:pStyle w:val="128"/>
        <w:spacing w:before="0"/>
        <w:ind w:firstLine="480"/>
        <w:rPr>
          <w:rFonts w:ascii="宋体" w:hAnsi="宋体" w:cs="宋体"/>
          <w:color w:val="auto"/>
          <w:highlight w:val="none"/>
        </w:rPr>
      </w:pPr>
      <w:r>
        <w:rPr>
          <w:rFonts w:hint="eastAsia" w:ascii="宋体" w:hAnsi="宋体" w:cs="宋体"/>
          <w:color w:val="auto"/>
          <w:highlight w:val="none"/>
        </w:rPr>
        <w:t>17.2响应文件合格投递后，自响应文件提交截止时间起，在响应文件有效期内有效。</w:t>
      </w:r>
    </w:p>
    <w:p w14:paraId="350CE684">
      <w:pPr>
        <w:pStyle w:val="128"/>
        <w:spacing w:before="0"/>
        <w:ind w:firstLine="480"/>
        <w:rPr>
          <w:rFonts w:ascii="宋体" w:hAnsi="宋体" w:cs="宋体"/>
          <w:color w:val="auto"/>
          <w:highlight w:val="none"/>
        </w:rPr>
      </w:pPr>
      <w:r>
        <w:rPr>
          <w:rFonts w:hint="eastAsia" w:ascii="宋体" w:hAnsi="宋体" w:cs="宋体"/>
          <w:color w:val="auto"/>
          <w:highlight w:val="none"/>
        </w:rPr>
        <w:t>17.3在原定响应文件有效期满之前，如果出现特殊情况，采购代理机构可以以书面形式通知供应商延长响应文件有效期。供应商同意延长的，不得要求或被允许修改其响应文件，供应商拒绝延长的，其响应文件无效。</w:t>
      </w:r>
    </w:p>
    <w:p w14:paraId="3607437E">
      <w:pPr>
        <w:snapToGrid w:val="0"/>
        <w:spacing w:line="360" w:lineRule="auto"/>
        <w:jc w:val="center"/>
        <w:outlineLvl w:val="1"/>
        <w:rPr>
          <w:rFonts w:ascii="宋体" w:hAnsi="宋体" w:cs="宋体"/>
          <w:b/>
          <w:color w:val="auto"/>
          <w:sz w:val="32"/>
          <w:szCs w:val="20"/>
          <w:highlight w:val="none"/>
        </w:rPr>
      </w:pPr>
      <w:r>
        <w:rPr>
          <w:rFonts w:hint="eastAsia" w:ascii="宋体" w:hAnsi="宋体" w:cs="宋体"/>
          <w:b/>
          <w:color w:val="auto"/>
          <w:sz w:val="32"/>
          <w:szCs w:val="20"/>
          <w:highlight w:val="none"/>
        </w:rPr>
        <w:t>四、响应文件开启、资格审查与信用信息查询</w:t>
      </w:r>
    </w:p>
    <w:p w14:paraId="0854AD9A">
      <w:pPr>
        <w:pStyle w:val="555"/>
        <w:spacing w:before="0" w:line="360" w:lineRule="auto"/>
        <w:ind w:left="0" w:firstLine="0"/>
        <w:contextualSpacing/>
        <w:rPr>
          <w:rFonts w:ascii="宋体" w:hAnsi="宋体" w:cs="宋体"/>
          <w:color w:val="auto"/>
          <w:sz w:val="24"/>
          <w:highlight w:val="none"/>
        </w:rPr>
      </w:pPr>
      <w:r>
        <w:rPr>
          <w:rFonts w:hint="eastAsia" w:ascii="宋体" w:hAnsi="宋体" w:cs="宋体"/>
          <w:b/>
          <w:color w:val="auto"/>
          <w:sz w:val="24"/>
          <w:szCs w:val="24"/>
          <w:highlight w:val="none"/>
        </w:rPr>
        <w:t>18.响应文件开启</w:t>
      </w:r>
    </w:p>
    <w:p w14:paraId="51BF6225">
      <w:pPr>
        <w:pStyle w:val="555"/>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18.1采购代理机构按照采购文件规定的时间通过电子交易平台组织响应文件开启，所有供应商均应当准时在线参加。供应商不足3家的，不得开启。</w:t>
      </w:r>
    </w:p>
    <w:p w14:paraId="7D711CDD">
      <w:pPr>
        <w:pStyle w:val="555"/>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18.2响应文件开启时，电子交易平台按响应文件开启时间自动提取所有响应文件。采购代理机构依托电子交易平台发起开始解密指令，供应商按照平台提示和采购文件的规定在半小时内完成在线解密。</w:t>
      </w:r>
    </w:p>
    <w:p w14:paraId="13C68C34">
      <w:pPr>
        <w:pStyle w:val="555"/>
        <w:snapToGrid w:val="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18.3</w:t>
      </w:r>
      <w:r>
        <w:rPr>
          <w:rFonts w:hint="eastAsia" w:ascii="宋体" w:hAnsi="宋体" w:cs="宋体"/>
          <w:b/>
          <w:bCs/>
          <w:color w:val="auto"/>
          <w:sz w:val="24"/>
          <w:highlight w:val="none"/>
        </w:rPr>
        <w:t>响应文件未按时解密，供应商提供了备份响应文件的，以备份响应文件作为依据，否则视为响应文件撤回。响应文件已按时解密的，备份响应文件自动失效。</w:t>
      </w:r>
    </w:p>
    <w:p w14:paraId="704A6DCE">
      <w:pPr>
        <w:pStyle w:val="555"/>
        <w:spacing w:before="0" w:line="360" w:lineRule="auto"/>
        <w:ind w:left="0" w:firstLine="0"/>
        <w:contextualSpacing/>
        <w:rPr>
          <w:rFonts w:ascii="宋体" w:hAnsi="宋体" w:cs="宋体"/>
          <w:b/>
          <w:color w:val="auto"/>
          <w:sz w:val="24"/>
          <w:szCs w:val="24"/>
          <w:highlight w:val="none"/>
        </w:rPr>
      </w:pPr>
      <w:r>
        <w:rPr>
          <w:rFonts w:hint="eastAsia" w:ascii="宋体" w:hAnsi="宋体" w:cs="宋体"/>
          <w:b/>
          <w:color w:val="auto"/>
          <w:sz w:val="24"/>
          <w:szCs w:val="24"/>
          <w:highlight w:val="none"/>
        </w:rPr>
        <w:t>19、资格审查</w:t>
      </w:r>
    </w:p>
    <w:p w14:paraId="7EF7A65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采购人、采购代理机构或磋商小组依据法律法规和采购文件的规定，对供应商的资格进行审查。</w:t>
      </w:r>
    </w:p>
    <w:p w14:paraId="2CEF4AC7">
      <w:pPr>
        <w:pStyle w:val="128"/>
        <w:spacing w:before="0"/>
        <w:ind w:firstLine="480"/>
        <w:rPr>
          <w:rFonts w:ascii="宋体" w:hAnsi="宋体" w:cs="宋体"/>
          <w:color w:val="auto"/>
          <w:highlight w:val="none"/>
        </w:rPr>
      </w:pPr>
      <w:r>
        <w:rPr>
          <w:rFonts w:hint="eastAsia" w:ascii="宋体" w:hAnsi="宋体" w:cs="宋体"/>
          <w:color w:val="auto"/>
          <w:kern w:val="0"/>
          <w:szCs w:val="24"/>
          <w:highlight w:val="none"/>
        </w:rPr>
        <w:t>19.2供应商未按照采购文件要求提供与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供应商不具备采购文件中规定的资格要求，其响应文件无效。</w:t>
      </w:r>
    </w:p>
    <w:p w14:paraId="1B7EDF2D">
      <w:pPr>
        <w:pStyle w:val="128"/>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3对未通过资格审查的供应商，采购人或采购代理机构告知其未通过的原因。</w:t>
      </w:r>
    </w:p>
    <w:p w14:paraId="6793D479">
      <w:pPr>
        <w:pStyle w:val="128"/>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4合格供应商不足3家的，不再评审。</w:t>
      </w:r>
    </w:p>
    <w:p w14:paraId="512E6BF6">
      <w:pPr>
        <w:pStyle w:val="128"/>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77D3B30F">
      <w:pPr>
        <w:pStyle w:val="128"/>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20.1信用信息查询渠道及截止时间：采购代理机构将在资格审查时通过“信用中国”网站(www.creditchina.gov.cn)、中国政府采购网(www.ccgp.gov.cn)渠道查询供应商接受资格审查时的信用记录。</w:t>
      </w:r>
    </w:p>
    <w:p w14:paraId="3F680627">
      <w:pPr>
        <w:pStyle w:val="128"/>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20.2信用信息查询记录和证据留存的具体方式：现场查询的供应商的信用记录、查询结果经确认后将与采购文件一起存档。</w:t>
      </w:r>
    </w:p>
    <w:p w14:paraId="365DDF94">
      <w:pPr>
        <w:pStyle w:val="128"/>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20.3信用信息的使用规则：经查询列入失信被执行人名单、重大税收违法案件当事人名单、政府采购严重违法失信行为记录名单的供应商将被拒绝参与政府采购活动。</w:t>
      </w:r>
    </w:p>
    <w:p w14:paraId="2D42F846">
      <w:pPr>
        <w:pStyle w:val="128"/>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90CE46D">
      <w:pPr>
        <w:snapToGrid w:val="0"/>
        <w:spacing w:line="360" w:lineRule="auto"/>
        <w:jc w:val="center"/>
        <w:outlineLvl w:val="1"/>
        <w:rPr>
          <w:rFonts w:ascii="宋体" w:hAnsi="宋体" w:cs="宋体"/>
          <w:b/>
          <w:color w:val="auto"/>
          <w:sz w:val="32"/>
          <w:szCs w:val="20"/>
          <w:highlight w:val="none"/>
        </w:rPr>
      </w:pPr>
      <w:r>
        <w:rPr>
          <w:rFonts w:hint="eastAsia" w:ascii="宋体" w:hAnsi="宋体" w:cs="宋体"/>
          <w:b/>
          <w:color w:val="auto"/>
          <w:sz w:val="32"/>
          <w:szCs w:val="20"/>
          <w:highlight w:val="none"/>
        </w:rPr>
        <w:t>五、评审</w:t>
      </w:r>
    </w:p>
    <w:p w14:paraId="7FB048C8">
      <w:pPr>
        <w:spacing w:line="360" w:lineRule="auto"/>
        <w:rPr>
          <w:rFonts w:hint="default" w:ascii="宋体" w:hAnsi="宋体" w:eastAsia="宋体" w:cs="宋体"/>
          <w:b/>
          <w:color w:val="auto"/>
          <w:sz w:val="24"/>
          <w:highlight w:val="none"/>
          <w:lang w:val="en-US" w:eastAsia="zh-CN"/>
        </w:rPr>
      </w:pPr>
      <w:bookmarkStart w:id="19" w:name="_Toc91899903"/>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项目评审</w:t>
      </w:r>
    </w:p>
    <w:p w14:paraId="6C041779">
      <w:pPr>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lang w:val="en-US" w:eastAsia="zh-CN"/>
        </w:rPr>
        <w:t>21.1</w:t>
      </w:r>
      <w:r>
        <w:rPr>
          <w:rFonts w:hint="eastAsia" w:hAnsi="宋体" w:cs="宋体"/>
          <w:color w:val="auto"/>
          <w:sz w:val="24"/>
          <w:szCs w:val="24"/>
          <w:highlight w:val="none"/>
        </w:rPr>
        <w:t>采购人将根据磋商项目的特点，依照</w:t>
      </w:r>
      <w:r>
        <w:rPr>
          <w:rFonts w:hint="eastAsia" w:hAnsi="宋体" w:cs="宋体"/>
          <w:color w:val="auto"/>
          <w:kern w:val="0"/>
          <w:sz w:val="24"/>
          <w:highlight w:val="none"/>
        </w:rPr>
        <w:t>《中华人民共和国政府采购法》、《政府采购竞争性磋商采购方式管理暂行办法》</w:t>
      </w:r>
      <w:r>
        <w:rPr>
          <w:rFonts w:hint="eastAsia" w:hAnsi="宋体" w:cs="宋体"/>
          <w:color w:val="auto"/>
          <w:sz w:val="24"/>
          <w:szCs w:val="24"/>
          <w:highlight w:val="none"/>
        </w:rPr>
        <w:t>的有关规定组建磋商评审小组。成员人数为三人，其成员由经济、技术等方面的评审专家组成。其中评审专家不少于成员总数的三分之二，采购人代表不超过总人数的三分之</w:t>
      </w:r>
      <w:r>
        <w:rPr>
          <w:rFonts w:hint="eastAsia" w:hAnsi="宋体" w:cs="宋体"/>
          <w:color w:val="auto"/>
          <w:sz w:val="24"/>
          <w:szCs w:val="24"/>
          <w:highlight w:val="none"/>
          <w:lang w:val="en-US" w:eastAsia="zh-CN"/>
        </w:rPr>
        <w:t>一，</w:t>
      </w:r>
      <w:r>
        <w:rPr>
          <w:rFonts w:hint="eastAsia" w:hAnsi="宋体" w:cs="宋体"/>
          <w:color w:val="auto"/>
          <w:sz w:val="24"/>
          <w:szCs w:val="24"/>
          <w:highlight w:val="none"/>
        </w:rPr>
        <w:t>并由磋商评审小组推选小组负责人</w:t>
      </w:r>
      <w:r>
        <w:rPr>
          <w:rFonts w:hint="eastAsia" w:hAnsi="宋体" w:cs="宋体"/>
          <w:color w:val="auto"/>
          <w:sz w:val="24"/>
          <w:szCs w:val="24"/>
          <w:highlight w:val="none"/>
          <w:lang w:eastAsia="zh-CN"/>
        </w:rPr>
        <w:t>（</w:t>
      </w:r>
      <w:r>
        <w:rPr>
          <w:rFonts w:hint="eastAsia" w:hAnsi="宋体" w:cs="宋体"/>
          <w:color w:val="auto"/>
          <w:sz w:val="24"/>
          <w:szCs w:val="24"/>
          <w:highlight w:val="none"/>
          <w:lang w:val="en-US" w:eastAsia="zh-CN"/>
        </w:rPr>
        <w:t>业主代表不得作为评审组长</w:t>
      </w:r>
      <w:r>
        <w:rPr>
          <w:rFonts w:hint="eastAsia" w:hAnsi="宋体" w:cs="宋体"/>
          <w:color w:val="auto"/>
          <w:sz w:val="24"/>
          <w:szCs w:val="24"/>
          <w:highlight w:val="none"/>
          <w:lang w:eastAsia="zh-CN"/>
        </w:rPr>
        <w:t>）</w:t>
      </w:r>
      <w:r>
        <w:rPr>
          <w:rFonts w:hint="eastAsia" w:hAnsi="宋体" w:cs="宋体"/>
          <w:color w:val="auto"/>
          <w:sz w:val="24"/>
          <w:szCs w:val="24"/>
          <w:highlight w:val="none"/>
        </w:rPr>
        <w:t>。</w:t>
      </w:r>
    </w:p>
    <w:p w14:paraId="77895B72">
      <w:pPr>
        <w:pStyle w:val="722"/>
        <w:spacing w:line="360" w:lineRule="auto"/>
        <w:ind w:firstLine="42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val="en-US" w:eastAsia="zh-CN"/>
        </w:rPr>
        <w:t>21.2</w:t>
      </w:r>
      <w:r>
        <w:rPr>
          <w:rFonts w:hint="eastAsia" w:ascii="宋体" w:hAnsi="宋体" w:eastAsia="宋体" w:cs="宋体"/>
          <w:b/>
          <w:bCs/>
          <w:color w:val="auto"/>
          <w:szCs w:val="21"/>
          <w:highlight w:val="none"/>
        </w:rPr>
        <w:t>响应文件符合性评审</w:t>
      </w:r>
    </w:p>
    <w:p w14:paraId="43B45B75">
      <w:pPr>
        <w:pStyle w:val="722"/>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21</w:t>
      </w:r>
      <w:r>
        <w:rPr>
          <w:rFonts w:hint="eastAsia" w:ascii="宋体" w:hAnsi="宋体" w:eastAsia="宋体" w:cs="宋体"/>
          <w:color w:val="auto"/>
          <w:szCs w:val="21"/>
          <w:highlight w:val="none"/>
        </w:rPr>
        <w:t>.2.1磋商小组将首先审查每份响应文件是否实质上响应了竞争性磋商文件的要求，实质性响应的响应文件是指响应文件符合竞争性磋商文件规定的实质性内容、条件和规定。</w:t>
      </w:r>
    </w:p>
    <w:p w14:paraId="47741D93">
      <w:pPr>
        <w:pStyle w:val="722"/>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21</w:t>
      </w:r>
      <w:r>
        <w:rPr>
          <w:rFonts w:hint="eastAsia" w:ascii="宋体" w:hAnsi="宋体" w:eastAsia="宋体" w:cs="宋体"/>
          <w:color w:val="auto"/>
          <w:szCs w:val="21"/>
          <w:highlight w:val="none"/>
        </w:rPr>
        <w:t>.2.2重大偏离或保留是指将会影响到竞争性磋商文件规定的服务范围、质量标准，或会给合同中规定的采购人的权利和供应商的责任造成实质性限制，而纠正这些偏离或保留将对其他提交了实质性响应的响应文件的供应商产生不公平影响的。</w:t>
      </w:r>
    </w:p>
    <w:p w14:paraId="4C5AD14C">
      <w:pPr>
        <w:pStyle w:val="722"/>
        <w:spacing w:line="360" w:lineRule="auto"/>
        <w:ind w:firstLine="42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21</w:t>
      </w:r>
      <w:r>
        <w:rPr>
          <w:rFonts w:hint="eastAsia" w:ascii="宋体" w:hAnsi="宋体" w:eastAsia="宋体" w:cs="宋体"/>
          <w:color w:val="auto"/>
          <w:szCs w:val="21"/>
          <w:highlight w:val="none"/>
        </w:rPr>
        <w:t>.2.3细微偏离是指响应文件对竞争性磋商文件的非实质性内容存在不完全响应或不响应。</w:t>
      </w:r>
    </w:p>
    <w:p w14:paraId="06A23757">
      <w:pPr>
        <w:pStyle w:val="722"/>
        <w:spacing w:line="360" w:lineRule="auto"/>
        <w:ind w:firstLine="42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21</w:t>
      </w:r>
      <w:r>
        <w:rPr>
          <w:rFonts w:hint="eastAsia" w:ascii="宋体" w:hAnsi="宋体" w:eastAsia="宋体" w:cs="宋体"/>
          <w:color w:val="auto"/>
          <w:szCs w:val="21"/>
          <w:highlight w:val="none"/>
        </w:rPr>
        <w:t>.2.4重大偏离和保留、细微偏离由磋商小组界定。符合性评审时如发现响应文件与竞争性磋商文件要求有重大偏离和保留，其响应文件将被作无效标处理。供应商不得通过修正或撤消不符合竞争性磋商文件要求的重大偏离和保留从而使其响应文件实质性响应竞争性磋商文件要求。但允许响应文件在实质性满足竞争性磋商文件要求的前提下出现的细微偏差，在详细评审时可按评审办法对细微偏差做出不利于该供应商的评审。</w:t>
      </w:r>
    </w:p>
    <w:p w14:paraId="38912D33">
      <w:pPr>
        <w:spacing w:line="360" w:lineRule="auto"/>
        <w:ind w:firstLine="480" w:firstLineChars="200"/>
        <w:rPr>
          <w:rFonts w:hint="default" w:hAnsi="宋体" w:cs="宋体"/>
          <w:color w:val="auto"/>
          <w:sz w:val="24"/>
          <w:szCs w:val="24"/>
          <w:highlight w:val="none"/>
          <w:lang w:val="en-US" w:eastAsia="zh-CN"/>
        </w:rPr>
      </w:pPr>
      <w:r>
        <w:rPr>
          <w:rFonts w:hint="eastAsia" w:hAnsi="宋体" w:cs="宋体"/>
          <w:color w:val="auto"/>
          <w:sz w:val="24"/>
          <w:szCs w:val="24"/>
          <w:highlight w:val="none"/>
          <w:lang w:val="en-US" w:eastAsia="zh-CN"/>
        </w:rPr>
        <w:t>21.3响应文件的澄清</w:t>
      </w:r>
    </w:p>
    <w:p w14:paraId="0EEF1F3F">
      <w:pPr>
        <w:spacing w:line="360" w:lineRule="auto"/>
        <w:ind w:firstLine="480" w:firstLineChars="200"/>
        <w:rPr>
          <w:rFonts w:hint="eastAsia" w:hAnsi="宋体" w:cs="宋体"/>
          <w:color w:val="auto"/>
          <w:sz w:val="24"/>
          <w:szCs w:val="24"/>
          <w:highlight w:val="none"/>
          <w:lang w:val="en-US" w:eastAsia="zh-CN"/>
        </w:rPr>
      </w:pPr>
      <w:r>
        <w:rPr>
          <w:rFonts w:hint="eastAsia" w:hAnsi="宋体" w:cs="宋体"/>
          <w:color w:val="auto"/>
          <w:sz w:val="24"/>
          <w:szCs w:val="24"/>
          <w:highlight w:val="none"/>
          <w:lang w:val="en-US" w:eastAsia="zh-CN"/>
        </w:rPr>
        <w:t>磋商小组可要求供应商对响应文件中含义不明确、同类问题表述不一致、有明显的文字和计算错误的内容等进行澄清并做出答复。澄清以通过“政府采购云平台”在线询标的形式进行。要求供应商在规定的时间内作出必要的澄清、说明或者补正，供应商人澄清、说明或补正时间为30分钟以内。</w:t>
      </w:r>
    </w:p>
    <w:p w14:paraId="17402034">
      <w:pPr>
        <w:spacing w:line="360" w:lineRule="auto"/>
        <w:ind w:firstLine="482" w:firstLineChars="200"/>
        <w:rPr>
          <w:rFonts w:hint="eastAsia" w:hAnsi="宋体" w:cs="宋体"/>
          <w:b/>
          <w:bCs/>
          <w:color w:val="auto"/>
          <w:sz w:val="24"/>
          <w:szCs w:val="24"/>
          <w:highlight w:val="none"/>
          <w:lang w:val="en-US" w:eastAsia="zh-CN"/>
        </w:rPr>
      </w:pPr>
      <w:r>
        <w:rPr>
          <w:rFonts w:hint="eastAsia" w:hAnsi="宋体" w:cs="宋体"/>
          <w:b/>
          <w:bCs/>
          <w:color w:val="auto"/>
          <w:sz w:val="24"/>
          <w:szCs w:val="24"/>
          <w:highlight w:val="none"/>
          <w:lang w:val="en-US" w:eastAsia="zh-CN"/>
        </w:rPr>
        <w:t>21.4响应文件计算错误的修正</w:t>
      </w:r>
    </w:p>
    <w:p w14:paraId="02BF00B4">
      <w:pPr>
        <w:spacing w:line="360" w:lineRule="auto"/>
        <w:ind w:firstLine="480" w:firstLineChars="200"/>
        <w:rPr>
          <w:rFonts w:hint="eastAsia" w:hAnsi="宋体" w:cs="宋体"/>
          <w:color w:val="auto"/>
          <w:sz w:val="24"/>
          <w:szCs w:val="24"/>
          <w:highlight w:val="none"/>
          <w:lang w:val="en-US" w:eastAsia="zh-CN"/>
        </w:rPr>
      </w:pPr>
      <w:r>
        <w:rPr>
          <w:rFonts w:hint="eastAsia" w:hAnsi="宋体" w:cs="宋体"/>
          <w:color w:val="auto"/>
          <w:sz w:val="24"/>
          <w:szCs w:val="24"/>
          <w:highlight w:val="none"/>
          <w:lang w:val="en-US" w:eastAsia="zh-CN"/>
        </w:rPr>
        <w:t>21.4.1响应文件中磋商报价一览表内容与响应文件中磋商分项报价表内容不一致的，以磋商报价一览表为准；</w:t>
      </w:r>
    </w:p>
    <w:p w14:paraId="06BD3EB3">
      <w:pPr>
        <w:spacing w:line="360" w:lineRule="auto"/>
        <w:ind w:firstLine="480" w:firstLineChars="200"/>
        <w:rPr>
          <w:rFonts w:hint="eastAsia" w:hAnsi="宋体" w:cs="宋体"/>
          <w:color w:val="auto"/>
          <w:sz w:val="24"/>
          <w:szCs w:val="24"/>
          <w:highlight w:val="none"/>
          <w:lang w:val="en-US" w:eastAsia="zh-CN"/>
        </w:rPr>
      </w:pPr>
      <w:r>
        <w:rPr>
          <w:rFonts w:hint="eastAsia" w:hAnsi="宋体" w:cs="宋体"/>
          <w:color w:val="auto"/>
          <w:sz w:val="24"/>
          <w:szCs w:val="24"/>
          <w:highlight w:val="none"/>
          <w:lang w:val="en-US" w:eastAsia="zh-CN"/>
        </w:rPr>
        <w:t>21.4.2响应文件的大写金额和小写金额不一致的，以大写金额为准；</w:t>
      </w:r>
    </w:p>
    <w:p w14:paraId="2CC9073C">
      <w:pPr>
        <w:spacing w:line="360" w:lineRule="auto"/>
        <w:ind w:firstLine="480" w:firstLineChars="200"/>
        <w:rPr>
          <w:rFonts w:hint="eastAsia" w:hAnsi="宋体" w:cs="宋体"/>
          <w:color w:val="auto"/>
          <w:sz w:val="24"/>
          <w:szCs w:val="24"/>
          <w:highlight w:val="none"/>
          <w:lang w:val="en-US" w:eastAsia="zh-CN"/>
        </w:rPr>
      </w:pPr>
      <w:r>
        <w:rPr>
          <w:rFonts w:hint="eastAsia" w:hAnsi="宋体" w:cs="宋体"/>
          <w:color w:val="auto"/>
          <w:sz w:val="24"/>
          <w:szCs w:val="24"/>
          <w:highlight w:val="none"/>
          <w:lang w:val="en-US" w:eastAsia="zh-CN"/>
        </w:rPr>
        <w:t>21.4.3总价金额与按单价汇总金额不一致的，以单价金额计算结果为准;</w:t>
      </w:r>
    </w:p>
    <w:p w14:paraId="7FCB4481">
      <w:pPr>
        <w:spacing w:line="360" w:lineRule="auto"/>
        <w:ind w:firstLine="480" w:firstLineChars="200"/>
        <w:rPr>
          <w:rFonts w:hint="eastAsia" w:hAnsi="宋体" w:cs="宋体"/>
          <w:color w:val="auto"/>
          <w:sz w:val="24"/>
          <w:szCs w:val="24"/>
          <w:highlight w:val="none"/>
          <w:lang w:val="en-US" w:eastAsia="zh-CN"/>
        </w:rPr>
      </w:pPr>
      <w:r>
        <w:rPr>
          <w:rFonts w:hint="eastAsia" w:hAnsi="宋体" w:cs="宋体"/>
          <w:color w:val="auto"/>
          <w:sz w:val="24"/>
          <w:szCs w:val="24"/>
          <w:highlight w:val="none"/>
          <w:lang w:val="en-US" w:eastAsia="zh-CN"/>
        </w:rPr>
        <w:t>21.4.4单价金额小数点有明显错位的，应以总价为准，并修改单价；</w:t>
      </w:r>
    </w:p>
    <w:p w14:paraId="06B8BC1C">
      <w:pPr>
        <w:spacing w:line="360" w:lineRule="auto"/>
        <w:ind w:firstLine="480" w:firstLineChars="200"/>
        <w:rPr>
          <w:rFonts w:hint="default" w:hAnsi="宋体" w:eastAsia="宋体" w:cs="宋体"/>
          <w:color w:val="auto"/>
          <w:sz w:val="24"/>
          <w:szCs w:val="24"/>
          <w:highlight w:val="none"/>
          <w:lang w:val="en-US" w:eastAsia="zh-CN"/>
        </w:rPr>
      </w:pPr>
      <w:r>
        <w:rPr>
          <w:rFonts w:hint="eastAsia" w:hAnsi="宋体" w:cs="宋体"/>
          <w:color w:val="auto"/>
          <w:sz w:val="24"/>
          <w:szCs w:val="24"/>
          <w:highlight w:val="none"/>
          <w:lang w:val="en-US" w:eastAsia="zh-CN"/>
        </w:rPr>
        <w:t>21.4.5对不同文字文本响应文件的解释发生异议的，以中文文本为准。</w:t>
      </w:r>
    </w:p>
    <w:p w14:paraId="579C83A8">
      <w:pPr>
        <w:spacing w:line="360" w:lineRule="auto"/>
        <w:ind w:firstLine="480" w:firstLineChars="200"/>
        <w:rPr>
          <w:rFonts w:hint="eastAsia" w:hAnsi="宋体" w:cs="宋体"/>
          <w:color w:val="auto"/>
          <w:sz w:val="24"/>
          <w:szCs w:val="24"/>
          <w:highlight w:val="none"/>
          <w:lang w:val="en-US" w:eastAsia="zh-CN"/>
        </w:rPr>
      </w:pPr>
      <w:r>
        <w:rPr>
          <w:rFonts w:hint="eastAsia" w:hAnsi="宋体" w:cs="宋体"/>
          <w:color w:val="auto"/>
          <w:sz w:val="24"/>
          <w:szCs w:val="24"/>
          <w:highlight w:val="none"/>
          <w:lang w:val="en-US" w:eastAsia="zh-CN"/>
        </w:rPr>
        <w:t>21.3磋商小组根据磋商文件的内容与通过审查的各供应商分别进行磋商，各供应商应通过政采云平台在线答复。</w:t>
      </w:r>
    </w:p>
    <w:p w14:paraId="7B6509DB">
      <w:pPr>
        <w:spacing w:line="360" w:lineRule="auto"/>
        <w:ind w:firstLine="480" w:firstLineChars="200"/>
        <w:rPr>
          <w:rFonts w:hint="eastAsia" w:ascii="宋体" w:hAnsi="宋体" w:cs="宋体"/>
          <w:b/>
          <w:color w:val="auto"/>
          <w:sz w:val="24"/>
          <w:highlight w:val="none"/>
        </w:rPr>
      </w:pPr>
      <w:r>
        <w:rPr>
          <w:rFonts w:hint="eastAsia" w:hAnsi="宋体" w:cs="宋体"/>
          <w:color w:val="auto"/>
          <w:sz w:val="24"/>
          <w:szCs w:val="24"/>
          <w:highlight w:val="none"/>
          <w:lang w:val="en-US" w:eastAsia="zh-CN"/>
        </w:rPr>
        <w:t>21.5</w:t>
      </w:r>
      <w:r>
        <w:rPr>
          <w:rFonts w:hint="eastAsia" w:hAnsi="宋体" w:cs="宋体"/>
          <w:color w:val="auto"/>
          <w:sz w:val="24"/>
          <w:szCs w:val="24"/>
          <w:highlight w:val="none"/>
        </w:rPr>
        <w:t>磋商评审小组</w:t>
      </w:r>
      <w:r>
        <w:rPr>
          <w:rFonts w:hint="eastAsia" w:ascii="宋体" w:hAnsi="宋体" w:cs="宋体"/>
          <w:color w:val="auto"/>
          <w:sz w:val="24"/>
          <w:highlight w:val="none"/>
        </w:rPr>
        <w:t>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r>
        <w:rPr>
          <w:rFonts w:hint="eastAsia" w:ascii="宋体" w:hAnsi="宋体" w:cs="宋体"/>
          <w:b/>
          <w:color w:val="auto"/>
          <w:sz w:val="24"/>
          <w:highlight w:val="none"/>
        </w:rPr>
        <w:t>详见采购文件第四部分评审办法。</w:t>
      </w:r>
    </w:p>
    <w:p w14:paraId="1A3FB175">
      <w:pPr>
        <w:spacing w:line="360" w:lineRule="auto"/>
        <w:ind w:firstLine="482" w:firstLineChars="200"/>
        <w:rPr>
          <w:rFonts w:hint="eastAsia" w:ascii="宋体" w:hAnsi="宋体" w:cs="宋体"/>
          <w:b/>
          <w:color w:val="auto"/>
          <w:sz w:val="24"/>
          <w:highlight w:val="none"/>
          <w:lang w:val="en-US" w:eastAsia="zh-CN"/>
        </w:rPr>
      </w:pPr>
      <w:r>
        <w:rPr>
          <w:rFonts w:hint="eastAsia" w:ascii="宋体" w:hAnsi="宋体" w:cs="宋体"/>
          <w:b/>
          <w:color w:val="auto"/>
          <w:sz w:val="24"/>
          <w:highlight w:val="none"/>
          <w:lang w:val="en-US" w:eastAsia="zh-CN"/>
        </w:rPr>
        <w:t>21.6磋商报价分二轮进行，首次报价在响应文件中体现；最终报价由各供应商在规定时间内通过政采云平台在线完成。各供应商应事先做好充足准备，如未能在规定的时间内提供最终报价，作自动放弃处理。</w:t>
      </w:r>
    </w:p>
    <w:p w14:paraId="08E6E2A6">
      <w:pPr>
        <w:spacing w:line="360" w:lineRule="auto"/>
        <w:ind w:firstLine="482" w:firstLineChars="200"/>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注：最后一轮报价只允许有一个报价，不接受有选择报价的响应文件。</w:t>
      </w:r>
    </w:p>
    <w:p w14:paraId="1DE2A98E">
      <w:pPr>
        <w:snapToGrid w:val="0"/>
        <w:spacing w:line="360" w:lineRule="auto"/>
        <w:jc w:val="center"/>
        <w:outlineLvl w:val="1"/>
        <w:rPr>
          <w:rFonts w:ascii="宋体" w:hAnsi="宋体" w:cs="宋体"/>
          <w:b/>
          <w:color w:val="auto"/>
          <w:sz w:val="32"/>
          <w:szCs w:val="20"/>
          <w:highlight w:val="none"/>
        </w:rPr>
      </w:pPr>
      <w:r>
        <w:rPr>
          <w:rFonts w:hint="eastAsia" w:ascii="宋体" w:hAnsi="宋体" w:cs="宋体"/>
          <w:b/>
          <w:color w:val="auto"/>
          <w:sz w:val="32"/>
          <w:szCs w:val="20"/>
          <w:highlight w:val="none"/>
        </w:rPr>
        <w:t>六、成交供应商确定</w:t>
      </w:r>
    </w:p>
    <w:p w14:paraId="3D18B9E7">
      <w:pPr>
        <w:pStyle w:val="25"/>
        <w:spacing w:line="360" w:lineRule="auto"/>
        <w:ind w:left="479" w:hanging="479" w:hangingChars="199"/>
        <w:rPr>
          <w:rFonts w:cs="宋体"/>
          <w:b/>
          <w:color w:val="auto"/>
          <w:highlight w:val="none"/>
        </w:rPr>
      </w:pPr>
      <w:r>
        <w:rPr>
          <w:rFonts w:hint="eastAsia" w:cs="宋体"/>
          <w:b/>
          <w:color w:val="auto"/>
          <w:highlight w:val="none"/>
        </w:rPr>
        <w:t>22. 确定成交供应商</w:t>
      </w:r>
    </w:p>
    <w:p w14:paraId="7D968650">
      <w:pPr>
        <w:pStyle w:val="128"/>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69CB0403">
      <w:pPr>
        <w:pStyle w:val="128"/>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成交通知与成交结果公告</w:t>
      </w:r>
    </w:p>
    <w:p w14:paraId="783EE23A">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23.1自成交供应商确定之日起1个工作日内，采购代理机构通过电子交易平台向成交供应商发出成交通知书，同时编制发布采购结果公告。采购代理机构也可以以纸质形式进行成交通知。</w:t>
      </w:r>
    </w:p>
    <w:p w14:paraId="39A038F6">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成交结果公告内容包括采购人及其委托的采购代理机构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14:paraId="55112996">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2AEE77FB">
      <w:pPr>
        <w:snapToGrid w:val="0"/>
        <w:spacing w:line="360" w:lineRule="auto"/>
        <w:jc w:val="center"/>
        <w:outlineLvl w:val="1"/>
        <w:rPr>
          <w:rFonts w:ascii="宋体" w:hAnsi="宋体" w:cs="宋体"/>
          <w:b/>
          <w:color w:val="auto"/>
          <w:sz w:val="32"/>
          <w:szCs w:val="20"/>
          <w:highlight w:val="none"/>
        </w:rPr>
      </w:pPr>
      <w:r>
        <w:rPr>
          <w:rFonts w:hint="eastAsia" w:ascii="宋体" w:hAnsi="宋体" w:cs="宋体"/>
          <w:b/>
          <w:color w:val="auto"/>
          <w:sz w:val="32"/>
          <w:szCs w:val="20"/>
          <w:highlight w:val="none"/>
        </w:rPr>
        <w:t>七、合同授予</w:t>
      </w:r>
    </w:p>
    <w:p w14:paraId="47C452BD">
      <w:pPr>
        <w:pStyle w:val="25"/>
        <w:snapToGrid w:val="0"/>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39782343">
      <w:pPr>
        <w:pStyle w:val="25"/>
        <w:snapToGrid w:val="0"/>
        <w:spacing w:line="360" w:lineRule="auto"/>
        <w:ind w:left="479" w:hanging="479" w:hangingChars="199"/>
        <w:rPr>
          <w:rFonts w:cs="宋体"/>
          <w:b/>
          <w:color w:val="auto"/>
          <w:highlight w:val="none"/>
        </w:rPr>
      </w:pPr>
      <w:r>
        <w:rPr>
          <w:rFonts w:hint="eastAsia" w:cs="宋体"/>
          <w:b/>
          <w:color w:val="auto"/>
          <w:highlight w:val="none"/>
        </w:rPr>
        <w:t>25. 合同的签订</w:t>
      </w:r>
    </w:p>
    <w:p w14:paraId="76057D70">
      <w:pPr>
        <w:widowControl/>
        <w:shd w:val="clear" w:color="auto" w:fill="FFFFFF"/>
        <w:snapToGrid w:val="0"/>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采购人与成交供应商应当通过电子交易平台在成交通知书发出之日起三十日内，按照采购文件确定的事项签订政府采购合同，并在签订之日起2个工作日内将政府采购合同在浙江政府采购网上公告。</w:t>
      </w:r>
    </w:p>
    <w:p w14:paraId="0727307D">
      <w:pPr>
        <w:pStyle w:val="128"/>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25.2成交供应商按规定的日期、时间、地点，由法定代表人或其授权代表与采购人代表签订合同。如成交供应商为联合体的，由联合体成员各方法定代表人或其授权代表与采购人代表签订合同。</w:t>
      </w:r>
    </w:p>
    <w:p w14:paraId="46BAA58C">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1EC5385F">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25.4成交供应商拒绝与采购人签订合同的，采购人可以按照评审报告推荐的成交候选人名单排序，确定下一候选人为成交供应商，也可以重新开展政府采购活动。拒绝与采购人签订合同的成交供应商应承担采购代理服务费、评审专家劳务报酬等相关费用。</w:t>
      </w:r>
    </w:p>
    <w:p w14:paraId="3D0A7004">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25.5采购合同由采购人与成交供应商根据采购文件、响应文件等内容通过政府采购电子交易平台在线签订，自动备案。</w:t>
      </w:r>
    </w:p>
    <w:p w14:paraId="73908172">
      <w:pPr>
        <w:pStyle w:val="25"/>
        <w:snapToGrid w:val="0"/>
        <w:spacing w:line="360" w:lineRule="auto"/>
        <w:ind w:left="479" w:hanging="479" w:hangingChars="199"/>
        <w:rPr>
          <w:rFonts w:cs="宋体"/>
          <w:b/>
          <w:color w:val="auto"/>
          <w:highlight w:val="none"/>
        </w:rPr>
      </w:pPr>
      <w:r>
        <w:rPr>
          <w:rFonts w:hint="eastAsia" w:cs="宋体"/>
          <w:b/>
          <w:color w:val="auto"/>
          <w:highlight w:val="none"/>
        </w:rPr>
        <w:t>26. 履约保证金</w:t>
      </w:r>
    </w:p>
    <w:p w14:paraId="7D9ABE93">
      <w:pPr>
        <w:tabs>
          <w:tab w:val="left" w:pos="0"/>
        </w:tabs>
        <w:snapToGrid w:val="0"/>
        <w:spacing w:line="360" w:lineRule="auto"/>
        <w:ind w:firstLine="482"/>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无，本项目不要求缴纳履约保证金。</w:t>
      </w:r>
    </w:p>
    <w:p w14:paraId="7D6C322D">
      <w:pPr>
        <w:pStyle w:val="25"/>
        <w:snapToGrid w:val="0"/>
        <w:spacing w:line="360" w:lineRule="auto"/>
        <w:ind w:left="479" w:hanging="479" w:hangingChars="199"/>
        <w:rPr>
          <w:rFonts w:cs="宋体"/>
          <w:b/>
          <w:color w:val="auto"/>
          <w:highlight w:val="none"/>
        </w:rPr>
      </w:pPr>
      <w:r>
        <w:rPr>
          <w:rFonts w:hint="eastAsia" w:cs="宋体"/>
          <w:b/>
          <w:color w:val="auto"/>
          <w:highlight w:val="none"/>
        </w:rPr>
        <w:t>27.预付款</w:t>
      </w:r>
    </w:p>
    <w:p w14:paraId="3D36FD39">
      <w:pPr>
        <w:adjustRightInd/>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lang w:val="en-US" w:eastAsia="zh-CN"/>
        </w:rPr>
        <w:t>本</w:t>
      </w:r>
      <w:r>
        <w:rPr>
          <w:rFonts w:hint="eastAsia" w:ascii="宋体" w:hAnsi="宋体" w:cs="宋体"/>
          <w:color w:val="auto"/>
          <w:sz w:val="24"/>
          <w:highlight w:val="none"/>
        </w:rPr>
        <w:t>项目</w:t>
      </w:r>
      <w:r>
        <w:rPr>
          <w:rFonts w:hint="eastAsia" w:ascii="宋体" w:hAnsi="宋体" w:cs="宋体"/>
          <w:color w:val="auto"/>
          <w:sz w:val="24"/>
          <w:highlight w:val="none"/>
          <w:lang w:val="en-US" w:eastAsia="zh-CN"/>
        </w:rPr>
        <w:t>无预付款</w:t>
      </w:r>
      <w:r>
        <w:rPr>
          <w:rFonts w:hint="eastAsia" w:ascii="宋体" w:hAnsi="宋体" w:cs="宋体"/>
          <w:color w:val="auto"/>
          <w:sz w:val="24"/>
          <w:highlight w:val="none"/>
        </w:rPr>
        <w:t>。</w:t>
      </w:r>
    </w:p>
    <w:p w14:paraId="48516D6E">
      <w:pPr>
        <w:snapToGrid w:val="0"/>
        <w:spacing w:line="360" w:lineRule="auto"/>
        <w:jc w:val="center"/>
        <w:outlineLvl w:val="1"/>
        <w:rPr>
          <w:rFonts w:ascii="宋体" w:hAnsi="宋体" w:cs="宋体"/>
          <w:b/>
          <w:color w:val="auto"/>
          <w:sz w:val="32"/>
          <w:szCs w:val="20"/>
          <w:highlight w:val="none"/>
        </w:rPr>
      </w:pPr>
      <w:r>
        <w:rPr>
          <w:rFonts w:hint="eastAsia" w:ascii="宋体" w:hAnsi="宋体" w:cs="宋体"/>
          <w:b/>
          <w:color w:val="auto"/>
          <w:sz w:val="32"/>
          <w:szCs w:val="20"/>
          <w:highlight w:val="none"/>
        </w:rPr>
        <w:t>八、电子交易活动的中止</w:t>
      </w:r>
    </w:p>
    <w:p w14:paraId="022F6C07">
      <w:pPr>
        <w:pStyle w:val="128"/>
        <w:snapToGrid w:val="0"/>
        <w:spacing w:before="0"/>
        <w:ind w:firstLine="0" w:firstLineChars="0"/>
        <w:rPr>
          <w:rFonts w:ascii="宋体" w:hAnsi="宋体" w:cs="宋体"/>
          <w:color w:val="auto"/>
          <w:highlight w:val="none"/>
        </w:rPr>
      </w:pPr>
      <w:r>
        <w:rPr>
          <w:rFonts w:hint="eastAsia" w:ascii="宋体" w:hAnsi="宋体" w:cs="宋体"/>
          <w:b/>
          <w:bCs/>
          <w:color w:val="auto"/>
          <w:highlight w:val="none"/>
        </w:rPr>
        <w:t>2</w:t>
      </w:r>
      <w:r>
        <w:rPr>
          <w:rFonts w:hint="eastAsia" w:ascii="宋体" w:hAnsi="宋体" w:cs="宋体"/>
          <w:b/>
          <w:bCs/>
          <w:color w:val="auto"/>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44C6008C">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5CEFAB23">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7D3A9F9A">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2C4016D3">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48FB7BAF">
      <w:pPr>
        <w:pStyle w:val="128"/>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27966554">
      <w:pPr>
        <w:pStyle w:val="128"/>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757AD181">
      <w:pPr>
        <w:snapToGrid w:val="0"/>
        <w:spacing w:line="360" w:lineRule="auto"/>
        <w:jc w:val="center"/>
        <w:outlineLvl w:val="1"/>
        <w:rPr>
          <w:rFonts w:ascii="宋体" w:hAnsi="宋体" w:cs="宋体"/>
          <w:b/>
          <w:color w:val="auto"/>
          <w:sz w:val="32"/>
          <w:szCs w:val="20"/>
          <w:highlight w:val="none"/>
        </w:rPr>
      </w:pPr>
      <w:r>
        <w:rPr>
          <w:rFonts w:hint="eastAsia" w:ascii="宋体" w:hAnsi="宋体" w:cs="宋体"/>
          <w:b/>
          <w:color w:val="auto"/>
          <w:sz w:val="32"/>
          <w:szCs w:val="20"/>
          <w:highlight w:val="none"/>
        </w:rPr>
        <w:t>九、验收</w:t>
      </w:r>
    </w:p>
    <w:p w14:paraId="7AF039BF">
      <w:pPr>
        <w:pStyle w:val="25"/>
        <w:spacing w:line="360" w:lineRule="auto"/>
        <w:ind w:firstLine="0" w:firstLineChars="0"/>
        <w:rPr>
          <w:rFonts w:cs="宋体"/>
          <w:b/>
          <w:color w:val="auto"/>
          <w:highlight w:val="none"/>
        </w:rPr>
      </w:pPr>
      <w:r>
        <w:rPr>
          <w:rFonts w:hint="eastAsia" w:cs="宋体"/>
          <w:b/>
          <w:color w:val="auto"/>
          <w:highlight w:val="none"/>
        </w:rPr>
        <w:t>30.验收</w:t>
      </w:r>
    </w:p>
    <w:p w14:paraId="15D199D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79A850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30.2采购人可以邀请参加本项目的其他供应商或者第三方机构参与验收。参与验收的供应商或者第三方机构的意见作为验收书的参考资料一并存档。</w:t>
      </w:r>
    </w:p>
    <w:p w14:paraId="405EBE6D">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33E5BCA">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9"/>
    <w:p w14:paraId="5F82DF1B">
      <w:pPr>
        <w:tabs>
          <w:tab w:val="left" w:pos="0"/>
        </w:tabs>
        <w:spacing w:line="360" w:lineRule="auto"/>
        <w:ind w:firstLine="480"/>
        <w:rPr>
          <w:rFonts w:ascii="宋体" w:hAnsi="宋体" w:cs="宋体"/>
          <w:color w:val="auto"/>
          <w:kern w:val="0"/>
          <w:sz w:val="24"/>
          <w:highlight w:val="none"/>
        </w:rPr>
        <w:sectPr>
          <w:pgSz w:w="11906" w:h="16838"/>
          <w:pgMar w:top="1440" w:right="1080" w:bottom="1440" w:left="1080" w:header="851" w:footer="992" w:gutter="0"/>
          <w:cols w:space="720" w:num="1"/>
          <w:titlePg/>
          <w:docGrid w:linePitch="312" w:charSpace="0"/>
        </w:sectPr>
      </w:pPr>
      <w:bookmarkStart w:id="20" w:name="_Hlt68072990"/>
      <w:bookmarkEnd w:id="20"/>
      <w:bookmarkStart w:id="21" w:name="_Hlt68057669"/>
      <w:bookmarkEnd w:id="21"/>
      <w:bookmarkStart w:id="22" w:name="_Hlt74729768"/>
      <w:bookmarkEnd w:id="22"/>
      <w:bookmarkStart w:id="23" w:name="_Hlt75236101"/>
      <w:bookmarkEnd w:id="23"/>
      <w:bookmarkStart w:id="24" w:name="_Hlt75236011"/>
      <w:bookmarkEnd w:id="24"/>
      <w:bookmarkStart w:id="25" w:name="_Hlt68403820"/>
      <w:bookmarkEnd w:id="25"/>
      <w:bookmarkStart w:id="26" w:name="_Hlt68072998"/>
      <w:bookmarkEnd w:id="26"/>
      <w:bookmarkStart w:id="27" w:name="_Hlt75236290"/>
      <w:bookmarkEnd w:id="27"/>
      <w:bookmarkStart w:id="28" w:name="_Hlt74730295"/>
      <w:bookmarkEnd w:id="28"/>
      <w:bookmarkStart w:id="29" w:name="_Hlt74714665"/>
      <w:bookmarkEnd w:id="29"/>
      <w:bookmarkStart w:id="30" w:name="_Hlt68073093"/>
      <w:bookmarkEnd w:id="30"/>
      <w:bookmarkStart w:id="31" w:name="_Hlt74707468"/>
      <w:bookmarkEnd w:id="31"/>
    </w:p>
    <w:bookmarkEnd w:id="16"/>
    <w:bookmarkEnd w:id="17"/>
    <w:p w14:paraId="41DEF497">
      <w:pPr>
        <w:adjustRightInd/>
        <w:spacing w:line="360" w:lineRule="auto"/>
        <w:jc w:val="center"/>
        <w:outlineLvl w:val="0"/>
        <w:rPr>
          <w:rFonts w:ascii="宋体" w:hAnsi="宋体" w:cs="宋体"/>
          <w:b/>
          <w:color w:val="auto"/>
          <w:sz w:val="36"/>
          <w:szCs w:val="20"/>
          <w:highlight w:val="none"/>
        </w:rPr>
      </w:pPr>
      <w:bookmarkStart w:id="32" w:name="_Toc12756"/>
      <w:bookmarkStart w:id="33" w:name="第四部分"/>
      <w:r>
        <w:rPr>
          <w:rFonts w:hint="eastAsia" w:ascii="宋体" w:hAnsi="宋体" w:cs="宋体"/>
          <w:b/>
          <w:color w:val="auto"/>
          <w:sz w:val="36"/>
          <w:szCs w:val="20"/>
          <w:highlight w:val="none"/>
        </w:rPr>
        <w:t>第三部分 采购需求</w:t>
      </w:r>
      <w:bookmarkEnd w:id="32"/>
    </w:p>
    <w:p w14:paraId="77242B03">
      <w:pPr>
        <w:pStyle w:val="3"/>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一、</w:t>
      </w:r>
      <w:bookmarkStart w:id="34" w:name="_Toc17582"/>
      <w:bookmarkStart w:id="35" w:name="_Toc14108"/>
      <w:bookmarkStart w:id="36" w:name="_Toc15817"/>
      <w:r>
        <w:rPr>
          <w:rFonts w:hint="eastAsia" w:ascii="宋体" w:hAnsi="宋体" w:eastAsia="宋体" w:cs="宋体"/>
          <w:b/>
          <w:bCs/>
          <w:color w:val="auto"/>
          <w:sz w:val="24"/>
          <w:szCs w:val="24"/>
          <w:highlight w:val="none"/>
        </w:rPr>
        <w:t>监理服务范围</w:t>
      </w:r>
      <w:bookmarkEnd w:id="34"/>
      <w:bookmarkEnd w:id="35"/>
      <w:bookmarkEnd w:id="36"/>
    </w:p>
    <w:p w14:paraId="3DAB1E7B">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snapToGrid w:val="0"/>
          <w:color w:val="auto"/>
          <w:sz w:val="24"/>
          <w:szCs w:val="24"/>
          <w:highlight w:val="none"/>
        </w:rPr>
      </w:pPr>
      <w:r>
        <w:rPr>
          <w:rFonts w:hint="eastAsia" w:ascii="宋体" w:hAnsi="宋体" w:eastAsia="宋体" w:cs="宋体"/>
          <w:color w:val="auto"/>
          <w:sz w:val="24"/>
          <w:szCs w:val="24"/>
          <w:highlight w:val="none"/>
        </w:rPr>
        <w:t>全程参与项目日常监理工作，做好项目质量控制、进度控制、变更及投资控制，高标准做好合同管理、文档资料管理，受采购人委托，负责协调项目涉及的各承建单位之间的工作关系，协调解决项目建设过程中出现的分歧；针对项目建设情况，向采购人提出合理化的改进建议，并提供现场全程监理服务；协助、配合项目审计工作。</w:t>
      </w:r>
    </w:p>
    <w:p w14:paraId="2D6750A6">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包括但不限于：</w:t>
      </w:r>
    </w:p>
    <w:p w14:paraId="4EDED6FE">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协助采购人做好合同审核工作</w:t>
      </w:r>
    </w:p>
    <w:p w14:paraId="1C1005C6">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根据采购人的要求，参与采购人与承建单位合同的讨论，协助采购人完成项目合同的编写工作，提出监理修改建议。</w:t>
      </w:r>
    </w:p>
    <w:p w14:paraId="60B348B8">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协助、配合项目审计工作</w:t>
      </w:r>
    </w:p>
    <w:p w14:paraId="53919B94">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项目审计阶段，监理单位协助和配合完成项目审计工作。</w:t>
      </w:r>
    </w:p>
    <w:p w14:paraId="4CAC62A1">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协助采购人建立相关项目管理制度</w:t>
      </w:r>
    </w:p>
    <w:p w14:paraId="4F1E3D66">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根据采购人实际项目管理的需求，协助采购人制定相关项目管理制度。</w:t>
      </w:r>
    </w:p>
    <w:p w14:paraId="3ACC43E9">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全程参与项目日常监理工作</w:t>
      </w:r>
    </w:p>
    <w:p w14:paraId="4C2C0CE2">
      <w:pPr>
        <w:pStyle w:val="3"/>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sz w:val="24"/>
          <w:szCs w:val="24"/>
          <w:highlight w:val="none"/>
        </w:rPr>
      </w:pPr>
      <w:bookmarkStart w:id="37" w:name="_Toc516499494"/>
      <w:bookmarkStart w:id="38" w:name="_Toc20082"/>
      <w:bookmarkStart w:id="39" w:name="_Toc14479"/>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rPr>
        <w:t>、监理服务准则</w:t>
      </w:r>
      <w:bookmarkEnd w:id="37"/>
      <w:bookmarkEnd w:id="38"/>
      <w:bookmarkEnd w:id="39"/>
    </w:p>
    <w:p w14:paraId="0A24F84C">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遵照国家有关规定，以“守法、诚信、公正、科学”的准则执业，维护采购人与承建单位的合法权益。具体应做到：</w:t>
      </w:r>
    </w:p>
    <w:p w14:paraId="4B20C44D">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1.执行有关项目建设的法律、法规、规范、标准和制度，履行监理合同规定的义务和职责。</w:t>
      </w:r>
    </w:p>
    <w:p w14:paraId="53305FD4">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2.不收受被监理单位的任何礼金。</w:t>
      </w:r>
    </w:p>
    <w:p w14:paraId="0F4BC1BE">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3.不泄漏所监理项目各方认为需要保密的事项。</w:t>
      </w:r>
    </w:p>
    <w:p w14:paraId="69FB0BBF">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4.遵守国家的法律和政府的有关条例、规定和办法等。</w:t>
      </w:r>
    </w:p>
    <w:p w14:paraId="1AD573C7">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5.坚持公正的立场，独立、公正地处理有关各方的争议。</w:t>
      </w:r>
    </w:p>
    <w:p w14:paraId="3A7517B8">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6.坚持科学的态度和实事求是的原则。</w:t>
      </w:r>
    </w:p>
    <w:p w14:paraId="0BBAEEA0">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7.在坚持按监理合同的规定向采购人提供技术服务的同时，帮助被监理者完成起担负的建设任务。</w:t>
      </w:r>
    </w:p>
    <w:p w14:paraId="20C71EDF">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8.不泄漏所监理的项目需保密的事项。</w:t>
      </w:r>
    </w:p>
    <w:p w14:paraId="67AB5AA5">
      <w:pPr>
        <w:pStyle w:val="3"/>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sz w:val="24"/>
          <w:szCs w:val="24"/>
          <w:highlight w:val="none"/>
          <w:lang w:val="en-US" w:eastAsia="zh-CN"/>
        </w:rPr>
      </w:pPr>
      <w:bookmarkStart w:id="40" w:name="_Toc2693"/>
      <w:bookmarkStart w:id="41" w:name="_Toc5229"/>
      <w:bookmarkStart w:id="42" w:name="_Toc516499492"/>
      <w:r>
        <w:rPr>
          <w:rFonts w:hint="eastAsia" w:ascii="宋体" w:hAnsi="宋体" w:eastAsia="宋体" w:cs="宋体"/>
          <w:color w:val="auto"/>
          <w:sz w:val="24"/>
          <w:szCs w:val="24"/>
          <w:highlight w:val="none"/>
          <w:lang w:val="en-US" w:eastAsia="zh-CN"/>
        </w:rPr>
        <w:t>三、监理服务要求</w:t>
      </w:r>
      <w:bookmarkEnd w:id="40"/>
      <w:bookmarkEnd w:id="41"/>
      <w:bookmarkEnd w:id="42"/>
    </w:p>
    <w:p w14:paraId="66C56652">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作为一种约束机制，有着不可替代性。在建设工程全过程实施中，监理通过质量、进度、成本控制和合同管理、变更管理、配置管理、文档管理、人员管理、信息管理以及有效的沟通管理机制，以确保服务质量优质、项目效益明显。</w:t>
      </w:r>
    </w:p>
    <w:p w14:paraId="72E55F31">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1.监理单位在履行本合同期间，应遵守监理职业准则和行为规范，应用合理的技能为采购人提供与其监理单位资质水平相适应的服务，通过科学、认真、勤奋与高效工作，实现合同约定的目标。</w:t>
      </w:r>
    </w:p>
    <w:p w14:paraId="6702B89C">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2.监理单位应按照“公正、独立、科学”的原则开展监理工作，除合同约定的具体业务外，还应协助采购人协调本项目实施过程中涉及周边工作环境等方面的工作。</w:t>
      </w:r>
    </w:p>
    <w:p w14:paraId="24EF792D">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监理单位主要人员的资质应在监理规范中详细描述，并得到采购人的认可。监理单位的专业配置和人员组成应合理，派驻进场的监理人员的素质、数量、专业及层次结构等必须满足项目监理工作和项目进展的需要。</w:t>
      </w:r>
    </w:p>
    <w:p w14:paraId="63FF0271">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4.严格按照国家有关法律、法规及技术规范进行管理，对项目的每一个阶段进行全过程的监理，保证项目的过程质量，从而确保整个项目的质量。</w:t>
      </w:r>
    </w:p>
    <w:p w14:paraId="06180EFD">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5.根据项目的实际情况，协助采购人制定合理的工期目标和进度计划，并对项目进度进行动态跟踪和控制，保证项目按照预定工期顺利进行。</w:t>
      </w:r>
    </w:p>
    <w:p w14:paraId="0862457A">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在本项目监理中，监理单位应协助采购人对项目进行全面的风险分析，正确评估项目风险，制定合理的风险管理方案，监控和化解风险，当项目出现问题时能尽快纠正，减少项目损失，最终保证项目目标的实现。</w:t>
      </w:r>
    </w:p>
    <w:p w14:paraId="1898874B">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监理单位参与承建单位的验收计划、验收资料的制定和审核，监理单位在验收阶段提供完整的监理验收资料和监理验收总结报告，验收完成后对项目进行总结和对验收发现的问题进行督促整改、跟踪解决等工作。</w:t>
      </w:r>
    </w:p>
    <w:p w14:paraId="19426B4A">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8.监理单位应充分将其项目管理专业知识及技能运用到本项目的监理工作中，协助采购人进行项目管理，保证本项目高效、保质、节约地完成。</w:t>
      </w:r>
    </w:p>
    <w:p w14:paraId="4B645D1F">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9.监理单位要充分履行其在项目组织协调方面的职责与义务，建立有效的沟通与协商制度，确保项目参与各方的信息能够及时、畅通、完整进行传递。</w:t>
      </w:r>
    </w:p>
    <w:p w14:paraId="70739B61">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10.监理单位应确保项目各个阶段符合审计要求，并在项目后期配合采购人、审计单位做好审计工作。</w:t>
      </w:r>
    </w:p>
    <w:p w14:paraId="14163277">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11.监理单位还应结合自身积累的项目管理经验、所了解的行业信息以及自身具备的其他资源，向采购人提供一定的如项目实施、项目管理、经费管理、档案管理、验收管理等方面的建议。</w:t>
      </w:r>
    </w:p>
    <w:p w14:paraId="25E5095B">
      <w:pPr>
        <w:pStyle w:val="3"/>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sz w:val="24"/>
          <w:szCs w:val="24"/>
          <w:highlight w:val="none"/>
          <w:lang w:val="en-US" w:eastAsia="zh-CN"/>
        </w:rPr>
      </w:pPr>
      <w:bookmarkStart w:id="43" w:name="_Toc42009610"/>
      <w:bookmarkStart w:id="44" w:name="_Toc27163"/>
      <w:bookmarkStart w:id="45" w:name="_Toc165"/>
      <w:r>
        <w:rPr>
          <w:rFonts w:hint="eastAsia" w:ascii="宋体" w:hAnsi="宋体" w:eastAsia="宋体" w:cs="宋体"/>
          <w:color w:val="auto"/>
          <w:sz w:val="24"/>
          <w:szCs w:val="24"/>
          <w:highlight w:val="none"/>
          <w:lang w:val="en-US" w:eastAsia="zh-CN"/>
        </w:rPr>
        <w:t>四、监理提交文档清单</w:t>
      </w:r>
      <w:bookmarkEnd w:id="43"/>
      <w:bookmarkEnd w:id="44"/>
      <w:bookmarkEnd w:id="45"/>
    </w:p>
    <w:p w14:paraId="76C9BF10">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监理单位在项目过程中将严格按照要求进行文档编制及交付工作，根据监理规范要求，监理单位输出成果包括但不限于下表：</w:t>
      </w:r>
    </w:p>
    <w:tbl>
      <w:tblPr>
        <w:tblStyle w:val="62"/>
        <w:tblW w:w="0" w:type="auto"/>
        <w:jc w:val="center"/>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
      <w:tblGrid>
        <w:gridCol w:w="1440"/>
        <w:gridCol w:w="5460"/>
      </w:tblGrid>
      <w:tr w14:paraId="1071169B">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tblHeader/>
          <w:jc w:val="center"/>
        </w:trPr>
        <w:tc>
          <w:tcPr>
            <w:tcW w:w="1440" w:type="dxa"/>
            <w:tcBorders>
              <w:bottom w:val="single" w:color="auto" w:sz="4" w:space="0"/>
              <w:right w:val="single" w:color="auto" w:sz="4" w:space="0"/>
            </w:tcBorders>
            <w:vAlign w:val="center"/>
          </w:tcPr>
          <w:p w14:paraId="08734F9B">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5460" w:type="dxa"/>
            <w:tcBorders>
              <w:left w:val="nil"/>
              <w:bottom w:val="single" w:color="auto" w:sz="4" w:space="0"/>
            </w:tcBorders>
            <w:vAlign w:val="center"/>
          </w:tcPr>
          <w:p w14:paraId="6672EC4B">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文件名称</w:t>
            </w:r>
          </w:p>
        </w:tc>
      </w:tr>
      <w:tr w14:paraId="50068976">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5E067C2B">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5460" w:type="dxa"/>
            <w:tcBorders>
              <w:top w:val="nil"/>
              <w:left w:val="nil"/>
              <w:bottom w:val="single" w:color="auto" w:sz="4" w:space="0"/>
            </w:tcBorders>
            <w:vAlign w:val="center"/>
          </w:tcPr>
          <w:p w14:paraId="34977703">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监理规划</w:t>
            </w:r>
          </w:p>
        </w:tc>
      </w:tr>
      <w:tr w14:paraId="044D3673">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79033594">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5460" w:type="dxa"/>
            <w:tcBorders>
              <w:top w:val="nil"/>
              <w:left w:val="nil"/>
              <w:bottom w:val="single" w:color="auto" w:sz="4" w:space="0"/>
            </w:tcBorders>
            <w:vAlign w:val="center"/>
          </w:tcPr>
          <w:p w14:paraId="506B7421">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分包资质审核记录（如有）</w:t>
            </w:r>
          </w:p>
        </w:tc>
      </w:tr>
      <w:tr w14:paraId="2E04C694">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5709471D">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5460" w:type="dxa"/>
            <w:tcBorders>
              <w:top w:val="nil"/>
              <w:left w:val="nil"/>
              <w:bottom w:val="single" w:color="auto" w:sz="4" w:space="0"/>
            </w:tcBorders>
            <w:vAlign w:val="center"/>
          </w:tcPr>
          <w:p w14:paraId="4B0BFC74">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设备材料报审</w:t>
            </w:r>
          </w:p>
        </w:tc>
      </w:tr>
      <w:tr w14:paraId="0DCAC12C">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2403B70C">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5460" w:type="dxa"/>
            <w:tcBorders>
              <w:top w:val="nil"/>
              <w:left w:val="nil"/>
              <w:bottom w:val="single" w:color="auto" w:sz="4" w:space="0"/>
            </w:tcBorders>
            <w:vAlign w:val="center"/>
          </w:tcPr>
          <w:p w14:paraId="69853FF1">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复检记录（如有）</w:t>
            </w:r>
          </w:p>
        </w:tc>
      </w:tr>
      <w:tr w14:paraId="01B242C0">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30E89D6F">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5460" w:type="dxa"/>
            <w:tcBorders>
              <w:top w:val="nil"/>
              <w:left w:val="nil"/>
              <w:bottom w:val="single" w:color="auto" w:sz="4" w:space="0"/>
            </w:tcBorders>
            <w:vAlign w:val="center"/>
          </w:tcPr>
          <w:p w14:paraId="3C222410">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需求变更确认（如有）</w:t>
            </w:r>
          </w:p>
        </w:tc>
      </w:tr>
      <w:tr w14:paraId="12A67CFE">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4CFA0BA5">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5460" w:type="dxa"/>
            <w:tcBorders>
              <w:top w:val="nil"/>
              <w:left w:val="nil"/>
              <w:bottom w:val="single" w:color="auto" w:sz="4" w:space="0"/>
            </w:tcBorders>
            <w:vAlign w:val="center"/>
          </w:tcPr>
          <w:p w14:paraId="70C4E0CC">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开（停、复、返）工令</w:t>
            </w:r>
          </w:p>
        </w:tc>
      </w:tr>
      <w:tr w14:paraId="6FCB5D7B">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2544D75A">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5460" w:type="dxa"/>
            <w:tcBorders>
              <w:top w:val="nil"/>
              <w:left w:val="nil"/>
              <w:bottom w:val="single" w:color="auto" w:sz="4" w:space="0"/>
            </w:tcBorders>
            <w:vAlign w:val="center"/>
          </w:tcPr>
          <w:p w14:paraId="59F6DEF6">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施工组织设计或实施方案审核记录</w:t>
            </w:r>
          </w:p>
        </w:tc>
      </w:tr>
      <w:tr w14:paraId="2C10F3AD">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584B84AE">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5460" w:type="dxa"/>
            <w:tcBorders>
              <w:top w:val="nil"/>
              <w:left w:val="nil"/>
              <w:bottom w:val="single" w:color="auto" w:sz="4" w:space="0"/>
            </w:tcBorders>
            <w:vAlign w:val="center"/>
          </w:tcPr>
          <w:p w14:paraId="0FDA4DDB">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项目进度、延长工期、人员变更审核（如有）</w:t>
            </w:r>
          </w:p>
        </w:tc>
      </w:tr>
      <w:tr w14:paraId="5B50B271">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6F877B1C">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5460" w:type="dxa"/>
            <w:tcBorders>
              <w:top w:val="nil"/>
              <w:left w:val="nil"/>
              <w:bottom w:val="single" w:color="auto" w:sz="4" w:space="0"/>
            </w:tcBorders>
            <w:vAlign w:val="center"/>
          </w:tcPr>
          <w:p w14:paraId="6B4085CF">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监理通知单</w:t>
            </w:r>
          </w:p>
        </w:tc>
      </w:tr>
      <w:tr w14:paraId="6F88CBDA">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6089A1A7">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5460" w:type="dxa"/>
            <w:tcBorders>
              <w:top w:val="nil"/>
              <w:left w:val="nil"/>
              <w:bottom w:val="single" w:color="auto" w:sz="4" w:space="0"/>
            </w:tcBorders>
            <w:vAlign w:val="center"/>
          </w:tcPr>
          <w:p w14:paraId="392D0C95">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监理建议或意见（专题报告）</w:t>
            </w:r>
          </w:p>
        </w:tc>
      </w:tr>
      <w:tr w14:paraId="659577C2">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4B47F34D">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5460" w:type="dxa"/>
            <w:tcBorders>
              <w:top w:val="nil"/>
              <w:left w:val="nil"/>
              <w:bottom w:val="single" w:color="auto" w:sz="4" w:space="0"/>
            </w:tcBorders>
            <w:vAlign w:val="center"/>
          </w:tcPr>
          <w:p w14:paraId="003B0BF3">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监理工作联系单</w:t>
            </w:r>
          </w:p>
        </w:tc>
      </w:tr>
      <w:tr w14:paraId="42973868">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6CBEDC46">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5460" w:type="dxa"/>
            <w:tcBorders>
              <w:top w:val="nil"/>
              <w:left w:val="nil"/>
              <w:bottom w:val="single" w:color="auto" w:sz="4" w:space="0"/>
            </w:tcBorders>
            <w:vAlign w:val="center"/>
          </w:tcPr>
          <w:p w14:paraId="6768AB12">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监理例会或协调会会议纪要</w:t>
            </w:r>
          </w:p>
        </w:tc>
      </w:tr>
      <w:tr w14:paraId="0CFAE88B">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4A1B3B21">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p>
        </w:tc>
        <w:tc>
          <w:tcPr>
            <w:tcW w:w="5460" w:type="dxa"/>
            <w:tcBorders>
              <w:top w:val="nil"/>
              <w:left w:val="nil"/>
              <w:bottom w:val="single" w:color="auto" w:sz="4" w:space="0"/>
            </w:tcBorders>
            <w:vAlign w:val="center"/>
          </w:tcPr>
          <w:p w14:paraId="6E37F543">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监理备忘录（如有）</w:t>
            </w:r>
          </w:p>
        </w:tc>
      </w:tr>
      <w:tr w14:paraId="66A5CD51">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072B0F56">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p>
        </w:tc>
        <w:tc>
          <w:tcPr>
            <w:tcW w:w="5460" w:type="dxa"/>
            <w:tcBorders>
              <w:top w:val="nil"/>
              <w:left w:val="nil"/>
              <w:bottom w:val="single" w:color="auto" w:sz="4" w:space="0"/>
            </w:tcBorders>
            <w:vAlign w:val="center"/>
          </w:tcPr>
          <w:p w14:paraId="1B29536C">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监理周报或月报</w:t>
            </w:r>
          </w:p>
        </w:tc>
      </w:tr>
      <w:tr w14:paraId="17C84A0E">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5C7024ED">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w:t>
            </w:r>
          </w:p>
        </w:tc>
        <w:tc>
          <w:tcPr>
            <w:tcW w:w="5460" w:type="dxa"/>
            <w:tcBorders>
              <w:top w:val="nil"/>
              <w:left w:val="nil"/>
              <w:bottom w:val="single" w:color="auto" w:sz="4" w:space="0"/>
            </w:tcBorders>
            <w:vAlign w:val="center"/>
          </w:tcPr>
          <w:p w14:paraId="74AC3FD4">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造价变更审查、支付审批、索赔处理文件（如有）</w:t>
            </w:r>
          </w:p>
        </w:tc>
      </w:tr>
      <w:tr w14:paraId="35F8C97D">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3D3D8741">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5460" w:type="dxa"/>
            <w:tcBorders>
              <w:top w:val="nil"/>
              <w:left w:val="nil"/>
              <w:bottom w:val="single" w:color="auto" w:sz="4" w:space="0"/>
            </w:tcBorders>
            <w:vAlign w:val="center"/>
          </w:tcPr>
          <w:p w14:paraId="1AE143EA">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验收、交接文件、支付证书、结算审核文件</w:t>
            </w:r>
          </w:p>
        </w:tc>
      </w:tr>
      <w:tr w14:paraId="3062AC6F">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58A03278">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w:t>
            </w:r>
          </w:p>
        </w:tc>
        <w:tc>
          <w:tcPr>
            <w:tcW w:w="5460" w:type="dxa"/>
            <w:tcBorders>
              <w:top w:val="nil"/>
              <w:left w:val="nil"/>
              <w:bottom w:val="single" w:color="auto" w:sz="4" w:space="0"/>
            </w:tcBorders>
            <w:vAlign w:val="center"/>
          </w:tcPr>
          <w:p w14:paraId="60D5F94C">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监理工作总结报告</w:t>
            </w:r>
          </w:p>
        </w:tc>
      </w:tr>
      <w:tr w14:paraId="018CA6CA">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63F75130">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w:t>
            </w:r>
          </w:p>
        </w:tc>
        <w:tc>
          <w:tcPr>
            <w:tcW w:w="5460" w:type="dxa"/>
            <w:tcBorders>
              <w:top w:val="nil"/>
              <w:left w:val="nil"/>
              <w:bottom w:val="single" w:color="auto" w:sz="4" w:space="0"/>
            </w:tcBorders>
            <w:vAlign w:val="center"/>
          </w:tcPr>
          <w:p w14:paraId="220CA9FC">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验收申请批复单</w:t>
            </w:r>
          </w:p>
        </w:tc>
      </w:tr>
      <w:tr w14:paraId="4ED03F2E">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53A5148D">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w:t>
            </w:r>
          </w:p>
        </w:tc>
        <w:tc>
          <w:tcPr>
            <w:tcW w:w="5460" w:type="dxa"/>
            <w:tcBorders>
              <w:top w:val="nil"/>
              <w:left w:val="nil"/>
              <w:bottom w:val="single" w:color="auto" w:sz="4" w:space="0"/>
            </w:tcBorders>
            <w:vAlign w:val="center"/>
          </w:tcPr>
          <w:p w14:paraId="463F131D">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项目设备/材料/配件到货签收单</w:t>
            </w:r>
          </w:p>
        </w:tc>
      </w:tr>
      <w:tr w14:paraId="5A7D4DB3">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280" w:hRule="atLeast"/>
          <w:jc w:val="center"/>
        </w:trPr>
        <w:tc>
          <w:tcPr>
            <w:tcW w:w="1440" w:type="dxa"/>
            <w:tcBorders>
              <w:top w:val="nil"/>
              <w:bottom w:val="single" w:color="auto" w:sz="4" w:space="0"/>
              <w:right w:val="single" w:color="auto" w:sz="4" w:space="0"/>
            </w:tcBorders>
            <w:vAlign w:val="center"/>
          </w:tcPr>
          <w:p w14:paraId="318D9996">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w:t>
            </w:r>
          </w:p>
        </w:tc>
        <w:tc>
          <w:tcPr>
            <w:tcW w:w="5460" w:type="dxa"/>
            <w:tcBorders>
              <w:top w:val="nil"/>
              <w:left w:val="nil"/>
              <w:bottom w:val="single" w:color="auto" w:sz="4" w:space="0"/>
            </w:tcBorders>
            <w:vAlign w:val="center"/>
          </w:tcPr>
          <w:p w14:paraId="3D340E73">
            <w:pPr>
              <w:pageBreakBefore w:val="0"/>
              <w:widowControl/>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监理照片、音像制品</w:t>
            </w:r>
          </w:p>
        </w:tc>
      </w:tr>
    </w:tbl>
    <w:p w14:paraId="37E5400E">
      <w:pPr>
        <w:pStyle w:val="3"/>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sz w:val="24"/>
          <w:szCs w:val="24"/>
          <w:highlight w:val="none"/>
          <w:lang w:val="en-US" w:eastAsia="zh-CN"/>
        </w:rPr>
      </w:pPr>
      <w:bookmarkStart w:id="46" w:name="_Toc17269"/>
      <w:bookmarkStart w:id="47" w:name="_Toc15844"/>
      <w:bookmarkStart w:id="48" w:name="_Toc19819"/>
      <w:bookmarkStart w:id="49" w:name="_Toc42009611"/>
      <w:r>
        <w:rPr>
          <w:rFonts w:hint="eastAsia" w:ascii="宋体" w:hAnsi="宋体" w:eastAsia="宋体" w:cs="宋体"/>
          <w:color w:val="auto"/>
          <w:sz w:val="24"/>
          <w:szCs w:val="24"/>
          <w:highlight w:val="none"/>
          <w:lang w:val="en-US" w:eastAsia="zh-CN"/>
        </w:rPr>
        <w:t>五、对监理单位的要求</w:t>
      </w:r>
      <w:bookmarkEnd w:id="46"/>
      <w:bookmarkEnd w:id="47"/>
      <w:bookmarkEnd w:id="48"/>
      <w:bookmarkEnd w:id="49"/>
    </w:p>
    <w:p w14:paraId="729B074E">
      <w:pPr>
        <w:keepNext/>
        <w:keepLines/>
        <w:pageBreakBefore w:val="0"/>
        <w:kinsoku/>
        <w:wordWrap/>
        <w:overflowPunct/>
        <w:topLinePunct w:val="0"/>
        <w:autoSpaceDE/>
        <w:autoSpaceDN/>
        <w:bidi w:val="0"/>
        <w:adjustRightInd w:val="0"/>
        <w:snapToGrid w:val="0"/>
        <w:spacing w:line="360" w:lineRule="auto"/>
        <w:ind w:firstLine="422"/>
        <w:textAlignment w:val="auto"/>
        <w:outlineLvl w:val="1"/>
        <w:rPr>
          <w:rFonts w:hint="eastAsia" w:ascii="宋体" w:hAnsi="宋体" w:eastAsia="宋体" w:cs="宋体"/>
          <w:b/>
          <w:bCs/>
          <w:color w:val="auto"/>
          <w:sz w:val="24"/>
          <w:szCs w:val="24"/>
          <w:highlight w:val="none"/>
        </w:rPr>
      </w:pPr>
      <w:bookmarkStart w:id="50" w:name="_Toc21479"/>
      <w:bookmarkStart w:id="51" w:name="_Toc16406"/>
      <w:bookmarkStart w:id="52" w:name="_Toc42009612"/>
      <w:r>
        <w:rPr>
          <w:rFonts w:hint="eastAsia" w:ascii="宋体" w:hAnsi="宋体" w:eastAsia="宋体" w:cs="宋体"/>
          <w:b/>
          <w:bCs/>
          <w:color w:val="auto"/>
          <w:sz w:val="24"/>
          <w:szCs w:val="24"/>
          <w:highlight w:val="none"/>
        </w:rPr>
        <w:t>（一）团队要求</w:t>
      </w:r>
      <w:bookmarkEnd w:id="50"/>
      <w:bookmarkEnd w:id="51"/>
      <w:bookmarkEnd w:id="52"/>
    </w:p>
    <w:p w14:paraId="6BEF3D62">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监理单位需组建一只含有总监的监理团队，至少包括总监理工程师1名，并配置各专业监理工程师。并根据项目实际情况浮动调整，以满足甲方要求为准。</w:t>
      </w:r>
    </w:p>
    <w:p w14:paraId="1D7FC2E7">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总监理工程师要求 </w:t>
      </w:r>
    </w:p>
    <w:p w14:paraId="065F7A91">
      <w:pPr>
        <w:pageBreakBefore w:val="0"/>
        <w:kinsoku/>
        <w:wordWrap/>
        <w:overflowPunct/>
        <w:topLinePunct w:val="0"/>
        <w:autoSpaceDE/>
        <w:autoSpaceDN/>
        <w:bidi w:val="0"/>
        <w:adjustRightInd w:val="0"/>
        <w:snapToGrid w:val="0"/>
        <w:spacing w:line="360" w:lineRule="auto"/>
        <w:ind w:firstLine="422"/>
        <w:textAlignment w:val="auto"/>
        <w:rPr>
          <w:rFonts w:hint="eastAsia" w:ascii="宋体" w:hAnsi="宋体" w:eastAsia="宋体" w:cs="宋体"/>
          <w:b/>
          <w:color w:val="auto"/>
          <w:sz w:val="24"/>
          <w:szCs w:val="24"/>
          <w:highlight w:val="none"/>
        </w:rPr>
      </w:pPr>
      <w:r>
        <w:rPr>
          <w:rFonts w:hint="eastAsia" w:ascii="宋体" w:hAnsi="宋体" w:eastAsia="宋体" w:cs="宋体"/>
          <w:b/>
          <w:color w:val="auto"/>
          <w:kern w:val="0"/>
          <w:sz w:val="24"/>
          <w:szCs w:val="24"/>
          <w:highlight w:val="none"/>
        </w:rPr>
        <w:t>▲</w:t>
      </w:r>
      <w:r>
        <w:rPr>
          <w:rFonts w:hint="eastAsia" w:ascii="宋体" w:hAnsi="宋体" w:eastAsia="宋体" w:cs="宋体"/>
          <w:b/>
          <w:color w:val="auto"/>
          <w:sz w:val="24"/>
          <w:szCs w:val="24"/>
          <w:highlight w:val="none"/>
        </w:rPr>
        <w:t xml:space="preserve">总监理工程师全面主持项目监理方工作，应具有国家级注册监理工程师； </w:t>
      </w:r>
    </w:p>
    <w:p w14:paraId="0E80B177">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监理员要求</w:t>
      </w:r>
    </w:p>
    <w:p w14:paraId="1EED548D">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监理员具有一年以上监理工作经验，熟悉监理工作流程，具有较强的现场检查、核验、管理、沟通协调能力。</w:t>
      </w:r>
    </w:p>
    <w:p w14:paraId="76B5C2AF">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服务响应时间</w:t>
      </w:r>
    </w:p>
    <w:p w14:paraId="7BE0CE9E">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服务响应时间：能提供快速的服务响应，系统建设阶段和实施运行阶段保证到达现场服务的响应时间小于1小时。</w:t>
      </w:r>
    </w:p>
    <w:p w14:paraId="1BB2BCB9">
      <w:pPr>
        <w:keepNext/>
        <w:keepLines/>
        <w:pageBreakBefore w:val="0"/>
        <w:kinsoku/>
        <w:wordWrap/>
        <w:overflowPunct/>
        <w:topLinePunct w:val="0"/>
        <w:autoSpaceDE/>
        <w:autoSpaceDN/>
        <w:bidi w:val="0"/>
        <w:adjustRightInd w:val="0"/>
        <w:snapToGrid w:val="0"/>
        <w:spacing w:line="360" w:lineRule="auto"/>
        <w:ind w:firstLine="422"/>
        <w:textAlignment w:val="auto"/>
        <w:outlineLvl w:val="1"/>
        <w:rPr>
          <w:rFonts w:hint="eastAsia" w:ascii="宋体" w:hAnsi="宋体" w:eastAsia="宋体" w:cs="宋体"/>
          <w:b/>
          <w:bCs/>
          <w:color w:val="auto"/>
          <w:sz w:val="24"/>
          <w:szCs w:val="24"/>
          <w:highlight w:val="none"/>
        </w:rPr>
      </w:pPr>
      <w:bookmarkStart w:id="53" w:name="_Toc27089"/>
      <w:bookmarkStart w:id="54" w:name="_Toc42009613"/>
      <w:bookmarkStart w:id="55" w:name="_Toc26926"/>
      <w:r>
        <w:rPr>
          <w:rFonts w:hint="eastAsia" w:ascii="宋体" w:hAnsi="宋体" w:eastAsia="宋体" w:cs="宋体"/>
          <w:b/>
          <w:bCs/>
          <w:color w:val="auto"/>
          <w:sz w:val="24"/>
          <w:szCs w:val="24"/>
          <w:highlight w:val="none"/>
        </w:rPr>
        <w:t>（二）</w:t>
      </w:r>
      <w:bookmarkEnd w:id="53"/>
      <w:bookmarkEnd w:id="54"/>
      <w:bookmarkEnd w:id="55"/>
      <w:bookmarkStart w:id="56" w:name="_Toc29610"/>
      <w:bookmarkStart w:id="57" w:name="_Toc27411"/>
      <w:bookmarkStart w:id="58" w:name="_Toc42009616"/>
      <w:r>
        <w:rPr>
          <w:rFonts w:hint="eastAsia" w:ascii="宋体" w:hAnsi="宋体" w:eastAsia="宋体" w:cs="宋体"/>
          <w:b/>
          <w:bCs/>
          <w:color w:val="auto"/>
          <w:sz w:val="24"/>
          <w:szCs w:val="24"/>
          <w:highlight w:val="none"/>
        </w:rPr>
        <w:t>违约行为处理</w:t>
      </w:r>
      <w:bookmarkEnd w:id="56"/>
      <w:bookmarkEnd w:id="57"/>
      <w:bookmarkEnd w:id="58"/>
    </w:p>
    <w:p w14:paraId="09636728">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监理单位违约，应支付给采购人违约金，规定如下：</w:t>
      </w:r>
    </w:p>
    <w:p w14:paraId="2E7B46F0">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当监理单位不再具有承担本工程监理业务的能力而终止合同，监理单位应承担采购人重新选定监理单位的一切费用。 </w:t>
      </w:r>
    </w:p>
    <w:p w14:paraId="49D472CD">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因监理单位渎职和失职给采购人造成重大的经济损失，采购人有权中止合同。监理单位承担相应的经济责任和损失，构成犯罪的移交司法机关依法处理。 </w:t>
      </w:r>
    </w:p>
    <w:p w14:paraId="3F524B39">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在合同期内，总监理工程师不应更换。监理单位提出并经采购人同意更换前述人员的，需经采购人同意；采购人提出撤换不胜任的前述人员，监理单位应及时更换，还应承担补救措施、赔偿损失等违约责任。</w:t>
      </w:r>
    </w:p>
    <w:p w14:paraId="56750EF0">
      <w:pPr>
        <w:pStyle w:val="3"/>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sz w:val="24"/>
          <w:szCs w:val="24"/>
          <w:highlight w:val="none"/>
          <w:lang w:val="en-US" w:eastAsia="zh-CN"/>
        </w:rPr>
      </w:pPr>
      <w:bookmarkStart w:id="59" w:name="_Toc238"/>
      <w:bookmarkStart w:id="60" w:name="_Toc27950"/>
      <w:bookmarkStart w:id="61" w:name="_Toc8449"/>
      <w:r>
        <w:rPr>
          <w:rFonts w:hint="eastAsia" w:ascii="宋体" w:hAnsi="宋体" w:eastAsia="宋体" w:cs="宋体"/>
          <w:color w:val="auto"/>
          <w:sz w:val="24"/>
          <w:szCs w:val="24"/>
          <w:highlight w:val="none"/>
          <w:lang w:val="en-US" w:eastAsia="zh-CN"/>
        </w:rPr>
        <w:t>六、验收标准</w:t>
      </w:r>
      <w:bookmarkEnd w:id="59"/>
      <w:bookmarkEnd w:id="60"/>
      <w:bookmarkEnd w:id="61"/>
    </w:p>
    <w:p w14:paraId="45935DD7">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（1）监理单位已按合同约定的监理目标履行了监理职责，并协助采购人完成工程建设项目的验收。</w:t>
      </w:r>
    </w:p>
    <w:p w14:paraId="14F950AD">
      <w:pPr>
        <w:pageBreakBefore w:val="0"/>
        <w:kinsoku/>
        <w:wordWrap/>
        <w:overflowPunct/>
        <w:topLinePunct w:val="0"/>
        <w:autoSpaceDE/>
        <w:autoSpaceDN/>
        <w:bidi w:val="0"/>
        <w:adjustRightInd w:val="0"/>
        <w:snapToGrid w:val="0"/>
        <w:spacing w:line="360" w:lineRule="auto"/>
        <w:ind w:firstLine="42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（2）总监理工程师、总监理工程师代表、监理工程师及监理团队与合同约定的人员一致，提供服务的人员数量符合合同约定的人数。</w:t>
      </w:r>
    </w:p>
    <w:p w14:paraId="1F1EA9FD">
      <w:pPr>
        <w:pageBreakBefore w:val="0"/>
        <w:widowControl w:val="0"/>
        <w:kinsoku/>
        <w:wordWrap/>
        <w:overflowPunct/>
        <w:topLinePunct w:val="0"/>
        <w:autoSpaceDE/>
        <w:autoSpaceDN/>
        <w:bidi w:val="0"/>
        <w:adjustRightInd w:val="0"/>
        <w:snapToGrid w:val="0"/>
        <w:spacing w:line="360" w:lineRule="auto"/>
        <w:ind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（3）提供的监理文件资料符合合同约定要求。</w:t>
      </w:r>
    </w:p>
    <w:p w14:paraId="50BC9D18">
      <w:pPr>
        <w:pStyle w:val="3"/>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七、服务期限</w:t>
      </w:r>
    </w:p>
    <w:p w14:paraId="0C287CE9">
      <w:pPr>
        <w:pageBreakBefore w:val="0"/>
        <w:widowControl w:val="0"/>
        <w:kinsoku/>
        <w:wordWrap/>
        <w:overflowPunct/>
        <w:topLinePunct w:val="0"/>
        <w:autoSpaceDE/>
        <w:autoSpaceDN/>
        <w:bidi w:val="0"/>
        <w:adjustRightInd w:val="0"/>
        <w:snapToGrid w:val="0"/>
        <w:spacing w:line="360" w:lineRule="auto"/>
        <w:ind w:firstLine="480"/>
        <w:jc w:val="left"/>
        <w:textAlignment w:val="auto"/>
        <w:rPr>
          <w:rFonts w:hint="eastAsia" w:ascii="宋体" w:hAnsi="宋体" w:eastAsia="宋体" w:cs="宋体"/>
          <w:color w:val="auto"/>
          <w:sz w:val="24"/>
          <w:szCs w:val="24"/>
          <w:highlight w:val="none"/>
        </w:rPr>
      </w:pPr>
      <w:r>
        <w:rPr>
          <w:rFonts w:hint="eastAsia" w:hAnsi="宋体" w:cs="宋体"/>
          <w:b/>
          <w:bCs w:val="0"/>
          <w:color w:val="auto"/>
          <w:sz w:val="24"/>
          <w:highlight w:val="none"/>
          <w:lang w:val="en-US" w:eastAsia="zh-CN"/>
        </w:rPr>
        <w:t>合同签订后一年，总服务期内单个监理项目履约期限：1.</w:t>
      </w:r>
      <w:r>
        <w:rPr>
          <w:rFonts w:hint="eastAsia" w:ascii="宋体" w:hAnsi="宋体" w:eastAsia="宋体" w:cs="宋体"/>
          <w:b/>
          <w:bCs w:val="0"/>
          <w:color w:val="auto"/>
          <w:sz w:val="24"/>
          <w:highlight w:val="none"/>
        </w:rPr>
        <w:t>施工阶段监理服务期：监理合同生效起至全部工程竣工验收合格（包括整改完毕）、结算、竣工相关资料备案完成；</w:t>
      </w:r>
      <w:r>
        <w:rPr>
          <w:rFonts w:hint="eastAsia" w:hAnsi="宋体" w:cs="宋体"/>
          <w:b/>
          <w:bCs w:val="0"/>
          <w:color w:val="auto"/>
          <w:sz w:val="24"/>
          <w:highlight w:val="none"/>
          <w:lang w:val="en-US" w:eastAsia="zh-CN"/>
        </w:rPr>
        <w:t>2.</w:t>
      </w:r>
      <w:r>
        <w:rPr>
          <w:rFonts w:hint="eastAsia" w:ascii="宋体" w:hAnsi="宋体" w:eastAsia="宋体" w:cs="宋体"/>
          <w:b/>
          <w:bCs w:val="0"/>
          <w:color w:val="auto"/>
          <w:sz w:val="24"/>
          <w:highlight w:val="none"/>
        </w:rPr>
        <w:t>保修阶段监理服务期：从工程竣工验收合格之日起</w:t>
      </w:r>
      <w:r>
        <w:rPr>
          <w:rFonts w:hint="eastAsia" w:hAnsi="宋体" w:cs="宋体"/>
          <w:b/>
          <w:bCs w:val="0"/>
          <w:color w:val="auto"/>
          <w:sz w:val="24"/>
          <w:highlight w:val="none"/>
          <w:lang w:val="en-US" w:eastAsia="zh-CN"/>
        </w:rPr>
        <w:t>2</w:t>
      </w:r>
      <w:r>
        <w:rPr>
          <w:rFonts w:hint="eastAsia" w:ascii="宋体" w:hAnsi="宋体" w:eastAsia="宋体" w:cs="宋体"/>
          <w:b/>
          <w:bCs w:val="0"/>
          <w:color w:val="auto"/>
          <w:sz w:val="24"/>
          <w:highlight w:val="none"/>
        </w:rPr>
        <w:t>年。</w:t>
      </w:r>
    </w:p>
    <w:p w14:paraId="5FCDAADF">
      <w:pPr>
        <w:pStyle w:val="3"/>
        <w:pageBreakBefore w:val="0"/>
        <w:widowControl w:val="0"/>
        <w:shd w:val="clear" w:color="auto" w:fill="FFFFFF" w:themeFill="background1"/>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sz w:val="24"/>
          <w:szCs w:val="24"/>
          <w:highlight w:val="none"/>
          <w:shd w:val="clear" w:color="auto" w:fill="FFFFFF" w:themeFill="background1"/>
        </w:rPr>
      </w:pPr>
      <w:r>
        <w:rPr>
          <w:rFonts w:hint="eastAsia" w:ascii="宋体" w:hAnsi="宋体" w:cs="宋体"/>
          <w:color w:val="auto"/>
          <w:sz w:val="24"/>
          <w:szCs w:val="24"/>
          <w:highlight w:val="none"/>
          <w:shd w:val="clear" w:color="auto" w:fill="FFFFFF" w:themeFill="background1"/>
          <w:lang w:val="en-US" w:eastAsia="zh-CN"/>
        </w:rPr>
        <w:t>八</w:t>
      </w:r>
      <w:r>
        <w:rPr>
          <w:rFonts w:hint="eastAsia" w:ascii="宋体" w:hAnsi="宋体" w:eastAsia="宋体" w:cs="宋体"/>
          <w:color w:val="auto"/>
          <w:sz w:val="24"/>
          <w:szCs w:val="24"/>
          <w:highlight w:val="none"/>
          <w:shd w:val="clear" w:color="auto" w:fill="FFFFFF" w:themeFill="background1"/>
        </w:rPr>
        <w:t>、履约保证金</w:t>
      </w:r>
    </w:p>
    <w:p w14:paraId="4ED2D5B7">
      <w:pPr>
        <w:pageBreakBefore w:val="0"/>
        <w:widowControl w:val="0"/>
        <w:shd w:val="clear" w:color="auto" w:fill="FFFFFF" w:themeFill="background1"/>
        <w:kinsoku/>
        <w:wordWrap/>
        <w:overflowPunct/>
        <w:topLinePunct w:val="0"/>
        <w:autoSpaceDE/>
        <w:autoSpaceDN/>
        <w:bidi w:val="0"/>
        <w:adjustRightInd w:val="0"/>
        <w:snapToGrid w:val="0"/>
        <w:spacing w:line="360" w:lineRule="auto"/>
        <w:ind w:firstLine="480"/>
        <w:jc w:val="left"/>
        <w:textAlignment w:val="auto"/>
        <w:rPr>
          <w:rFonts w:hint="eastAsia" w:ascii="宋体" w:hAnsi="宋体" w:eastAsia="宋体" w:cs="宋体"/>
          <w:color w:val="auto"/>
          <w:sz w:val="24"/>
          <w:szCs w:val="24"/>
          <w:highlight w:val="none"/>
          <w:shd w:val="clear" w:color="auto" w:fill="FFFFFF" w:themeFill="background1"/>
        </w:rPr>
      </w:pPr>
      <w:r>
        <w:rPr>
          <w:rFonts w:hint="eastAsia" w:ascii="宋体" w:hAnsi="宋体" w:eastAsia="宋体" w:cs="宋体"/>
          <w:color w:val="auto"/>
          <w:sz w:val="24"/>
          <w:szCs w:val="24"/>
          <w:highlight w:val="none"/>
          <w:shd w:val="clear" w:color="auto" w:fill="FFFFFF" w:themeFill="background1"/>
          <w:lang w:val="en-US" w:eastAsia="zh-CN"/>
        </w:rPr>
        <w:t>无</w:t>
      </w:r>
      <w:r>
        <w:rPr>
          <w:rFonts w:hint="eastAsia" w:ascii="宋体" w:hAnsi="宋体" w:eastAsia="宋体" w:cs="宋体"/>
          <w:color w:val="auto"/>
          <w:sz w:val="24"/>
          <w:szCs w:val="24"/>
          <w:highlight w:val="none"/>
          <w:shd w:val="clear" w:color="auto" w:fill="FFFFFF" w:themeFill="background1"/>
        </w:rPr>
        <w:t>。</w:t>
      </w:r>
    </w:p>
    <w:p w14:paraId="11E34C8E">
      <w:pPr>
        <w:pStyle w:val="3"/>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九、付款方式</w:t>
      </w:r>
    </w:p>
    <w:p w14:paraId="34AB28B0">
      <w:pPr>
        <w:pageBreakBefore w:val="0"/>
        <w:widowControl w:val="0"/>
        <w:shd w:val="clear" w:color="auto" w:fill="FFFFFF" w:themeFill="background1"/>
        <w:kinsoku/>
        <w:wordWrap/>
        <w:overflowPunct/>
        <w:topLinePunct w:val="0"/>
        <w:autoSpaceDE/>
        <w:autoSpaceDN/>
        <w:bidi w:val="0"/>
        <w:adjustRightInd w:val="0"/>
        <w:snapToGrid w:val="0"/>
        <w:spacing w:line="360" w:lineRule="auto"/>
        <w:ind w:firstLine="480"/>
        <w:jc w:val="left"/>
        <w:textAlignment w:val="auto"/>
        <w:rPr>
          <w:rFonts w:hint="eastAsia" w:ascii="宋体" w:hAnsi="宋体" w:cs="宋体"/>
          <w:b w:val="0"/>
          <w:bCs w:val="0"/>
          <w:color w:val="auto"/>
          <w:sz w:val="24"/>
          <w:highlight w:val="none"/>
          <w:u w:val="none"/>
          <w:lang w:val="en-US" w:eastAsia="zh-CN"/>
        </w:rPr>
      </w:pPr>
      <w:r>
        <w:rPr>
          <w:rFonts w:hint="eastAsia" w:ascii="宋体" w:hAnsi="宋体" w:cs="宋体"/>
          <w:b w:val="0"/>
          <w:bCs w:val="0"/>
          <w:color w:val="auto"/>
          <w:sz w:val="24"/>
          <w:highlight w:val="none"/>
          <w:u w:val="none"/>
          <w:lang w:val="en-US" w:eastAsia="zh-CN"/>
        </w:rPr>
        <w:t>1.结算依据及口径：</w:t>
      </w:r>
    </w:p>
    <w:p w14:paraId="1247F902">
      <w:pPr>
        <w:pageBreakBefore w:val="0"/>
        <w:widowControl w:val="0"/>
        <w:shd w:val="clear" w:color="auto" w:fill="FFFFFF" w:themeFill="background1"/>
        <w:kinsoku/>
        <w:wordWrap/>
        <w:overflowPunct/>
        <w:topLinePunct w:val="0"/>
        <w:autoSpaceDE/>
        <w:autoSpaceDN/>
        <w:bidi w:val="0"/>
        <w:adjustRightInd w:val="0"/>
        <w:snapToGrid w:val="0"/>
        <w:spacing w:line="360" w:lineRule="auto"/>
        <w:ind w:firstLine="480"/>
        <w:jc w:val="left"/>
        <w:textAlignment w:val="auto"/>
        <w:rPr>
          <w:rFonts w:hint="eastAsia" w:ascii="宋体" w:hAnsi="宋体" w:cs="宋体"/>
          <w:b w:val="0"/>
          <w:bCs w:val="0"/>
          <w:color w:val="auto"/>
          <w:sz w:val="24"/>
          <w:highlight w:val="none"/>
          <w:u w:val="none"/>
          <w:lang w:val="en-US" w:eastAsia="zh-CN"/>
        </w:rPr>
      </w:pPr>
      <w:r>
        <w:rPr>
          <w:rFonts w:hint="eastAsia" w:ascii="宋体" w:hAnsi="宋体" w:cs="宋体"/>
          <w:b w:val="0"/>
          <w:bCs w:val="0"/>
          <w:color w:val="auto"/>
          <w:sz w:val="24"/>
          <w:highlight w:val="none"/>
          <w:u w:val="none"/>
          <w:lang w:val="en-US" w:eastAsia="zh-CN"/>
        </w:rPr>
        <w:t>（1）结算原则：按《建设工程监理与相关服务收费管理规定》[2007]670号文规定计费，项目审计后根据成交人最终报价的折扣率进行结算。</w:t>
      </w:r>
    </w:p>
    <w:p w14:paraId="3FCC8598">
      <w:pPr>
        <w:pageBreakBefore w:val="0"/>
        <w:widowControl w:val="0"/>
        <w:shd w:val="clear" w:color="auto" w:fill="FFFFFF" w:themeFill="background1"/>
        <w:kinsoku/>
        <w:wordWrap/>
        <w:overflowPunct/>
        <w:topLinePunct w:val="0"/>
        <w:autoSpaceDE/>
        <w:autoSpaceDN/>
        <w:bidi w:val="0"/>
        <w:adjustRightInd w:val="0"/>
        <w:snapToGrid w:val="0"/>
        <w:spacing w:line="360" w:lineRule="auto"/>
        <w:ind w:firstLine="480"/>
        <w:jc w:val="left"/>
        <w:textAlignment w:val="auto"/>
        <w:rPr>
          <w:rFonts w:hint="eastAsia" w:ascii="宋体" w:hAnsi="宋体" w:cs="宋体"/>
          <w:b w:val="0"/>
          <w:bCs w:val="0"/>
          <w:color w:val="auto"/>
          <w:sz w:val="24"/>
          <w:highlight w:val="none"/>
          <w:u w:val="none"/>
          <w:lang w:val="en-US" w:eastAsia="zh-CN"/>
        </w:rPr>
      </w:pPr>
      <w:r>
        <w:rPr>
          <w:rFonts w:hint="eastAsia" w:ascii="宋体" w:hAnsi="宋体" w:cs="宋体"/>
          <w:b w:val="0"/>
          <w:bCs w:val="0"/>
          <w:color w:val="auto"/>
          <w:sz w:val="24"/>
          <w:highlight w:val="none"/>
          <w:u w:val="none"/>
          <w:lang w:val="en-US" w:eastAsia="zh-CN"/>
        </w:rPr>
        <w:t>（2）结算审计及付款方式：</w:t>
      </w:r>
    </w:p>
    <w:p w14:paraId="1E918FB1">
      <w:pPr>
        <w:pageBreakBefore w:val="0"/>
        <w:widowControl w:val="0"/>
        <w:shd w:val="clear" w:color="auto" w:fill="FFFFFF" w:themeFill="background1"/>
        <w:kinsoku/>
        <w:wordWrap/>
        <w:overflowPunct/>
        <w:topLinePunct w:val="0"/>
        <w:autoSpaceDE/>
        <w:autoSpaceDN/>
        <w:bidi w:val="0"/>
        <w:adjustRightInd w:val="0"/>
        <w:snapToGrid w:val="0"/>
        <w:spacing w:line="360" w:lineRule="auto"/>
        <w:ind w:firstLine="480"/>
        <w:jc w:val="left"/>
        <w:textAlignment w:val="auto"/>
        <w:rPr>
          <w:rFonts w:hint="eastAsia" w:ascii="宋体" w:hAnsi="宋体" w:cs="宋体"/>
          <w:b w:val="0"/>
          <w:bCs w:val="0"/>
          <w:color w:val="auto"/>
          <w:sz w:val="24"/>
          <w:highlight w:val="none"/>
          <w:u w:val="none"/>
          <w:lang w:val="en-US" w:eastAsia="zh-CN"/>
        </w:rPr>
      </w:pPr>
      <w:r>
        <w:rPr>
          <w:rFonts w:hint="eastAsia" w:ascii="宋体" w:hAnsi="宋体" w:cs="宋体"/>
          <w:b w:val="0"/>
          <w:bCs w:val="0"/>
          <w:color w:val="auto"/>
          <w:sz w:val="24"/>
          <w:highlight w:val="none"/>
          <w:u w:val="none"/>
          <w:lang w:val="en-US" w:eastAsia="zh-CN"/>
        </w:rPr>
        <w:t>按《建设工程监理与相关服务收费管理规定》[2007]670号文规定计费，项目审计后根据供应商成交的折扣率进行结算，结算方式：[2007]670号文规定计费*（折扣率）专业调整系数1.0，工程复杂程度调整系数1.0，高程调整系数1.0。</w:t>
      </w:r>
    </w:p>
    <w:p w14:paraId="3D6FD6B8">
      <w:pPr>
        <w:pageBreakBefore w:val="0"/>
        <w:widowControl w:val="0"/>
        <w:shd w:val="clear" w:color="auto" w:fill="FFFFFF" w:themeFill="background1"/>
        <w:kinsoku/>
        <w:wordWrap/>
        <w:overflowPunct/>
        <w:topLinePunct w:val="0"/>
        <w:autoSpaceDE/>
        <w:autoSpaceDN/>
        <w:bidi w:val="0"/>
        <w:adjustRightInd w:val="0"/>
        <w:snapToGrid w:val="0"/>
        <w:spacing w:line="360" w:lineRule="auto"/>
        <w:ind w:firstLine="480"/>
        <w:jc w:val="left"/>
        <w:textAlignment w:val="auto"/>
        <w:rPr>
          <w:rFonts w:hint="eastAsia" w:ascii="宋体" w:hAnsi="宋体" w:cs="宋体"/>
          <w:b w:val="0"/>
          <w:bCs w:val="0"/>
          <w:color w:val="auto"/>
          <w:sz w:val="24"/>
          <w:highlight w:val="none"/>
          <w:u w:val="none"/>
          <w:lang w:val="en-US" w:eastAsia="zh-CN"/>
        </w:rPr>
      </w:pPr>
      <w:r>
        <w:rPr>
          <w:rFonts w:hint="eastAsia" w:ascii="宋体" w:hAnsi="宋体" w:cs="宋体"/>
          <w:b w:val="0"/>
          <w:bCs w:val="0"/>
          <w:color w:val="auto"/>
          <w:sz w:val="24"/>
          <w:highlight w:val="none"/>
          <w:u w:val="none"/>
          <w:lang w:val="en-US" w:eastAsia="zh-CN"/>
        </w:rPr>
        <w:t>2.监理费结算方式：</w:t>
      </w:r>
    </w:p>
    <w:p w14:paraId="6F2F07BD">
      <w:pPr>
        <w:spacing w:line="360" w:lineRule="auto"/>
        <w:ind w:firstLine="480" w:firstLineChars="200"/>
        <w:rPr>
          <w:rFonts w:hint="eastAsia" w:ascii="宋体" w:hAnsi="宋体"/>
          <w:b w:val="0"/>
          <w:bCs w:val="0"/>
          <w:color w:val="auto"/>
          <w:sz w:val="24"/>
          <w:highlight w:val="none"/>
          <w:u w:val="none"/>
        </w:rPr>
      </w:pPr>
      <w:r>
        <w:rPr>
          <w:rFonts w:hint="eastAsia" w:ascii="宋体" w:hAnsi="宋体"/>
          <w:b w:val="0"/>
          <w:bCs w:val="0"/>
          <w:color w:val="auto"/>
          <w:sz w:val="24"/>
          <w:highlight w:val="none"/>
          <w:u w:val="none"/>
          <w:lang w:eastAsia="zh-CN"/>
        </w:rPr>
        <w:t>（</w:t>
      </w:r>
      <w:r>
        <w:rPr>
          <w:rFonts w:hint="eastAsia" w:ascii="宋体" w:hAnsi="宋体"/>
          <w:b w:val="0"/>
          <w:bCs w:val="0"/>
          <w:color w:val="auto"/>
          <w:sz w:val="24"/>
          <w:highlight w:val="none"/>
          <w:u w:val="none"/>
          <w:lang w:val="en-US" w:eastAsia="zh-CN"/>
        </w:rPr>
        <w:t>1</w:t>
      </w:r>
      <w:r>
        <w:rPr>
          <w:rFonts w:hint="eastAsia" w:ascii="宋体" w:hAnsi="宋体"/>
          <w:b w:val="0"/>
          <w:bCs w:val="0"/>
          <w:color w:val="auto"/>
          <w:sz w:val="24"/>
          <w:highlight w:val="none"/>
          <w:u w:val="none"/>
          <w:lang w:eastAsia="zh-CN"/>
        </w:rPr>
        <w:t>）</w:t>
      </w:r>
      <w:r>
        <w:rPr>
          <w:rFonts w:hint="eastAsia" w:ascii="宋体" w:hAnsi="宋体"/>
          <w:b w:val="0"/>
          <w:bCs w:val="0"/>
          <w:color w:val="auto"/>
          <w:sz w:val="24"/>
          <w:highlight w:val="none"/>
          <w:u w:val="none"/>
        </w:rPr>
        <w:t>监理费</w:t>
      </w:r>
      <w:r>
        <w:rPr>
          <w:rFonts w:hint="eastAsia" w:ascii="宋体" w:hAnsi="宋体"/>
          <w:b w:val="0"/>
          <w:bCs w:val="0"/>
          <w:color w:val="auto"/>
          <w:sz w:val="24"/>
          <w:highlight w:val="none"/>
          <w:u w:val="none"/>
          <w:lang w:eastAsia="zh-CN"/>
        </w:rPr>
        <w:t>半年结算一次</w:t>
      </w:r>
      <w:r>
        <w:rPr>
          <w:rFonts w:hint="eastAsia" w:ascii="宋体" w:hAnsi="宋体"/>
          <w:b w:val="0"/>
          <w:bCs w:val="0"/>
          <w:color w:val="auto"/>
          <w:sz w:val="24"/>
          <w:highlight w:val="none"/>
          <w:u w:val="none"/>
        </w:rPr>
        <w:t>，结算基数先以</w:t>
      </w:r>
      <w:r>
        <w:rPr>
          <w:rFonts w:hint="eastAsia" w:ascii="宋体" w:hAnsi="宋体"/>
          <w:b w:val="0"/>
          <w:bCs w:val="0"/>
          <w:color w:val="auto"/>
          <w:sz w:val="24"/>
          <w:highlight w:val="none"/>
          <w:u w:val="none"/>
          <w:lang w:val="en-US" w:eastAsia="zh-CN"/>
        </w:rPr>
        <w:t>半年内</w:t>
      </w:r>
      <w:r>
        <w:rPr>
          <w:rFonts w:hint="eastAsia" w:ascii="宋体" w:hAnsi="宋体"/>
          <w:b w:val="0"/>
          <w:bCs w:val="0"/>
          <w:color w:val="auto"/>
          <w:sz w:val="24"/>
          <w:highlight w:val="none"/>
          <w:u w:val="none"/>
        </w:rPr>
        <w:t>所有完成验收的施工项目合同价的合计，支付至</w:t>
      </w:r>
      <w:r>
        <w:rPr>
          <w:rFonts w:hint="eastAsia" w:ascii="宋体" w:hAnsi="宋体"/>
          <w:b w:val="0"/>
          <w:bCs w:val="0"/>
          <w:color w:val="auto"/>
          <w:sz w:val="24"/>
          <w:highlight w:val="none"/>
          <w:u w:val="none"/>
          <w:lang w:val="en-US" w:eastAsia="zh-CN"/>
        </w:rPr>
        <w:t>半年内</w:t>
      </w:r>
      <w:r>
        <w:rPr>
          <w:rFonts w:hint="eastAsia" w:ascii="宋体" w:hAnsi="宋体"/>
          <w:b w:val="0"/>
          <w:bCs w:val="0"/>
          <w:color w:val="auto"/>
          <w:sz w:val="24"/>
          <w:highlight w:val="none"/>
          <w:u w:val="none"/>
        </w:rPr>
        <w:t>监理费的80%；</w:t>
      </w:r>
    </w:p>
    <w:p w14:paraId="71CFAEDA">
      <w:pPr>
        <w:spacing w:line="360" w:lineRule="auto"/>
        <w:ind w:firstLine="480" w:firstLineChars="200"/>
        <w:rPr>
          <w:rFonts w:hint="eastAsia" w:ascii="宋体" w:hAnsi="宋体"/>
          <w:b w:val="0"/>
          <w:bCs w:val="0"/>
          <w:color w:val="auto"/>
          <w:sz w:val="24"/>
          <w:highlight w:val="none"/>
          <w:u w:val="none"/>
        </w:rPr>
      </w:pPr>
      <w:r>
        <w:rPr>
          <w:rFonts w:hint="eastAsia" w:ascii="宋体" w:hAnsi="宋体"/>
          <w:b w:val="0"/>
          <w:bCs w:val="0"/>
          <w:color w:val="auto"/>
          <w:sz w:val="24"/>
          <w:highlight w:val="none"/>
          <w:u w:val="none"/>
          <w:lang w:eastAsia="zh-CN"/>
        </w:rPr>
        <w:t>（</w:t>
      </w:r>
      <w:r>
        <w:rPr>
          <w:rFonts w:hint="eastAsia" w:ascii="宋体" w:hAnsi="宋体"/>
          <w:b w:val="0"/>
          <w:bCs w:val="0"/>
          <w:color w:val="auto"/>
          <w:sz w:val="24"/>
          <w:highlight w:val="none"/>
          <w:u w:val="none"/>
          <w:lang w:val="en-US" w:eastAsia="zh-CN"/>
        </w:rPr>
        <w:t>2</w:t>
      </w:r>
      <w:r>
        <w:rPr>
          <w:rFonts w:hint="eastAsia" w:ascii="宋体" w:hAnsi="宋体"/>
          <w:b w:val="0"/>
          <w:bCs w:val="0"/>
          <w:color w:val="auto"/>
          <w:sz w:val="24"/>
          <w:highlight w:val="none"/>
          <w:u w:val="none"/>
          <w:lang w:eastAsia="zh-CN"/>
        </w:rPr>
        <w:t>）</w:t>
      </w:r>
      <w:r>
        <w:rPr>
          <w:rFonts w:hint="eastAsia" w:ascii="宋体" w:hAnsi="宋体"/>
          <w:b w:val="0"/>
          <w:bCs w:val="0"/>
          <w:color w:val="auto"/>
          <w:sz w:val="24"/>
          <w:highlight w:val="none"/>
          <w:u w:val="none"/>
        </w:rPr>
        <w:t>剩余监理费经审计部门审计后的所有施工结算价的合计额为收费基数，根据</w:t>
      </w:r>
      <w:r>
        <w:rPr>
          <w:rFonts w:hint="eastAsia" w:ascii="宋体" w:hAnsi="宋体"/>
          <w:b w:val="0"/>
          <w:bCs w:val="0"/>
          <w:color w:val="auto"/>
          <w:sz w:val="24"/>
          <w:highlight w:val="none"/>
          <w:u w:val="none"/>
          <w:lang w:val="en-US" w:eastAsia="zh-CN"/>
        </w:rPr>
        <w:t>成交人</w:t>
      </w:r>
      <w:r>
        <w:rPr>
          <w:rFonts w:hint="eastAsia" w:ascii="宋体" w:hAnsi="宋体"/>
          <w:b w:val="0"/>
          <w:bCs w:val="0"/>
          <w:color w:val="auto"/>
          <w:sz w:val="24"/>
          <w:highlight w:val="none"/>
          <w:u w:val="none"/>
        </w:rPr>
        <w:t>人</w:t>
      </w:r>
      <w:r>
        <w:rPr>
          <w:rFonts w:hint="eastAsia" w:ascii="宋体" w:hAnsi="宋体" w:cs="宋体"/>
          <w:b w:val="0"/>
          <w:bCs w:val="0"/>
          <w:color w:val="auto"/>
          <w:sz w:val="24"/>
          <w:highlight w:val="none"/>
          <w:u w:val="none"/>
          <w:lang w:val="en-US" w:eastAsia="zh-CN"/>
        </w:rPr>
        <w:t>最终报价的折扣率</w:t>
      </w:r>
      <w:r>
        <w:rPr>
          <w:rFonts w:hint="eastAsia" w:ascii="宋体" w:hAnsi="宋体"/>
          <w:b w:val="0"/>
          <w:bCs w:val="0"/>
          <w:color w:val="auto"/>
          <w:sz w:val="24"/>
          <w:highlight w:val="none"/>
          <w:u w:val="none"/>
        </w:rPr>
        <w:t>进行结算并一次性付清剩余监理费。</w:t>
      </w:r>
    </w:p>
    <w:p w14:paraId="1A6B7A2B">
      <w:pPr>
        <w:pageBreakBefore w:val="0"/>
        <w:widowControl w:val="0"/>
        <w:shd w:val="clear" w:color="auto" w:fill="FFFFFF" w:themeFill="background1"/>
        <w:kinsoku/>
        <w:wordWrap/>
        <w:overflowPunct/>
        <w:topLinePunct w:val="0"/>
        <w:autoSpaceDE/>
        <w:autoSpaceDN/>
        <w:bidi w:val="0"/>
        <w:adjustRightInd w:val="0"/>
        <w:snapToGrid w:val="0"/>
        <w:spacing w:line="360" w:lineRule="auto"/>
        <w:ind w:firstLine="480"/>
        <w:jc w:val="left"/>
        <w:textAlignment w:val="auto"/>
        <w:rPr>
          <w:rFonts w:hint="eastAsia" w:ascii="宋体" w:hAnsi="宋体" w:cs="宋体"/>
          <w:b w:val="0"/>
          <w:bCs w:val="0"/>
          <w:color w:val="auto"/>
          <w:sz w:val="24"/>
          <w:highlight w:val="none"/>
          <w:u w:val="none"/>
          <w:lang w:val="en-US" w:eastAsia="zh-CN"/>
        </w:rPr>
      </w:pPr>
      <w:r>
        <w:rPr>
          <w:rFonts w:hint="eastAsia" w:ascii="宋体" w:hAnsi="宋体"/>
          <w:b w:val="0"/>
          <w:bCs w:val="0"/>
          <w:color w:val="auto"/>
          <w:sz w:val="24"/>
          <w:highlight w:val="none"/>
          <w:u w:val="none"/>
          <w:lang w:val="en-US" w:eastAsia="zh-CN"/>
        </w:rPr>
        <w:t>注：</w:t>
      </w:r>
      <w:r>
        <w:rPr>
          <w:rFonts w:hint="eastAsia" w:ascii="宋体" w:hAnsi="宋体"/>
          <w:b w:val="0"/>
          <w:bCs w:val="0"/>
          <w:color w:val="auto"/>
          <w:sz w:val="24"/>
          <w:highlight w:val="none"/>
          <w:u w:val="none"/>
        </w:rPr>
        <w:t>监理人充分理解并接受委托人内部支付流程审批所需的时间，不得因此追究委托人的逾期付款责任。</w:t>
      </w:r>
    </w:p>
    <w:p w14:paraId="107980B4">
      <w:pPr>
        <w:pageBreakBefore w:val="0"/>
        <w:widowControl w:val="0"/>
        <w:shd w:val="clear" w:color="auto" w:fill="FFFFFF" w:themeFill="background1"/>
        <w:kinsoku/>
        <w:wordWrap/>
        <w:overflowPunct/>
        <w:topLinePunct w:val="0"/>
        <w:autoSpaceDE/>
        <w:autoSpaceDN/>
        <w:bidi w:val="0"/>
        <w:adjustRightInd w:val="0"/>
        <w:snapToGrid w:val="0"/>
        <w:spacing w:line="360" w:lineRule="auto"/>
        <w:ind w:firstLine="480"/>
        <w:jc w:val="left"/>
        <w:textAlignment w:val="auto"/>
        <w:rPr>
          <w:rFonts w:hint="eastAsia" w:ascii="宋体" w:hAnsi="宋体" w:cs="宋体"/>
          <w:b/>
          <w:bCs/>
          <w:color w:val="auto"/>
          <w:sz w:val="24"/>
          <w:highlight w:val="none"/>
          <w:u w:val="single"/>
          <w:lang w:val="en-US" w:eastAsia="zh-CN"/>
        </w:rPr>
      </w:pPr>
    </w:p>
    <w:p w14:paraId="0DAFFBC8">
      <w:pPr>
        <w:spacing w:line="360" w:lineRule="auto"/>
        <w:ind w:firstLine="420" w:firstLineChars="200"/>
        <w:rPr>
          <w:rFonts w:ascii="宋体" w:hAnsi="宋体"/>
          <w:color w:val="auto"/>
          <w:szCs w:val="21"/>
          <w:highlight w:val="none"/>
        </w:rPr>
      </w:pPr>
    </w:p>
    <w:p w14:paraId="57688077">
      <w:pPr>
        <w:rPr>
          <w:color w:val="auto"/>
          <w:highlight w:val="none"/>
        </w:rPr>
        <w:sectPr>
          <w:pgSz w:w="11907" w:h="16840"/>
          <w:pgMar w:top="1440" w:right="1080" w:bottom="1440" w:left="1080" w:header="851" w:footer="851" w:gutter="0"/>
          <w:cols w:space="720" w:num="1"/>
        </w:sectPr>
      </w:pPr>
    </w:p>
    <w:p w14:paraId="2C8CEE4A">
      <w:pPr>
        <w:adjustRightInd/>
        <w:spacing w:line="360" w:lineRule="auto"/>
        <w:jc w:val="center"/>
        <w:outlineLvl w:val="0"/>
        <w:rPr>
          <w:rFonts w:ascii="宋体" w:hAnsi="宋体" w:cs="宋体"/>
          <w:b/>
          <w:color w:val="auto"/>
          <w:sz w:val="36"/>
          <w:szCs w:val="20"/>
          <w:highlight w:val="none"/>
        </w:rPr>
      </w:pPr>
      <w:bookmarkStart w:id="62" w:name="_Toc23741"/>
      <w:r>
        <w:rPr>
          <w:rFonts w:hint="eastAsia" w:ascii="宋体" w:hAnsi="宋体" w:cs="宋体"/>
          <w:b/>
          <w:color w:val="auto"/>
          <w:sz w:val="36"/>
          <w:szCs w:val="20"/>
          <w:highlight w:val="none"/>
        </w:rPr>
        <w:t>第四部分</w:t>
      </w:r>
      <w:bookmarkStart w:id="63" w:name="_Toc184312100"/>
      <w:bookmarkEnd w:id="63"/>
      <w:bookmarkStart w:id="64" w:name="_Toc184312095"/>
      <w:bookmarkEnd w:id="64"/>
      <w:bookmarkStart w:id="65" w:name="_Toc184308061"/>
      <w:bookmarkEnd w:id="65"/>
      <w:bookmarkStart w:id="66" w:name="_Toc184313288"/>
      <w:bookmarkEnd w:id="66"/>
      <w:bookmarkStart w:id="67" w:name="_Toc184308055"/>
      <w:bookmarkEnd w:id="67"/>
      <w:bookmarkStart w:id="68" w:name="_Toc184314476"/>
      <w:bookmarkEnd w:id="68"/>
      <w:bookmarkStart w:id="69" w:name="_Toc184313244"/>
      <w:bookmarkEnd w:id="69"/>
      <w:bookmarkStart w:id="70" w:name="_Toc184312114"/>
      <w:bookmarkEnd w:id="70"/>
      <w:bookmarkStart w:id="71" w:name="_Toc184313308"/>
      <w:bookmarkEnd w:id="71"/>
      <w:bookmarkStart w:id="72" w:name="_Toc184314460"/>
      <w:bookmarkEnd w:id="72"/>
      <w:bookmarkStart w:id="73" w:name="_Toc184310331"/>
      <w:bookmarkEnd w:id="73"/>
      <w:bookmarkStart w:id="74" w:name="_Toc184314470"/>
      <w:bookmarkEnd w:id="74"/>
      <w:bookmarkStart w:id="75" w:name="_Toc184308037"/>
      <w:bookmarkEnd w:id="75"/>
      <w:bookmarkStart w:id="76" w:name="_Toc184314411"/>
      <w:bookmarkEnd w:id="76"/>
      <w:bookmarkStart w:id="77" w:name="_Toc184313241"/>
      <w:bookmarkEnd w:id="77"/>
      <w:bookmarkStart w:id="78" w:name="_Toc184313298"/>
      <w:bookmarkEnd w:id="78"/>
      <w:bookmarkStart w:id="79" w:name="_Toc184308095"/>
      <w:bookmarkEnd w:id="79"/>
      <w:bookmarkStart w:id="80" w:name="_Toc184310315"/>
      <w:bookmarkEnd w:id="80"/>
      <w:bookmarkStart w:id="81" w:name="_Toc184312108"/>
      <w:bookmarkEnd w:id="81"/>
      <w:bookmarkStart w:id="82" w:name="_Toc184314423"/>
      <w:bookmarkEnd w:id="82"/>
      <w:bookmarkStart w:id="83" w:name="_Toc184308048"/>
      <w:bookmarkEnd w:id="83"/>
      <w:bookmarkStart w:id="84" w:name="_Toc184310276"/>
      <w:bookmarkEnd w:id="84"/>
      <w:bookmarkStart w:id="85" w:name="_Toc184312137"/>
      <w:bookmarkEnd w:id="85"/>
      <w:bookmarkStart w:id="86" w:name="_Toc184310313"/>
      <w:bookmarkEnd w:id="86"/>
      <w:bookmarkStart w:id="87" w:name="_Toc184314451"/>
      <w:bookmarkEnd w:id="87"/>
      <w:bookmarkStart w:id="88" w:name="_Toc184310285"/>
      <w:bookmarkEnd w:id="88"/>
      <w:bookmarkStart w:id="89" w:name="_Toc184310297"/>
      <w:bookmarkEnd w:id="89"/>
      <w:bookmarkStart w:id="90" w:name="_Toc184312094"/>
      <w:bookmarkEnd w:id="90"/>
      <w:bookmarkStart w:id="91" w:name="_Toc184308046"/>
      <w:bookmarkEnd w:id="91"/>
      <w:bookmarkStart w:id="92" w:name="_Toc184308050"/>
      <w:bookmarkEnd w:id="92"/>
      <w:bookmarkStart w:id="93" w:name="_Toc184312132"/>
      <w:bookmarkEnd w:id="93"/>
      <w:bookmarkStart w:id="94" w:name="_Toc184313267"/>
      <w:bookmarkEnd w:id="94"/>
      <w:bookmarkStart w:id="95" w:name="_Toc184310303"/>
      <w:bookmarkEnd w:id="95"/>
      <w:bookmarkStart w:id="96" w:name="_Toc184314466"/>
      <w:bookmarkEnd w:id="96"/>
      <w:bookmarkStart w:id="97" w:name="_Toc184308076"/>
      <w:bookmarkEnd w:id="97"/>
      <w:bookmarkStart w:id="98" w:name="_Toc184308078"/>
      <w:bookmarkEnd w:id="98"/>
      <w:bookmarkStart w:id="99" w:name="_Toc184312123"/>
      <w:bookmarkEnd w:id="99"/>
      <w:bookmarkStart w:id="100" w:name="_Toc184313303"/>
      <w:bookmarkEnd w:id="100"/>
      <w:bookmarkStart w:id="101" w:name="_Toc184314442"/>
      <w:bookmarkEnd w:id="101"/>
      <w:bookmarkStart w:id="102" w:name="_Toc184314439"/>
      <w:bookmarkEnd w:id="102"/>
      <w:bookmarkStart w:id="103" w:name="_Toc184312117"/>
      <w:bookmarkEnd w:id="103"/>
      <w:bookmarkStart w:id="104" w:name="_Toc184310318"/>
      <w:bookmarkEnd w:id="104"/>
      <w:bookmarkStart w:id="105" w:name="_Toc184310282"/>
      <w:bookmarkEnd w:id="105"/>
      <w:bookmarkStart w:id="106" w:name="_Toc184312096"/>
      <w:bookmarkEnd w:id="106"/>
      <w:bookmarkStart w:id="107" w:name="_Toc184314434"/>
      <w:bookmarkEnd w:id="107"/>
      <w:bookmarkStart w:id="108" w:name="_Toc184312110"/>
      <w:bookmarkEnd w:id="108"/>
      <w:bookmarkStart w:id="109" w:name="_Toc184313247"/>
      <w:bookmarkEnd w:id="109"/>
      <w:bookmarkStart w:id="110" w:name="_Toc184310288"/>
      <w:bookmarkEnd w:id="110"/>
      <w:bookmarkStart w:id="111" w:name="_Toc184313307"/>
      <w:bookmarkEnd w:id="111"/>
      <w:bookmarkStart w:id="112" w:name="_Toc184310319"/>
      <w:bookmarkEnd w:id="112"/>
      <w:bookmarkStart w:id="113" w:name="_Toc184310307"/>
      <w:bookmarkEnd w:id="113"/>
      <w:bookmarkStart w:id="114" w:name="_Toc184312068"/>
      <w:bookmarkEnd w:id="114"/>
      <w:bookmarkStart w:id="115" w:name="_Toc184314474"/>
      <w:bookmarkEnd w:id="115"/>
      <w:bookmarkStart w:id="116" w:name="_Toc184314427"/>
      <w:bookmarkEnd w:id="116"/>
      <w:bookmarkStart w:id="117" w:name="_Toc184308058"/>
      <w:bookmarkEnd w:id="117"/>
      <w:bookmarkStart w:id="118" w:name="_Toc184313253"/>
      <w:bookmarkEnd w:id="118"/>
      <w:bookmarkStart w:id="119" w:name="_Toc184314431"/>
      <w:bookmarkEnd w:id="119"/>
      <w:bookmarkStart w:id="120" w:name="_Toc184312138"/>
      <w:bookmarkEnd w:id="120"/>
      <w:bookmarkStart w:id="121" w:name="_Toc184312131"/>
      <w:bookmarkEnd w:id="121"/>
      <w:bookmarkStart w:id="122" w:name="_Toc184310324"/>
      <w:bookmarkEnd w:id="122"/>
      <w:bookmarkStart w:id="123" w:name="_Toc184308081"/>
      <w:bookmarkEnd w:id="123"/>
      <w:bookmarkStart w:id="124" w:name="_Toc184308066"/>
      <w:bookmarkEnd w:id="124"/>
      <w:bookmarkStart w:id="125" w:name="_Toc184312080"/>
      <w:bookmarkEnd w:id="125"/>
      <w:bookmarkStart w:id="126" w:name="_Toc184312091"/>
      <w:bookmarkEnd w:id="126"/>
      <w:bookmarkStart w:id="127" w:name="_Toc184312136"/>
      <w:bookmarkEnd w:id="127"/>
      <w:bookmarkStart w:id="128" w:name="_Toc184314433"/>
      <w:bookmarkEnd w:id="128"/>
      <w:bookmarkStart w:id="129" w:name="_Toc184314479"/>
      <w:bookmarkEnd w:id="129"/>
      <w:bookmarkStart w:id="130" w:name="_Toc184308090"/>
      <w:bookmarkEnd w:id="130"/>
      <w:bookmarkStart w:id="131" w:name="_Toc184310322"/>
      <w:bookmarkEnd w:id="131"/>
      <w:bookmarkStart w:id="132" w:name="_Toc184314418"/>
      <w:bookmarkEnd w:id="132"/>
      <w:bookmarkStart w:id="133" w:name="_Toc184310332"/>
      <w:bookmarkEnd w:id="133"/>
      <w:bookmarkStart w:id="134" w:name="_Toc184313275"/>
      <w:bookmarkEnd w:id="134"/>
      <w:bookmarkStart w:id="135" w:name="_Toc184310298"/>
      <w:bookmarkEnd w:id="135"/>
      <w:bookmarkStart w:id="136" w:name="_Toc184308093"/>
      <w:bookmarkEnd w:id="136"/>
      <w:bookmarkStart w:id="137" w:name="_Toc184313250"/>
      <w:bookmarkEnd w:id="137"/>
      <w:bookmarkStart w:id="138" w:name="_Toc184313276"/>
      <w:bookmarkEnd w:id="138"/>
      <w:bookmarkStart w:id="139" w:name="_Toc184314412"/>
      <w:bookmarkEnd w:id="139"/>
      <w:bookmarkStart w:id="140" w:name="_Toc184313309"/>
      <w:bookmarkEnd w:id="140"/>
      <w:bookmarkStart w:id="141" w:name="_Toc184310338"/>
      <w:bookmarkEnd w:id="141"/>
      <w:bookmarkStart w:id="142" w:name="_Toc184313289"/>
      <w:bookmarkEnd w:id="142"/>
      <w:bookmarkStart w:id="143" w:name="_Toc184308042"/>
      <w:bookmarkEnd w:id="143"/>
      <w:bookmarkStart w:id="144" w:name="_Toc184312116"/>
      <w:bookmarkEnd w:id="144"/>
      <w:bookmarkStart w:id="145" w:name="_Toc184312086"/>
      <w:bookmarkEnd w:id="145"/>
      <w:bookmarkStart w:id="146" w:name="_Toc184312124"/>
      <w:bookmarkEnd w:id="146"/>
      <w:bookmarkStart w:id="147" w:name="_Toc184310290"/>
      <w:bookmarkEnd w:id="147"/>
      <w:bookmarkStart w:id="148" w:name="_Toc184313294"/>
      <w:bookmarkEnd w:id="148"/>
      <w:bookmarkStart w:id="149" w:name="_Toc184314473"/>
      <w:bookmarkEnd w:id="149"/>
      <w:bookmarkStart w:id="150" w:name="_Toc184308045"/>
      <w:bookmarkEnd w:id="150"/>
      <w:bookmarkStart w:id="151" w:name="_Toc184313270"/>
      <w:bookmarkEnd w:id="151"/>
      <w:bookmarkStart w:id="152" w:name="_Toc184313281"/>
      <w:bookmarkEnd w:id="152"/>
      <w:bookmarkStart w:id="153" w:name="_Toc184308087"/>
      <w:bookmarkEnd w:id="153"/>
      <w:bookmarkStart w:id="154" w:name="_Toc184308064"/>
      <w:bookmarkEnd w:id="154"/>
      <w:bookmarkStart w:id="155" w:name="_Toc184310305"/>
      <w:bookmarkEnd w:id="155"/>
      <w:bookmarkStart w:id="156" w:name="_Toc184308063"/>
      <w:bookmarkEnd w:id="156"/>
      <w:bookmarkStart w:id="157" w:name="_Toc184310281"/>
      <w:bookmarkEnd w:id="157"/>
      <w:bookmarkStart w:id="158" w:name="_Toc184314448"/>
      <w:bookmarkEnd w:id="158"/>
      <w:bookmarkStart w:id="159" w:name="_Toc184314416"/>
      <w:bookmarkEnd w:id="159"/>
      <w:bookmarkStart w:id="160" w:name="_Toc184312106"/>
      <w:bookmarkEnd w:id="160"/>
      <w:bookmarkStart w:id="161" w:name="_Toc184308075"/>
      <w:bookmarkEnd w:id="161"/>
      <w:bookmarkStart w:id="162" w:name="_Toc184312097"/>
      <w:bookmarkEnd w:id="162"/>
      <w:bookmarkStart w:id="163" w:name="_Toc184314436"/>
      <w:bookmarkEnd w:id="163"/>
      <w:bookmarkStart w:id="164" w:name="_Toc184313301"/>
      <w:bookmarkEnd w:id="164"/>
      <w:bookmarkStart w:id="165" w:name="_Toc184308054"/>
      <w:bookmarkEnd w:id="165"/>
      <w:bookmarkStart w:id="166" w:name="_Toc184308082"/>
      <w:bookmarkEnd w:id="166"/>
      <w:bookmarkStart w:id="167" w:name="_Toc184308098"/>
      <w:bookmarkEnd w:id="167"/>
      <w:bookmarkStart w:id="168" w:name="_Toc184308070"/>
      <w:bookmarkEnd w:id="168"/>
      <w:bookmarkStart w:id="169" w:name="_Toc184313277"/>
      <w:bookmarkEnd w:id="169"/>
      <w:bookmarkStart w:id="170" w:name="_Toc184308072"/>
      <w:bookmarkEnd w:id="170"/>
      <w:bookmarkStart w:id="171" w:name="_Toc184308105"/>
      <w:bookmarkEnd w:id="171"/>
      <w:bookmarkStart w:id="172" w:name="_Toc184310323"/>
      <w:bookmarkEnd w:id="172"/>
      <w:bookmarkStart w:id="173" w:name="_Toc184313278"/>
      <w:bookmarkEnd w:id="173"/>
      <w:bookmarkStart w:id="174" w:name="_Toc184314453"/>
      <w:bookmarkEnd w:id="174"/>
      <w:bookmarkStart w:id="175" w:name="_Toc184314454"/>
      <w:bookmarkEnd w:id="175"/>
      <w:bookmarkStart w:id="176" w:name="_Toc184312069"/>
      <w:bookmarkEnd w:id="176"/>
      <w:bookmarkStart w:id="177" w:name="_Toc184314450"/>
      <w:bookmarkEnd w:id="177"/>
      <w:bookmarkStart w:id="178" w:name="_Toc184314478"/>
      <w:bookmarkEnd w:id="178"/>
      <w:bookmarkStart w:id="179" w:name="_Toc184312120"/>
      <w:bookmarkEnd w:id="179"/>
      <w:bookmarkStart w:id="180" w:name="_Toc184314435"/>
      <w:bookmarkEnd w:id="180"/>
      <w:bookmarkStart w:id="181" w:name="_Toc184313238"/>
      <w:bookmarkEnd w:id="181"/>
      <w:bookmarkStart w:id="182" w:name="_Toc184310327"/>
      <w:bookmarkEnd w:id="182"/>
      <w:bookmarkStart w:id="183" w:name="_Toc184308077"/>
      <w:bookmarkEnd w:id="183"/>
      <w:bookmarkStart w:id="184" w:name="_Toc184308089"/>
      <w:bookmarkEnd w:id="184"/>
      <w:bookmarkStart w:id="185" w:name="_Toc184314456"/>
      <w:bookmarkEnd w:id="185"/>
      <w:bookmarkStart w:id="186" w:name="_Toc184312076"/>
      <w:bookmarkEnd w:id="186"/>
      <w:bookmarkStart w:id="187" w:name="_Toc184312090"/>
      <w:bookmarkEnd w:id="187"/>
      <w:bookmarkStart w:id="188" w:name="_Toc184310306"/>
      <w:bookmarkEnd w:id="188"/>
      <w:bookmarkStart w:id="189" w:name="_Toc184312098"/>
      <w:bookmarkEnd w:id="189"/>
      <w:bookmarkStart w:id="190" w:name="_Toc184312125"/>
      <w:bookmarkEnd w:id="190"/>
      <w:bookmarkStart w:id="191" w:name="_Toc184313286"/>
      <w:bookmarkEnd w:id="191"/>
      <w:bookmarkStart w:id="192" w:name="_Toc184310336"/>
      <w:bookmarkEnd w:id="192"/>
      <w:bookmarkStart w:id="193" w:name="_Toc184313306"/>
      <w:bookmarkEnd w:id="193"/>
      <w:bookmarkStart w:id="194" w:name="_Toc184312109"/>
      <w:bookmarkEnd w:id="194"/>
      <w:bookmarkStart w:id="195" w:name="_Toc184308104"/>
      <w:bookmarkEnd w:id="195"/>
      <w:bookmarkStart w:id="196" w:name="_Toc184312118"/>
      <w:bookmarkEnd w:id="196"/>
      <w:bookmarkStart w:id="197" w:name="_Toc184313291"/>
      <w:bookmarkEnd w:id="197"/>
      <w:bookmarkStart w:id="198" w:name="_Toc184310280"/>
      <w:bookmarkEnd w:id="198"/>
      <w:bookmarkStart w:id="199" w:name="_Toc184314452"/>
      <w:bookmarkEnd w:id="199"/>
      <w:bookmarkStart w:id="200" w:name="_Toc184310335"/>
      <w:bookmarkEnd w:id="200"/>
      <w:bookmarkStart w:id="201" w:name="_Toc184314446"/>
      <w:bookmarkEnd w:id="201"/>
      <w:bookmarkStart w:id="202" w:name="_Toc184312107"/>
      <w:bookmarkEnd w:id="202"/>
      <w:bookmarkStart w:id="203" w:name="_Toc184314421"/>
      <w:bookmarkEnd w:id="203"/>
      <w:bookmarkStart w:id="204" w:name="_Toc184314429"/>
      <w:bookmarkEnd w:id="204"/>
      <w:bookmarkStart w:id="205" w:name="_Toc184313254"/>
      <w:bookmarkEnd w:id="205"/>
      <w:bookmarkStart w:id="206" w:name="_Toc184313280"/>
      <w:bookmarkEnd w:id="206"/>
      <w:bookmarkStart w:id="207" w:name="_Toc184308060"/>
      <w:bookmarkEnd w:id="207"/>
      <w:bookmarkStart w:id="208" w:name="_Toc184314481"/>
      <w:bookmarkEnd w:id="208"/>
      <w:bookmarkStart w:id="209" w:name="_Toc184308107"/>
      <w:bookmarkEnd w:id="209"/>
      <w:bookmarkStart w:id="210" w:name="_Toc184312121"/>
      <w:bookmarkEnd w:id="210"/>
      <w:bookmarkStart w:id="211" w:name="_Toc184308084"/>
      <w:bookmarkEnd w:id="211"/>
      <w:bookmarkStart w:id="212" w:name="_Toc184312134"/>
      <w:bookmarkEnd w:id="212"/>
      <w:bookmarkStart w:id="213" w:name="_Toc184314455"/>
      <w:bookmarkEnd w:id="213"/>
      <w:bookmarkStart w:id="214" w:name="_Toc184314443"/>
      <w:bookmarkEnd w:id="214"/>
      <w:bookmarkStart w:id="215" w:name="_Toc184314410"/>
      <w:bookmarkEnd w:id="215"/>
      <w:bookmarkStart w:id="216" w:name="_Toc184310277"/>
      <w:bookmarkEnd w:id="216"/>
      <w:bookmarkStart w:id="217" w:name="_Toc184310295"/>
      <w:bookmarkEnd w:id="217"/>
      <w:bookmarkStart w:id="218" w:name="_Toc184308039"/>
      <w:bookmarkEnd w:id="218"/>
      <w:bookmarkStart w:id="219" w:name="_Toc184313279"/>
      <w:bookmarkEnd w:id="219"/>
      <w:bookmarkStart w:id="220" w:name="_Toc184308088"/>
      <w:bookmarkEnd w:id="220"/>
      <w:bookmarkStart w:id="221" w:name="_Toc184308101"/>
      <w:bookmarkEnd w:id="221"/>
      <w:bookmarkStart w:id="222" w:name="_Toc184310286"/>
      <w:bookmarkEnd w:id="222"/>
      <w:bookmarkStart w:id="223" w:name="_Toc184310329"/>
      <w:bookmarkEnd w:id="223"/>
      <w:bookmarkStart w:id="224" w:name="_Toc184314420"/>
      <w:bookmarkEnd w:id="224"/>
      <w:bookmarkStart w:id="225" w:name="_Toc184310337"/>
      <w:bookmarkEnd w:id="225"/>
      <w:bookmarkStart w:id="226" w:name="_Toc184308074"/>
      <w:bookmarkEnd w:id="226"/>
      <w:bookmarkStart w:id="227" w:name="_Toc184313285"/>
      <w:bookmarkEnd w:id="227"/>
      <w:bookmarkStart w:id="228" w:name="_Toc184313284"/>
      <w:bookmarkEnd w:id="228"/>
      <w:bookmarkStart w:id="229" w:name="_Toc184308038"/>
      <w:bookmarkEnd w:id="229"/>
      <w:bookmarkStart w:id="230" w:name="_Toc184308049"/>
      <w:bookmarkEnd w:id="230"/>
      <w:bookmarkStart w:id="231" w:name="_Toc184312092"/>
      <w:bookmarkEnd w:id="231"/>
      <w:bookmarkStart w:id="232" w:name="_Toc184310279"/>
      <w:bookmarkEnd w:id="232"/>
      <w:bookmarkStart w:id="233" w:name="_Toc184312087"/>
      <w:bookmarkEnd w:id="233"/>
      <w:bookmarkStart w:id="234" w:name="_Toc184312089"/>
      <w:bookmarkEnd w:id="234"/>
      <w:bookmarkStart w:id="235" w:name="_Toc184310341"/>
      <w:bookmarkEnd w:id="235"/>
      <w:bookmarkStart w:id="236" w:name="_Toc184313305"/>
      <w:bookmarkEnd w:id="236"/>
      <w:bookmarkStart w:id="237" w:name="_Toc184308079"/>
      <w:bookmarkEnd w:id="237"/>
      <w:bookmarkStart w:id="238" w:name="_Toc184310302"/>
      <w:bookmarkEnd w:id="238"/>
      <w:bookmarkStart w:id="239" w:name="_Toc184308062"/>
      <w:bookmarkEnd w:id="239"/>
      <w:bookmarkStart w:id="240" w:name="_Toc184308069"/>
      <w:bookmarkEnd w:id="240"/>
      <w:bookmarkStart w:id="241" w:name="_Toc184310314"/>
      <w:bookmarkEnd w:id="241"/>
      <w:bookmarkStart w:id="242" w:name="_Toc184314472"/>
      <w:bookmarkEnd w:id="242"/>
      <w:bookmarkStart w:id="243" w:name="_Toc184310333"/>
      <w:bookmarkEnd w:id="243"/>
      <w:bookmarkStart w:id="244" w:name="_Toc184308106"/>
      <w:bookmarkEnd w:id="244"/>
      <w:bookmarkStart w:id="245" w:name="_Toc184310340"/>
      <w:bookmarkEnd w:id="245"/>
      <w:bookmarkStart w:id="246" w:name="_Toc184308036"/>
      <w:bookmarkEnd w:id="246"/>
      <w:bookmarkStart w:id="247" w:name="_Toc184312072"/>
      <w:bookmarkEnd w:id="247"/>
      <w:bookmarkStart w:id="248" w:name="_Toc184312130"/>
      <w:bookmarkEnd w:id="248"/>
      <w:bookmarkStart w:id="249" w:name="_Toc184310308"/>
      <w:bookmarkEnd w:id="249"/>
      <w:bookmarkStart w:id="250" w:name="_Toc184313258"/>
      <w:bookmarkEnd w:id="250"/>
      <w:bookmarkStart w:id="251" w:name="_Toc184312073"/>
      <w:bookmarkEnd w:id="251"/>
      <w:bookmarkStart w:id="252" w:name="_Toc184308092"/>
      <w:bookmarkEnd w:id="252"/>
      <w:bookmarkStart w:id="253" w:name="_Toc184312139"/>
      <w:bookmarkEnd w:id="253"/>
      <w:bookmarkStart w:id="254" w:name="_Toc184313246"/>
      <w:bookmarkEnd w:id="254"/>
      <w:bookmarkStart w:id="255" w:name="_Toc184310278"/>
      <w:bookmarkEnd w:id="255"/>
      <w:bookmarkStart w:id="256" w:name="_Toc184313239"/>
      <w:bookmarkEnd w:id="256"/>
      <w:bookmarkStart w:id="257" w:name="_Toc184310334"/>
      <w:bookmarkEnd w:id="257"/>
      <w:bookmarkStart w:id="258" w:name="_Toc184313245"/>
      <w:bookmarkEnd w:id="258"/>
      <w:bookmarkStart w:id="259" w:name="_Toc184312074"/>
      <w:bookmarkEnd w:id="259"/>
      <w:bookmarkStart w:id="260" w:name="_Toc184310317"/>
      <w:bookmarkEnd w:id="260"/>
      <w:bookmarkStart w:id="261" w:name="_Toc184308097"/>
      <w:bookmarkEnd w:id="261"/>
      <w:bookmarkStart w:id="262" w:name="_Toc184313304"/>
      <w:bookmarkEnd w:id="262"/>
      <w:bookmarkStart w:id="263" w:name="_Toc184313272"/>
      <w:bookmarkEnd w:id="263"/>
      <w:bookmarkStart w:id="264" w:name="_Toc184312093"/>
      <w:bookmarkEnd w:id="264"/>
      <w:bookmarkStart w:id="265" w:name="_Toc184313262"/>
      <w:bookmarkEnd w:id="265"/>
      <w:bookmarkStart w:id="266" w:name="_Toc184314462"/>
      <w:bookmarkEnd w:id="266"/>
      <w:bookmarkStart w:id="267" w:name="_Toc184308080"/>
      <w:bookmarkEnd w:id="267"/>
      <w:bookmarkStart w:id="268" w:name="_Toc184313287"/>
      <w:bookmarkEnd w:id="268"/>
      <w:bookmarkStart w:id="269" w:name="_Toc184312067"/>
      <w:bookmarkEnd w:id="269"/>
      <w:bookmarkStart w:id="270" w:name="_Toc184310342"/>
      <w:bookmarkEnd w:id="270"/>
      <w:bookmarkStart w:id="271" w:name="_Toc184310310"/>
      <w:bookmarkEnd w:id="271"/>
      <w:bookmarkStart w:id="272" w:name="_Toc184314457"/>
      <w:bookmarkEnd w:id="272"/>
      <w:bookmarkStart w:id="273" w:name="_Toc184313295"/>
      <w:bookmarkEnd w:id="273"/>
      <w:bookmarkStart w:id="274" w:name="_Toc184313269"/>
      <w:bookmarkEnd w:id="274"/>
      <w:bookmarkStart w:id="275" w:name="_Toc184314463"/>
      <w:bookmarkEnd w:id="275"/>
      <w:bookmarkStart w:id="276" w:name="_Toc184312082"/>
      <w:bookmarkEnd w:id="276"/>
      <w:bookmarkStart w:id="277" w:name="_Toc184312102"/>
      <w:bookmarkEnd w:id="277"/>
      <w:bookmarkStart w:id="278" w:name="_Toc184312122"/>
      <w:bookmarkEnd w:id="278"/>
      <w:bookmarkStart w:id="279" w:name="_Toc184314424"/>
      <w:bookmarkEnd w:id="279"/>
      <w:bookmarkStart w:id="280" w:name="_Toc184308059"/>
      <w:bookmarkEnd w:id="280"/>
      <w:bookmarkStart w:id="281" w:name="_Toc184313266"/>
      <w:bookmarkEnd w:id="281"/>
      <w:bookmarkStart w:id="282" w:name="_Toc184310300"/>
      <w:bookmarkEnd w:id="282"/>
      <w:bookmarkStart w:id="283" w:name="_Toc184313261"/>
      <w:bookmarkEnd w:id="283"/>
      <w:bookmarkStart w:id="284" w:name="_Toc184313260"/>
      <w:bookmarkEnd w:id="284"/>
      <w:bookmarkStart w:id="285" w:name="_Toc184314414"/>
      <w:bookmarkEnd w:id="285"/>
      <w:bookmarkStart w:id="286" w:name="_Toc184308086"/>
      <w:bookmarkEnd w:id="286"/>
      <w:bookmarkStart w:id="287" w:name="_Toc184310320"/>
      <w:bookmarkEnd w:id="287"/>
      <w:bookmarkStart w:id="288" w:name="_Toc184310316"/>
      <w:bookmarkEnd w:id="288"/>
      <w:bookmarkStart w:id="289" w:name="_Toc184313302"/>
      <w:bookmarkEnd w:id="289"/>
      <w:bookmarkStart w:id="290" w:name="_Toc184314428"/>
      <w:bookmarkEnd w:id="290"/>
      <w:bookmarkStart w:id="291" w:name="_Toc184308044"/>
      <w:bookmarkEnd w:id="291"/>
      <w:bookmarkStart w:id="292" w:name="_Toc184313274"/>
      <w:bookmarkEnd w:id="292"/>
      <w:bookmarkStart w:id="293" w:name="_Toc184314415"/>
      <w:bookmarkEnd w:id="293"/>
      <w:bookmarkStart w:id="294" w:name="_Toc184314422"/>
      <w:bookmarkEnd w:id="294"/>
      <w:bookmarkStart w:id="295" w:name="_Toc184314440"/>
      <w:bookmarkEnd w:id="295"/>
      <w:bookmarkStart w:id="296" w:name="_Toc184313240"/>
      <w:bookmarkEnd w:id="296"/>
      <w:bookmarkStart w:id="297" w:name="_Toc184312105"/>
      <w:bookmarkEnd w:id="297"/>
      <w:bookmarkStart w:id="298" w:name="_Toc184314419"/>
      <w:bookmarkEnd w:id="298"/>
      <w:bookmarkStart w:id="299" w:name="_Toc184308043"/>
      <w:bookmarkEnd w:id="299"/>
      <w:bookmarkStart w:id="300" w:name="_Toc184312126"/>
      <w:bookmarkEnd w:id="300"/>
      <w:bookmarkStart w:id="301" w:name="_Toc184310287"/>
      <w:bookmarkEnd w:id="301"/>
      <w:bookmarkStart w:id="302" w:name="_Toc184308065"/>
      <w:bookmarkEnd w:id="302"/>
      <w:bookmarkStart w:id="303" w:name="_Toc184313252"/>
      <w:bookmarkEnd w:id="303"/>
      <w:bookmarkStart w:id="304" w:name="_Toc184314465"/>
      <w:bookmarkEnd w:id="304"/>
      <w:bookmarkStart w:id="305" w:name="_Toc184308103"/>
      <w:bookmarkEnd w:id="305"/>
      <w:bookmarkStart w:id="306" w:name="_Toc184312099"/>
      <w:bookmarkEnd w:id="306"/>
      <w:bookmarkStart w:id="307" w:name="_Toc184312084"/>
      <w:bookmarkEnd w:id="307"/>
      <w:bookmarkStart w:id="308" w:name="_Toc184310311"/>
      <w:bookmarkEnd w:id="308"/>
      <w:bookmarkStart w:id="309" w:name="_Toc184310294"/>
      <w:bookmarkEnd w:id="309"/>
      <w:bookmarkStart w:id="310" w:name="_Toc184312078"/>
      <w:bookmarkEnd w:id="310"/>
      <w:bookmarkStart w:id="311" w:name="_Toc184313283"/>
      <w:bookmarkEnd w:id="311"/>
      <w:bookmarkStart w:id="312" w:name="_Toc184310344"/>
      <w:bookmarkEnd w:id="312"/>
      <w:bookmarkStart w:id="313" w:name="_Toc184310343"/>
      <w:bookmarkEnd w:id="313"/>
      <w:bookmarkStart w:id="314" w:name="_Toc184314445"/>
      <w:bookmarkEnd w:id="314"/>
      <w:bookmarkStart w:id="315" w:name="_Toc184314437"/>
      <w:bookmarkEnd w:id="315"/>
      <w:bookmarkStart w:id="316" w:name="_Toc184314461"/>
      <w:bookmarkEnd w:id="316"/>
      <w:bookmarkStart w:id="317" w:name="_Toc184313263"/>
      <w:bookmarkEnd w:id="317"/>
      <w:bookmarkStart w:id="318" w:name="_Toc184313248"/>
      <w:bookmarkEnd w:id="318"/>
      <w:bookmarkStart w:id="319" w:name="_Toc184310325"/>
      <w:bookmarkEnd w:id="319"/>
      <w:bookmarkStart w:id="320" w:name="_Toc184308067"/>
      <w:bookmarkEnd w:id="320"/>
      <w:bookmarkStart w:id="321" w:name="_Toc184308073"/>
      <w:bookmarkEnd w:id="321"/>
      <w:bookmarkStart w:id="322" w:name="_Toc184310289"/>
      <w:bookmarkEnd w:id="322"/>
      <w:bookmarkStart w:id="323" w:name="_Toc184313264"/>
      <w:bookmarkEnd w:id="323"/>
      <w:bookmarkStart w:id="324" w:name="_Toc184308040"/>
      <w:bookmarkEnd w:id="324"/>
      <w:bookmarkStart w:id="325" w:name="_Toc184313268"/>
      <w:bookmarkEnd w:id="325"/>
      <w:bookmarkStart w:id="326" w:name="_Toc184314417"/>
      <w:bookmarkEnd w:id="326"/>
      <w:bookmarkStart w:id="327" w:name="_Toc184312081"/>
      <w:bookmarkEnd w:id="327"/>
      <w:bookmarkStart w:id="328" w:name="_Toc184313293"/>
      <w:bookmarkEnd w:id="328"/>
      <w:bookmarkStart w:id="329" w:name="_Toc184310283"/>
      <w:bookmarkEnd w:id="329"/>
      <w:bookmarkStart w:id="330" w:name="_Toc184308041"/>
      <w:bookmarkEnd w:id="330"/>
      <w:bookmarkStart w:id="331" w:name="_Toc184312075"/>
      <w:bookmarkEnd w:id="331"/>
      <w:bookmarkStart w:id="332" w:name="_Toc184312119"/>
      <w:bookmarkEnd w:id="332"/>
      <w:bookmarkStart w:id="333" w:name="_Toc184308100"/>
      <w:bookmarkEnd w:id="333"/>
      <w:bookmarkStart w:id="334" w:name="_Toc184313273"/>
      <w:bookmarkEnd w:id="334"/>
      <w:bookmarkStart w:id="335" w:name="_Toc184313256"/>
      <w:bookmarkEnd w:id="335"/>
      <w:bookmarkStart w:id="336" w:name="_Toc184313296"/>
      <w:bookmarkEnd w:id="336"/>
      <w:bookmarkStart w:id="337" w:name="_Toc184310284"/>
      <w:bookmarkEnd w:id="337"/>
      <w:bookmarkStart w:id="338" w:name="_Toc184314413"/>
      <w:bookmarkEnd w:id="338"/>
      <w:bookmarkStart w:id="339" w:name="_Toc184312088"/>
      <w:bookmarkEnd w:id="339"/>
      <w:bookmarkStart w:id="340" w:name="_Toc184310312"/>
      <w:bookmarkEnd w:id="340"/>
      <w:bookmarkStart w:id="341" w:name="_Toc184308053"/>
      <w:bookmarkEnd w:id="341"/>
      <w:bookmarkStart w:id="342" w:name="_Toc184312103"/>
      <w:bookmarkEnd w:id="342"/>
      <w:bookmarkStart w:id="343" w:name="_Toc184310273"/>
      <w:bookmarkEnd w:id="343"/>
      <w:bookmarkStart w:id="344" w:name="_Toc184310296"/>
      <w:bookmarkEnd w:id="344"/>
      <w:bookmarkStart w:id="345" w:name="_Toc184313242"/>
      <w:bookmarkEnd w:id="345"/>
      <w:bookmarkStart w:id="346" w:name="_Toc184308083"/>
      <w:bookmarkEnd w:id="346"/>
      <w:bookmarkStart w:id="347" w:name="_Toc184310274"/>
      <w:bookmarkEnd w:id="347"/>
      <w:bookmarkStart w:id="348" w:name="_Toc184313249"/>
      <w:bookmarkEnd w:id="348"/>
      <w:bookmarkStart w:id="349" w:name="_Toc184308047"/>
      <w:bookmarkEnd w:id="349"/>
      <w:bookmarkStart w:id="350" w:name="_Toc184310309"/>
      <w:bookmarkEnd w:id="350"/>
      <w:bookmarkStart w:id="351" w:name="_Toc184314475"/>
      <w:bookmarkEnd w:id="351"/>
      <w:bookmarkStart w:id="352" w:name="_Toc184314471"/>
      <w:bookmarkEnd w:id="352"/>
      <w:bookmarkStart w:id="353" w:name="_Toc184314426"/>
      <w:bookmarkEnd w:id="353"/>
      <w:bookmarkStart w:id="354" w:name="_Toc184310304"/>
      <w:bookmarkEnd w:id="354"/>
      <w:bookmarkStart w:id="355" w:name="_Toc184308094"/>
      <w:bookmarkEnd w:id="355"/>
      <w:bookmarkStart w:id="356" w:name="_Toc184312083"/>
      <w:bookmarkEnd w:id="356"/>
      <w:bookmarkStart w:id="357" w:name="_Toc184308102"/>
      <w:bookmarkEnd w:id="357"/>
      <w:bookmarkStart w:id="358" w:name="_Toc184314458"/>
      <w:bookmarkEnd w:id="358"/>
      <w:bookmarkStart w:id="359" w:name="_Toc184314467"/>
      <w:bookmarkEnd w:id="359"/>
      <w:bookmarkStart w:id="360" w:name="_Toc184312111"/>
      <w:bookmarkEnd w:id="360"/>
      <w:bookmarkStart w:id="361" w:name="_Toc184312128"/>
      <w:bookmarkEnd w:id="361"/>
      <w:bookmarkStart w:id="362" w:name="_Toc184314468"/>
      <w:bookmarkEnd w:id="362"/>
      <w:bookmarkStart w:id="363" w:name="_Toc184312133"/>
      <w:bookmarkEnd w:id="363"/>
      <w:bookmarkStart w:id="364" w:name="_Toc184312071"/>
      <w:bookmarkEnd w:id="364"/>
      <w:bookmarkStart w:id="365" w:name="_Toc184310330"/>
      <w:bookmarkEnd w:id="365"/>
      <w:bookmarkStart w:id="366" w:name="_Toc184310299"/>
      <w:bookmarkEnd w:id="366"/>
      <w:bookmarkStart w:id="367" w:name="_Toc184313243"/>
      <w:bookmarkEnd w:id="367"/>
      <w:bookmarkStart w:id="368" w:name="_Toc184313292"/>
      <w:bookmarkEnd w:id="368"/>
      <w:bookmarkStart w:id="369" w:name="_Toc184313265"/>
      <w:bookmarkEnd w:id="369"/>
      <w:bookmarkStart w:id="370" w:name="_Toc184314430"/>
      <w:bookmarkEnd w:id="370"/>
      <w:bookmarkStart w:id="371" w:name="_Toc184314477"/>
      <w:bookmarkEnd w:id="371"/>
      <w:bookmarkStart w:id="372" w:name="_Toc184308052"/>
      <w:bookmarkEnd w:id="372"/>
      <w:bookmarkStart w:id="373" w:name="_Toc184312070"/>
      <w:bookmarkEnd w:id="373"/>
      <w:bookmarkStart w:id="374" w:name="_Toc184314444"/>
      <w:bookmarkEnd w:id="374"/>
      <w:bookmarkStart w:id="375" w:name="_Toc184310301"/>
      <w:bookmarkEnd w:id="375"/>
      <w:bookmarkStart w:id="376" w:name="_Toc184308096"/>
      <w:bookmarkEnd w:id="376"/>
      <w:bookmarkStart w:id="377" w:name="_Toc184314480"/>
      <w:bookmarkEnd w:id="377"/>
      <w:bookmarkStart w:id="378" w:name="_Toc184314464"/>
      <w:bookmarkEnd w:id="378"/>
      <w:bookmarkStart w:id="379" w:name="_Toc184313297"/>
      <w:bookmarkEnd w:id="379"/>
      <w:bookmarkStart w:id="380" w:name="_Toc184308099"/>
      <w:bookmarkEnd w:id="380"/>
      <w:bookmarkStart w:id="381" w:name="_Toc184312115"/>
      <w:bookmarkEnd w:id="381"/>
      <w:bookmarkStart w:id="382" w:name="_Toc184308071"/>
      <w:bookmarkEnd w:id="382"/>
      <w:bookmarkStart w:id="383" w:name="_Toc184314438"/>
      <w:bookmarkEnd w:id="383"/>
      <w:bookmarkStart w:id="384" w:name="_Toc184313290"/>
      <w:bookmarkEnd w:id="384"/>
      <w:bookmarkStart w:id="385" w:name="_Toc184310292"/>
      <w:bookmarkEnd w:id="385"/>
      <w:bookmarkStart w:id="386" w:name="_Toc184312104"/>
      <w:bookmarkEnd w:id="386"/>
      <w:bookmarkStart w:id="387" w:name="_Toc184313259"/>
      <w:bookmarkEnd w:id="387"/>
      <w:bookmarkStart w:id="388" w:name="_Toc184310293"/>
      <w:bookmarkEnd w:id="388"/>
      <w:bookmarkStart w:id="389" w:name="_Toc184312127"/>
      <w:bookmarkEnd w:id="389"/>
      <w:bookmarkStart w:id="390" w:name="_Toc184310339"/>
      <w:bookmarkEnd w:id="390"/>
      <w:bookmarkStart w:id="391" w:name="_Toc184313299"/>
      <w:bookmarkEnd w:id="391"/>
      <w:bookmarkStart w:id="392" w:name="_Toc184313271"/>
      <w:bookmarkEnd w:id="392"/>
      <w:bookmarkStart w:id="393" w:name="_Toc184310275"/>
      <w:bookmarkEnd w:id="393"/>
      <w:bookmarkStart w:id="394" w:name="_Toc184310272"/>
      <w:bookmarkEnd w:id="394"/>
      <w:bookmarkStart w:id="395" w:name="_Toc184314447"/>
      <w:bookmarkEnd w:id="395"/>
      <w:bookmarkStart w:id="396" w:name="_Toc184308051"/>
      <w:bookmarkEnd w:id="396"/>
      <w:bookmarkStart w:id="397" w:name="_Toc184308057"/>
      <w:bookmarkEnd w:id="397"/>
      <w:bookmarkStart w:id="398" w:name="_Toc184314469"/>
      <w:bookmarkEnd w:id="398"/>
      <w:bookmarkStart w:id="399" w:name="_Toc184310291"/>
      <w:bookmarkEnd w:id="399"/>
      <w:bookmarkStart w:id="400" w:name="_Toc184313255"/>
      <w:bookmarkEnd w:id="400"/>
      <w:bookmarkStart w:id="401" w:name="_Toc184312077"/>
      <w:bookmarkEnd w:id="401"/>
      <w:bookmarkStart w:id="402" w:name="_Toc184312079"/>
      <w:bookmarkEnd w:id="402"/>
      <w:bookmarkStart w:id="403" w:name="_Toc184310326"/>
      <w:bookmarkEnd w:id="403"/>
      <w:bookmarkStart w:id="404" w:name="_Toc184312085"/>
      <w:bookmarkEnd w:id="404"/>
      <w:bookmarkStart w:id="405" w:name="_Toc184314482"/>
      <w:bookmarkEnd w:id="405"/>
      <w:bookmarkStart w:id="406" w:name="_Toc184313251"/>
      <w:bookmarkEnd w:id="406"/>
      <w:bookmarkStart w:id="407" w:name="_Toc184314459"/>
      <w:bookmarkEnd w:id="407"/>
      <w:bookmarkStart w:id="408" w:name="_Toc184314425"/>
      <w:bookmarkEnd w:id="408"/>
      <w:bookmarkStart w:id="409" w:name="_Toc184312112"/>
      <w:bookmarkEnd w:id="409"/>
      <w:bookmarkStart w:id="410" w:name="_Toc184308056"/>
      <w:bookmarkEnd w:id="410"/>
      <w:bookmarkStart w:id="411" w:name="_Toc184310328"/>
      <w:bookmarkEnd w:id="411"/>
      <w:bookmarkStart w:id="412" w:name="_Toc184314432"/>
      <w:bookmarkEnd w:id="412"/>
      <w:bookmarkStart w:id="413" w:name="_Toc184314449"/>
      <w:bookmarkEnd w:id="413"/>
      <w:bookmarkStart w:id="414" w:name="_Toc184308108"/>
      <w:bookmarkEnd w:id="414"/>
      <w:bookmarkStart w:id="415" w:name="_Toc184313300"/>
      <w:bookmarkEnd w:id="415"/>
      <w:bookmarkStart w:id="416" w:name="_Toc184312135"/>
      <w:bookmarkEnd w:id="416"/>
      <w:bookmarkStart w:id="417" w:name="_Toc184313257"/>
      <w:bookmarkEnd w:id="417"/>
      <w:bookmarkStart w:id="418" w:name="_Toc184308068"/>
      <w:bookmarkEnd w:id="418"/>
      <w:bookmarkStart w:id="419" w:name="_Toc184310321"/>
      <w:bookmarkEnd w:id="419"/>
      <w:bookmarkStart w:id="420" w:name="_Toc184313282"/>
      <w:bookmarkEnd w:id="420"/>
      <w:bookmarkStart w:id="421" w:name="_Toc184313310"/>
      <w:bookmarkEnd w:id="421"/>
      <w:bookmarkStart w:id="422" w:name="_Toc184312101"/>
      <w:bookmarkEnd w:id="422"/>
      <w:bookmarkStart w:id="423" w:name="_Toc184312129"/>
      <w:bookmarkEnd w:id="423"/>
      <w:bookmarkStart w:id="424" w:name="_Toc184308091"/>
      <w:bookmarkEnd w:id="424"/>
      <w:bookmarkStart w:id="425" w:name="_Toc184312113"/>
      <w:bookmarkEnd w:id="425"/>
      <w:bookmarkStart w:id="426" w:name="_Toc184314441"/>
      <w:bookmarkEnd w:id="426"/>
      <w:bookmarkStart w:id="427" w:name="_Toc184308085"/>
      <w:bookmarkEnd w:id="427"/>
      <w:r>
        <w:rPr>
          <w:rFonts w:hint="eastAsia" w:ascii="宋体" w:hAnsi="宋体" w:cs="宋体"/>
          <w:b/>
          <w:color w:val="auto"/>
          <w:sz w:val="36"/>
          <w:szCs w:val="20"/>
          <w:highlight w:val="none"/>
        </w:rPr>
        <w:t xml:space="preserve"> 评审办法</w:t>
      </w:r>
      <w:bookmarkEnd w:id="62"/>
    </w:p>
    <w:p w14:paraId="3C6F8726">
      <w:pPr>
        <w:snapToGrid w:val="0"/>
        <w:spacing w:line="360" w:lineRule="auto"/>
        <w:jc w:val="center"/>
        <w:rPr>
          <w:color w:val="auto"/>
          <w:highlight w:val="none"/>
        </w:rPr>
      </w:pPr>
      <w:r>
        <w:rPr>
          <w:rFonts w:hint="eastAsia" w:ascii="宋体" w:hAnsi="宋体" w:cs="宋体"/>
          <w:b/>
          <w:color w:val="auto"/>
          <w:sz w:val="24"/>
          <w:szCs w:val="16"/>
          <w:highlight w:val="none"/>
        </w:rPr>
        <w:t>评审办法前附表</w:t>
      </w:r>
    </w:p>
    <w:tbl>
      <w:tblPr>
        <w:tblStyle w:val="62"/>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55"/>
        <w:gridCol w:w="720"/>
        <w:gridCol w:w="7476"/>
      </w:tblGrid>
      <w:tr w14:paraId="2DA34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52B43315">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pacing w:val="-6"/>
                <w:sz w:val="21"/>
                <w:szCs w:val="21"/>
                <w:highlight w:val="none"/>
              </w:rPr>
            </w:pPr>
            <w:r>
              <w:rPr>
                <w:rFonts w:hint="eastAsia" w:ascii="宋体" w:hAnsi="宋体" w:eastAsia="宋体" w:cs="宋体"/>
                <w:b/>
                <w:color w:val="auto"/>
                <w:spacing w:val="-6"/>
                <w:sz w:val="21"/>
                <w:szCs w:val="21"/>
                <w:highlight w:val="none"/>
              </w:rPr>
              <w:t>评审因素</w:t>
            </w:r>
          </w:p>
        </w:tc>
        <w:tc>
          <w:tcPr>
            <w:tcW w:w="362" w:type="pct"/>
            <w:vAlign w:val="center"/>
          </w:tcPr>
          <w:p w14:paraId="0C1E39AE">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b/>
                <w:color w:val="auto"/>
                <w:spacing w:val="-6"/>
                <w:sz w:val="21"/>
                <w:szCs w:val="21"/>
                <w:highlight w:val="none"/>
              </w:rPr>
            </w:pPr>
            <w:r>
              <w:rPr>
                <w:rFonts w:hint="eastAsia" w:ascii="宋体" w:hAnsi="宋体" w:eastAsia="宋体" w:cs="宋体"/>
                <w:b/>
                <w:color w:val="auto"/>
                <w:spacing w:val="-6"/>
                <w:sz w:val="21"/>
                <w:szCs w:val="21"/>
                <w:highlight w:val="none"/>
              </w:rPr>
              <w:t>分值</w:t>
            </w:r>
          </w:p>
        </w:tc>
        <w:tc>
          <w:tcPr>
            <w:tcW w:w="3755" w:type="pct"/>
            <w:vAlign w:val="center"/>
          </w:tcPr>
          <w:p w14:paraId="45EE75B3">
            <w:pPr>
              <w:pStyle w:val="774"/>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b/>
                <w:color w:val="auto"/>
                <w:spacing w:val="-6"/>
                <w:sz w:val="21"/>
                <w:szCs w:val="21"/>
                <w:highlight w:val="none"/>
              </w:rPr>
            </w:pPr>
            <w:r>
              <w:rPr>
                <w:rFonts w:hint="eastAsia" w:ascii="宋体" w:hAnsi="宋体" w:eastAsia="宋体" w:cs="宋体"/>
                <w:b/>
                <w:color w:val="auto"/>
                <w:spacing w:val="-6"/>
                <w:sz w:val="21"/>
                <w:szCs w:val="21"/>
                <w:highlight w:val="none"/>
              </w:rPr>
              <w:t>评分细则</w:t>
            </w:r>
          </w:p>
        </w:tc>
      </w:tr>
      <w:tr w14:paraId="2BF5B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3"/>
            <w:vAlign w:val="center"/>
          </w:tcPr>
          <w:p w14:paraId="42260534">
            <w:pPr>
              <w:pStyle w:val="774"/>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pacing w:val="-6"/>
                <w:sz w:val="21"/>
                <w:szCs w:val="21"/>
                <w:highlight w:val="none"/>
              </w:rPr>
            </w:pPr>
            <w:r>
              <w:rPr>
                <w:rFonts w:hint="eastAsia" w:ascii="宋体" w:hAnsi="宋体" w:eastAsia="宋体" w:cs="宋体"/>
                <w:b/>
                <w:bCs/>
                <w:color w:val="auto"/>
                <w:spacing w:val="-6"/>
                <w:kern w:val="2"/>
                <w:sz w:val="21"/>
                <w:szCs w:val="21"/>
                <w:highlight w:val="none"/>
              </w:rPr>
              <w:t>价格分（</w:t>
            </w:r>
            <w:r>
              <w:rPr>
                <w:rFonts w:hint="eastAsia" w:ascii="宋体" w:hAnsi="宋体" w:eastAsia="宋体" w:cs="宋体"/>
                <w:b/>
                <w:bCs/>
                <w:color w:val="auto"/>
                <w:spacing w:val="-6"/>
                <w:kern w:val="2"/>
                <w:sz w:val="21"/>
                <w:szCs w:val="21"/>
                <w:highlight w:val="none"/>
                <w:lang w:val="en-US" w:eastAsia="zh-CN"/>
              </w:rPr>
              <w:t>1</w:t>
            </w:r>
            <w:r>
              <w:rPr>
                <w:rFonts w:hint="eastAsia" w:ascii="宋体" w:hAnsi="宋体" w:eastAsia="宋体" w:cs="宋体"/>
                <w:b/>
                <w:bCs/>
                <w:color w:val="auto"/>
                <w:spacing w:val="-6"/>
                <w:kern w:val="2"/>
                <w:sz w:val="21"/>
                <w:szCs w:val="21"/>
                <w:highlight w:val="none"/>
              </w:rPr>
              <w:t>0分）</w:t>
            </w:r>
          </w:p>
        </w:tc>
      </w:tr>
      <w:tr w14:paraId="380CB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tcBorders>
              <w:top w:val="single" w:color="auto" w:sz="4" w:space="0"/>
              <w:left w:val="single" w:color="auto" w:sz="4" w:space="0"/>
              <w:bottom w:val="single" w:color="auto" w:sz="4" w:space="0"/>
              <w:right w:val="single" w:color="auto" w:sz="4" w:space="0"/>
            </w:tcBorders>
            <w:vAlign w:val="center"/>
          </w:tcPr>
          <w:p w14:paraId="5C7CF366">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磋商响应报价</w:t>
            </w:r>
          </w:p>
        </w:tc>
        <w:tc>
          <w:tcPr>
            <w:tcW w:w="362" w:type="pct"/>
            <w:tcBorders>
              <w:top w:val="single" w:color="auto" w:sz="4" w:space="0"/>
              <w:left w:val="single" w:color="auto" w:sz="4" w:space="0"/>
              <w:bottom w:val="single" w:color="auto" w:sz="4" w:space="0"/>
              <w:right w:val="single" w:color="auto" w:sz="4" w:space="0"/>
            </w:tcBorders>
            <w:vAlign w:val="center"/>
          </w:tcPr>
          <w:p w14:paraId="2F4692E0">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lang w:val="en-US" w:eastAsia="zh-CN"/>
              </w:rPr>
              <w:t>1</w:t>
            </w:r>
            <w:r>
              <w:rPr>
                <w:rFonts w:hint="eastAsia" w:ascii="宋体" w:hAnsi="宋体" w:eastAsia="宋体" w:cs="宋体"/>
                <w:color w:val="auto"/>
                <w:spacing w:val="-6"/>
                <w:sz w:val="21"/>
                <w:szCs w:val="21"/>
                <w:highlight w:val="none"/>
              </w:rPr>
              <w:t>0</w:t>
            </w:r>
          </w:p>
        </w:tc>
        <w:tc>
          <w:tcPr>
            <w:tcW w:w="3755" w:type="pct"/>
            <w:tcBorders>
              <w:top w:val="single" w:color="auto" w:sz="4" w:space="0"/>
              <w:left w:val="single" w:color="auto" w:sz="4" w:space="0"/>
              <w:bottom w:val="single" w:color="auto" w:sz="4" w:space="0"/>
              <w:right w:val="single" w:color="auto" w:sz="4" w:space="0"/>
            </w:tcBorders>
            <w:vAlign w:val="center"/>
          </w:tcPr>
          <w:p w14:paraId="0FDC0638">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价格分计算，满足磋商文件要求且投标费率最低的最终磋商响应报价为评标基准价，磋商响应供应商的价格分按照下列公式计算：</w:t>
            </w:r>
          </w:p>
          <w:p w14:paraId="084F36CC">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价格分=（评标基准价/最终磋商响应报价）×</w:t>
            </w:r>
            <w:r>
              <w:rPr>
                <w:rFonts w:hint="eastAsia" w:ascii="宋体" w:hAnsi="宋体" w:eastAsia="宋体" w:cs="宋体"/>
                <w:color w:val="auto"/>
                <w:spacing w:val="-6"/>
                <w:sz w:val="21"/>
                <w:szCs w:val="21"/>
                <w:highlight w:val="none"/>
                <w:lang w:val="en-US" w:eastAsia="zh-CN"/>
              </w:rPr>
              <w:t>1</w:t>
            </w:r>
            <w:r>
              <w:rPr>
                <w:rFonts w:hint="eastAsia" w:ascii="宋体" w:hAnsi="宋体" w:eastAsia="宋体" w:cs="宋体"/>
                <w:color w:val="auto"/>
                <w:spacing w:val="-6"/>
                <w:sz w:val="21"/>
                <w:szCs w:val="21"/>
                <w:highlight w:val="none"/>
              </w:rPr>
              <w:t>0%×100</w:t>
            </w:r>
          </w:p>
          <w:p w14:paraId="2F4BCCA4">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注：磋商响应供应商的最终磋商响应报价超过预算金额或最高限价（不含本数）的为无效报价。</w:t>
            </w:r>
          </w:p>
        </w:tc>
      </w:tr>
      <w:tr w14:paraId="2F608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3"/>
            <w:vAlign w:val="center"/>
          </w:tcPr>
          <w:p w14:paraId="54CEC369">
            <w:pPr>
              <w:pStyle w:val="774"/>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b/>
                <w:color w:val="auto"/>
                <w:spacing w:val="-6"/>
                <w:sz w:val="21"/>
                <w:szCs w:val="21"/>
                <w:highlight w:val="none"/>
              </w:rPr>
            </w:pPr>
            <w:r>
              <w:rPr>
                <w:rFonts w:hint="eastAsia" w:ascii="宋体" w:hAnsi="宋体" w:eastAsia="宋体" w:cs="宋体"/>
                <w:b/>
                <w:color w:val="auto"/>
                <w:spacing w:val="-6"/>
                <w:sz w:val="21"/>
                <w:szCs w:val="21"/>
                <w:highlight w:val="none"/>
              </w:rPr>
              <w:t>商务分（</w:t>
            </w:r>
            <w:r>
              <w:rPr>
                <w:rFonts w:hint="eastAsia" w:ascii="宋体" w:hAnsi="宋体" w:eastAsia="宋体" w:cs="宋体"/>
                <w:b/>
                <w:color w:val="auto"/>
                <w:spacing w:val="-6"/>
                <w:sz w:val="21"/>
                <w:szCs w:val="21"/>
                <w:highlight w:val="none"/>
                <w:lang w:val="en-US" w:eastAsia="zh-CN"/>
              </w:rPr>
              <w:t>5</w:t>
            </w:r>
            <w:r>
              <w:rPr>
                <w:rFonts w:hint="eastAsia" w:ascii="宋体" w:hAnsi="宋体" w:eastAsia="宋体" w:cs="宋体"/>
                <w:b/>
                <w:color w:val="auto"/>
                <w:spacing w:val="-6"/>
                <w:sz w:val="21"/>
                <w:szCs w:val="21"/>
                <w:highlight w:val="none"/>
              </w:rPr>
              <w:t>分）</w:t>
            </w:r>
          </w:p>
        </w:tc>
      </w:tr>
      <w:tr w14:paraId="3DD47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76F16EC1">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体系认证</w:t>
            </w:r>
          </w:p>
        </w:tc>
        <w:tc>
          <w:tcPr>
            <w:tcW w:w="362" w:type="pct"/>
            <w:vAlign w:val="center"/>
          </w:tcPr>
          <w:p w14:paraId="1BE6AEC5">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3</w:t>
            </w:r>
          </w:p>
        </w:tc>
        <w:tc>
          <w:tcPr>
            <w:tcW w:w="3755" w:type="pct"/>
            <w:vAlign w:val="center"/>
          </w:tcPr>
          <w:p w14:paraId="2FF2754B">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客观分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磋商响应供应商具有有效期内的质量管理体系认证证书、环境管理体系认证证书、职业健康安全体系管理体系认证证书</w:t>
            </w:r>
            <w:r>
              <w:rPr>
                <w:rFonts w:hint="eastAsia" w:ascii="宋体" w:hAnsi="宋体" w:eastAsia="宋体" w:cs="宋体"/>
                <w:color w:val="auto"/>
                <w:spacing w:val="-6"/>
                <w:sz w:val="21"/>
                <w:szCs w:val="21"/>
                <w:highlight w:val="none"/>
              </w:rPr>
              <w:t>；，每提供一份有效证明材料得1分，最多得3分。</w:t>
            </w:r>
          </w:p>
        </w:tc>
      </w:tr>
      <w:tr w14:paraId="0057D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7D47D41C">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spacing w:val="-6"/>
                <w:sz w:val="21"/>
                <w:szCs w:val="21"/>
                <w:highlight w:val="none"/>
              </w:rPr>
              <w:t>业绩</w:t>
            </w:r>
          </w:p>
        </w:tc>
        <w:tc>
          <w:tcPr>
            <w:tcW w:w="362" w:type="pct"/>
            <w:vAlign w:val="center"/>
          </w:tcPr>
          <w:p w14:paraId="689DA8F7">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lang w:eastAsia="zh-CN"/>
              </w:rPr>
            </w:pPr>
            <w:r>
              <w:rPr>
                <w:rFonts w:hint="eastAsia" w:ascii="宋体" w:hAnsi="宋体" w:eastAsia="宋体" w:cs="宋体"/>
                <w:color w:val="auto"/>
                <w:spacing w:val="-6"/>
                <w:sz w:val="21"/>
                <w:szCs w:val="21"/>
                <w:highlight w:val="none"/>
                <w:lang w:val="en-US" w:eastAsia="zh-CN"/>
              </w:rPr>
              <w:t>2</w:t>
            </w:r>
          </w:p>
        </w:tc>
        <w:tc>
          <w:tcPr>
            <w:tcW w:w="3755" w:type="pct"/>
            <w:vAlign w:val="center"/>
          </w:tcPr>
          <w:p w14:paraId="3ACF6BDD">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客观分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sz w:val="21"/>
                <w:szCs w:val="21"/>
                <w:highlight w:val="none"/>
              </w:rPr>
              <w:t>磋商响应供应商自20</w:t>
            </w: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年1月份以来类似</w:t>
            </w:r>
            <w:r>
              <w:rPr>
                <w:rFonts w:hint="eastAsia" w:ascii="宋体" w:hAnsi="宋体" w:eastAsia="宋体" w:cs="宋体"/>
                <w:color w:val="auto"/>
                <w:sz w:val="21"/>
                <w:szCs w:val="21"/>
                <w:highlight w:val="none"/>
                <w:lang w:val="en-US" w:eastAsia="zh-CN"/>
              </w:rPr>
              <w:t>监理</w:t>
            </w:r>
            <w:r>
              <w:rPr>
                <w:rFonts w:hint="eastAsia" w:ascii="宋体" w:hAnsi="宋体" w:eastAsia="宋体" w:cs="宋体"/>
                <w:color w:val="auto"/>
                <w:sz w:val="21"/>
                <w:szCs w:val="21"/>
                <w:highlight w:val="none"/>
              </w:rPr>
              <w:t>项目业绩，每个有效业绩得</w:t>
            </w:r>
            <w:r>
              <w:rPr>
                <w:rFonts w:hint="eastAsia" w:ascii="宋体" w:hAnsi="宋体" w:eastAsia="宋体" w:cs="宋体"/>
                <w:color w:val="auto"/>
                <w:sz w:val="21"/>
                <w:szCs w:val="21"/>
                <w:highlight w:val="none"/>
                <w:lang w:val="en-US" w:eastAsia="zh-CN"/>
              </w:rPr>
              <w:t>0.4</w:t>
            </w:r>
            <w:r>
              <w:rPr>
                <w:rFonts w:hint="eastAsia" w:ascii="宋体" w:hAnsi="宋体" w:eastAsia="宋体" w:cs="宋体"/>
                <w:color w:val="auto"/>
                <w:sz w:val="21"/>
                <w:szCs w:val="21"/>
                <w:highlight w:val="none"/>
              </w:rPr>
              <w:t>分，最高得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分；（以合同签订时间为准，需提供合同复印件并加盖公章）</w:t>
            </w:r>
          </w:p>
        </w:tc>
      </w:tr>
      <w:tr w14:paraId="6B444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3"/>
            <w:vAlign w:val="center"/>
          </w:tcPr>
          <w:p w14:paraId="5E791902">
            <w:pPr>
              <w:pStyle w:val="25"/>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rPr>
            </w:pPr>
            <w:r>
              <w:rPr>
                <w:rFonts w:hint="eastAsia" w:ascii="宋体" w:hAnsi="宋体" w:eastAsia="宋体" w:cs="宋体"/>
                <w:b/>
                <w:color w:val="auto"/>
                <w:spacing w:val="-6"/>
                <w:sz w:val="21"/>
                <w:szCs w:val="21"/>
                <w:highlight w:val="none"/>
              </w:rPr>
              <w:t>技术分（</w:t>
            </w:r>
            <w:r>
              <w:rPr>
                <w:rFonts w:hint="eastAsia" w:ascii="宋体" w:hAnsi="宋体" w:eastAsia="宋体" w:cs="宋体"/>
                <w:b/>
                <w:color w:val="auto"/>
                <w:spacing w:val="-6"/>
                <w:sz w:val="21"/>
                <w:szCs w:val="21"/>
                <w:highlight w:val="none"/>
                <w:lang w:val="en-US" w:eastAsia="zh-CN"/>
              </w:rPr>
              <w:t>85</w:t>
            </w:r>
            <w:r>
              <w:rPr>
                <w:rFonts w:hint="eastAsia" w:ascii="宋体" w:hAnsi="宋体" w:eastAsia="宋体" w:cs="宋体"/>
                <w:b/>
                <w:color w:val="auto"/>
                <w:spacing w:val="-6"/>
                <w:sz w:val="21"/>
                <w:szCs w:val="21"/>
                <w:highlight w:val="none"/>
              </w:rPr>
              <w:t>分）</w:t>
            </w:r>
          </w:p>
        </w:tc>
      </w:tr>
      <w:tr w14:paraId="0F0D4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3D4291EE">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监理大纲内容编写情况</w:t>
            </w:r>
          </w:p>
        </w:tc>
        <w:tc>
          <w:tcPr>
            <w:tcW w:w="362" w:type="pct"/>
            <w:vAlign w:val="center"/>
          </w:tcPr>
          <w:p w14:paraId="2A63A71E">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3755" w:type="pct"/>
            <w:vAlign w:val="center"/>
          </w:tcPr>
          <w:p w14:paraId="044948EB">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主观分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监理大纲内容的针对性、完整性、可行性，供应商提供的监理大纲内容完整且详细、可操作性强、能很好的完成本项目（评分范围5,</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,3,2,1,0）</w:t>
            </w:r>
          </w:p>
        </w:tc>
      </w:tr>
      <w:tr w14:paraId="017E9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555D5F26">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项目监理部机构设置及人员配置情况</w:t>
            </w:r>
          </w:p>
        </w:tc>
        <w:tc>
          <w:tcPr>
            <w:tcW w:w="362" w:type="pct"/>
            <w:vAlign w:val="center"/>
          </w:tcPr>
          <w:p w14:paraId="4A3EA4A1">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default" w:ascii="宋体" w:hAnsi="宋体" w:eastAsia="宋体" w:cs="宋体"/>
                <w:color w:val="auto"/>
                <w:spacing w:val="-6"/>
                <w:sz w:val="21"/>
                <w:szCs w:val="21"/>
                <w:highlight w:val="none"/>
                <w:lang w:val="en-US" w:eastAsia="zh-CN"/>
              </w:rPr>
            </w:pPr>
            <w:r>
              <w:rPr>
                <w:rFonts w:hint="eastAsia" w:ascii="宋体" w:hAnsi="宋体" w:eastAsia="宋体" w:cs="宋体"/>
                <w:color w:val="auto"/>
                <w:sz w:val="21"/>
                <w:szCs w:val="21"/>
                <w:highlight w:val="none"/>
                <w:lang w:val="en-US" w:eastAsia="zh-CN"/>
              </w:rPr>
              <w:t>12</w:t>
            </w:r>
          </w:p>
        </w:tc>
        <w:tc>
          <w:tcPr>
            <w:tcW w:w="3755" w:type="pct"/>
            <w:vAlign w:val="center"/>
          </w:tcPr>
          <w:p w14:paraId="40BFD007">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主观分</w:t>
            </w:r>
            <w:r>
              <w:rPr>
                <w:rFonts w:hint="eastAsia" w:ascii="宋体" w:hAnsi="宋体" w:eastAsia="宋体" w:cs="宋体"/>
                <w:color w:val="auto"/>
                <w:sz w:val="21"/>
                <w:szCs w:val="21"/>
                <w:highlight w:val="none"/>
                <w:lang w:eastAsia="zh-CN"/>
              </w:rPr>
              <w:t>】</w:t>
            </w:r>
          </w:p>
          <w:p w14:paraId="1FE48F2F">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监理项目部组织结构；项目部组织结构合理、可行（评分范围3,2,1,0）；</w:t>
            </w:r>
          </w:p>
          <w:p w14:paraId="37FFFD0A">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机构设置是否合理可行（评分范围3,2,1,0）；</w:t>
            </w:r>
          </w:p>
          <w:p w14:paraId="175F8785">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专业人员配备是否齐全、符合项目采购需求（评分范围3,2,1,0）</w:t>
            </w:r>
          </w:p>
          <w:p w14:paraId="7B11435D">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监理力量（经验）的投入满足工程需要、监理力量（经验）充足、能充分满足工程监理需求（评分范围3,2,1,0）。</w:t>
            </w:r>
          </w:p>
        </w:tc>
      </w:tr>
      <w:tr w14:paraId="1A3AA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13BBE320">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检测仪器和工具的配备情况</w:t>
            </w:r>
          </w:p>
        </w:tc>
        <w:tc>
          <w:tcPr>
            <w:tcW w:w="362" w:type="pct"/>
            <w:vAlign w:val="center"/>
          </w:tcPr>
          <w:p w14:paraId="49FBF548">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3755" w:type="pct"/>
            <w:vAlign w:val="center"/>
          </w:tcPr>
          <w:p w14:paraId="36A1D1E6">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主观分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 xml:space="preserve">检测仪器和工具配备是否适、满足工程需要，供应商提供的设备仪器配置完整且详细、可操作性强、能很好的完成本项目的（评分范围5,4,3,2,1,0） </w:t>
            </w:r>
          </w:p>
        </w:tc>
      </w:tr>
      <w:tr w14:paraId="3F4CC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1E12F087">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监理日常各项工作制度、监理人员工作纪律</w:t>
            </w:r>
          </w:p>
        </w:tc>
        <w:tc>
          <w:tcPr>
            <w:tcW w:w="362" w:type="pct"/>
            <w:vAlign w:val="center"/>
          </w:tcPr>
          <w:p w14:paraId="2ECA514E">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3755" w:type="pct"/>
            <w:vAlign w:val="center"/>
          </w:tcPr>
          <w:p w14:paraId="6F04E215">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主观分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制度、纪律是否合法、规范、完整、合理，供应商提供的日常制度、纪律完整且详细、可操作性强（评分范围5,4,3,2,1,0）</w:t>
            </w:r>
          </w:p>
        </w:tc>
      </w:tr>
      <w:tr w14:paraId="7BA78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04036042">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施工各阶段监理工作程序</w:t>
            </w:r>
          </w:p>
        </w:tc>
        <w:tc>
          <w:tcPr>
            <w:tcW w:w="362" w:type="pct"/>
            <w:vAlign w:val="center"/>
          </w:tcPr>
          <w:p w14:paraId="4C0A4DFA">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5</w:t>
            </w:r>
          </w:p>
        </w:tc>
        <w:tc>
          <w:tcPr>
            <w:tcW w:w="3755" w:type="pct"/>
            <w:vAlign w:val="center"/>
          </w:tcPr>
          <w:p w14:paraId="52A1A010">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主观分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流程是否合法、规范、完整、合理，供应商提供的施工工作流程完整且详细、可操作性强、能很好的完成本项目（评分范围5,4,3,2,1,0）</w:t>
            </w:r>
          </w:p>
        </w:tc>
      </w:tr>
      <w:tr w14:paraId="0FAEA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6557EE60">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质量控制手段和措施</w:t>
            </w:r>
          </w:p>
        </w:tc>
        <w:tc>
          <w:tcPr>
            <w:tcW w:w="362" w:type="pct"/>
            <w:vAlign w:val="center"/>
          </w:tcPr>
          <w:p w14:paraId="6CEAB66A">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8</w:t>
            </w:r>
          </w:p>
        </w:tc>
        <w:tc>
          <w:tcPr>
            <w:tcW w:w="3755" w:type="pct"/>
            <w:vAlign w:val="center"/>
          </w:tcPr>
          <w:p w14:paraId="0CECF47A">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主观分</w:t>
            </w:r>
            <w:r>
              <w:rPr>
                <w:rFonts w:hint="eastAsia" w:ascii="宋体" w:hAnsi="宋体" w:eastAsia="宋体" w:cs="宋体"/>
                <w:color w:val="auto"/>
                <w:sz w:val="21"/>
                <w:szCs w:val="21"/>
                <w:highlight w:val="none"/>
                <w:lang w:eastAsia="zh-CN"/>
              </w:rPr>
              <w:t>】</w:t>
            </w:r>
          </w:p>
          <w:p w14:paraId="7C61283E">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质量控制目标是否清晰，控制手段和措施是否科学、可靠；（评分范围4,3,2,1,0）</w:t>
            </w:r>
          </w:p>
          <w:p w14:paraId="42FA401A">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见证取样送检、关键部位的旁站监理方案是否合理、可行、可操作性强。（评分范围4,3,2,1,0）</w:t>
            </w:r>
          </w:p>
        </w:tc>
      </w:tr>
      <w:tr w14:paraId="18091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159FBD21">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进度控制手段和措施</w:t>
            </w:r>
          </w:p>
        </w:tc>
        <w:tc>
          <w:tcPr>
            <w:tcW w:w="362" w:type="pct"/>
            <w:vAlign w:val="center"/>
          </w:tcPr>
          <w:p w14:paraId="1620BC73">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5</w:t>
            </w:r>
          </w:p>
        </w:tc>
        <w:tc>
          <w:tcPr>
            <w:tcW w:w="3755" w:type="pct"/>
            <w:vAlign w:val="center"/>
          </w:tcPr>
          <w:p w14:paraId="111B0EE1">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主观分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进度控制目标是否清晰，控制手段和措施是否科学、合理。供应商提供的进度控制目标完整且详细、可操作性强、能很好的完成本项目的（评分范围5,4,3,2,1,0）</w:t>
            </w:r>
          </w:p>
        </w:tc>
      </w:tr>
      <w:tr w14:paraId="7CACB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552B8E47">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投资控制手段和措施</w:t>
            </w:r>
          </w:p>
        </w:tc>
        <w:tc>
          <w:tcPr>
            <w:tcW w:w="362" w:type="pct"/>
            <w:vAlign w:val="center"/>
          </w:tcPr>
          <w:p w14:paraId="61125F3B">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5</w:t>
            </w:r>
          </w:p>
        </w:tc>
        <w:tc>
          <w:tcPr>
            <w:tcW w:w="3755" w:type="pct"/>
            <w:vAlign w:val="center"/>
          </w:tcPr>
          <w:p w14:paraId="2ED53BCD">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主观分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投资控制目标是否清晰，控制手段和措施是否科学、合理。供应商提供的投资控制手段、措施完整且详细、可操作性强、能很好的完成本项目（评分范围5,4,3,2,1,0）</w:t>
            </w:r>
          </w:p>
        </w:tc>
      </w:tr>
      <w:tr w14:paraId="086D6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09357782">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安全、文明控制手段和措施</w:t>
            </w:r>
          </w:p>
        </w:tc>
        <w:tc>
          <w:tcPr>
            <w:tcW w:w="362" w:type="pct"/>
            <w:vAlign w:val="center"/>
          </w:tcPr>
          <w:p w14:paraId="3358C76F">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5</w:t>
            </w:r>
          </w:p>
        </w:tc>
        <w:tc>
          <w:tcPr>
            <w:tcW w:w="3755" w:type="pct"/>
            <w:vAlign w:val="center"/>
          </w:tcPr>
          <w:p w14:paraId="7FD6597A">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主观分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安全、文明控制目标是否清晰，控制手段和措施是否科学、可靠；供应商提供的安全文明控制手段、措施完整且详细、可操作性强、能很好的完成本项目（评分范围5,4,3,2,1,0）</w:t>
            </w:r>
          </w:p>
        </w:tc>
      </w:tr>
      <w:tr w14:paraId="7B9CA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0286A1C9">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信息、合同管理措施</w:t>
            </w:r>
          </w:p>
        </w:tc>
        <w:tc>
          <w:tcPr>
            <w:tcW w:w="362" w:type="pct"/>
            <w:vAlign w:val="center"/>
          </w:tcPr>
          <w:p w14:paraId="731E6E75">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5</w:t>
            </w:r>
          </w:p>
        </w:tc>
        <w:tc>
          <w:tcPr>
            <w:tcW w:w="3755" w:type="pct"/>
            <w:vAlign w:val="center"/>
          </w:tcPr>
          <w:p w14:paraId="44ADA8C2">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主观分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工程日常和竣工信息资料管理及设计变更、索赔、争议等合同管理措施是否合理、可行。供应商提供的信息、合同管理措施完整且详细、可操作性强、能很好的完成本项目（评分范围5,4,3,2,1,0）</w:t>
            </w:r>
          </w:p>
        </w:tc>
      </w:tr>
      <w:tr w14:paraId="3D948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7552C047">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组织协调的目的和方法</w:t>
            </w:r>
          </w:p>
        </w:tc>
        <w:tc>
          <w:tcPr>
            <w:tcW w:w="362" w:type="pct"/>
            <w:vAlign w:val="center"/>
          </w:tcPr>
          <w:p w14:paraId="21937A5B">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5</w:t>
            </w:r>
          </w:p>
        </w:tc>
        <w:tc>
          <w:tcPr>
            <w:tcW w:w="3755" w:type="pct"/>
            <w:vAlign w:val="center"/>
          </w:tcPr>
          <w:p w14:paraId="17DEC5AB">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主观分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组织协调目的是否明确，方法是否得当、可行。供应商提供的组织协调的目的和方法完整且详细、可操作性强、能很好的完成本项目（评分范围5,4,3,2,1,0）</w:t>
            </w:r>
          </w:p>
        </w:tc>
      </w:tr>
      <w:tr w14:paraId="50A94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2E552FC4">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工程施工的重、难点和施工关键部位的阐明以及针对性的监理措施和方法</w:t>
            </w:r>
          </w:p>
        </w:tc>
        <w:tc>
          <w:tcPr>
            <w:tcW w:w="362" w:type="pct"/>
            <w:vAlign w:val="center"/>
          </w:tcPr>
          <w:p w14:paraId="5C62000E">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lang w:val="en-US" w:eastAsia="zh-CN"/>
              </w:rPr>
              <w:t>10</w:t>
            </w:r>
          </w:p>
        </w:tc>
        <w:tc>
          <w:tcPr>
            <w:tcW w:w="3755" w:type="pct"/>
            <w:vAlign w:val="center"/>
          </w:tcPr>
          <w:p w14:paraId="17A749E6">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主观分</w:t>
            </w:r>
            <w:r>
              <w:rPr>
                <w:rFonts w:hint="eastAsia" w:ascii="宋体" w:hAnsi="宋体" w:eastAsia="宋体" w:cs="宋体"/>
                <w:color w:val="auto"/>
                <w:sz w:val="21"/>
                <w:szCs w:val="21"/>
                <w:highlight w:val="none"/>
                <w:lang w:eastAsia="zh-CN"/>
              </w:rPr>
              <w:t>】</w:t>
            </w:r>
          </w:p>
          <w:p w14:paraId="29E73194">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针对本工程的特点分析以及本工程重难点,提供的技术方案应完整且详细、可操作性强、能很好的完成本项目（评分范围5,4,3,2,1,0）；</w:t>
            </w:r>
          </w:p>
          <w:p w14:paraId="52C20AD9">
            <w:pPr>
              <w:pStyle w:val="33"/>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供应商提供的分析准确完整且详细、可操作性强、能很好的完成本项目（评分范围5,4,3,2,1,0）</w:t>
            </w:r>
          </w:p>
        </w:tc>
      </w:tr>
      <w:tr w14:paraId="7A377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shd w:val="clear" w:color="auto" w:fill="auto"/>
            <w:vAlign w:val="center"/>
          </w:tcPr>
          <w:p w14:paraId="59578482">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特色</w:t>
            </w:r>
            <w:r>
              <w:rPr>
                <w:rFonts w:hint="eastAsia" w:ascii="宋体" w:hAnsi="宋体" w:eastAsia="宋体" w:cs="宋体"/>
                <w:color w:val="auto"/>
                <w:sz w:val="21"/>
                <w:szCs w:val="21"/>
                <w:highlight w:val="none"/>
              </w:rPr>
              <w:t>服务</w:t>
            </w:r>
          </w:p>
        </w:tc>
        <w:tc>
          <w:tcPr>
            <w:tcW w:w="362" w:type="pct"/>
            <w:shd w:val="clear" w:color="auto" w:fill="auto"/>
            <w:vAlign w:val="center"/>
          </w:tcPr>
          <w:p w14:paraId="52FC4784">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kern w:val="2"/>
                <w:sz w:val="21"/>
                <w:szCs w:val="21"/>
                <w:highlight w:val="none"/>
                <w:lang w:val="en-US" w:eastAsia="zh-CN" w:bidi="ar-SA"/>
              </w:rPr>
            </w:pPr>
            <w:r>
              <w:rPr>
                <w:rFonts w:hint="eastAsia" w:ascii="宋体" w:hAnsi="宋体" w:eastAsia="宋体" w:cs="宋体"/>
                <w:color w:val="auto"/>
                <w:spacing w:val="-6"/>
                <w:sz w:val="21"/>
                <w:szCs w:val="21"/>
                <w:highlight w:val="none"/>
              </w:rPr>
              <w:t>5</w:t>
            </w:r>
          </w:p>
        </w:tc>
        <w:tc>
          <w:tcPr>
            <w:tcW w:w="3755" w:type="pct"/>
            <w:shd w:val="clear" w:color="auto" w:fill="auto"/>
            <w:vAlign w:val="center"/>
          </w:tcPr>
          <w:p w14:paraId="3C3BBC41">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主观分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根据企业服务能力、服务水平及服务经验，结合该项目实际情况和特点，提供服务特色方案。要求具有合理性、可操作性、针对性、逻辑性。</w:t>
            </w:r>
            <w:r>
              <w:rPr>
                <w:rFonts w:hint="eastAsia" w:ascii="宋体" w:hAnsi="宋体" w:eastAsia="宋体" w:cs="宋体"/>
                <w:color w:val="auto"/>
                <w:sz w:val="21"/>
                <w:szCs w:val="21"/>
                <w:highlight w:val="none"/>
              </w:rPr>
              <w:t>（评分范围5,4,3,2,1,0）</w:t>
            </w:r>
          </w:p>
        </w:tc>
      </w:tr>
      <w:tr w14:paraId="2090D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82" w:type="pct"/>
            <w:vAlign w:val="center"/>
          </w:tcPr>
          <w:p w14:paraId="34511DEC">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理解及合理化建议</w:t>
            </w:r>
          </w:p>
        </w:tc>
        <w:tc>
          <w:tcPr>
            <w:tcW w:w="362" w:type="pct"/>
            <w:vAlign w:val="center"/>
          </w:tcPr>
          <w:p w14:paraId="3DB0CCD1">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5</w:t>
            </w:r>
          </w:p>
        </w:tc>
        <w:tc>
          <w:tcPr>
            <w:tcW w:w="3755" w:type="pct"/>
            <w:vAlign w:val="center"/>
          </w:tcPr>
          <w:p w14:paraId="12F88BFE">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主观分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根据磋商响应供应商针对本项目的理解，结合自身专业优势，提出的合理化的建议。</w:t>
            </w:r>
            <w:r>
              <w:rPr>
                <w:rFonts w:hint="eastAsia" w:ascii="宋体" w:hAnsi="宋体" w:eastAsia="宋体" w:cs="宋体"/>
                <w:color w:val="auto"/>
                <w:sz w:val="21"/>
                <w:szCs w:val="21"/>
                <w:highlight w:val="none"/>
              </w:rPr>
              <w:t>（评分范围5,4,3,2,1,0）</w:t>
            </w:r>
          </w:p>
        </w:tc>
      </w:tr>
    </w:tbl>
    <w:p w14:paraId="694278C6">
      <w:pPr>
        <w:snapToGrid w:val="0"/>
        <w:spacing w:line="360" w:lineRule="auto"/>
        <w:rPr>
          <w:rFonts w:ascii="宋体" w:hAnsi="宋体" w:cs="宋体"/>
          <w:color w:val="auto"/>
          <w:sz w:val="20"/>
          <w:szCs w:val="20"/>
          <w:highlight w:val="none"/>
          <w:shd w:val="clear" w:color="auto" w:fill="FFFFFF"/>
        </w:rPr>
      </w:pPr>
    </w:p>
    <w:p w14:paraId="14A30E70">
      <w:pPr>
        <w:pStyle w:val="3"/>
        <w:outlineLvl w:val="9"/>
        <w:rPr>
          <w:rFonts w:ascii="宋体" w:hAnsi="宋体" w:cs="宋体"/>
          <w:color w:val="auto"/>
          <w:highlight w:val="none"/>
          <w:lang w:val="en-US"/>
        </w:rPr>
        <w:sectPr>
          <w:pgSz w:w="11907" w:h="16840"/>
          <w:pgMar w:top="1440" w:right="1080" w:bottom="1440" w:left="1080" w:header="851" w:footer="851" w:gutter="0"/>
          <w:cols w:space="720" w:num="1"/>
        </w:sectPr>
      </w:pPr>
    </w:p>
    <w:bookmarkEnd w:id="33"/>
    <w:p w14:paraId="004662EE">
      <w:pPr>
        <w:spacing w:line="360" w:lineRule="auto"/>
        <w:jc w:val="center"/>
        <w:outlineLvl w:val="0"/>
        <w:rPr>
          <w:rFonts w:ascii="宋体" w:hAnsi="宋体" w:cs="宋体"/>
          <w:b/>
          <w:color w:val="auto"/>
          <w:sz w:val="36"/>
          <w:szCs w:val="36"/>
          <w:highlight w:val="none"/>
        </w:rPr>
      </w:pPr>
      <w:bookmarkStart w:id="428" w:name="_Toc10403"/>
      <w:bookmarkStart w:id="429" w:name="_Toc86217003"/>
      <w:bookmarkStart w:id="430" w:name="第五部分"/>
      <w:r>
        <w:rPr>
          <w:rFonts w:hint="eastAsia" w:ascii="宋体" w:hAnsi="宋体" w:cs="宋体"/>
          <w:b/>
          <w:color w:val="auto"/>
          <w:sz w:val="36"/>
          <w:szCs w:val="36"/>
          <w:highlight w:val="none"/>
        </w:rPr>
        <w:t>第五部分 拟签订的合同文本</w:t>
      </w:r>
      <w:bookmarkEnd w:id="428"/>
    </w:p>
    <w:p w14:paraId="30DEA291">
      <w:pPr>
        <w:spacing w:line="348" w:lineRule="auto"/>
        <w:jc w:val="center"/>
        <w:rPr>
          <w:b/>
          <w:bCs/>
          <w:color w:val="auto"/>
          <w:spacing w:val="-6"/>
          <w:highlight w:val="none"/>
        </w:rPr>
      </w:pPr>
      <w:r>
        <w:rPr>
          <w:rFonts w:hint="eastAsia"/>
          <w:color w:val="auto"/>
          <w:spacing w:val="-6"/>
          <w:sz w:val="21"/>
          <w:szCs w:val="21"/>
          <w:highlight w:val="none"/>
        </w:rPr>
        <w:t>（本合同为合同样稿，最终稿由双方协商后确定，合同实质性内容不得更改；签订合同时删除此行）</w:t>
      </w:r>
    </w:p>
    <w:p w14:paraId="64373214">
      <w:pPr>
        <w:tabs>
          <w:tab w:val="left" w:pos="3120"/>
        </w:tabs>
        <w:spacing w:line="540" w:lineRule="exact"/>
        <w:jc w:val="center"/>
        <w:rPr>
          <w:rFonts w:ascii="宋体" w:hAnsi="宋体"/>
          <w:b/>
          <w:bCs/>
          <w:color w:val="auto"/>
          <w:sz w:val="28"/>
          <w:szCs w:val="28"/>
          <w:highlight w:val="none"/>
        </w:rPr>
      </w:pPr>
      <w:r>
        <w:rPr>
          <w:rFonts w:hint="eastAsia" w:ascii="宋体" w:hAnsi="宋体"/>
          <w:b/>
          <w:bCs/>
          <w:color w:val="auto"/>
          <w:sz w:val="28"/>
          <w:szCs w:val="28"/>
          <w:highlight w:val="none"/>
        </w:rPr>
        <w:t>第一部分  协议书</w:t>
      </w:r>
    </w:p>
    <w:p w14:paraId="7ADD1710">
      <w:pPr>
        <w:tabs>
          <w:tab w:val="left" w:pos="3120"/>
        </w:tabs>
        <w:spacing w:line="540" w:lineRule="exact"/>
        <w:jc w:val="center"/>
        <w:rPr>
          <w:rFonts w:ascii="宋体" w:hAnsi="宋体"/>
          <w:b/>
          <w:bCs/>
          <w:color w:val="auto"/>
          <w:szCs w:val="21"/>
          <w:highlight w:val="none"/>
        </w:rPr>
      </w:pPr>
    </w:p>
    <w:p w14:paraId="52EFE9D4">
      <w:pPr>
        <w:adjustRightInd w:val="0"/>
        <w:snapToGrid w:val="0"/>
        <w:spacing w:line="540" w:lineRule="exact"/>
        <w:ind w:firstLine="422" w:firstLineChars="200"/>
        <w:rPr>
          <w:rFonts w:ascii="宋体" w:hAnsi="宋体"/>
          <w:b/>
          <w:color w:val="auto"/>
          <w:szCs w:val="21"/>
          <w:highlight w:val="none"/>
        </w:rPr>
      </w:pPr>
      <w:r>
        <w:rPr>
          <w:rFonts w:hint="eastAsia" w:ascii="宋体" w:hAnsi="宋体"/>
          <w:b/>
          <w:color w:val="auto"/>
          <w:szCs w:val="21"/>
          <w:highlight w:val="none"/>
        </w:rPr>
        <w:t>委托人（全称）：</w:t>
      </w:r>
      <w:r>
        <w:rPr>
          <w:rFonts w:hint="eastAsia" w:ascii="宋体" w:hAnsi="宋体"/>
          <w:b/>
          <w:color w:val="auto"/>
          <w:szCs w:val="21"/>
          <w:highlight w:val="none"/>
          <w:u w:val="single"/>
        </w:rPr>
        <w:t xml:space="preserve">  </w:t>
      </w:r>
      <w:r>
        <w:rPr>
          <w:rFonts w:hint="eastAsia" w:ascii="宋体" w:hAnsi="宋体"/>
          <w:color w:val="auto"/>
          <w:szCs w:val="21"/>
          <w:highlight w:val="none"/>
          <w:u w:val="single"/>
        </w:rPr>
        <w:t xml:space="preserve">               </w:t>
      </w:r>
      <w:r>
        <w:rPr>
          <w:rFonts w:hint="eastAsia" w:ascii="宋体" w:hAnsi="宋体"/>
          <w:bCs/>
          <w:color w:val="auto"/>
          <w:szCs w:val="21"/>
          <w:highlight w:val="none"/>
          <w:u w:val="single"/>
        </w:rPr>
        <w:t xml:space="preserve"> </w:t>
      </w:r>
      <w:r>
        <w:rPr>
          <w:rFonts w:hint="eastAsia" w:ascii="宋体" w:hAnsi="宋体"/>
          <w:b/>
          <w:color w:val="auto"/>
          <w:szCs w:val="21"/>
          <w:highlight w:val="none"/>
          <w:u w:val="single"/>
        </w:rPr>
        <w:t xml:space="preserve">  </w:t>
      </w:r>
    </w:p>
    <w:p w14:paraId="7C874412">
      <w:pPr>
        <w:adjustRightInd w:val="0"/>
        <w:snapToGrid w:val="0"/>
        <w:spacing w:line="540" w:lineRule="exact"/>
        <w:ind w:firstLine="422" w:firstLineChars="200"/>
        <w:rPr>
          <w:rFonts w:ascii="宋体" w:hAnsi="宋体"/>
          <w:color w:val="auto"/>
          <w:szCs w:val="21"/>
          <w:highlight w:val="none"/>
        </w:rPr>
      </w:pPr>
      <w:r>
        <w:rPr>
          <w:rFonts w:hint="eastAsia" w:ascii="宋体" w:hAnsi="宋体"/>
          <w:b/>
          <w:color w:val="auto"/>
          <w:szCs w:val="21"/>
          <w:highlight w:val="none"/>
        </w:rPr>
        <w:t>监理人（全称）：</w:t>
      </w:r>
      <w:r>
        <w:rPr>
          <w:rFonts w:hint="eastAsia" w:ascii="宋体" w:hAnsi="宋体"/>
          <w:color w:val="auto"/>
          <w:szCs w:val="21"/>
          <w:highlight w:val="none"/>
          <w:u w:val="single"/>
        </w:rPr>
        <w:t xml:space="preserve">                                   </w:t>
      </w:r>
      <w:r>
        <w:rPr>
          <w:rFonts w:hint="eastAsia" w:ascii="宋体" w:hAnsi="宋体"/>
          <w:b/>
          <w:color w:val="auto"/>
          <w:szCs w:val="21"/>
          <w:highlight w:val="none"/>
          <w:u w:val="single"/>
        </w:rPr>
        <w:t xml:space="preserve"> </w:t>
      </w:r>
      <w:r>
        <w:rPr>
          <w:rFonts w:hint="eastAsia" w:ascii="宋体" w:hAnsi="宋体"/>
          <w:b/>
          <w:color w:val="auto"/>
          <w:szCs w:val="21"/>
          <w:highlight w:val="none"/>
        </w:rPr>
        <w:t xml:space="preserve"> </w:t>
      </w:r>
      <w:r>
        <w:rPr>
          <w:rFonts w:hint="eastAsia" w:ascii="宋体" w:hAnsi="宋体"/>
          <w:color w:val="auto"/>
          <w:szCs w:val="21"/>
          <w:highlight w:val="none"/>
        </w:rPr>
        <w:t xml:space="preserve">        </w:t>
      </w:r>
    </w:p>
    <w:p w14:paraId="55F69355">
      <w:pPr>
        <w:adjustRightInd w:val="0"/>
        <w:snapToGrid w:val="0"/>
        <w:spacing w:line="540" w:lineRule="exact"/>
        <w:ind w:firstLine="420" w:firstLineChars="200"/>
        <w:rPr>
          <w:rFonts w:ascii="宋体" w:hAnsi="宋体"/>
          <w:color w:val="auto"/>
          <w:szCs w:val="21"/>
          <w:highlight w:val="none"/>
          <w:u w:val="single"/>
        </w:rPr>
      </w:pPr>
      <w:r>
        <w:rPr>
          <w:rFonts w:hint="eastAsia" w:ascii="宋体" w:hAnsi="宋体"/>
          <w:color w:val="auto"/>
          <w:szCs w:val="21"/>
          <w:highlight w:val="none"/>
        </w:rPr>
        <w:t>根据《中华人民共和国民法典》、《中华人民共和国建筑法》及其他有关法律、法规，遵循平等、自愿、公平和诚信的原则，双方就下述工程委托监理与相关服务事项协商一致，订立本合同。</w:t>
      </w:r>
    </w:p>
    <w:p w14:paraId="629BBD9A">
      <w:pPr>
        <w:spacing w:line="540" w:lineRule="exact"/>
        <w:ind w:firstLine="417" w:firstLineChars="198"/>
        <w:outlineLvl w:val="0"/>
        <w:rPr>
          <w:rFonts w:ascii="宋体" w:hAnsi="宋体"/>
          <w:b/>
          <w:color w:val="auto"/>
          <w:szCs w:val="21"/>
          <w:highlight w:val="none"/>
        </w:rPr>
      </w:pPr>
      <w:r>
        <w:rPr>
          <w:rFonts w:hint="eastAsia" w:ascii="宋体" w:hAnsi="宋体"/>
          <w:b/>
          <w:color w:val="auto"/>
          <w:szCs w:val="21"/>
          <w:highlight w:val="none"/>
        </w:rPr>
        <w:t>一、工程概况</w:t>
      </w:r>
    </w:p>
    <w:p w14:paraId="32A68B2A">
      <w:pPr>
        <w:widowControl/>
        <w:spacing w:line="540" w:lineRule="exact"/>
        <w:jc w:val="left"/>
        <w:rPr>
          <w:rFonts w:ascii="宋体" w:hAnsi="宋体"/>
          <w:color w:val="auto"/>
          <w:szCs w:val="21"/>
          <w:highlight w:val="none"/>
        </w:rPr>
      </w:pPr>
      <w:r>
        <w:rPr>
          <w:rFonts w:hint="eastAsia" w:ascii="宋体" w:hAnsi="宋体"/>
          <w:color w:val="auto"/>
          <w:szCs w:val="21"/>
          <w:highlight w:val="none"/>
        </w:rPr>
        <w:t xml:space="preserve">    1. 工程名称：</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40480127">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2. 工程地点：</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744D76C6">
      <w:pPr>
        <w:adjustRightInd w:val="0"/>
        <w:snapToGrid w:val="0"/>
        <w:spacing w:line="540" w:lineRule="exact"/>
        <w:ind w:firstLine="415" w:firstLineChars="198"/>
        <w:jc w:val="left"/>
        <w:rPr>
          <w:rFonts w:ascii="宋体" w:hAnsi="宋体"/>
          <w:color w:val="auto"/>
          <w:szCs w:val="21"/>
          <w:highlight w:val="none"/>
        </w:rPr>
      </w:pPr>
      <w:r>
        <w:rPr>
          <w:rFonts w:hint="eastAsia" w:ascii="宋体" w:hAnsi="宋体"/>
          <w:color w:val="auto"/>
          <w:szCs w:val="21"/>
          <w:highlight w:val="none"/>
        </w:rPr>
        <w:t>3. 工程</w:t>
      </w:r>
      <w:r>
        <w:rPr>
          <w:rFonts w:hint="eastAsia" w:ascii="宋体" w:hAnsi="宋体"/>
          <w:color w:val="auto"/>
          <w:kern w:val="0"/>
          <w:szCs w:val="21"/>
          <w:highlight w:val="none"/>
        </w:rPr>
        <w:t>概算投资</w:t>
      </w:r>
      <w:r>
        <w:rPr>
          <w:rFonts w:hint="eastAsia" w:ascii="宋体" w:hAnsi="宋体" w:cs="宋体"/>
          <w:color w:val="auto"/>
          <w:kern w:val="0"/>
          <w:szCs w:val="21"/>
          <w:highlight w:val="none"/>
        </w:rPr>
        <w:t>额或建筑安装工程费</w:t>
      </w:r>
      <w:r>
        <w:rPr>
          <w:rFonts w:hint="eastAsia" w:ascii="宋体" w:hAnsi="宋体"/>
          <w:color w:val="auto"/>
          <w:szCs w:val="21"/>
          <w:highlight w:val="none"/>
        </w:rPr>
        <w:t>：</w:t>
      </w:r>
      <w:r>
        <w:rPr>
          <w:rFonts w:hint="eastAsia" w:ascii="宋体" w:hAnsi="宋体" w:cs="宋体"/>
          <w:color w:val="auto"/>
          <w:szCs w:val="21"/>
          <w:highlight w:val="none"/>
        </w:rPr>
        <w:t xml:space="preserve">   万元</w:t>
      </w:r>
      <w:r>
        <w:rPr>
          <w:rFonts w:hint="eastAsia" w:ascii="宋体" w:hAnsi="宋体"/>
          <w:color w:val="auto"/>
          <w:szCs w:val="21"/>
          <w:highlight w:val="none"/>
        </w:rPr>
        <w:t xml:space="preserve"> 。</w:t>
      </w:r>
    </w:p>
    <w:p w14:paraId="7FC9D720">
      <w:pPr>
        <w:spacing w:line="540" w:lineRule="exact"/>
        <w:ind w:firstLine="417" w:firstLineChars="198"/>
        <w:outlineLvl w:val="0"/>
        <w:rPr>
          <w:rFonts w:ascii="宋体" w:hAnsi="宋体"/>
          <w:b/>
          <w:color w:val="auto"/>
          <w:szCs w:val="21"/>
          <w:highlight w:val="none"/>
        </w:rPr>
      </w:pPr>
      <w:r>
        <w:rPr>
          <w:rFonts w:hint="eastAsia" w:ascii="宋体" w:hAnsi="宋体"/>
          <w:b/>
          <w:color w:val="auto"/>
          <w:szCs w:val="21"/>
          <w:highlight w:val="none"/>
        </w:rPr>
        <w:t>二、词语限定</w:t>
      </w:r>
    </w:p>
    <w:p w14:paraId="3943CA36">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协议书中相关词语的含义与通用条件中的定义与解释相同。</w:t>
      </w:r>
    </w:p>
    <w:p w14:paraId="104F348E">
      <w:pPr>
        <w:spacing w:line="540" w:lineRule="exact"/>
        <w:ind w:firstLine="417" w:firstLineChars="198"/>
        <w:outlineLvl w:val="0"/>
        <w:rPr>
          <w:rFonts w:ascii="宋体" w:hAnsi="宋体"/>
          <w:b/>
          <w:color w:val="auto"/>
          <w:szCs w:val="21"/>
          <w:highlight w:val="none"/>
        </w:rPr>
      </w:pPr>
      <w:r>
        <w:rPr>
          <w:rFonts w:hint="eastAsia" w:ascii="宋体" w:hAnsi="宋体"/>
          <w:b/>
          <w:color w:val="auto"/>
          <w:szCs w:val="21"/>
          <w:highlight w:val="none"/>
        </w:rPr>
        <w:t>三、组成本合同的文件</w:t>
      </w:r>
    </w:p>
    <w:p w14:paraId="538633D7">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1. 协议书；</w:t>
      </w:r>
    </w:p>
    <w:p w14:paraId="76197AEC">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2. 中标</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成交</w:t>
      </w:r>
      <w:r>
        <w:rPr>
          <w:rFonts w:hint="eastAsia" w:ascii="宋体" w:hAnsi="宋体"/>
          <w:color w:val="auto"/>
          <w:szCs w:val="21"/>
          <w:highlight w:val="none"/>
        </w:rPr>
        <w:t>通知书或委托书；</w:t>
      </w:r>
    </w:p>
    <w:p w14:paraId="7B739778">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3. 投标文件或监理与相关服务建议书；</w:t>
      </w:r>
    </w:p>
    <w:p w14:paraId="538E2DA1">
      <w:pPr>
        <w:adjustRightInd w:val="0"/>
        <w:snapToGrid w:val="0"/>
        <w:spacing w:line="540" w:lineRule="exact"/>
        <w:rPr>
          <w:rFonts w:ascii="宋体" w:hAnsi="宋体"/>
          <w:color w:val="auto"/>
          <w:szCs w:val="21"/>
          <w:highlight w:val="none"/>
        </w:rPr>
      </w:pPr>
      <w:r>
        <w:rPr>
          <w:rFonts w:hint="eastAsia" w:ascii="宋体" w:hAnsi="宋体"/>
          <w:color w:val="auto"/>
          <w:szCs w:val="21"/>
          <w:highlight w:val="none"/>
        </w:rPr>
        <w:t xml:space="preserve">    4. 专用条件；</w:t>
      </w:r>
    </w:p>
    <w:p w14:paraId="5D5F7980">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5. 通用条件；</w:t>
      </w:r>
    </w:p>
    <w:p w14:paraId="1E71B96C">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6. 附录，即：</w:t>
      </w:r>
    </w:p>
    <w:p w14:paraId="73C42986">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附录A  相关服务的范围和内容</w:t>
      </w:r>
    </w:p>
    <w:p w14:paraId="4AEE9800">
      <w:pPr>
        <w:adjustRightInd w:val="0"/>
        <w:snapToGrid w:val="0"/>
        <w:spacing w:line="540" w:lineRule="exact"/>
        <w:ind w:firstLine="420" w:firstLineChars="200"/>
        <w:rPr>
          <w:rFonts w:ascii="宋体" w:hAnsi="宋体"/>
          <w:color w:val="auto"/>
          <w:szCs w:val="21"/>
          <w:highlight w:val="none"/>
        </w:rPr>
      </w:pPr>
      <w:r>
        <w:rPr>
          <w:rFonts w:hint="eastAsia" w:ascii="宋体" w:hAnsi="宋体"/>
          <w:color w:val="auto"/>
          <w:szCs w:val="21"/>
          <w:highlight w:val="none"/>
        </w:rPr>
        <w:t>附录B  委托人派遣的人员和提供的</w:t>
      </w:r>
      <w:r>
        <w:rPr>
          <w:rFonts w:hint="eastAsia" w:ascii="宋体" w:hAnsi="宋体"/>
          <w:bCs/>
          <w:color w:val="auto"/>
          <w:szCs w:val="21"/>
          <w:highlight w:val="none"/>
        </w:rPr>
        <w:t>房屋、资料</w:t>
      </w:r>
      <w:r>
        <w:rPr>
          <w:rFonts w:hint="eastAsia" w:ascii="宋体" w:hAnsi="宋体"/>
          <w:color w:val="auto"/>
          <w:szCs w:val="21"/>
          <w:highlight w:val="none"/>
        </w:rPr>
        <w:t>、设备</w:t>
      </w:r>
    </w:p>
    <w:p w14:paraId="01676518">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本合同签订后，双方依法签订的补充协议也是本合同文件的组成部分。</w:t>
      </w:r>
    </w:p>
    <w:p w14:paraId="11D380FF">
      <w:pPr>
        <w:spacing w:line="540" w:lineRule="exact"/>
        <w:ind w:firstLine="417" w:firstLineChars="198"/>
        <w:outlineLvl w:val="0"/>
        <w:rPr>
          <w:rFonts w:ascii="宋体" w:hAnsi="宋体"/>
          <w:b/>
          <w:color w:val="auto"/>
          <w:szCs w:val="21"/>
          <w:highlight w:val="none"/>
        </w:rPr>
      </w:pPr>
      <w:r>
        <w:rPr>
          <w:rFonts w:hint="eastAsia" w:ascii="宋体" w:hAnsi="宋体"/>
          <w:b/>
          <w:color w:val="auto"/>
          <w:szCs w:val="21"/>
          <w:highlight w:val="none"/>
        </w:rPr>
        <w:t>四、监理人员</w:t>
      </w:r>
    </w:p>
    <w:p w14:paraId="28653772">
      <w:pPr>
        <w:adjustRightInd w:val="0"/>
        <w:snapToGrid w:val="0"/>
        <w:spacing w:line="540" w:lineRule="exact"/>
        <w:ind w:left="416" w:leftChars="198"/>
        <w:rPr>
          <w:rFonts w:ascii="宋体" w:hAnsi="宋体"/>
          <w:color w:val="auto"/>
          <w:kern w:val="0"/>
          <w:szCs w:val="21"/>
          <w:highlight w:val="none"/>
        </w:rPr>
      </w:pPr>
      <w:r>
        <w:rPr>
          <w:rFonts w:hint="eastAsia" w:ascii="宋体" w:hAnsi="宋体"/>
          <w:color w:val="auto"/>
          <w:kern w:val="0"/>
          <w:szCs w:val="21"/>
          <w:highlight w:val="none"/>
        </w:rPr>
        <w:t>总监理工程师姓名：</w:t>
      </w:r>
      <w:r>
        <w:rPr>
          <w:rFonts w:hint="eastAsia" w:ascii="宋体" w:hAnsi="宋体"/>
          <w:color w:val="auto"/>
          <w:kern w:val="0"/>
          <w:szCs w:val="21"/>
          <w:highlight w:val="none"/>
          <w:u w:val="single"/>
        </w:rPr>
        <w:t xml:space="preserve">    </w:t>
      </w:r>
      <w:r>
        <w:rPr>
          <w:rFonts w:hint="eastAsia" w:ascii="宋体" w:hAnsi="宋体"/>
          <w:color w:val="auto"/>
          <w:kern w:val="0"/>
          <w:szCs w:val="21"/>
          <w:highlight w:val="none"/>
        </w:rPr>
        <w:t>，身份证号码：</w:t>
      </w:r>
      <w:r>
        <w:rPr>
          <w:rFonts w:hint="eastAsia" w:ascii="宋体" w:hAnsi="宋体"/>
          <w:color w:val="auto"/>
          <w:kern w:val="0"/>
          <w:szCs w:val="21"/>
          <w:highlight w:val="none"/>
          <w:u w:val="single"/>
        </w:rPr>
        <w:t xml:space="preserve">          </w:t>
      </w:r>
      <w:r>
        <w:rPr>
          <w:rFonts w:hint="eastAsia" w:ascii="宋体" w:hAnsi="宋体"/>
          <w:color w:val="auto"/>
          <w:kern w:val="0"/>
          <w:szCs w:val="21"/>
          <w:highlight w:val="none"/>
        </w:rPr>
        <w:t>，注册号：</w:t>
      </w:r>
      <w:r>
        <w:rPr>
          <w:rFonts w:hint="eastAsia" w:ascii="宋体" w:hAnsi="宋体"/>
          <w:color w:val="auto"/>
          <w:kern w:val="0"/>
          <w:szCs w:val="21"/>
          <w:highlight w:val="none"/>
          <w:u w:val="single"/>
        </w:rPr>
        <w:t xml:space="preserve">             </w:t>
      </w:r>
      <w:r>
        <w:rPr>
          <w:rFonts w:hint="eastAsia" w:ascii="宋体" w:hAnsi="宋体"/>
          <w:color w:val="auto"/>
          <w:kern w:val="0"/>
          <w:szCs w:val="21"/>
          <w:highlight w:val="none"/>
        </w:rPr>
        <w:t>。</w:t>
      </w:r>
    </w:p>
    <w:p w14:paraId="230EE570">
      <w:pPr>
        <w:widowControl/>
        <w:ind w:left="420" w:leftChars="200"/>
        <w:jc w:val="left"/>
        <w:rPr>
          <w:rFonts w:ascii="宋体" w:hAnsi="宋体"/>
          <w:color w:val="auto"/>
          <w:kern w:val="0"/>
          <w:szCs w:val="21"/>
          <w:highlight w:val="none"/>
          <w:u w:val="single"/>
        </w:rPr>
      </w:pPr>
      <w:r>
        <w:rPr>
          <w:rFonts w:hint="eastAsia" w:ascii="宋体" w:hAnsi="宋体"/>
          <w:color w:val="auto"/>
          <w:kern w:val="0"/>
          <w:szCs w:val="21"/>
          <w:highlight w:val="none"/>
        </w:rPr>
        <w:t>监理工程师姓名：</w:t>
      </w:r>
      <w:r>
        <w:rPr>
          <w:rFonts w:hint="eastAsia" w:ascii="宋体" w:hAnsi="宋体"/>
          <w:color w:val="auto"/>
          <w:kern w:val="0"/>
          <w:sz w:val="18"/>
          <w:szCs w:val="18"/>
          <w:highlight w:val="none"/>
          <w:u w:val="single"/>
        </w:rPr>
        <w:t xml:space="preserve">  </w:t>
      </w:r>
      <w:r>
        <w:rPr>
          <w:rFonts w:hint="eastAsia" w:ascii="宋体" w:hAnsi="宋体" w:cs="宋体"/>
          <w:color w:val="auto"/>
          <w:kern w:val="0"/>
          <w:szCs w:val="21"/>
          <w:highlight w:val="none"/>
          <w:u w:val="single"/>
          <w:lang w:bidi="ar"/>
        </w:rPr>
        <w:t xml:space="preserve">   </w:t>
      </w:r>
      <w:r>
        <w:rPr>
          <w:rFonts w:hint="eastAsia" w:ascii="宋体" w:hAnsi="宋体"/>
          <w:color w:val="auto"/>
          <w:kern w:val="0"/>
          <w:sz w:val="18"/>
          <w:szCs w:val="18"/>
          <w:highlight w:val="none"/>
          <w:u w:val="single"/>
        </w:rPr>
        <w:t xml:space="preserve"> </w:t>
      </w:r>
      <w:r>
        <w:rPr>
          <w:rFonts w:hint="eastAsia" w:ascii="宋体" w:hAnsi="宋体"/>
          <w:color w:val="auto"/>
          <w:kern w:val="0"/>
          <w:szCs w:val="21"/>
          <w:highlight w:val="none"/>
        </w:rPr>
        <w:t>，身份证号码：</w:t>
      </w:r>
      <w:r>
        <w:rPr>
          <w:rFonts w:hint="eastAsia" w:ascii="宋体" w:hAnsi="宋体"/>
          <w:color w:val="auto"/>
          <w:kern w:val="0"/>
          <w:szCs w:val="21"/>
          <w:highlight w:val="none"/>
          <w:u w:val="single"/>
        </w:rPr>
        <w:t xml:space="preserve">           </w:t>
      </w:r>
      <w:r>
        <w:rPr>
          <w:rFonts w:hint="eastAsia" w:ascii="宋体" w:hAnsi="宋体"/>
          <w:color w:val="auto"/>
          <w:kern w:val="0"/>
          <w:szCs w:val="21"/>
          <w:highlight w:val="none"/>
        </w:rPr>
        <w:t>，注册号：</w:t>
      </w:r>
      <w:r>
        <w:rPr>
          <w:rFonts w:hint="eastAsia" w:ascii="宋体" w:hAnsi="宋体"/>
          <w:color w:val="auto"/>
          <w:kern w:val="0"/>
          <w:szCs w:val="21"/>
          <w:highlight w:val="none"/>
          <w:u w:val="single"/>
        </w:rPr>
        <w:t xml:space="preserve">             。</w:t>
      </w:r>
    </w:p>
    <w:p w14:paraId="2283D2CD">
      <w:pPr>
        <w:widowControl/>
        <w:ind w:left="420" w:leftChars="200"/>
        <w:jc w:val="left"/>
        <w:rPr>
          <w:rFonts w:ascii="宋体" w:hAnsi="宋体"/>
          <w:color w:val="auto"/>
          <w:kern w:val="0"/>
          <w:szCs w:val="21"/>
          <w:highlight w:val="none"/>
        </w:rPr>
      </w:pPr>
      <w:r>
        <w:rPr>
          <w:rFonts w:hint="eastAsia" w:ascii="宋体" w:hAnsi="宋体"/>
          <w:color w:val="auto"/>
          <w:kern w:val="0"/>
          <w:szCs w:val="21"/>
          <w:highlight w:val="none"/>
        </w:rPr>
        <w:t>监理工程师姓名：</w:t>
      </w:r>
      <w:r>
        <w:rPr>
          <w:rFonts w:hint="eastAsia" w:ascii="宋体" w:hAnsi="宋体"/>
          <w:color w:val="auto"/>
          <w:kern w:val="0"/>
          <w:szCs w:val="21"/>
          <w:highlight w:val="none"/>
          <w:u w:val="single"/>
        </w:rPr>
        <w:t xml:space="preserve">     </w:t>
      </w:r>
      <w:r>
        <w:rPr>
          <w:rFonts w:hint="eastAsia" w:ascii="宋体" w:hAnsi="宋体"/>
          <w:color w:val="auto"/>
          <w:kern w:val="0"/>
          <w:szCs w:val="21"/>
          <w:highlight w:val="none"/>
        </w:rPr>
        <w:t>，身份证号码：</w:t>
      </w:r>
      <w:r>
        <w:rPr>
          <w:rFonts w:hint="eastAsia" w:ascii="宋体" w:hAnsi="宋体"/>
          <w:color w:val="auto"/>
          <w:kern w:val="0"/>
          <w:szCs w:val="21"/>
          <w:highlight w:val="none"/>
          <w:u w:val="single"/>
        </w:rPr>
        <w:t xml:space="preserve">          </w:t>
      </w:r>
      <w:r>
        <w:rPr>
          <w:rFonts w:hint="eastAsia" w:ascii="宋体" w:hAnsi="宋体"/>
          <w:color w:val="auto"/>
          <w:kern w:val="0"/>
          <w:szCs w:val="21"/>
          <w:highlight w:val="none"/>
        </w:rPr>
        <w:t>，注册号：</w:t>
      </w:r>
      <w:r>
        <w:rPr>
          <w:rFonts w:hint="eastAsia" w:ascii="宋体" w:hAnsi="宋体"/>
          <w:color w:val="auto"/>
          <w:kern w:val="0"/>
          <w:szCs w:val="21"/>
          <w:highlight w:val="none"/>
          <w:u w:val="single"/>
        </w:rPr>
        <w:t xml:space="preserve">               。</w:t>
      </w:r>
    </w:p>
    <w:p w14:paraId="24DAC981">
      <w:pPr>
        <w:widowControl/>
        <w:ind w:left="420" w:leftChars="200"/>
        <w:jc w:val="left"/>
        <w:rPr>
          <w:rFonts w:ascii="宋体" w:hAnsi="宋体"/>
          <w:color w:val="auto"/>
          <w:kern w:val="0"/>
          <w:szCs w:val="21"/>
          <w:highlight w:val="none"/>
        </w:rPr>
      </w:pPr>
      <w:r>
        <w:rPr>
          <w:rFonts w:hint="eastAsia" w:ascii="宋体" w:hAnsi="宋体"/>
          <w:color w:val="auto"/>
          <w:kern w:val="0"/>
          <w:szCs w:val="21"/>
          <w:highlight w:val="none"/>
        </w:rPr>
        <w:t>。</w:t>
      </w:r>
    </w:p>
    <w:p w14:paraId="2D232D5A">
      <w:pPr>
        <w:spacing w:line="540" w:lineRule="exact"/>
        <w:ind w:firstLine="417" w:firstLineChars="198"/>
        <w:outlineLvl w:val="0"/>
        <w:rPr>
          <w:rFonts w:ascii="宋体" w:hAnsi="宋体"/>
          <w:b/>
          <w:color w:val="auto"/>
          <w:szCs w:val="21"/>
          <w:highlight w:val="none"/>
        </w:rPr>
      </w:pPr>
      <w:r>
        <w:rPr>
          <w:rFonts w:hint="eastAsia" w:ascii="宋体" w:hAnsi="宋体"/>
          <w:b/>
          <w:color w:val="auto"/>
          <w:szCs w:val="21"/>
          <w:highlight w:val="none"/>
        </w:rPr>
        <w:t>五、签约酬金</w:t>
      </w:r>
    </w:p>
    <w:p w14:paraId="5159CF16">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签约酬金（大写）：</w:t>
      </w:r>
      <w:r>
        <w:rPr>
          <w:rFonts w:hint="eastAsia"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u w:val="single"/>
        </w:rPr>
        <w:t xml:space="preserve">       </w:t>
      </w:r>
      <w:r>
        <w:rPr>
          <w:rFonts w:hint="eastAsia" w:ascii="宋体" w:hAnsi="宋体"/>
          <w:color w:val="auto"/>
          <w:szCs w:val="21"/>
          <w:highlight w:val="none"/>
        </w:rPr>
        <w:t>元 ）。</w:t>
      </w:r>
    </w:p>
    <w:p w14:paraId="5C418C68">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包括：</w:t>
      </w:r>
    </w:p>
    <w:p w14:paraId="7F96AD6C">
      <w:pPr>
        <w:adjustRightInd w:val="0"/>
        <w:snapToGrid w:val="0"/>
        <w:spacing w:line="540" w:lineRule="exact"/>
        <w:ind w:firstLine="525" w:firstLineChars="250"/>
        <w:rPr>
          <w:rFonts w:ascii="宋体" w:hAnsi="宋体"/>
          <w:color w:val="auto"/>
          <w:szCs w:val="21"/>
          <w:highlight w:val="none"/>
        </w:rPr>
      </w:pPr>
      <w:r>
        <w:rPr>
          <w:rFonts w:hint="eastAsia" w:ascii="宋体" w:hAnsi="宋体"/>
          <w:color w:val="auto"/>
          <w:szCs w:val="21"/>
          <w:highlight w:val="none"/>
        </w:rPr>
        <w:t>1. 监理酬金：</w:t>
      </w:r>
      <w:r>
        <w:rPr>
          <w:rFonts w:hint="eastAsia" w:ascii="宋体" w:hAnsi="宋体"/>
          <w:color w:val="auto"/>
          <w:szCs w:val="21"/>
          <w:highlight w:val="none"/>
          <w:u w:val="single"/>
        </w:rPr>
        <w:t xml:space="preserve">                </w:t>
      </w:r>
      <w:r>
        <w:rPr>
          <w:rFonts w:hint="eastAsia" w:ascii="宋体" w:hAnsi="宋体"/>
          <w:color w:val="auto"/>
          <w:szCs w:val="21"/>
          <w:highlight w:val="none"/>
        </w:rPr>
        <w:t>（¥</w:t>
      </w:r>
      <w:r>
        <w:rPr>
          <w:rFonts w:hint="eastAsia" w:ascii="宋体" w:hAnsi="宋体"/>
          <w:color w:val="auto"/>
          <w:szCs w:val="21"/>
          <w:highlight w:val="none"/>
          <w:u w:val="single"/>
        </w:rPr>
        <w:t xml:space="preserve">      </w:t>
      </w:r>
      <w:r>
        <w:rPr>
          <w:rFonts w:hint="eastAsia" w:ascii="宋体" w:hAnsi="宋体"/>
          <w:color w:val="auto"/>
          <w:szCs w:val="21"/>
          <w:highlight w:val="none"/>
        </w:rPr>
        <w:t>元 ）。</w:t>
      </w:r>
    </w:p>
    <w:p w14:paraId="37A41A58">
      <w:pPr>
        <w:adjustRightInd w:val="0"/>
        <w:snapToGrid w:val="0"/>
        <w:spacing w:line="540" w:lineRule="exact"/>
        <w:ind w:firstLine="525" w:firstLineChars="250"/>
        <w:rPr>
          <w:rFonts w:ascii="宋体" w:hAnsi="宋体"/>
          <w:color w:val="auto"/>
          <w:szCs w:val="21"/>
          <w:highlight w:val="none"/>
        </w:rPr>
      </w:pPr>
      <w:r>
        <w:rPr>
          <w:rFonts w:hint="eastAsia" w:ascii="宋体" w:hAnsi="宋体"/>
          <w:color w:val="auto"/>
          <w:szCs w:val="21"/>
          <w:highlight w:val="none"/>
        </w:rPr>
        <w:t>2. 相关服务酬金：</w:t>
      </w:r>
      <w:r>
        <w:rPr>
          <w:rFonts w:hint="eastAsia" w:ascii="宋体" w:hAnsi="宋体"/>
          <w:color w:val="auto"/>
          <w:szCs w:val="21"/>
          <w:highlight w:val="none"/>
          <w:u w:val="single"/>
        </w:rPr>
        <w:t xml:space="preserve">         /               </w:t>
      </w:r>
      <w:r>
        <w:rPr>
          <w:rFonts w:hint="eastAsia" w:ascii="宋体" w:hAnsi="宋体"/>
          <w:color w:val="auto"/>
          <w:szCs w:val="21"/>
          <w:highlight w:val="none"/>
        </w:rPr>
        <w:t>。</w:t>
      </w:r>
    </w:p>
    <w:p w14:paraId="1D3CE9E5">
      <w:pPr>
        <w:adjustRightInd w:val="0"/>
        <w:snapToGrid w:val="0"/>
        <w:spacing w:line="540" w:lineRule="exact"/>
        <w:ind w:firstLine="525" w:firstLineChars="250"/>
        <w:rPr>
          <w:rFonts w:ascii="宋体" w:hAnsi="宋体"/>
          <w:color w:val="auto"/>
          <w:szCs w:val="21"/>
          <w:highlight w:val="none"/>
        </w:rPr>
      </w:pPr>
      <w:r>
        <w:rPr>
          <w:rFonts w:hint="eastAsia" w:ascii="宋体" w:hAnsi="宋体"/>
          <w:color w:val="auto"/>
          <w:szCs w:val="21"/>
          <w:highlight w:val="none"/>
        </w:rPr>
        <w:t>其中：</w:t>
      </w:r>
    </w:p>
    <w:p w14:paraId="308B85E6">
      <w:pPr>
        <w:adjustRightInd w:val="0"/>
        <w:snapToGrid w:val="0"/>
        <w:spacing w:line="540" w:lineRule="exact"/>
        <w:ind w:firstLine="840" w:firstLineChars="400"/>
        <w:rPr>
          <w:rFonts w:ascii="宋体" w:hAnsi="宋体"/>
          <w:color w:val="auto"/>
          <w:szCs w:val="21"/>
          <w:highlight w:val="none"/>
        </w:rPr>
      </w:pPr>
      <w:r>
        <w:rPr>
          <w:rFonts w:hint="eastAsia" w:ascii="宋体" w:hAnsi="宋体"/>
          <w:color w:val="auto"/>
          <w:kern w:val="0"/>
          <w:szCs w:val="21"/>
          <w:highlight w:val="none"/>
        </w:rPr>
        <w:t>（1）勘察阶段服务</w:t>
      </w:r>
      <w:r>
        <w:rPr>
          <w:rFonts w:hint="eastAsia" w:ascii="宋体" w:hAnsi="宋体"/>
          <w:color w:val="auto"/>
          <w:szCs w:val="21"/>
          <w:highlight w:val="none"/>
        </w:rPr>
        <w:t>酬金：</w:t>
      </w:r>
      <w:r>
        <w:rPr>
          <w:rFonts w:hint="eastAsia" w:ascii="宋体" w:hAnsi="宋体"/>
          <w:color w:val="auto"/>
          <w:szCs w:val="21"/>
          <w:highlight w:val="none"/>
          <w:u w:val="single"/>
        </w:rPr>
        <w:t xml:space="preserve">          /                 </w:t>
      </w:r>
      <w:r>
        <w:rPr>
          <w:rFonts w:hint="eastAsia" w:ascii="宋体" w:hAnsi="宋体"/>
          <w:color w:val="auto"/>
          <w:szCs w:val="21"/>
          <w:highlight w:val="none"/>
        </w:rPr>
        <w:t>。</w:t>
      </w:r>
    </w:p>
    <w:p w14:paraId="1EAA597F">
      <w:pPr>
        <w:adjustRightInd w:val="0"/>
        <w:snapToGrid w:val="0"/>
        <w:spacing w:line="540" w:lineRule="exact"/>
        <w:ind w:firstLine="840" w:firstLineChars="400"/>
        <w:rPr>
          <w:rFonts w:ascii="宋体" w:hAnsi="宋体"/>
          <w:color w:val="auto"/>
          <w:szCs w:val="21"/>
          <w:highlight w:val="none"/>
        </w:rPr>
      </w:pPr>
      <w:r>
        <w:rPr>
          <w:rFonts w:hint="eastAsia" w:ascii="宋体" w:hAnsi="宋体"/>
          <w:color w:val="auto"/>
          <w:kern w:val="0"/>
          <w:szCs w:val="21"/>
          <w:highlight w:val="none"/>
        </w:rPr>
        <w:t>（2）设计阶段服务</w:t>
      </w:r>
      <w:r>
        <w:rPr>
          <w:rFonts w:hint="eastAsia" w:ascii="宋体" w:hAnsi="宋体"/>
          <w:color w:val="auto"/>
          <w:szCs w:val="21"/>
          <w:highlight w:val="none"/>
        </w:rPr>
        <w:t>酬金：</w:t>
      </w:r>
      <w:r>
        <w:rPr>
          <w:rFonts w:hint="eastAsia" w:ascii="宋体" w:hAnsi="宋体"/>
          <w:color w:val="auto"/>
          <w:szCs w:val="21"/>
          <w:highlight w:val="none"/>
          <w:u w:val="single"/>
        </w:rPr>
        <w:t xml:space="preserve">          /                 </w:t>
      </w:r>
      <w:r>
        <w:rPr>
          <w:rFonts w:hint="eastAsia" w:ascii="宋体" w:hAnsi="宋体"/>
          <w:color w:val="auto"/>
          <w:szCs w:val="21"/>
          <w:highlight w:val="none"/>
        </w:rPr>
        <w:t>。</w:t>
      </w:r>
    </w:p>
    <w:p w14:paraId="15CD54B1">
      <w:pPr>
        <w:adjustRightInd w:val="0"/>
        <w:snapToGrid w:val="0"/>
        <w:spacing w:line="540" w:lineRule="exact"/>
        <w:ind w:firstLine="840" w:firstLineChars="400"/>
        <w:rPr>
          <w:rFonts w:ascii="宋体" w:hAnsi="宋体"/>
          <w:color w:val="auto"/>
          <w:szCs w:val="21"/>
          <w:highlight w:val="none"/>
        </w:rPr>
      </w:pPr>
      <w:r>
        <w:rPr>
          <w:rFonts w:hint="eastAsia" w:ascii="宋体" w:hAnsi="宋体"/>
          <w:color w:val="auto"/>
          <w:kern w:val="0"/>
          <w:szCs w:val="21"/>
          <w:highlight w:val="none"/>
        </w:rPr>
        <w:t>（3）保修阶段服务</w:t>
      </w:r>
      <w:r>
        <w:rPr>
          <w:rFonts w:hint="eastAsia" w:ascii="宋体" w:hAnsi="宋体"/>
          <w:color w:val="auto"/>
          <w:szCs w:val="21"/>
          <w:highlight w:val="none"/>
        </w:rPr>
        <w:t>酬金：</w:t>
      </w:r>
      <w:r>
        <w:rPr>
          <w:rFonts w:hint="eastAsia" w:ascii="宋体" w:hAnsi="宋体"/>
          <w:color w:val="auto"/>
          <w:szCs w:val="21"/>
          <w:highlight w:val="none"/>
          <w:u w:val="single"/>
        </w:rPr>
        <w:t xml:space="preserve">         /                  </w:t>
      </w:r>
      <w:r>
        <w:rPr>
          <w:rFonts w:hint="eastAsia" w:ascii="宋体" w:hAnsi="宋体"/>
          <w:color w:val="auto"/>
          <w:szCs w:val="21"/>
          <w:highlight w:val="none"/>
        </w:rPr>
        <w:t>。</w:t>
      </w:r>
    </w:p>
    <w:p w14:paraId="7624DBCF">
      <w:pPr>
        <w:adjustRightInd w:val="0"/>
        <w:snapToGrid w:val="0"/>
        <w:spacing w:line="540" w:lineRule="exact"/>
        <w:ind w:firstLine="840" w:firstLineChars="400"/>
        <w:rPr>
          <w:rFonts w:ascii="宋体" w:hAnsi="宋体"/>
          <w:color w:val="auto"/>
          <w:szCs w:val="21"/>
          <w:highlight w:val="none"/>
        </w:rPr>
      </w:pPr>
      <w:r>
        <w:rPr>
          <w:rFonts w:hint="eastAsia" w:ascii="宋体" w:hAnsi="宋体"/>
          <w:color w:val="auto"/>
          <w:kern w:val="0"/>
          <w:szCs w:val="21"/>
          <w:highlight w:val="none"/>
        </w:rPr>
        <w:t>（4）</w:t>
      </w:r>
      <w:r>
        <w:rPr>
          <w:rFonts w:hint="eastAsia" w:ascii="宋体" w:hAnsi="宋体"/>
          <w:color w:val="auto"/>
          <w:szCs w:val="21"/>
          <w:highlight w:val="none"/>
        </w:rPr>
        <w:t>其他相关服务酬金：</w:t>
      </w:r>
      <w:r>
        <w:rPr>
          <w:rFonts w:hint="eastAsia" w:ascii="宋体" w:hAnsi="宋体"/>
          <w:color w:val="auto"/>
          <w:szCs w:val="21"/>
          <w:highlight w:val="none"/>
          <w:u w:val="single"/>
        </w:rPr>
        <w:t xml:space="preserve">         /                  </w:t>
      </w:r>
      <w:r>
        <w:rPr>
          <w:rFonts w:hint="eastAsia" w:ascii="宋体" w:hAnsi="宋体"/>
          <w:color w:val="auto"/>
          <w:szCs w:val="21"/>
          <w:highlight w:val="none"/>
        </w:rPr>
        <w:t>。</w:t>
      </w:r>
    </w:p>
    <w:p w14:paraId="25280FC4">
      <w:pPr>
        <w:spacing w:line="540" w:lineRule="exact"/>
        <w:ind w:firstLine="417" w:firstLineChars="198"/>
        <w:outlineLvl w:val="0"/>
        <w:rPr>
          <w:rFonts w:ascii="宋体" w:hAnsi="宋体"/>
          <w:b/>
          <w:color w:val="auto"/>
          <w:szCs w:val="21"/>
          <w:highlight w:val="none"/>
        </w:rPr>
      </w:pPr>
      <w:r>
        <w:rPr>
          <w:rFonts w:hint="eastAsia" w:ascii="宋体" w:hAnsi="宋体"/>
          <w:b/>
          <w:color w:val="auto"/>
          <w:szCs w:val="21"/>
          <w:highlight w:val="none"/>
        </w:rPr>
        <w:t>六、期限</w:t>
      </w:r>
    </w:p>
    <w:p w14:paraId="23C7E5D0">
      <w:pPr>
        <w:adjustRightInd w:val="0"/>
        <w:snapToGrid w:val="0"/>
        <w:spacing w:line="540" w:lineRule="exact"/>
        <w:ind w:firstLine="525" w:firstLineChars="250"/>
        <w:jc w:val="left"/>
        <w:rPr>
          <w:rFonts w:ascii="宋体" w:hAnsi="宋体"/>
          <w:color w:val="auto"/>
          <w:szCs w:val="21"/>
          <w:highlight w:val="none"/>
        </w:rPr>
      </w:pPr>
      <w:r>
        <w:rPr>
          <w:rFonts w:hint="eastAsia" w:ascii="宋体" w:hAnsi="宋体"/>
          <w:color w:val="auto"/>
          <w:kern w:val="0"/>
          <w:szCs w:val="21"/>
          <w:highlight w:val="none"/>
        </w:rPr>
        <w:t xml:space="preserve">1. </w:t>
      </w:r>
      <w:r>
        <w:rPr>
          <w:rFonts w:hint="eastAsia" w:ascii="宋体" w:hAnsi="宋体"/>
          <w:color w:val="auto"/>
          <w:szCs w:val="21"/>
          <w:highlight w:val="none"/>
        </w:rPr>
        <w:t>监理期限：</w:t>
      </w:r>
    </w:p>
    <w:p w14:paraId="6629D63B">
      <w:pPr>
        <w:adjustRightInd w:val="0"/>
        <w:snapToGrid w:val="0"/>
        <w:spacing w:line="540" w:lineRule="exact"/>
        <w:ind w:firstLine="420" w:firstLineChars="200"/>
        <w:rPr>
          <w:rFonts w:ascii="宋体" w:hAnsi="宋体"/>
          <w:color w:val="auto"/>
          <w:szCs w:val="21"/>
          <w:highlight w:val="none"/>
        </w:rPr>
      </w:pPr>
    </w:p>
    <w:p w14:paraId="7BD50206">
      <w:pPr>
        <w:spacing w:line="540" w:lineRule="exact"/>
        <w:ind w:firstLine="417" w:firstLineChars="198"/>
        <w:outlineLvl w:val="0"/>
        <w:rPr>
          <w:rFonts w:ascii="宋体" w:hAnsi="宋体"/>
          <w:b/>
          <w:color w:val="auto"/>
          <w:szCs w:val="21"/>
          <w:highlight w:val="none"/>
        </w:rPr>
      </w:pPr>
      <w:r>
        <w:rPr>
          <w:rFonts w:hint="eastAsia" w:ascii="宋体" w:hAnsi="宋体"/>
          <w:b/>
          <w:color w:val="auto"/>
          <w:szCs w:val="21"/>
          <w:highlight w:val="none"/>
        </w:rPr>
        <w:t>七、双方承诺</w:t>
      </w:r>
    </w:p>
    <w:p w14:paraId="3029E36D">
      <w:pPr>
        <w:adjustRightInd w:val="0"/>
        <w:snapToGrid w:val="0"/>
        <w:spacing w:line="540" w:lineRule="exact"/>
        <w:ind w:firstLine="420" w:firstLineChars="200"/>
        <w:rPr>
          <w:rFonts w:ascii="宋体" w:hAnsi="宋体"/>
          <w:color w:val="auto"/>
          <w:szCs w:val="21"/>
          <w:highlight w:val="none"/>
        </w:rPr>
      </w:pPr>
      <w:r>
        <w:rPr>
          <w:rFonts w:hint="eastAsia" w:ascii="宋体" w:hAnsi="宋体"/>
          <w:color w:val="auto"/>
          <w:szCs w:val="21"/>
          <w:highlight w:val="none"/>
        </w:rPr>
        <w:t>1. 监理人向委托人承诺，按照本合同约定提供监理与相关服务。</w:t>
      </w:r>
    </w:p>
    <w:p w14:paraId="56B3B5CF">
      <w:pPr>
        <w:adjustRightInd w:val="0"/>
        <w:snapToGrid w:val="0"/>
        <w:spacing w:line="540" w:lineRule="exact"/>
        <w:ind w:firstLine="420" w:firstLineChars="200"/>
        <w:rPr>
          <w:rFonts w:ascii="宋体" w:hAnsi="宋体"/>
          <w:color w:val="auto"/>
          <w:szCs w:val="21"/>
          <w:highlight w:val="none"/>
        </w:rPr>
      </w:pPr>
      <w:r>
        <w:rPr>
          <w:rFonts w:hint="eastAsia" w:ascii="宋体" w:hAnsi="宋体"/>
          <w:color w:val="auto"/>
          <w:szCs w:val="21"/>
          <w:highlight w:val="none"/>
        </w:rPr>
        <w:t>2. 委托人向监理人承诺，按照本合同约定派遣相应的人员，提供房屋、资料、设备，并按本合同约定支付酬金。</w:t>
      </w:r>
    </w:p>
    <w:p w14:paraId="688D314C">
      <w:pPr>
        <w:spacing w:line="540" w:lineRule="exact"/>
        <w:ind w:firstLine="417" w:firstLineChars="198"/>
        <w:outlineLvl w:val="0"/>
        <w:rPr>
          <w:rFonts w:ascii="宋体" w:hAnsi="宋体"/>
          <w:b/>
          <w:color w:val="auto"/>
          <w:szCs w:val="21"/>
          <w:highlight w:val="none"/>
        </w:rPr>
      </w:pPr>
      <w:r>
        <w:rPr>
          <w:rFonts w:hint="eastAsia" w:ascii="宋体" w:hAnsi="宋体"/>
          <w:b/>
          <w:color w:val="auto"/>
          <w:szCs w:val="21"/>
          <w:highlight w:val="none"/>
        </w:rPr>
        <w:t>八、合同订立</w:t>
      </w:r>
    </w:p>
    <w:p w14:paraId="2E5F7877">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1. 订立时间：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33785E8B">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2. 订立地点：</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2AD40671">
      <w:pPr>
        <w:adjustRightInd w:val="0"/>
        <w:snapToGrid w:val="0"/>
        <w:spacing w:line="540" w:lineRule="exact"/>
        <w:ind w:firstLine="420" w:firstLineChars="200"/>
        <w:rPr>
          <w:rFonts w:ascii="宋体" w:hAnsi="宋体"/>
          <w:color w:val="auto"/>
          <w:szCs w:val="21"/>
          <w:highlight w:val="none"/>
        </w:rPr>
      </w:pPr>
      <w:r>
        <w:rPr>
          <w:rFonts w:hint="eastAsia" w:ascii="宋体" w:hAnsi="宋体"/>
          <w:color w:val="auto"/>
          <w:szCs w:val="21"/>
          <w:highlight w:val="none"/>
        </w:rPr>
        <w:t>3. 本合同自双方签字且盖章之日起生效。</w:t>
      </w:r>
    </w:p>
    <w:p w14:paraId="6DACDFB3">
      <w:pPr>
        <w:adjustRightInd w:val="0"/>
        <w:snapToGrid w:val="0"/>
        <w:spacing w:line="540" w:lineRule="exact"/>
        <w:ind w:firstLine="420" w:firstLineChars="200"/>
        <w:rPr>
          <w:rFonts w:ascii="宋体" w:hAnsi="宋体"/>
          <w:color w:val="auto"/>
          <w:szCs w:val="21"/>
          <w:highlight w:val="none"/>
        </w:rPr>
      </w:pPr>
      <w:r>
        <w:rPr>
          <w:rFonts w:hint="eastAsia" w:ascii="宋体" w:hAnsi="宋体"/>
          <w:color w:val="auto"/>
          <w:szCs w:val="21"/>
          <w:highlight w:val="none"/>
        </w:rPr>
        <w:t>4、本合同一式</w:t>
      </w:r>
      <w:r>
        <w:rPr>
          <w:rFonts w:hint="eastAsia" w:ascii="宋体" w:hAnsi="宋体"/>
          <w:color w:val="auto"/>
          <w:szCs w:val="21"/>
          <w:highlight w:val="none"/>
          <w:u w:val="single"/>
        </w:rPr>
        <w:t xml:space="preserve">  陆  </w:t>
      </w:r>
      <w:r>
        <w:rPr>
          <w:rFonts w:hint="eastAsia" w:ascii="宋体" w:hAnsi="宋体"/>
          <w:color w:val="auto"/>
          <w:szCs w:val="21"/>
          <w:highlight w:val="none"/>
        </w:rPr>
        <w:t>份，具有同等法律效力，双方各执</w:t>
      </w:r>
      <w:r>
        <w:rPr>
          <w:rFonts w:hint="eastAsia" w:ascii="宋体" w:hAnsi="宋体"/>
          <w:color w:val="auto"/>
          <w:szCs w:val="21"/>
          <w:highlight w:val="none"/>
          <w:u w:val="single"/>
        </w:rPr>
        <w:t xml:space="preserve">  叁   </w:t>
      </w:r>
      <w:r>
        <w:rPr>
          <w:rFonts w:hint="eastAsia" w:ascii="宋体" w:hAnsi="宋体"/>
          <w:color w:val="auto"/>
          <w:szCs w:val="21"/>
          <w:highlight w:val="none"/>
        </w:rPr>
        <w:t>份。</w:t>
      </w:r>
    </w:p>
    <w:p w14:paraId="627CBE46">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委托人：</w:t>
      </w:r>
      <w:r>
        <w:rPr>
          <w:rFonts w:hint="eastAsia" w:ascii="宋体" w:hAnsi="宋体"/>
          <w:color w:val="auto"/>
          <w:szCs w:val="21"/>
          <w:highlight w:val="none"/>
          <w:u w:val="single"/>
        </w:rPr>
        <w:t xml:space="preserve">   （盖章）           </w:t>
      </w:r>
      <w:r>
        <w:rPr>
          <w:rFonts w:hint="eastAsia" w:ascii="宋体" w:hAnsi="宋体"/>
          <w:color w:val="auto"/>
          <w:szCs w:val="21"/>
          <w:highlight w:val="none"/>
        </w:rPr>
        <w:t xml:space="preserve">         监理人：</w:t>
      </w:r>
      <w:r>
        <w:rPr>
          <w:rFonts w:hint="eastAsia" w:ascii="宋体" w:hAnsi="宋体"/>
          <w:color w:val="auto"/>
          <w:szCs w:val="21"/>
          <w:highlight w:val="none"/>
          <w:u w:val="single"/>
        </w:rPr>
        <w:t xml:space="preserve">（盖章）                </w:t>
      </w:r>
    </w:p>
    <w:p w14:paraId="4B75CA2E">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 xml:space="preserve">住所： </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住所： </w:t>
      </w:r>
      <w:r>
        <w:rPr>
          <w:rFonts w:hint="eastAsia" w:ascii="宋体" w:hAnsi="宋体"/>
          <w:color w:val="auto"/>
          <w:szCs w:val="21"/>
          <w:highlight w:val="none"/>
          <w:u w:val="single"/>
        </w:rPr>
        <w:t xml:space="preserve">                         </w:t>
      </w:r>
    </w:p>
    <w:p w14:paraId="3F5C1643">
      <w:pPr>
        <w:adjustRightInd w:val="0"/>
        <w:snapToGrid w:val="0"/>
        <w:spacing w:line="540" w:lineRule="exact"/>
        <w:ind w:firstLine="420" w:firstLineChars="200"/>
        <w:rPr>
          <w:rFonts w:ascii="宋体" w:hAnsi="宋体"/>
          <w:color w:val="auto"/>
          <w:szCs w:val="21"/>
          <w:highlight w:val="none"/>
        </w:rPr>
      </w:pPr>
      <w:r>
        <w:rPr>
          <w:rFonts w:hint="eastAsia" w:ascii="宋体" w:hAnsi="宋体"/>
          <w:color w:val="auto"/>
          <w:szCs w:val="21"/>
          <w:highlight w:val="none"/>
        </w:rPr>
        <w:t>邮政编码：</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邮政编码：</w:t>
      </w:r>
      <w:r>
        <w:rPr>
          <w:rFonts w:hint="eastAsia" w:ascii="宋体" w:hAnsi="宋体"/>
          <w:color w:val="auto"/>
          <w:szCs w:val="21"/>
          <w:highlight w:val="none"/>
          <w:u w:val="single"/>
        </w:rPr>
        <w:t xml:space="preserve">                      </w:t>
      </w:r>
    </w:p>
    <w:p w14:paraId="73853072">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法定代表人或其授权                     法定代表人或其授权</w:t>
      </w:r>
    </w:p>
    <w:p w14:paraId="65288AD5">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的代理人：</w:t>
      </w:r>
      <w:r>
        <w:rPr>
          <w:rFonts w:hint="eastAsia" w:ascii="宋体" w:hAnsi="宋体"/>
          <w:color w:val="auto"/>
          <w:szCs w:val="21"/>
          <w:highlight w:val="none"/>
          <w:u w:val="single"/>
        </w:rPr>
        <w:t xml:space="preserve">（签字）             </w:t>
      </w:r>
      <w:r>
        <w:rPr>
          <w:rFonts w:hint="eastAsia" w:ascii="宋体" w:hAnsi="宋体"/>
          <w:color w:val="auto"/>
          <w:szCs w:val="21"/>
          <w:highlight w:val="none"/>
        </w:rPr>
        <w:t xml:space="preserve">         的代理人：</w:t>
      </w:r>
      <w:r>
        <w:rPr>
          <w:rFonts w:hint="eastAsia" w:ascii="宋体" w:hAnsi="宋体"/>
          <w:color w:val="auto"/>
          <w:szCs w:val="21"/>
          <w:highlight w:val="none"/>
          <w:u w:val="single"/>
        </w:rPr>
        <w:t xml:space="preserve">（签字）               </w:t>
      </w:r>
    </w:p>
    <w:p w14:paraId="7100C33F">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开户银行：</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开户银行：</w:t>
      </w:r>
      <w:r>
        <w:rPr>
          <w:rFonts w:hint="eastAsia" w:ascii="宋体" w:hAnsi="宋体"/>
          <w:color w:val="auto"/>
          <w:szCs w:val="21"/>
          <w:highlight w:val="none"/>
          <w:u w:val="single"/>
        </w:rPr>
        <w:t xml:space="preserve">                      </w:t>
      </w:r>
    </w:p>
    <w:p w14:paraId="1ACBB27D">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账号：</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账号：</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14:paraId="158D455C">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电话：</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电话：</w:t>
      </w:r>
      <w:r>
        <w:rPr>
          <w:rFonts w:hint="eastAsia" w:ascii="宋体" w:hAnsi="宋体"/>
          <w:color w:val="auto"/>
          <w:szCs w:val="21"/>
          <w:highlight w:val="none"/>
          <w:u w:val="single"/>
        </w:rPr>
        <w:t xml:space="preserve">                          </w:t>
      </w:r>
    </w:p>
    <w:p w14:paraId="7AE9D879">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传真：</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传真：</w:t>
      </w:r>
      <w:r>
        <w:rPr>
          <w:rFonts w:hint="eastAsia" w:ascii="宋体" w:hAnsi="宋体"/>
          <w:color w:val="auto"/>
          <w:szCs w:val="21"/>
          <w:highlight w:val="none"/>
          <w:u w:val="single"/>
        </w:rPr>
        <w:t xml:space="preserve">                          </w:t>
      </w:r>
    </w:p>
    <w:p w14:paraId="2E9FEF99">
      <w:pPr>
        <w:adjustRightInd w:val="0"/>
        <w:snapToGrid w:val="0"/>
        <w:spacing w:line="540" w:lineRule="exact"/>
        <w:ind w:firstLine="415" w:firstLineChars="198"/>
        <w:rPr>
          <w:rFonts w:ascii="宋体" w:hAnsi="宋体"/>
          <w:color w:val="auto"/>
          <w:szCs w:val="21"/>
          <w:highlight w:val="none"/>
          <w:u w:val="single"/>
        </w:rPr>
      </w:pPr>
      <w:r>
        <w:rPr>
          <w:rFonts w:hint="eastAsia" w:ascii="宋体" w:hAnsi="宋体"/>
          <w:color w:val="auto"/>
          <w:szCs w:val="21"/>
          <w:highlight w:val="none"/>
        </w:rPr>
        <w:t>电子邮箱：</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电子邮箱：</w:t>
      </w:r>
      <w:r>
        <w:rPr>
          <w:rFonts w:hint="eastAsia" w:ascii="宋体" w:hAnsi="宋体"/>
          <w:color w:val="auto"/>
          <w:szCs w:val="21"/>
          <w:highlight w:val="none"/>
          <w:u w:val="single"/>
        </w:rPr>
        <w:t xml:space="preserve">                      </w:t>
      </w:r>
    </w:p>
    <w:p w14:paraId="69D15677">
      <w:pPr>
        <w:adjustRightInd w:val="0"/>
        <w:snapToGrid w:val="0"/>
        <w:spacing w:line="540" w:lineRule="exact"/>
        <w:ind w:firstLine="415" w:firstLineChars="198"/>
        <w:rPr>
          <w:rFonts w:ascii="宋体" w:hAnsi="宋体"/>
          <w:color w:val="auto"/>
          <w:szCs w:val="21"/>
          <w:highlight w:val="none"/>
          <w:u w:val="single"/>
        </w:rPr>
      </w:pPr>
    </w:p>
    <w:p w14:paraId="679B8D95">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 xml:space="preserve">合同鉴证方： </w:t>
      </w:r>
      <w:r>
        <w:rPr>
          <w:rFonts w:hint="eastAsia" w:ascii="宋体" w:hAnsi="宋体"/>
          <w:color w:val="auto"/>
          <w:szCs w:val="21"/>
          <w:highlight w:val="none"/>
          <w:u w:val="single"/>
        </w:rPr>
        <w:t xml:space="preserve">                             </w:t>
      </w:r>
      <w:r>
        <w:rPr>
          <w:rFonts w:hint="eastAsia" w:ascii="宋体" w:hAnsi="宋体"/>
          <w:color w:val="auto"/>
          <w:szCs w:val="21"/>
          <w:highlight w:val="none"/>
        </w:rPr>
        <w:t xml:space="preserve"> </w:t>
      </w:r>
    </w:p>
    <w:p w14:paraId="7E4A19A4">
      <w:pPr>
        <w:adjustRightInd w:val="0"/>
        <w:snapToGrid w:val="0"/>
        <w:spacing w:line="540" w:lineRule="exact"/>
        <w:ind w:firstLine="415" w:firstLineChars="198"/>
        <w:rPr>
          <w:rFonts w:ascii="宋体" w:hAnsi="宋体"/>
          <w:color w:val="auto"/>
          <w:szCs w:val="21"/>
          <w:highlight w:val="none"/>
        </w:rPr>
      </w:pPr>
      <w:r>
        <w:rPr>
          <w:rFonts w:hint="eastAsia" w:ascii="宋体" w:hAnsi="宋体"/>
          <w:color w:val="auto"/>
          <w:szCs w:val="21"/>
          <w:highlight w:val="none"/>
        </w:rPr>
        <w:t xml:space="preserve">鉴证日期： </w:t>
      </w:r>
      <w:r>
        <w:rPr>
          <w:rFonts w:hint="eastAsia" w:ascii="宋体" w:hAnsi="宋体"/>
          <w:color w:val="auto"/>
          <w:szCs w:val="21"/>
          <w:highlight w:val="none"/>
          <w:u w:val="single"/>
        </w:rPr>
        <w:t xml:space="preserve">                               </w:t>
      </w:r>
    </w:p>
    <w:p w14:paraId="262072CB">
      <w:pPr>
        <w:adjustRightInd w:val="0"/>
        <w:snapToGrid w:val="0"/>
        <w:spacing w:line="540" w:lineRule="exact"/>
        <w:ind w:firstLine="415" w:firstLineChars="198"/>
        <w:rPr>
          <w:rFonts w:ascii="宋体" w:hAnsi="宋体"/>
          <w:color w:val="auto"/>
          <w:szCs w:val="21"/>
          <w:highlight w:val="none"/>
        </w:rPr>
      </w:pPr>
    </w:p>
    <w:p w14:paraId="6FDC3557">
      <w:pPr>
        <w:pageBreakBefore/>
        <w:spacing w:line="360" w:lineRule="auto"/>
        <w:jc w:val="center"/>
        <w:rPr>
          <w:rFonts w:ascii="宋体" w:hAnsi="宋体"/>
          <w:b/>
          <w:color w:val="auto"/>
          <w:sz w:val="28"/>
          <w:szCs w:val="28"/>
          <w:highlight w:val="none"/>
        </w:rPr>
      </w:pPr>
      <w:r>
        <w:rPr>
          <w:rFonts w:hint="eastAsia" w:ascii="宋体" w:hAnsi="宋体"/>
          <w:b/>
          <w:color w:val="auto"/>
          <w:sz w:val="28"/>
          <w:szCs w:val="28"/>
          <w:highlight w:val="none"/>
        </w:rPr>
        <w:t>第二部分  通用条款</w:t>
      </w:r>
    </w:p>
    <w:p w14:paraId="54211735">
      <w:pPr>
        <w:spacing w:line="360" w:lineRule="auto"/>
        <w:jc w:val="center"/>
        <w:rPr>
          <w:rFonts w:ascii="宋体" w:hAnsi="宋体"/>
          <w:b/>
          <w:color w:val="auto"/>
          <w:sz w:val="36"/>
          <w:szCs w:val="36"/>
          <w:highlight w:val="none"/>
        </w:rPr>
      </w:pPr>
      <w:r>
        <w:rPr>
          <w:rFonts w:hint="eastAsia" w:ascii="宋体" w:hAnsi="宋体"/>
          <w:b/>
          <w:color w:val="auto"/>
          <w:sz w:val="36"/>
          <w:szCs w:val="36"/>
          <w:highlight w:val="none"/>
        </w:rPr>
        <w:t>略</w:t>
      </w:r>
    </w:p>
    <w:p w14:paraId="1F24915A">
      <w:pPr>
        <w:pageBreakBefore/>
        <w:spacing w:line="360" w:lineRule="auto"/>
        <w:jc w:val="center"/>
        <w:rPr>
          <w:rFonts w:ascii="宋体" w:hAnsi="宋体"/>
          <w:b/>
          <w:color w:val="auto"/>
          <w:sz w:val="28"/>
          <w:szCs w:val="28"/>
          <w:highlight w:val="none"/>
        </w:rPr>
      </w:pPr>
      <w:r>
        <w:rPr>
          <w:rFonts w:hint="eastAsia" w:ascii="宋体" w:hAnsi="宋体"/>
          <w:b/>
          <w:color w:val="auto"/>
          <w:sz w:val="28"/>
          <w:szCs w:val="28"/>
          <w:highlight w:val="none"/>
        </w:rPr>
        <w:t>第三部分  专用条款</w:t>
      </w:r>
    </w:p>
    <w:p w14:paraId="412B48B2">
      <w:pPr>
        <w:spacing w:line="360" w:lineRule="auto"/>
        <w:jc w:val="center"/>
        <w:rPr>
          <w:rFonts w:ascii="宋体" w:hAnsi="宋体"/>
          <w:b/>
          <w:color w:val="auto"/>
          <w:szCs w:val="21"/>
          <w:highlight w:val="none"/>
        </w:rPr>
      </w:pPr>
    </w:p>
    <w:p w14:paraId="244FE7BE">
      <w:pPr>
        <w:adjustRightInd w:val="0"/>
        <w:snapToGrid w:val="0"/>
        <w:spacing w:line="360" w:lineRule="auto"/>
        <w:rPr>
          <w:rFonts w:ascii="宋体" w:hAnsi="宋体"/>
          <w:b/>
          <w:color w:val="auto"/>
          <w:szCs w:val="21"/>
          <w:highlight w:val="none"/>
        </w:rPr>
      </w:pPr>
      <w:r>
        <w:rPr>
          <w:rFonts w:hint="eastAsia" w:ascii="宋体" w:hAnsi="宋体"/>
          <w:b/>
          <w:color w:val="auto"/>
          <w:szCs w:val="21"/>
          <w:highlight w:val="none"/>
        </w:rPr>
        <w:t>1. 定义与解释</w:t>
      </w:r>
    </w:p>
    <w:p w14:paraId="2A6999DD">
      <w:pPr>
        <w:adjustRightInd w:val="0"/>
        <w:snapToGrid w:val="0"/>
        <w:spacing w:line="360" w:lineRule="auto"/>
        <w:rPr>
          <w:rFonts w:ascii="宋体" w:hAnsi="宋体"/>
          <w:color w:val="auto"/>
          <w:szCs w:val="21"/>
          <w:highlight w:val="none"/>
        </w:rPr>
      </w:pPr>
      <w:r>
        <w:rPr>
          <w:rFonts w:hint="eastAsia" w:ascii="宋体" w:hAnsi="宋体"/>
          <w:color w:val="auto"/>
          <w:szCs w:val="21"/>
          <w:highlight w:val="none"/>
        </w:rPr>
        <w:t xml:space="preserve">  1.2  解释</w:t>
      </w:r>
    </w:p>
    <w:p w14:paraId="3A22ED88">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1.2.1 本合同文件除使用中文外，还可用</w:t>
      </w:r>
      <w:r>
        <w:rPr>
          <w:rFonts w:hint="eastAsia" w:ascii="宋体" w:hAnsi="宋体"/>
          <w:color w:val="auto"/>
          <w:szCs w:val="21"/>
          <w:highlight w:val="none"/>
          <w:u w:val="single"/>
        </w:rPr>
        <w:t xml:space="preserve">     /    </w:t>
      </w:r>
      <w:r>
        <w:rPr>
          <w:rFonts w:hint="eastAsia" w:ascii="宋体" w:hAnsi="宋体"/>
          <w:color w:val="auto"/>
          <w:szCs w:val="21"/>
          <w:highlight w:val="none"/>
        </w:rPr>
        <w:t>。</w:t>
      </w:r>
    </w:p>
    <w:p w14:paraId="060DABA5">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1.2.2 约定本合同文件的解释顺序为：</w:t>
      </w:r>
      <w:r>
        <w:rPr>
          <w:rFonts w:hint="eastAsia" w:ascii="宋体" w:hAnsi="宋体"/>
          <w:color w:val="auto"/>
          <w:szCs w:val="21"/>
          <w:highlight w:val="none"/>
          <w:u w:val="single"/>
        </w:rPr>
        <w:t xml:space="preserve">          按通用条件           </w:t>
      </w:r>
    </w:p>
    <w:p w14:paraId="7E692485">
      <w:pPr>
        <w:adjustRightInd w:val="0"/>
        <w:snapToGrid w:val="0"/>
        <w:spacing w:line="360" w:lineRule="auto"/>
        <w:rPr>
          <w:rFonts w:ascii="宋体" w:hAnsi="宋体"/>
          <w:b/>
          <w:color w:val="auto"/>
          <w:szCs w:val="21"/>
          <w:highlight w:val="none"/>
        </w:rPr>
      </w:pPr>
      <w:r>
        <w:rPr>
          <w:rFonts w:hint="eastAsia" w:ascii="宋体" w:hAnsi="宋体"/>
          <w:b/>
          <w:color w:val="auto"/>
          <w:szCs w:val="21"/>
          <w:highlight w:val="none"/>
        </w:rPr>
        <w:t>2. 监理人义务</w:t>
      </w:r>
    </w:p>
    <w:p w14:paraId="28984D5F">
      <w:pPr>
        <w:adjustRightInd w:val="0"/>
        <w:snapToGrid w:val="0"/>
        <w:spacing w:line="360" w:lineRule="auto"/>
        <w:ind w:firstLine="205" w:firstLineChars="98"/>
        <w:rPr>
          <w:rFonts w:ascii="宋体" w:hAnsi="宋体"/>
          <w:color w:val="auto"/>
          <w:szCs w:val="21"/>
          <w:highlight w:val="none"/>
        </w:rPr>
      </w:pPr>
      <w:r>
        <w:rPr>
          <w:rFonts w:hint="eastAsia" w:ascii="宋体" w:hAnsi="宋体"/>
          <w:color w:val="auto"/>
          <w:szCs w:val="21"/>
          <w:highlight w:val="none"/>
        </w:rPr>
        <w:t>2.1 监理的范围和</w:t>
      </w:r>
      <w:r>
        <w:rPr>
          <w:rFonts w:hint="eastAsia" w:ascii="宋体" w:hAnsi="宋体"/>
          <w:bCs/>
          <w:color w:val="auto"/>
          <w:szCs w:val="21"/>
          <w:highlight w:val="none"/>
        </w:rPr>
        <w:t>内容</w:t>
      </w:r>
    </w:p>
    <w:p w14:paraId="2BEBC217">
      <w:pPr>
        <w:autoSpaceDE w:val="0"/>
        <w:autoSpaceDN w:val="0"/>
        <w:adjustRightInd w:val="0"/>
        <w:snapToGrid w:val="0"/>
        <w:spacing w:line="400" w:lineRule="atLeast"/>
        <w:ind w:firstLine="420" w:firstLineChars="200"/>
        <w:rPr>
          <w:rFonts w:ascii="宋体" w:hAnsi="宋体"/>
          <w:color w:val="auto"/>
          <w:szCs w:val="21"/>
          <w:highlight w:val="none"/>
          <w:lang w:val="zh-CN"/>
        </w:rPr>
      </w:pPr>
      <w:r>
        <w:rPr>
          <w:rFonts w:hint="eastAsia" w:ascii="宋体" w:hAnsi="宋体"/>
          <w:color w:val="auto"/>
          <w:szCs w:val="21"/>
          <w:highlight w:val="none"/>
        </w:rPr>
        <w:t>2.1.1 监理范围包括：</w:t>
      </w:r>
      <w:r>
        <w:rPr>
          <w:rFonts w:hint="eastAsia" w:ascii="宋体" w:hAnsi="宋体"/>
          <w:color w:val="auto"/>
          <w:szCs w:val="21"/>
          <w:highlight w:val="none"/>
          <w:u w:val="single"/>
        </w:rPr>
        <w:t>施工图范围内的工程施工阶段及保修期阶段全过程监理 ，包括但不限于：</w:t>
      </w:r>
    </w:p>
    <w:p w14:paraId="530E755E">
      <w:pPr>
        <w:spacing w:line="440" w:lineRule="exact"/>
        <w:ind w:firstLine="420" w:firstLineChars="200"/>
        <w:rPr>
          <w:rFonts w:ascii="宋体" w:hAnsi="宋体"/>
          <w:color w:val="auto"/>
          <w:szCs w:val="21"/>
          <w:highlight w:val="none"/>
          <w:u w:val="single"/>
        </w:rPr>
      </w:pPr>
      <w:r>
        <w:rPr>
          <w:rFonts w:hint="eastAsia" w:ascii="宋体" w:hAnsi="宋体"/>
          <w:color w:val="auto"/>
          <w:szCs w:val="21"/>
          <w:highlight w:val="none"/>
          <w:u w:val="single"/>
        </w:rPr>
        <w:t>a、施工图所示全部内容的监理；</w:t>
      </w:r>
    </w:p>
    <w:p w14:paraId="7895B884">
      <w:pPr>
        <w:spacing w:line="440" w:lineRule="exact"/>
        <w:ind w:firstLine="420" w:firstLineChars="200"/>
        <w:rPr>
          <w:rFonts w:ascii="宋体" w:hAnsi="宋体"/>
          <w:color w:val="auto"/>
          <w:szCs w:val="21"/>
          <w:highlight w:val="none"/>
          <w:u w:val="single"/>
        </w:rPr>
      </w:pPr>
      <w:r>
        <w:rPr>
          <w:rFonts w:hint="eastAsia" w:ascii="宋体" w:hAnsi="宋体"/>
          <w:color w:val="auto"/>
          <w:szCs w:val="21"/>
          <w:highlight w:val="none"/>
          <w:u w:val="single"/>
        </w:rPr>
        <w:t xml:space="preserve">b、可能出现的施工图修改引起的工程量增减以及根据甲方明确指令需在施工图范围外增加的工程； </w:t>
      </w:r>
    </w:p>
    <w:p w14:paraId="44A6248B">
      <w:pPr>
        <w:spacing w:line="440" w:lineRule="exact"/>
        <w:ind w:firstLine="420" w:firstLineChars="200"/>
        <w:rPr>
          <w:rFonts w:ascii="宋体" w:hAnsi="宋体"/>
          <w:color w:val="auto"/>
          <w:szCs w:val="21"/>
          <w:highlight w:val="none"/>
          <w:u w:val="single"/>
        </w:rPr>
      </w:pPr>
      <w:r>
        <w:rPr>
          <w:rFonts w:hint="eastAsia" w:ascii="宋体" w:hAnsi="宋体"/>
          <w:color w:val="auto"/>
          <w:szCs w:val="21"/>
          <w:highlight w:val="none"/>
          <w:u w:val="single"/>
        </w:rPr>
        <w:t>c、施工过程中遇到的各种管线的施工协调与配合及需保护的现有管线和房屋、树木的监护；</w:t>
      </w:r>
    </w:p>
    <w:p w14:paraId="3BC7C3CC">
      <w:pPr>
        <w:spacing w:line="440" w:lineRule="exact"/>
        <w:ind w:firstLine="420" w:firstLineChars="200"/>
        <w:rPr>
          <w:rFonts w:ascii="宋体" w:hAnsi="宋体"/>
          <w:color w:val="auto"/>
          <w:szCs w:val="21"/>
          <w:highlight w:val="none"/>
          <w:u w:val="single"/>
        </w:rPr>
      </w:pPr>
      <w:r>
        <w:rPr>
          <w:rFonts w:hint="eastAsia" w:ascii="宋体" w:hAnsi="宋体"/>
          <w:color w:val="auto"/>
          <w:szCs w:val="21"/>
          <w:highlight w:val="none"/>
          <w:u w:val="single"/>
        </w:rPr>
        <w:t>d、施工过程中的各种交通协调与配合；</w:t>
      </w:r>
    </w:p>
    <w:p w14:paraId="2FCD82DE">
      <w:pPr>
        <w:adjustRightInd w:val="0"/>
        <w:snapToGrid w:val="0"/>
        <w:spacing w:line="380" w:lineRule="exact"/>
        <w:ind w:firstLine="420" w:firstLineChars="200"/>
        <w:rPr>
          <w:rFonts w:ascii="宋体" w:hAnsi="宋体"/>
          <w:b/>
          <w:color w:val="auto"/>
          <w:szCs w:val="21"/>
          <w:highlight w:val="none"/>
        </w:rPr>
      </w:pPr>
      <w:r>
        <w:rPr>
          <w:rFonts w:hint="eastAsia" w:ascii="宋体" w:hAnsi="宋体"/>
          <w:color w:val="auto"/>
          <w:szCs w:val="21"/>
          <w:highlight w:val="none"/>
          <w:u w:val="single"/>
        </w:rPr>
        <w:t xml:space="preserve">e、施工过程中的文明施工、安全生产、投资控制、进度控制、质量控制。  </w:t>
      </w:r>
    </w:p>
    <w:p w14:paraId="06A5B9FC">
      <w:pPr>
        <w:spacing w:line="440" w:lineRule="exact"/>
        <w:ind w:firstLine="420" w:firstLineChars="200"/>
        <w:rPr>
          <w:rFonts w:ascii="宋体" w:hAnsi="宋体"/>
          <w:color w:val="auto"/>
          <w:szCs w:val="21"/>
          <w:highlight w:val="none"/>
          <w:u w:val="single"/>
        </w:rPr>
      </w:pPr>
      <w:r>
        <w:rPr>
          <w:rFonts w:hint="eastAsia" w:ascii="宋体" w:hAnsi="宋体"/>
          <w:color w:val="auto"/>
          <w:szCs w:val="21"/>
          <w:highlight w:val="none"/>
        </w:rPr>
        <w:t>2.1.2 监理工作内容还包括：</w:t>
      </w:r>
      <w:r>
        <w:rPr>
          <w:rFonts w:hint="eastAsia" w:ascii="宋体" w:hAnsi="宋体"/>
          <w:color w:val="auto"/>
          <w:szCs w:val="21"/>
          <w:highlight w:val="none"/>
          <w:u w:val="single"/>
        </w:rPr>
        <w:t xml:space="preserve"> 监理人向委托人承诺，按照本合同约定提供监理与相关服务。在监理与相关服务范围内，委托人和承包人提出的意见和要求，监理人应及时提出处置意见。当委托人与承包人之间发生合同争议时，监理人应协助委托人与承包人协商解决。</w:t>
      </w:r>
    </w:p>
    <w:p w14:paraId="38F1865C">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2.1.3</w:t>
      </w:r>
      <w:r>
        <w:rPr>
          <w:rFonts w:hint="eastAsia" w:ascii="宋体" w:hAnsi="宋体"/>
          <w:color w:val="auto"/>
          <w:szCs w:val="21"/>
          <w:highlight w:val="none"/>
          <w:u w:val="single"/>
        </w:rPr>
        <w:t>监理人应按专用条件约定的种类、时间和份数向委托人提交监理与相关服务的报告。</w:t>
      </w:r>
    </w:p>
    <w:p w14:paraId="3D96E1BA">
      <w:pPr>
        <w:spacing w:line="440" w:lineRule="exact"/>
        <w:ind w:firstLine="420" w:firstLineChars="200"/>
        <w:rPr>
          <w:rFonts w:ascii="宋体" w:hAnsi="宋体"/>
          <w:color w:val="auto"/>
          <w:szCs w:val="21"/>
          <w:highlight w:val="none"/>
          <w:u w:val="single"/>
        </w:rPr>
      </w:pPr>
      <w:r>
        <w:rPr>
          <w:rFonts w:hint="eastAsia" w:ascii="宋体" w:hAnsi="宋体"/>
          <w:color w:val="auto"/>
          <w:szCs w:val="21"/>
          <w:highlight w:val="none"/>
        </w:rPr>
        <w:t>2.1.4</w:t>
      </w:r>
      <w:r>
        <w:rPr>
          <w:rFonts w:hint="eastAsia" w:ascii="宋体" w:hAnsi="宋体"/>
          <w:color w:val="auto"/>
          <w:szCs w:val="21"/>
          <w:highlight w:val="none"/>
          <w:u w:val="single"/>
        </w:rPr>
        <w:t xml:space="preserve">工程建设监理人的主要内容是质量控制、进度控制、投资控制、合同管理、信息管理、组织协调、安全文明施工等，具体工作内容如下（包含但不仅限于）： </w:t>
      </w:r>
    </w:p>
    <w:p w14:paraId="5241FFCA">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a、协助委托人做好开工前准备，办理工程开工审批手续，审核承包人编制的开工报告，经业主同意下达开工令；</w:t>
      </w:r>
    </w:p>
    <w:p w14:paraId="412D97B2">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b、协助委托人进行工程施工、材料、设备等采购工作，就中标人的确定提供建议；</w:t>
      </w:r>
    </w:p>
    <w:p w14:paraId="1908E919">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c、协助委托人审核施工图的设计和概（预）算，参与施工图纸的会审，参加工地例会，做好记录，写出会议纪要；</w:t>
      </w:r>
    </w:p>
    <w:p w14:paraId="0AD32739">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d、审核承包人提交的施工组织设计、施工技术方案、施工进度计划、施工质量保证体系和施工安全保证体系，提出审核意见；</w:t>
      </w:r>
    </w:p>
    <w:p w14:paraId="337207D4">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e、负责施工质量控制，督促、检查承包人执行工程承包合同和国家工程技术规范、标准情况，就工程中发现的质量问题及时向委托人报告，并向施工单位发出整改通知单并督促落实；参与该工程材料设备的抽检工作；</w:t>
      </w:r>
    </w:p>
    <w:p w14:paraId="6509410F">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f、检查、督促工程施工进度，就施工进度延迟向施工单位发出整改通知单，并督促施工单位及时调整进度计划，确保工期目标；</w:t>
      </w:r>
    </w:p>
    <w:p w14:paraId="54201823">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g、对施工安全生产和文明生产进行监督检查，检查施工单位现场管理情况，安全生产和文明施工环境状况，对现场存在的影响安全生产、文明施工的情形发出整改通知单并督促落实；</w:t>
      </w:r>
    </w:p>
    <w:p w14:paraId="6CBEC7D1">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h、参与委托人或承包人采购的材料、设备和构配件的检查、检验、督促承包人编制材料供需计划，协助委托人安排甲供材料的供应计划；</w:t>
      </w:r>
    </w:p>
    <w:p w14:paraId="529605CE">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i、主持召开工程各类协调会议，起草会议纪要，落实需要整改的事项；</w:t>
      </w:r>
    </w:p>
    <w:p w14:paraId="51695219">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j、协助委托方对工程投资进行控制，对施工单位提出的付款申请中实际已完工程量进行审核，签发工程进度款支付证书，对审核的已完工程量及签发的工程进度款证书准确性负责，如因监理人审核工程量不实导致委托人多支付工程款的，监理人应赔偿因此给委托人造成的损失；</w:t>
      </w:r>
    </w:p>
    <w:p w14:paraId="32DFD32A">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k、负责施工现场联系单的初审，初审完毕后提交委托方审核签署意见，协助委托人对施工单位的反索赔工作；</w:t>
      </w:r>
    </w:p>
    <w:p w14:paraId="18916109">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l、编制监理规划、监理细则、监理总结及质量评估报告、监理旁站记录等监理文件及资料，定期向委托人汇报监理情况；</w:t>
      </w:r>
    </w:p>
    <w:p w14:paraId="3C301523">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m、征得委托人同意后，发布停工令、复工令。</w:t>
      </w:r>
    </w:p>
    <w:p w14:paraId="125A4719">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n、组织工程初步验收，出具验收意见，协助委托方组织交工验收、竣工验收后及时向委托人提交完整的监理资料，督促施工单位整理合同文件、技术档案资料和竣工验收资料，配合委托人办理竣工验收备案手续，协助委托人进行工程竣工结算；</w:t>
      </w:r>
    </w:p>
    <w:p w14:paraId="1C10A9C9">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o、完成工程保修期间的监理服务，督促审查责任单位编制维修方案并对维修过程进行监督检查验收；</w:t>
      </w:r>
    </w:p>
    <w:p w14:paraId="6406ED2E">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u w:val="single"/>
        </w:rPr>
        <w:t>p、其他现行及根据监理期间新发布的国家法律、法规、规章及规范规定及招标文件规定的监理人应履行监理工作。</w:t>
      </w:r>
      <w:r>
        <w:rPr>
          <w:rFonts w:hint="eastAsia" w:ascii="宋体" w:hAnsi="宋体"/>
          <w:color w:val="auto"/>
          <w:szCs w:val="21"/>
          <w:highlight w:val="none"/>
        </w:rPr>
        <w:t>。</w:t>
      </w:r>
    </w:p>
    <w:p w14:paraId="6C11D8D4">
      <w:pPr>
        <w:spacing w:line="360" w:lineRule="auto"/>
        <w:ind w:firstLine="205" w:firstLineChars="98"/>
        <w:rPr>
          <w:rFonts w:ascii="宋体" w:hAnsi="宋体"/>
          <w:color w:val="auto"/>
          <w:szCs w:val="21"/>
          <w:highlight w:val="none"/>
        </w:rPr>
      </w:pPr>
      <w:r>
        <w:rPr>
          <w:rFonts w:hint="eastAsia" w:ascii="宋体" w:hAnsi="宋体"/>
          <w:color w:val="auto"/>
          <w:szCs w:val="21"/>
          <w:highlight w:val="none"/>
        </w:rPr>
        <w:t>2.2 监理与相关服务依据</w:t>
      </w:r>
    </w:p>
    <w:p w14:paraId="59D72044">
      <w:pPr>
        <w:spacing w:line="360" w:lineRule="auto"/>
        <w:jc w:val="left"/>
        <w:rPr>
          <w:rFonts w:ascii="宋体" w:hAnsi="宋体"/>
          <w:color w:val="auto"/>
          <w:szCs w:val="21"/>
          <w:highlight w:val="none"/>
        </w:rPr>
      </w:pPr>
      <w:r>
        <w:rPr>
          <w:rFonts w:hint="eastAsia" w:ascii="宋体" w:hAnsi="宋体"/>
          <w:color w:val="auto"/>
          <w:szCs w:val="21"/>
          <w:highlight w:val="none"/>
        </w:rPr>
        <w:t>2.2.1 监理依据包括：</w:t>
      </w:r>
    </w:p>
    <w:p w14:paraId="2964E775">
      <w:pPr>
        <w:spacing w:line="360" w:lineRule="auto"/>
        <w:jc w:val="left"/>
        <w:rPr>
          <w:rFonts w:ascii="宋体" w:hAnsi="宋体"/>
          <w:color w:val="auto"/>
          <w:szCs w:val="21"/>
          <w:highlight w:val="none"/>
          <w:u w:val="single"/>
        </w:rPr>
      </w:pPr>
      <w:r>
        <w:rPr>
          <w:rFonts w:hint="eastAsia" w:ascii="宋体" w:hAnsi="宋体"/>
          <w:color w:val="auto"/>
          <w:szCs w:val="21"/>
          <w:highlight w:val="none"/>
        </w:rPr>
        <w:t xml:space="preserve"> </w:t>
      </w:r>
      <w:r>
        <w:rPr>
          <w:rFonts w:hint="eastAsia" w:ascii="宋体" w:hAnsi="宋体"/>
          <w:color w:val="auto"/>
          <w:szCs w:val="21"/>
          <w:highlight w:val="none"/>
          <w:u w:val="single"/>
        </w:rPr>
        <w:t>(</w:t>
      </w:r>
      <w:r>
        <w:rPr>
          <w:rFonts w:ascii="宋体" w:hAnsi="宋体"/>
          <w:color w:val="auto"/>
          <w:szCs w:val="21"/>
          <w:highlight w:val="none"/>
          <w:u w:val="single"/>
        </w:rPr>
        <w:t>1</w:t>
      </w:r>
      <w:r>
        <w:rPr>
          <w:rFonts w:hint="eastAsia" w:ascii="宋体" w:hAnsi="宋体"/>
          <w:color w:val="auto"/>
          <w:szCs w:val="21"/>
          <w:highlight w:val="none"/>
          <w:u w:val="single"/>
        </w:rPr>
        <w:t>)、适用法规：国家颁布的有关法律、行政法规，建设部或专业部门规章及工程所在地的地方性法规、规章。</w:t>
      </w:r>
    </w:p>
    <w:p w14:paraId="3B53332A">
      <w:pPr>
        <w:spacing w:line="360" w:lineRule="auto"/>
        <w:jc w:val="left"/>
        <w:rPr>
          <w:rFonts w:ascii="宋体" w:hAnsi="宋体"/>
          <w:color w:val="auto"/>
          <w:szCs w:val="21"/>
          <w:highlight w:val="none"/>
          <w:u w:val="single"/>
        </w:rPr>
      </w:pPr>
      <w:r>
        <w:rPr>
          <w:rFonts w:hint="eastAsia" w:ascii="宋体" w:hAnsi="宋体"/>
          <w:color w:val="auto"/>
          <w:szCs w:val="21"/>
          <w:highlight w:val="none"/>
          <w:u w:val="single"/>
        </w:rPr>
        <w:t>(</w:t>
      </w:r>
      <w:r>
        <w:rPr>
          <w:rFonts w:ascii="宋体" w:hAnsi="宋体"/>
          <w:color w:val="auto"/>
          <w:szCs w:val="21"/>
          <w:highlight w:val="none"/>
          <w:u w:val="single"/>
        </w:rPr>
        <w:t>2</w:t>
      </w:r>
      <w:r>
        <w:rPr>
          <w:rFonts w:hint="eastAsia" w:ascii="宋体" w:hAnsi="宋体"/>
          <w:color w:val="auto"/>
          <w:szCs w:val="21"/>
          <w:highlight w:val="none"/>
          <w:u w:val="single"/>
        </w:rPr>
        <w:t>)、经批准的项目可行性研究报告、项目建议书、初步设计及批复、概预算书、建设计划、设计施工图纸和其它有关技术经济文件。</w:t>
      </w:r>
    </w:p>
    <w:p w14:paraId="1EE263EF">
      <w:pPr>
        <w:spacing w:line="360" w:lineRule="auto"/>
        <w:jc w:val="left"/>
        <w:rPr>
          <w:rFonts w:ascii="宋体" w:hAnsi="宋体"/>
          <w:color w:val="auto"/>
          <w:szCs w:val="21"/>
          <w:highlight w:val="none"/>
          <w:u w:val="single"/>
        </w:rPr>
      </w:pPr>
      <w:r>
        <w:rPr>
          <w:rFonts w:hint="eastAsia" w:ascii="宋体" w:hAnsi="宋体"/>
          <w:color w:val="auto"/>
          <w:szCs w:val="21"/>
          <w:highlight w:val="none"/>
          <w:u w:val="single"/>
        </w:rPr>
        <w:t>(</w:t>
      </w:r>
      <w:r>
        <w:rPr>
          <w:rFonts w:ascii="宋体" w:hAnsi="宋体"/>
          <w:color w:val="auto"/>
          <w:szCs w:val="21"/>
          <w:highlight w:val="none"/>
          <w:u w:val="single"/>
        </w:rPr>
        <w:t>3</w:t>
      </w:r>
      <w:r>
        <w:rPr>
          <w:rFonts w:hint="eastAsia" w:ascii="宋体" w:hAnsi="宋体"/>
          <w:color w:val="auto"/>
          <w:szCs w:val="21"/>
          <w:highlight w:val="none"/>
          <w:u w:val="single"/>
        </w:rPr>
        <w:t>)、国家和地方现行的工程监理、施工验收规范、质量检验评定标准、工程建设标准强制性条文、监理规范。</w:t>
      </w:r>
    </w:p>
    <w:p w14:paraId="7B9FA51E">
      <w:pPr>
        <w:spacing w:line="360" w:lineRule="auto"/>
        <w:jc w:val="left"/>
        <w:rPr>
          <w:rFonts w:ascii="宋体" w:hAnsi="宋体"/>
          <w:color w:val="auto"/>
          <w:szCs w:val="21"/>
          <w:highlight w:val="none"/>
          <w:u w:val="single"/>
        </w:rPr>
      </w:pPr>
      <w:r>
        <w:rPr>
          <w:rFonts w:hint="eastAsia" w:ascii="宋体" w:hAnsi="宋体"/>
          <w:color w:val="auto"/>
          <w:szCs w:val="21"/>
          <w:highlight w:val="none"/>
          <w:u w:val="single"/>
        </w:rPr>
        <w:t>(</w:t>
      </w:r>
      <w:r>
        <w:rPr>
          <w:rFonts w:ascii="宋体" w:hAnsi="宋体"/>
          <w:color w:val="auto"/>
          <w:szCs w:val="21"/>
          <w:highlight w:val="none"/>
          <w:u w:val="single"/>
        </w:rPr>
        <w:t>4</w:t>
      </w:r>
      <w:r>
        <w:rPr>
          <w:rFonts w:hint="eastAsia" w:ascii="宋体" w:hAnsi="宋体"/>
          <w:color w:val="auto"/>
          <w:szCs w:val="21"/>
          <w:highlight w:val="none"/>
          <w:u w:val="single"/>
        </w:rPr>
        <w:t>)、工程招投标文件及有关答疑、补充资料。</w:t>
      </w:r>
    </w:p>
    <w:p w14:paraId="459B72FC">
      <w:pPr>
        <w:spacing w:line="360" w:lineRule="auto"/>
        <w:jc w:val="left"/>
        <w:rPr>
          <w:rFonts w:ascii="宋体" w:hAnsi="宋体"/>
          <w:color w:val="auto"/>
          <w:szCs w:val="21"/>
          <w:highlight w:val="none"/>
          <w:u w:val="single"/>
        </w:rPr>
      </w:pPr>
      <w:r>
        <w:rPr>
          <w:rFonts w:hint="eastAsia" w:ascii="宋体" w:hAnsi="宋体"/>
          <w:color w:val="auto"/>
          <w:szCs w:val="21"/>
          <w:highlight w:val="none"/>
          <w:u w:val="single"/>
        </w:rPr>
        <w:t>(</w:t>
      </w:r>
      <w:r>
        <w:rPr>
          <w:rFonts w:ascii="宋体" w:hAnsi="宋体"/>
          <w:color w:val="auto"/>
          <w:szCs w:val="21"/>
          <w:highlight w:val="none"/>
          <w:u w:val="single"/>
        </w:rPr>
        <w:t>5</w:t>
      </w:r>
      <w:r>
        <w:rPr>
          <w:rFonts w:hint="eastAsia" w:ascii="宋体" w:hAnsi="宋体"/>
          <w:color w:val="auto"/>
          <w:szCs w:val="21"/>
          <w:highlight w:val="none"/>
          <w:u w:val="single"/>
        </w:rPr>
        <w:t>)、现行的概预算定额、计价规范及有关建设工程造价的管理规章。</w:t>
      </w:r>
    </w:p>
    <w:p w14:paraId="0F0AF826">
      <w:pPr>
        <w:spacing w:line="360" w:lineRule="auto"/>
        <w:jc w:val="left"/>
        <w:rPr>
          <w:rFonts w:ascii="宋体" w:hAnsi="宋体"/>
          <w:color w:val="auto"/>
          <w:szCs w:val="21"/>
          <w:highlight w:val="none"/>
          <w:u w:val="single"/>
        </w:rPr>
      </w:pPr>
      <w:r>
        <w:rPr>
          <w:rFonts w:hint="eastAsia" w:ascii="宋体" w:hAnsi="宋体"/>
          <w:color w:val="auto"/>
          <w:szCs w:val="21"/>
          <w:highlight w:val="none"/>
          <w:u w:val="single"/>
        </w:rPr>
        <w:t>(</w:t>
      </w:r>
      <w:r>
        <w:rPr>
          <w:rFonts w:ascii="宋体" w:hAnsi="宋体"/>
          <w:color w:val="auto"/>
          <w:szCs w:val="21"/>
          <w:highlight w:val="none"/>
          <w:u w:val="single"/>
        </w:rPr>
        <w:t>6</w:t>
      </w:r>
      <w:r>
        <w:rPr>
          <w:rFonts w:hint="eastAsia" w:ascii="宋体" w:hAnsi="宋体"/>
          <w:color w:val="auto"/>
          <w:szCs w:val="21"/>
          <w:highlight w:val="none"/>
          <w:u w:val="single"/>
        </w:rPr>
        <w:t>)、依法成立的工程承发包合同（施工合同）和协议。</w:t>
      </w:r>
    </w:p>
    <w:p w14:paraId="78F91082">
      <w:pPr>
        <w:adjustRightInd w:val="0"/>
        <w:snapToGrid w:val="0"/>
        <w:spacing w:line="360" w:lineRule="auto"/>
        <w:rPr>
          <w:rFonts w:ascii="宋体" w:hAnsi="宋体"/>
          <w:color w:val="auto"/>
          <w:szCs w:val="21"/>
          <w:highlight w:val="none"/>
        </w:rPr>
      </w:pPr>
      <w:r>
        <w:rPr>
          <w:rFonts w:hint="eastAsia" w:ascii="宋体" w:hAnsi="宋体"/>
          <w:color w:val="auto"/>
          <w:szCs w:val="21"/>
          <w:highlight w:val="none"/>
          <w:u w:val="single"/>
        </w:rPr>
        <w:t>(</w:t>
      </w:r>
      <w:r>
        <w:rPr>
          <w:rFonts w:ascii="宋体" w:hAnsi="宋体"/>
          <w:color w:val="auto"/>
          <w:szCs w:val="21"/>
          <w:highlight w:val="none"/>
          <w:u w:val="single"/>
        </w:rPr>
        <w:t>7</w:t>
      </w:r>
      <w:r>
        <w:rPr>
          <w:rFonts w:hint="eastAsia" w:ascii="宋体" w:hAnsi="宋体"/>
          <w:color w:val="auto"/>
          <w:szCs w:val="21"/>
          <w:highlight w:val="none"/>
          <w:u w:val="single"/>
        </w:rPr>
        <w:t>)、依法成立的工程建设监理合同（和协议）。</w:t>
      </w:r>
    </w:p>
    <w:p w14:paraId="602DA738">
      <w:pPr>
        <w:adjustRightInd w:val="0"/>
        <w:snapToGrid w:val="0"/>
        <w:spacing w:line="360" w:lineRule="auto"/>
        <w:ind w:firstLine="420" w:firstLineChars="200"/>
        <w:rPr>
          <w:rFonts w:ascii="宋体" w:hAnsi="宋体"/>
          <w:dstrike/>
          <w:color w:val="auto"/>
          <w:szCs w:val="21"/>
          <w:highlight w:val="none"/>
        </w:rPr>
      </w:pPr>
      <w:r>
        <w:rPr>
          <w:rFonts w:hint="eastAsia" w:ascii="宋体" w:hAnsi="宋体"/>
          <w:color w:val="auto"/>
          <w:szCs w:val="21"/>
          <w:highlight w:val="none"/>
        </w:rPr>
        <w:t>2.2.2 相关服务依据包括：</w:t>
      </w:r>
      <w:r>
        <w:rPr>
          <w:rFonts w:hint="eastAsia" w:ascii="宋体" w:hAnsi="宋体"/>
          <w:color w:val="auto"/>
          <w:szCs w:val="21"/>
          <w:highlight w:val="none"/>
          <w:u w:val="single"/>
        </w:rPr>
        <w:t xml:space="preserve">          /             </w:t>
      </w:r>
      <w:r>
        <w:rPr>
          <w:rFonts w:hint="eastAsia" w:ascii="宋体" w:hAnsi="宋体"/>
          <w:color w:val="auto"/>
          <w:szCs w:val="21"/>
          <w:highlight w:val="none"/>
        </w:rPr>
        <w:t>。</w:t>
      </w:r>
    </w:p>
    <w:p w14:paraId="655061B8">
      <w:pPr>
        <w:spacing w:line="360" w:lineRule="auto"/>
        <w:rPr>
          <w:rFonts w:ascii="宋体" w:hAnsi="宋体"/>
          <w:color w:val="auto"/>
          <w:szCs w:val="21"/>
          <w:highlight w:val="none"/>
        </w:rPr>
      </w:pPr>
      <w:r>
        <w:rPr>
          <w:rFonts w:hint="eastAsia" w:ascii="宋体" w:hAnsi="宋体"/>
          <w:color w:val="auto"/>
          <w:szCs w:val="21"/>
          <w:highlight w:val="none"/>
        </w:rPr>
        <w:t xml:space="preserve">  2.3</w:t>
      </w:r>
      <w:r>
        <w:rPr>
          <w:rFonts w:hint="eastAsia" w:ascii="宋体" w:hAnsi="宋体" w:cs="宋体"/>
          <w:color w:val="auto"/>
          <w:kern w:val="0"/>
          <w:szCs w:val="21"/>
          <w:highlight w:val="none"/>
        </w:rPr>
        <w:t>项目监理机构和人员</w:t>
      </w:r>
    </w:p>
    <w:p w14:paraId="58FCFADB">
      <w:pPr>
        <w:spacing w:line="440" w:lineRule="exact"/>
        <w:rPr>
          <w:rFonts w:ascii="宋体" w:hAnsi="宋体"/>
          <w:color w:val="auto"/>
          <w:kern w:val="0"/>
          <w:szCs w:val="21"/>
          <w:highlight w:val="none"/>
        </w:rPr>
      </w:pPr>
      <w:r>
        <w:rPr>
          <w:rFonts w:hint="eastAsia" w:ascii="宋体" w:hAnsi="宋体"/>
          <w:color w:val="auto"/>
          <w:szCs w:val="21"/>
          <w:highlight w:val="none"/>
        </w:rPr>
        <w:t xml:space="preserve">2.3.4 </w:t>
      </w:r>
      <w:r>
        <w:rPr>
          <w:rFonts w:hint="eastAsia" w:ascii="宋体" w:hAnsi="宋体"/>
          <w:color w:val="auto"/>
          <w:kern w:val="0"/>
          <w:szCs w:val="21"/>
          <w:highlight w:val="none"/>
        </w:rPr>
        <w:t>更换监理人员的其他情形：</w:t>
      </w:r>
    </w:p>
    <w:p w14:paraId="368D6682">
      <w:pPr>
        <w:spacing w:line="360" w:lineRule="auto"/>
        <w:jc w:val="left"/>
        <w:rPr>
          <w:rFonts w:ascii="宋体" w:hAnsi="宋体"/>
          <w:color w:val="auto"/>
          <w:szCs w:val="21"/>
          <w:highlight w:val="none"/>
          <w:u w:val="single"/>
        </w:rPr>
      </w:pPr>
      <w:r>
        <w:rPr>
          <w:rFonts w:hint="eastAsia" w:ascii="宋体" w:hAnsi="宋体"/>
          <w:color w:val="auto"/>
          <w:szCs w:val="21"/>
          <w:highlight w:val="none"/>
          <w:u w:val="single"/>
        </w:rPr>
        <w:t>⑴、监理人员的能力不足、配备结构不合理、难以胜任所负职责。</w:t>
      </w:r>
    </w:p>
    <w:p w14:paraId="4E3900C6">
      <w:pPr>
        <w:spacing w:line="360" w:lineRule="auto"/>
        <w:jc w:val="left"/>
        <w:rPr>
          <w:rFonts w:ascii="宋体" w:hAnsi="宋体"/>
          <w:color w:val="auto"/>
          <w:szCs w:val="21"/>
          <w:highlight w:val="none"/>
          <w:u w:val="single"/>
        </w:rPr>
      </w:pPr>
      <w:r>
        <w:rPr>
          <w:rFonts w:hint="eastAsia" w:ascii="宋体" w:hAnsi="宋体"/>
          <w:color w:val="auto"/>
          <w:szCs w:val="21"/>
          <w:highlight w:val="none"/>
          <w:u w:val="single"/>
        </w:rPr>
        <w:t>⑵、现场监理人员不能或不能严格履行职责。</w:t>
      </w:r>
    </w:p>
    <w:p w14:paraId="1150E405">
      <w:pPr>
        <w:spacing w:line="360" w:lineRule="auto"/>
        <w:jc w:val="left"/>
        <w:rPr>
          <w:rFonts w:ascii="宋体" w:hAnsi="宋体"/>
          <w:color w:val="auto"/>
          <w:szCs w:val="21"/>
          <w:highlight w:val="none"/>
          <w:u w:val="single"/>
        </w:rPr>
      </w:pPr>
      <w:r>
        <w:rPr>
          <w:rFonts w:hint="eastAsia" w:ascii="宋体" w:hAnsi="宋体"/>
          <w:color w:val="auto"/>
          <w:szCs w:val="21"/>
          <w:highlight w:val="none"/>
          <w:u w:val="single"/>
        </w:rPr>
        <w:t>⑶、监理人员的行为有损于监理工作的科学性、公正性和廉洁性时。</w:t>
      </w:r>
    </w:p>
    <w:p w14:paraId="047D49A1">
      <w:pPr>
        <w:spacing w:line="360" w:lineRule="auto"/>
        <w:jc w:val="left"/>
        <w:rPr>
          <w:rFonts w:ascii="宋体" w:hAnsi="宋体"/>
          <w:color w:val="auto"/>
          <w:szCs w:val="21"/>
          <w:highlight w:val="none"/>
          <w:u w:val="single"/>
        </w:rPr>
      </w:pPr>
      <w:r>
        <w:rPr>
          <w:rFonts w:hint="eastAsia" w:ascii="宋体" w:hAnsi="宋体"/>
          <w:color w:val="auto"/>
          <w:szCs w:val="21"/>
          <w:highlight w:val="none"/>
          <w:u w:val="single"/>
        </w:rPr>
        <w:t>⑷、监理人员与承包商人员发生合伙经营关系时。</w:t>
      </w:r>
    </w:p>
    <w:p w14:paraId="1C6D1B68">
      <w:pPr>
        <w:spacing w:line="360" w:lineRule="auto"/>
        <w:ind w:firstLine="205" w:firstLineChars="98"/>
        <w:rPr>
          <w:rFonts w:ascii="宋体" w:hAnsi="宋体"/>
          <w:color w:val="auto"/>
          <w:szCs w:val="21"/>
          <w:highlight w:val="none"/>
        </w:rPr>
      </w:pPr>
      <w:r>
        <w:rPr>
          <w:rFonts w:hint="eastAsia" w:ascii="宋体" w:hAnsi="宋体"/>
          <w:color w:val="auto"/>
          <w:szCs w:val="21"/>
          <w:highlight w:val="none"/>
        </w:rPr>
        <w:t xml:space="preserve">2.4 </w:t>
      </w:r>
      <w:r>
        <w:rPr>
          <w:rFonts w:hint="eastAsia" w:ascii="宋体" w:hAnsi="宋体" w:cs="宋体"/>
          <w:color w:val="auto"/>
          <w:kern w:val="0"/>
          <w:szCs w:val="21"/>
          <w:highlight w:val="none"/>
        </w:rPr>
        <w:t>履行职责</w:t>
      </w:r>
    </w:p>
    <w:p w14:paraId="4CCF77BB">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2.4.3 对监理人的授权范围：</w:t>
      </w:r>
      <w:r>
        <w:rPr>
          <w:rFonts w:hint="eastAsia" w:ascii="宋体" w:hAnsi="宋体"/>
          <w:color w:val="auto"/>
          <w:szCs w:val="21"/>
          <w:highlight w:val="none"/>
          <w:u w:val="single"/>
        </w:rPr>
        <w:t>（1）协助委托人审核招标文件，并对招标方案提出合理化建议；</w:t>
      </w:r>
    </w:p>
    <w:p w14:paraId="0392411C">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（2）协助委托人选择及签订施工承包合同，并在实施过程中检查、督促承包商严格执行合同；</w:t>
      </w:r>
    </w:p>
    <w:p w14:paraId="58815548">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（3）根据施工进度要求，及时协助委托人组织设计交底及图纸会审，并写出纪要，同时，对设计方案提出建议；</w:t>
      </w:r>
    </w:p>
    <w:p w14:paraId="31FBCC0C">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（4）协助委托人做好开工准备，复验灰线，并审查开工报告；</w:t>
      </w:r>
    </w:p>
    <w:p w14:paraId="0AFC7C6E">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（5）审查承包商各项施工准备工作，征得委托人同意后下达开工令；</w:t>
      </w:r>
    </w:p>
    <w:p w14:paraId="56A3AFDC">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（6）审查承包商提交的施工组织设计、施工技术方案和施工进度计划，提出修改意见，并监督实施；</w:t>
      </w:r>
    </w:p>
    <w:p w14:paraId="299AE3BE">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（7）督促并检查承包商质量安全文明施工保证体系和施工管理制度的建立、健全与实施；</w:t>
      </w:r>
    </w:p>
    <w:p w14:paraId="049E14AC">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（8）审查承包商（或核查委托人）提供的材料和设备采购清单，检查核对工程使用材料、构配件、设备的规格、样品、质量和数量，必要时进行抽验和复检（必须取样封存），防止不合格材料用于工程；</w:t>
      </w:r>
    </w:p>
    <w:p w14:paraId="2BC6BA0B">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（9）审核承包商提出的分包工程项目及分包单位的资格，确认分包单位；</w:t>
      </w:r>
    </w:p>
    <w:p w14:paraId="0A9DFFAC">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10）督促、检查承包商严格执行合同和严格按照国家技术规范、标准、地方建筑安装规程以及设计图纸文件要求进行施工；重点核查施工过程中的主要部位、环节以及隐蔽工程的施工验收签证，以控制工程质量的全过程施工监理，关键部位必须实行旁站监理制度；</w:t>
      </w:r>
    </w:p>
    <w:p w14:paraId="1DC4EC16">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（11）分阶段核验及协调施工进度计划，及时提出调整意见，控制工程进度；</w:t>
      </w:r>
    </w:p>
    <w:p w14:paraId="17A8796D">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（12）根据施工承包合同协议条款的付款规定，对已完合格工程计量，签认付款凭证；工程竣工后，参与配合及协助工程结算价款的审查；</w:t>
      </w:r>
    </w:p>
    <w:p w14:paraId="53BD54C6">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（13）对于工程变更（包括设计变更和技术洽商），除提出监理意见之外，还需对变更的工程量及价款提供详尽的计算书，并应征得委托人意见。在可行的情况下，原则上由原设计单位进行修改或确认；</w:t>
      </w:r>
    </w:p>
    <w:p w14:paraId="46746DC5">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（14）协助、主持、审理工程出现的质量事故的分析，提出处理意见，明确责任方；督促、检查承包商按批准的处理方案进行处理，审核其事故报告；</w:t>
      </w:r>
    </w:p>
    <w:p w14:paraId="5388F9D6">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（15）督促检查承包商的安全生产、文明施工；</w:t>
      </w:r>
    </w:p>
    <w:p w14:paraId="3B13E993">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（16）组织承包商对工程进行阶段验收及竣工初验，督促整改，并协助招标人组织竣工验收；</w:t>
      </w:r>
    </w:p>
    <w:p w14:paraId="36CD996B">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（17）及时提供完整的监理资料，向委托人编报竣工验收的监理阶段性或总体的报告；</w:t>
      </w:r>
    </w:p>
    <w:p w14:paraId="459028FF">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（18）协助委托人整理审核承包合同文件、工程技术文件及竣工验收资料的归档；</w:t>
      </w:r>
    </w:p>
    <w:p w14:paraId="211D3EC5">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（19）提供其他应提供的监理服务或委托人要求另行增加的其他咨询服务。</w:t>
      </w:r>
    </w:p>
    <w:p w14:paraId="0CA68641">
      <w:pPr>
        <w:adjustRightInd w:val="0"/>
        <w:snapToGrid w:val="0"/>
        <w:spacing w:line="360" w:lineRule="auto"/>
        <w:ind w:firstLine="315" w:firstLineChars="150"/>
        <w:rPr>
          <w:rFonts w:ascii="宋体" w:hAnsi="宋体"/>
          <w:color w:val="auto"/>
          <w:szCs w:val="21"/>
          <w:highlight w:val="none"/>
        </w:rPr>
      </w:pPr>
      <w:r>
        <w:rPr>
          <w:rFonts w:hint="eastAsia" w:ascii="宋体" w:hAnsi="宋体"/>
          <w:color w:val="auto"/>
          <w:kern w:val="0"/>
          <w:szCs w:val="21"/>
          <w:highlight w:val="none"/>
        </w:rPr>
        <w:t>2.4.4 监理人有权要求承包人调换其人员</w:t>
      </w:r>
      <w:r>
        <w:rPr>
          <w:rFonts w:hint="eastAsia" w:ascii="宋体" w:hAnsi="宋体"/>
          <w:color w:val="auto"/>
          <w:szCs w:val="21"/>
          <w:highlight w:val="none"/>
        </w:rPr>
        <w:t>的限制条件：</w:t>
      </w:r>
      <w:r>
        <w:rPr>
          <w:rFonts w:hint="eastAsia" w:ascii="宋体" w:hAnsi="宋体"/>
          <w:color w:val="auto"/>
          <w:szCs w:val="21"/>
          <w:highlight w:val="none"/>
          <w:u w:val="single"/>
        </w:rPr>
        <w:t>监理人发现承包人的人员不能胜任本职工作的，在有关规定允许的前提下有权要求承包人更换。</w:t>
      </w:r>
      <w:r>
        <w:rPr>
          <w:rFonts w:hint="eastAsia" w:ascii="宋体" w:hAnsi="宋体"/>
          <w:color w:val="auto"/>
          <w:szCs w:val="21"/>
          <w:highlight w:val="none"/>
        </w:rPr>
        <w:t xml:space="preserve">  </w:t>
      </w:r>
    </w:p>
    <w:p w14:paraId="4420EB62">
      <w:pPr>
        <w:adjustRightInd w:val="0"/>
        <w:snapToGrid w:val="0"/>
        <w:spacing w:line="360" w:lineRule="auto"/>
        <w:ind w:firstLine="105" w:firstLineChars="50"/>
        <w:rPr>
          <w:rFonts w:ascii="宋体" w:hAnsi="宋体"/>
          <w:color w:val="auto"/>
          <w:szCs w:val="21"/>
          <w:highlight w:val="none"/>
        </w:rPr>
      </w:pPr>
      <w:r>
        <w:rPr>
          <w:rFonts w:hint="eastAsia" w:ascii="宋体" w:hAnsi="宋体"/>
          <w:color w:val="auto"/>
          <w:kern w:val="0"/>
          <w:szCs w:val="21"/>
          <w:highlight w:val="none"/>
        </w:rPr>
        <w:t xml:space="preserve">2.5 </w:t>
      </w:r>
      <w:r>
        <w:rPr>
          <w:rFonts w:hint="eastAsia" w:ascii="宋体" w:hAnsi="宋体"/>
          <w:color w:val="auto"/>
          <w:szCs w:val="21"/>
          <w:highlight w:val="none"/>
        </w:rPr>
        <w:t>提交</w:t>
      </w:r>
      <w:r>
        <w:rPr>
          <w:rFonts w:hint="eastAsia" w:ascii="宋体" w:hAnsi="宋体" w:cs="宋体"/>
          <w:color w:val="auto"/>
          <w:kern w:val="0"/>
          <w:szCs w:val="21"/>
          <w:highlight w:val="none"/>
        </w:rPr>
        <w:t>报告</w:t>
      </w:r>
    </w:p>
    <w:p w14:paraId="3927C44F">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监理人应提交报告的种类(</w:t>
      </w:r>
      <w:r>
        <w:rPr>
          <w:rFonts w:hint="eastAsia" w:ascii="宋体" w:hAnsi="宋体" w:cs="宋体"/>
          <w:color w:val="auto"/>
          <w:kern w:val="0"/>
          <w:szCs w:val="21"/>
          <w:highlight w:val="none"/>
        </w:rPr>
        <w:t>包括监理规划及约定的专项报告)</w:t>
      </w:r>
      <w:r>
        <w:rPr>
          <w:rFonts w:hint="eastAsia" w:ascii="宋体" w:hAnsi="宋体"/>
          <w:color w:val="auto"/>
          <w:szCs w:val="21"/>
          <w:highlight w:val="none"/>
        </w:rPr>
        <w:t>、时间和份数</w:t>
      </w:r>
      <w:r>
        <w:rPr>
          <w:rFonts w:hint="eastAsia" w:ascii="宋体" w:hAnsi="宋体" w:cs="宋体"/>
          <w:color w:val="auto"/>
          <w:kern w:val="0"/>
          <w:szCs w:val="21"/>
          <w:highlight w:val="none"/>
        </w:rPr>
        <w:t>：</w:t>
      </w:r>
    </w:p>
    <w:p w14:paraId="56DB8495">
      <w:pPr>
        <w:autoSpaceDE w:val="0"/>
        <w:autoSpaceDN w:val="0"/>
        <w:adjustRightInd w:val="0"/>
        <w:snapToGrid w:val="0"/>
        <w:spacing w:line="400" w:lineRule="atLeast"/>
        <w:ind w:firstLine="420" w:firstLineChars="200"/>
        <w:rPr>
          <w:rFonts w:ascii="宋体" w:hAnsi="宋体"/>
          <w:color w:val="auto"/>
          <w:szCs w:val="21"/>
          <w:highlight w:val="none"/>
          <w:u w:val="single"/>
        </w:rPr>
      </w:pPr>
      <w:r>
        <w:rPr>
          <w:rFonts w:hint="eastAsia" w:ascii="宋体" w:hAnsi="宋体"/>
          <w:color w:val="auto"/>
          <w:szCs w:val="21"/>
          <w:highlight w:val="none"/>
          <w:u w:val="single"/>
        </w:rPr>
        <w:t>2.5.1监理人于本合同签订后 7 日内向委托人提交监理规划；</w:t>
      </w:r>
    </w:p>
    <w:p w14:paraId="2127A1C6">
      <w:pPr>
        <w:autoSpaceDE w:val="0"/>
        <w:autoSpaceDN w:val="0"/>
        <w:adjustRightInd w:val="0"/>
        <w:snapToGrid w:val="0"/>
        <w:spacing w:line="400" w:lineRule="atLeast"/>
        <w:ind w:firstLine="420" w:firstLineChars="200"/>
        <w:rPr>
          <w:rFonts w:ascii="宋体" w:hAnsi="宋体"/>
          <w:color w:val="auto"/>
          <w:szCs w:val="21"/>
          <w:highlight w:val="none"/>
          <w:u w:val="single"/>
        </w:rPr>
      </w:pPr>
      <w:r>
        <w:rPr>
          <w:rFonts w:hint="eastAsia" w:ascii="宋体" w:hAnsi="宋体"/>
          <w:color w:val="auto"/>
          <w:szCs w:val="21"/>
          <w:highlight w:val="none"/>
          <w:u w:val="single"/>
        </w:rPr>
        <w:t>2.5.2监理人根据工程实际情况或按照建设单位要求，需组织召开周工作例会，纪要于会议次日提交，具体召开例会的周期按照工程开工前的协商约定为准；</w:t>
      </w:r>
    </w:p>
    <w:p w14:paraId="0017138E">
      <w:pPr>
        <w:autoSpaceDE w:val="0"/>
        <w:autoSpaceDN w:val="0"/>
        <w:adjustRightInd w:val="0"/>
        <w:snapToGrid w:val="0"/>
        <w:spacing w:line="400" w:lineRule="atLeast"/>
        <w:ind w:firstLine="420" w:firstLineChars="200"/>
        <w:rPr>
          <w:rFonts w:ascii="宋体" w:hAnsi="宋体"/>
          <w:color w:val="auto"/>
          <w:szCs w:val="21"/>
          <w:highlight w:val="none"/>
          <w:u w:val="single"/>
        </w:rPr>
      </w:pPr>
      <w:r>
        <w:rPr>
          <w:rFonts w:hint="eastAsia" w:ascii="宋体" w:hAnsi="宋体"/>
          <w:color w:val="auto"/>
          <w:szCs w:val="21"/>
          <w:highlight w:val="none"/>
          <w:u w:val="single"/>
        </w:rPr>
        <w:t>2.5.3监理人每次向其他相关单位发出联系单等材料后 2 日内向委托人提交所发出的材料及对方签收的凭据（原件），如对方回复的，则应在收到对方回复材料后 2 日内向委托人提交该材料（原件）；</w:t>
      </w:r>
    </w:p>
    <w:p w14:paraId="654C1B04">
      <w:pPr>
        <w:autoSpaceDE w:val="0"/>
        <w:autoSpaceDN w:val="0"/>
        <w:adjustRightInd w:val="0"/>
        <w:snapToGrid w:val="0"/>
        <w:spacing w:line="400" w:lineRule="atLeast"/>
        <w:ind w:firstLine="420" w:firstLineChars="200"/>
        <w:rPr>
          <w:rFonts w:ascii="宋体" w:hAnsi="宋体"/>
          <w:color w:val="auto"/>
          <w:szCs w:val="21"/>
          <w:highlight w:val="none"/>
          <w:u w:val="single"/>
        </w:rPr>
      </w:pPr>
      <w:r>
        <w:rPr>
          <w:rFonts w:hint="eastAsia" w:ascii="宋体" w:hAnsi="宋体"/>
          <w:color w:val="auto"/>
          <w:szCs w:val="21"/>
          <w:highlight w:val="none"/>
          <w:u w:val="single"/>
        </w:rPr>
        <w:t>2.5.4监理人于工程竣工验收后30日内向委托人提交完整的符合竣工验收备案条件的监理资料 2 套；</w:t>
      </w:r>
    </w:p>
    <w:p w14:paraId="56655E46">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u w:val="single"/>
        </w:rPr>
        <w:t>2.5.5监理人应在委托人指定期限内向委托人提交委托人认为应当提交的其他资料。</w:t>
      </w:r>
    </w:p>
    <w:p w14:paraId="5D507822">
      <w:pPr>
        <w:spacing w:line="360" w:lineRule="auto"/>
        <w:rPr>
          <w:rFonts w:ascii="宋体" w:hAnsi="宋体" w:cs="宋体"/>
          <w:color w:val="auto"/>
          <w:kern w:val="0"/>
          <w:szCs w:val="21"/>
          <w:highlight w:val="none"/>
        </w:rPr>
      </w:pPr>
      <w:r>
        <w:rPr>
          <w:rFonts w:hint="eastAsia" w:ascii="宋体" w:hAnsi="宋体"/>
          <w:color w:val="auto"/>
          <w:kern w:val="0"/>
          <w:szCs w:val="21"/>
          <w:highlight w:val="none"/>
        </w:rPr>
        <w:t xml:space="preserve"> 2.7 </w:t>
      </w:r>
      <w:r>
        <w:rPr>
          <w:rFonts w:hint="eastAsia" w:ascii="宋体" w:hAnsi="宋体" w:cs="宋体"/>
          <w:color w:val="auto"/>
          <w:kern w:val="0"/>
          <w:szCs w:val="21"/>
          <w:highlight w:val="none"/>
        </w:rPr>
        <w:t>使用委托人的财产</w:t>
      </w:r>
    </w:p>
    <w:p w14:paraId="36548AF4">
      <w:pPr>
        <w:spacing w:line="360" w:lineRule="auto"/>
        <w:rPr>
          <w:rFonts w:ascii="宋体" w:hAnsi="宋体"/>
          <w:color w:val="auto"/>
          <w:kern w:val="0"/>
          <w:szCs w:val="21"/>
          <w:highlight w:val="none"/>
        </w:rPr>
      </w:pPr>
      <w:r>
        <w:rPr>
          <w:rFonts w:hint="eastAsia" w:ascii="宋体" w:hAnsi="宋体" w:cs="宋体"/>
          <w:color w:val="auto"/>
          <w:kern w:val="0"/>
          <w:szCs w:val="21"/>
          <w:highlight w:val="none"/>
        </w:rPr>
        <w:t xml:space="preserve">  </w:t>
      </w:r>
      <w:r>
        <w:rPr>
          <w:rFonts w:hint="eastAsia" w:ascii="宋体" w:hAnsi="宋体"/>
          <w:color w:val="auto"/>
          <w:kern w:val="0"/>
          <w:szCs w:val="21"/>
          <w:highlight w:val="none"/>
        </w:rPr>
        <w:t xml:space="preserve">   </w:t>
      </w:r>
      <w:r>
        <w:rPr>
          <w:rFonts w:hint="eastAsia" w:ascii="宋体" w:hAnsi="宋体"/>
          <w:color w:val="auto"/>
          <w:szCs w:val="21"/>
          <w:highlight w:val="none"/>
        </w:rPr>
        <w:t>附录B中由委托人无偿提供的房屋、设备的所有权属于：</w:t>
      </w:r>
      <w:r>
        <w:rPr>
          <w:rFonts w:hint="eastAsia" w:ascii="宋体" w:hAnsi="宋体"/>
          <w:color w:val="auto"/>
          <w:szCs w:val="21"/>
          <w:highlight w:val="none"/>
          <w:u w:val="single"/>
        </w:rPr>
        <w:t xml:space="preserve">   委托人  </w:t>
      </w:r>
      <w:r>
        <w:rPr>
          <w:rFonts w:hint="eastAsia" w:ascii="宋体" w:hAnsi="宋体"/>
          <w:color w:val="auto"/>
          <w:szCs w:val="21"/>
          <w:highlight w:val="none"/>
        </w:rPr>
        <w:t>。</w:t>
      </w:r>
    </w:p>
    <w:p w14:paraId="400AD5F4">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监理人应在本合同终止后</w:t>
      </w:r>
      <w:r>
        <w:rPr>
          <w:rFonts w:hint="eastAsia" w:ascii="宋体" w:hAnsi="宋体"/>
          <w:color w:val="auto"/>
          <w:szCs w:val="21"/>
          <w:highlight w:val="none"/>
          <w:u w:val="single"/>
        </w:rPr>
        <w:t xml:space="preserve">  14  </w:t>
      </w:r>
      <w:r>
        <w:rPr>
          <w:rFonts w:hint="eastAsia" w:ascii="宋体" w:hAnsi="宋体"/>
          <w:color w:val="auto"/>
          <w:szCs w:val="21"/>
          <w:highlight w:val="none"/>
        </w:rPr>
        <w:t>天内移交委托人无偿提供的房屋、设备，移交的时间和方式为：</w:t>
      </w:r>
      <w:r>
        <w:rPr>
          <w:rFonts w:hint="eastAsia" w:ascii="宋体" w:hAnsi="宋体"/>
          <w:color w:val="auto"/>
          <w:szCs w:val="21"/>
          <w:highlight w:val="none"/>
          <w:u w:val="single"/>
        </w:rPr>
        <w:t>合同终止 14 天内双方当面移交。</w:t>
      </w:r>
    </w:p>
    <w:p w14:paraId="4A60F226">
      <w:pPr>
        <w:adjustRightInd w:val="0"/>
        <w:snapToGrid w:val="0"/>
        <w:spacing w:line="360" w:lineRule="auto"/>
        <w:rPr>
          <w:rFonts w:ascii="宋体" w:hAnsi="宋体"/>
          <w:b/>
          <w:color w:val="auto"/>
          <w:szCs w:val="21"/>
          <w:highlight w:val="none"/>
        </w:rPr>
      </w:pPr>
      <w:r>
        <w:rPr>
          <w:rFonts w:hint="eastAsia" w:ascii="宋体" w:hAnsi="宋体"/>
          <w:b/>
          <w:color w:val="auto"/>
          <w:kern w:val="0"/>
          <w:szCs w:val="21"/>
          <w:highlight w:val="none"/>
        </w:rPr>
        <w:t xml:space="preserve">3. 委托人义务  </w:t>
      </w:r>
    </w:p>
    <w:p w14:paraId="30A969FA">
      <w:pPr>
        <w:snapToGrid w:val="0"/>
        <w:spacing w:line="360" w:lineRule="auto"/>
        <w:rPr>
          <w:rFonts w:ascii="宋体" w:hAnsi="宋体"/>
          <w:color w:val="auto"/>
          <w:szCs w:val="21"/>
          <w:highlight w:val="none"/>
        </w:rPr>
      </w:pPr>
      <w:r>
        <w:rPr>
          <w:rFonts w:hint="eastAsia" w:ascii="宋体" w:hAnsi="宋体"/>
          <w:color w:val="auto"/>
          <w:szCs w:val="21"/>
          <w:highlight w:val="none"/>
        </w:rPr>
        <w:t xml:space="preserve">  </w:t>
      </w:r>
      <w:r>
        <w:rPr>
          <w:rFonts w:hint="eastAsia" w:ascii="宋体" w:hAnsi="宋体"/>
          <w:color w:val="auto"/>
          <w:kern w:val="0"/>
          <w:szCs w:val="21"/>
          <w:highlight w:val="none"/>
        </w:rPr>
        <w:t xml:space="preserve">3.4 </w:t>
      </w:r>
      <w:r>
        <w:rPr>
          <w:rFonts w:hint="eastAsia" w:ascii="宋体" w:hAnsi="宋体" w:cs="宋体"/>
          <w:color w:val="auto"/>
          <w:kern w:val="0"/>
          <w:szCs w:val="21"/>
          <w:highlight w:val="none"/>
        </w:rPr>
        <w:t>委托人代表</w:t>
      </w:r>
    </w:p>
    <w:p w14:paraId="6558414F">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委托人代表为：</w:t>
      </w:r>
      <w:r>
        <w:rPr>
          <w:rFonts w:hint="eastAsia" w:ascii="宋体" w:hAnsi="宋体"/>
          <w:color w:val="auto"/>
          <w:szCs w:val="21"/>
          <w:highlight w:val="none"/>
          <w:u w:val="single"/>
        </w:rPr>
        <w:t xml:space="preserve">         </w:t>
      </w:r>
      <w:r>
        <w:rPr>
          <w:rFonts w:hint="eastAsia" w:ascii="宋体" w:hAnsi="宋体"/>
          <w:color w:val="auto"/>
          <w:szCs w:val="21"/>
          <w:highlight w:val="none"/>
        </w:rPr>
        <w:t>。</w:t>
      </w:r>
    </w:p>
    <w:p w14:paraId="6C2AEAA8">
      <w:pPr>
        <w:adjustRightInd w:val="0"/>
        <w:snapToGrid w:val="0"/>
        <w:spacing w:line="360" w:lineRule="auto"/>
        <w:ind w:firstLine="205" w:firstLineChars="98"/>
        <w:rPr>
          <w:rFonts w:ascii="宋体" w:hAnsi="宋体" w:cs="宋体"/>
          <w:color w:val="auto"/>
          <w:kern w:val="0"/>
          <w:szCs w:val="21"/>
          <w:highlight w:val="none"/>
        </w:rPr>
      </w:pPr>
      <w:r>
        <w:rPr>
          <w:rFonts w:hint="eastAsia" w:ascii="宋体" w:hAnsi="宋体"/>
          <w:color w:val="auto"/>
          <w:kern w:val="0"/>
          <w:szCs w:val="21"/>
          <w:highlight w:val="none"/>
        </w:rPr>
        <w:t xml:space="preserve">3.6 </w:t>
      </w:r>
      <w:r>
        <w:rPr>
          <w:rFonts w:hint="eastAsia" w:ascii="宋体" w:hAnsi="宋体" w:cs="宋体"/>
          <w:color w:val="auto"/>
          <w:kern w:val="0"/>
          <w:szCs w:val="21"/>
          <w:highlight w:val="none"/>
        </w:rPr>
        <w:t>答复</w:t>
      </w:r>
    </w:p>
    <w:p w14:paraId="22765EC0">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委托人同意在</w:t>
      </w:r>
      <w:r>
        <w:rPr>
          <w:rFonts w:hint="eastAsia" w:ascii="宋体" w:hAnsi="宋体"/>
          <w:color w:val="auto"/>
          <w:szCs w:val="21"/>
          <w:highlight w:val="none"/>
          <w:u w:val="single"/>
        </w:rPr>
        <w:t xml:space="preserve">  3  </w:t>
      </w:r>
      <w:r>
        <w:rPr>
          <w:rFonts w:hint="eastAsia" w:ascii="宋体" w:hAnsi="宋体"/>
          <w:color w:val="auto"/>
          <w:szCs w:val="21"/>
          <w:highlight w:val="none"/>
        </w:rPr>
        <w:t>天内，对监理人书面提交并要求做出决定的事宜给予书面答复。</w:t>
      </w:r>
    </w:p>
    <w:p w14:paraId="13A00F1B">
      <w:pPr>
        <w:snapToGrid w:val="0"/>
        <w:spacing w:line="360" w:lineRule="auto"/>
        <w:rPr>
          <w:rFonts w:ascii="宋体" w:hAnsi="宋体"/>
          <w:b/>
          <w:bCs/>
          <w:color w:val="auto"/>
          <w:szCs w:val="21"/>
          <w:highlight w:val="none"/>
        </w:rPr>
      </w:pPr>
      <w:r>
        <w:rPr>
          <w:rFonts w:hint="eastAsia" w:ascii="宋体" w:hAnsi="宋体"/>
          <w:b/>
          <w:bCs/>
          <w:color w:val="auto"/>
          <w:szCs w:val="21"/>
          <w:highlight w:val="none"/>
        </w:rPr>
        <w:t>4. 违约责任</w:t>
      </w:r>
    </w:p>
    <w:p w14:paraId="34CE6D26">
      <w:pPr>
        <w:spacing w:line="360" w:lineRule="auto"/>
        <w:ind w:left="210" w:leftChars="100"/>
        <w:rPr>
          <w:rFonts w:ascii="宋体" w:hAnsi="宋体" w:cs="宋体"/>
          <w:color w:val="auto"/>
          <w:kern w:val="0"/>
          <w:szCs w:val="21"/>
          <w:highlight w:val="none"/>
        </w:rPr>
      </w:pPr>
      <w:r>
        <w:rPr>
          <w:rFonts w:hint="eastAsia" w:ascii="宋体" w:hAnsi="宋体"/>
          <w:color w:val="auto"/>
          <w:kern w:val="0"/>
          <w:szCs w:val="21"/>
          <w:highlight w:val="none"/>
        </w:rPr>
        <w:t xml:space="preserve">4.1 </w:t>
      </w:r>
      <w:r>
        <w:rPr>
          <w:rFonts w:hint="eastAsia" w:ascii="宋体" w:hAnsi="宋体" w:cs="宋体"/>
          <w:color w:val="auto"/>
          <w:kern w:val="0"/>
          <w:szCs w:val="21"/>
          <w:highlight w:val="none"/>
        </w:rPr>
        <w:t>监理人的违约责任</w:t>
      </w:r>
    </w:p>
    <w:p w14:paraId="1FC91FB5">
      <w:pPr>
        <w:adjustRightInd w:val="0"/>
        <w:snapToGrid w:val="0"/>
        <w:spacing w:line="360" w:lineRule="auto"/>
        <w:ind w:firstLine="420" w:firstLineChars="200"/>
        <w:rPr>
          <w:rFonts w:ascii="宋体" w:hAnsi="宋体"/>
          <w:color w:val="auto"/>
          <w:kern w:val="0"/>
          <w:szCs w:val="21"/>
          <w:highlight w:val="none"/>
        </w:rPr>
      </w:pPr>
      <w:r>
        <w:rPr>
          <w:rFonts w:hint="eastAsia" w:ascii="宋体" w:hAnsi="宋体"/>
          <w:color w:val="auto"/>
          <w:kern w:val="0"/>
          <w:szCs w:val="21"/>
          <w:highlight w:val="none"/>
        </w:rPr>
        <w:t>4.1.1监理人赔偿金额按下列方法确定：</w:t>
      </w:r>
    </w:p>
    <w:p w14:paraId="32D922E7">
      <w:pPr>
        <w:adjustRightInd w:val="0"/>
        <w:snapToGrid w:val="0"/>
        <w:spacing w:line="360" w:lineRule="auto"/>
        <w:ind w:firstLine="420" w:firstLineChars="200"/>
        <w:rPr>
          <w:rFonts w:ascii="宋体" w:hAnsi="宋体" w:cs="宋体"/>
          <w:color w:val="auto"/>
          <w:kern w:val="0"/>
          <w:szCs w:val="21"/>
          <w:highlight w:val="none"/>
        </w:rPr>
      </w:pPr>
      <w:r>
        <w:rPr>
          <w:rFonts w:hint="eastAsia" w:ascii="宋体" w:hAnsi="宋体"/>
          <w:color w:val="auto"/>
          <w:szCs w:val="21"/>
          <w:highlight w:val="none"/>
        </w:rPr>
        <w:t>赔偿金＝直接经济损失×正常工作酬金÷工程概算</w:t>
      </w:r>
      <w:r>
        <w:rPr>
          <w:rFonts w:hint="eastAsia" w:ascii="宋体" w:hAnsi="宋体" w:cs="宋体"/>
          <w:color w:val="auto"/>
          <w:kern w:val="0"/>
          <w:szCs w:val="21"/>
          <w:highlight w:val="none"/>
        </w:rPr>
        <w:t>投资额（或建筑安装工程费）</w:t>
      </w:r>
    </w:p>
    <w:p w14:paraId="7FC09B42">
      <w:pPr>
        <w:snapToGrid w:val="0"/>
        <w:spacing w:line="360" w:lineRule="auto"/>
        <w:ind w:firstLine="210" w:firstLineChars="100"/>
        <w:rPr>
          <w:rFonts w:ascii="宋体" w:hAnsi="宋体" w:cs="宋体"/>
          <w:color w:val="auto"/>
          <w:kern w:val="0"/>
          <w:szCs w:val="21"/>
          <w:highlight w:val="none"/>
        </w:rPr>
      </w:pPr>
      <w:r>
        <w:rPr>
          <w:rFonts w:hint="eastAsia" w:ascii="宋体" w:hAnsi="宋体"/>
          <w:color w:val="auto"/>
          <w:kern w:val="0"/>
          <w:szCs w:val="21"/>
          <w:highlight w:val="none"/>
        </w:rPr>
        <w:t>4.2 委</w:t>
      </w:r>
      <w:r>
        <w:rPr>
          <w:rFonts w:hint="eastAsia" w:ascii="宋体" w:hAnsi="宋体" w:cs="宋体"/>
          <w:color w:val="auto"/>
          <w:kern w:val="0"/>
          <w:szCs w:val="21"/>
          <w:highlight w:val="none"/>
        </w:rPr>
        <w:t>托人的违约责任</w:t>
      </w:r>
    </w:p>
    <w:p w14:paraId="77C7D62A">
      <w:pPr>
        <w:spacing w:line="360" w:lineRule="auto"/>
        <w:ind w:firstLine="420" w:firstLineChars="200"/>
        <w:rPr>
          <w:rFonts w:ascii="宋体" w:hAnsi="宋体"/>
          <w:color w:val="auto"/>
          <w:kern w:val="0"/>
          <w:szCs w:val="21"/>
          <w:highlight w:val="none"/>
        </w:rPr>
      </w:pPr>
      <w:r>
        <w:rPr>
          <w:rFonts w:hint="eastAsia" w:ascii="宋体" w:hAnsi="宋体"/>
          <w:color w:val="auto"/>
          <w:szCs w:val="21"/>
          <w:highlight w:val="none"/>
        </w:rPr>
        <w:t>4.2.3 委托人</w:t>
      </w:r>
      <w:r>
        <w:rPr>
          <w:rFonts w:hint="eastAsia" w:ascii="宋体" w:hAnsi="宋体"/>
          <w:color w:val="auto"/>
          <w:kern w:val="0"/>
          <w:szCs w:val="21"/>
          <w:highlight w:val="none"/>
        </w:rPr>
        <w:t>逾期付款利息按下列方法确定：</w:t>
      </w:r>
    </w:p>
    <w:p w14:paraId="24FE534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逾期付款利息＝当期应付款总额×银行同期贷款利率×拖延支付天数</w:t>
      </w:r>
    </w:p>
    <w:p w14:paraId="0194CF63">
      <w:pPr>
        <w:snapToGrid w:val="0"/>
        <w:spacing w:line="360" w:lineRule="auto"/>
        <w:rPr>
          <w:rFonts w:ascii="宋体" w:hAnsi="宋体"/>
          <w:b/>
          <w:color w:val="auto"/>
          <w:szCs w:val="21"/>
          <w:highlight w:val="none"/>
        </w:rPr>
      </w:pPr>
      <w:r>
        <w:rPr>
          <w:rFonts w:hint="eastAsia" w:ascii="宋体" w:hAnsi="宋体"/>
          <w:b/>
          <w:bCs/>
          <w:color w:val="auto"/>
          <w:szCs w:val="21"/>
          <w:highlight w:val="none"/>
        </w:rPr>
        <w:t>5. 支付</w:t>
      </w:r>
    </w:p>
    <w:p w14:paraId="7473C759">
      <w:pPr>
        <w:snapToGrid w:val="0"/>
        <w:spacing w:line="360" w:lineRule="auto"/>
        <w:rPr>
          <w:rFonts w:ascii="宋体" w:hAnsi="宋体"/>
          <w:bCs/>
          <w:color w:val="auto"/>
          <w:szCs w:val="21"/>
          <w:highlight w:val="none"/>
        </w:rPr>
      </w:pPr>
      <w:r>
        <w:rPr>
          <w:rFonts w:hint="eastAsia" w:ascii="宋体" w:hAnsi="宋体"/>
          <w:color w:val="auto"/>
          <w:szCs w:val="21"/>
          <w:highlight w:val="none"/>
        </w:rPr>
        <w:t xml:space="preserve">  5.1 </w:t>
      </w:r>
      <w:r>
        <w:rPr>
          <w:rFonts w:hint="eastAsia" w:ascii="宋体" w:hAnsi="宋体"/>
          <w:bCs/>
          <w:color w:val="auto"/>
          <w:szCs w:val="21"/>
          <w:highlight w:val="none"/>
        </w:rPr>
        <w:t>支付货币</w:t>
      </w:r>
    </w:p>
    <w:p w14:paraId="6B59BFB8">
      <w:pPr>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币种为：</w:t>
      </w:r>
      <w:r>
        <w:rPr>
          <w:rFonts w:hint="eastAsia" w:ascii="宋体" w:hAnsi="宋体"/>
          <w:color w:val="auto"/>
          <w:szCs w:val="21"/>
          <w:highlight w:val="none"/>
          <w:u w:val="single"/>
        </w:rPr>
        <w:t xml:space="preserve">  人民币  </w:t>
      </w:r>
      <w:r>
        <w:rPr>
          <w:rFonts w:hint="eastAsia" w:ascii="宋体" w:hAnsi="宋体"/>
          <w:color w:val="auto"/>
          <w:szCs w:val="21"/>
          <w:highlight w:val="none"/>
        </w:rPr>
        <w:t>，比例为：</w:t>
      </w:r>
      <w:r>
        <w:rPr>
          <w:rFonts w:hint="eastAsia" w:ascii="宋体" w:hAnsi="宋体"/>
          <w:color w:val="auto"/>
          <w:szCs w:val="21"/>
          <w:highlight w:val="none"/>
          <w:u w:val="single"/>
        </w:rPr>
        <w:t xml:space="preserve">   /   </w:t>
      </w:r>
      <w:r>
        <w:rPr>
          <w:rFonts w:hint="eastAsia" w:ascii="宋体" w:hAnsi="宋体"/>
          <w:color w:val="auto"/>
          <w:szCs w:val="21"/>
          <w:highlight w:val="none"/>
        </w:rPr>
        <w:t>，汇率为：</w:t>
      </w:r>
      <w:r>
        <w:rPr>
          <w:rFonts w:hint="eastAsia" w:ascii="宋体" w:hAnsi="宋体"/>
          <w:color w:val="auto"/>
          <w:szCs w:val="21"/>
          <w:highlight w:val="none"/>
          <w:u w:val="single"/>
        </w:rPr>
        <w:t xml:space="preserve">   /   </w:t>
      </w:r>
      <w:r>
        <w:rPr>
          <w:rFonts w:hint="eastAsia" w:ascii="宋体" w:hAnsi="宋体"/>
          <w:color w:val="auto"/>
          <w:szCs w:val="21"/>
          <w:highlight w:val="none"/>
        </w:rPr>
        <w:t xml:space="preserve">。 </w:t>
      </w:r>
    </w:p>
    <w:p w14:paraId="0B100F4C">
      <w:pPr>
        <w:snapToGrid w:val="0"/>
        <w:spacing w:line="360" w:lineRule="auto"/>
        <w:ind w:firstLine="210" w:firstLineChars="100"/>
        <w:rPr>
          <w:rFonts w:ascii="宋体" w:hAnsi="宋体"/>
          <w:color w:val="auto"/>
          <w:kern w:val="0"/>
          <w:szCs w:val="21"/>
          <w:highlight w:val="none"/>
        </w:rPr>
      </w:pPr>
      <w:r>
        <w:rPr>
          <w:rFonts w:hint="eastAsia" w:ascii="宋体" w:hAnsi="宋体"/>
          <w:color w:val="auto"/>
          <w:kern w:val="0"/>
          <w:szCs w:val="21"/>
          <w:highlight w:val="none"/>
        </w:rPr>
        <w:t>5.3 支付酬金</w:t>
      </w:r>
    </w:p>
    <w:p w14:paraId="754917C8">
      <w:pPr>
        <w:pStyle w:val="967"/>
        <w:spacing w:line="360" w:lineRule="auto"/>
        <w:ind w:firstLine="420"/>
        <w:rPr>
          <w:rFonts w:ascii="宋体" w:hAnsi="宋体" w:cs="Times New Roman"/>
          <w:color w:val="auto"/>
          <w:highlight w:val="none"/>
        </w:rPr>
      </w:pPr>
      <w:r>
        <w:rPr>
          <w:rFonts w:hint="eastAsia" w:ascii="宋体" w:hAnsi="宋体" w:cs="Times New Roman"/>
          <w:color w:val="auto"/>
          <w:highlight w:val="none"/>
        </w:rPr>
        <w:t>5.3.1  实际支付合同约定监理期限内的监理费：（大写）</w:t>
      </w:r>
      <w:r>
        <w:rPr>
          <w:rFonts w:hint="eastAsia" w:ascii="宋体" w:hAnsi="宋体"/>
          <w:color w:val="auto"/>
          <w:highlight w:val="none"/>
          <w:u w:val="single"/>
        </w:rPr>
        <w:t xml:space="preserve">              </w:t>
      </w:r>
      <w:r>
        <w:rPr>
          <w:rFonts w:hint="eastAsia" w:ascii="宋体" w:hAnsi="宋体"/>
          <w:color w:val="auto"/>
          <w:highlight w:val="none"/>
        </w:rPr>
        <w:t>（¥</w:t>
      </w:r>
      <w:r>
        <w:rPr>
          <w:rFonts w:hint="eastAsia" w:ascii="宋体" w:hAnsi="宋体"/>
          <w:color w:val="auto"/>
          <w:highlight w:val="none"/>
          <w:u w:val="single"/>
        </w:rPr>
        <w:t xml:space="preserve">         </w:t>
      </w:r>
      <w:r>
        <w:rPr>
          <w:rFonts w:hint="eastAsia" w:ascii="宋体" w:hAnsi="宋体"/>
          <w:color w:val="auto"/>
          <w:highlight w:val="none"/>
        </w:rPr>
        <w:t>元 ）</w:t>
      </w:r>
      <w:r>
        <w:rPr>
          <w:rFonts w:hint="eastAsia" w:ascii="宋体" w:hAnsi="宋体" w:cs="Times New Roman"/>
          <w:color w:val="auto"/>
          <w:highlight w:val="none"/>
        </w:rPr>
        <w:t>。本工程监理费报价包括为完成本监理工程服务内容可能发生的一切费用，如工作、生活、交通、通讯、设备（仪器）、劳力、利润、税收等以及所有有关的费用。</w:t>
      </w:r>
    </w:p>
    <w:p w14:paraId="72268443">
      <w:pPr>
        <w:snapToGrid w:val="0"/>
        <w:spacing w:line="360" w:lineRule="auto"/>
        <w:ind w:firstLine="420" w:firstLineChars="200"/>
        <w:rPr>
          <w:rFonts w:ascii="宋体" w:hAnsi="宋体" w:cs="宋体"/>
          <w:color w:val="auto"/>
          <w:szCs w:val="21"/>
          <w:highlight w:val="none"/>
          <w:u w:val="single"/>
        </w:rPr>
      </w:pPr>
      <w:r>
        <w:rPr>
          <w:rFonts w:hint="eastAsia" w:ascii="宋体" w:hAnsi="宋体"/>
          <w:color w:val="auto"/>
          <w:kern w:val="0"/>
          <w:szCs w:val="21"/>
          <w:highlight w:val="none"/>
        </w:rPr>
        <w:t>5.3.2正常工作</w:t>
      </w:r>
      <w:r>
        <w:rPr>
          <w:rFonts w:hint="eastAsia" w:ascii="宋体" w:hAnsi="宋体"/>
          <w:color w:val="auto"/>
          <w:szCs w:val="21"/>
          <w:highlight w:val="none"/>
        </w:rPr>
        <w:t>酬金的</w:t>
      </w:r>
      <w:r>
        <w:rPr>
          <w:rFonts w:hint="eastAsia" w:ascii="宋体" w:hAnsi="宋体" w:cs="宋体"/>
          <w:color w:val="auto"/>
          <w:kern w:val="0"/>
          <w:szCs w:val="21"/>
          <w:highlight w:val="none"/>
        </w:rPr>
        <w:t>支付</w:t>
      </w:r>
      <w:r>
        <w:rPr>
          <w:rFonts w:hint="eastAsia" w:ascii="宋体" w:hAnsi="宋体"/>
          <w:color w:val="auto"/>
          <w:szCs w:val="21"/>
          <w:highlight w:val="none"/>
        </w:rPr>
        <w:t>：</w:t>
      </w:r>
      <w:r>
        <w:rPr>
          <w:rFonts w:hint="eastAsia" w:ascii="宋体" w:hAnsi="宋体" w:cs="宋体"/>
          <w:color w:val="auto"/>
          <w:szCs w:val="21"/>
          <w:highlight w:val="none"/>
          <w:u w:val="single"/>
        </w:rPr>
        <w:t>按《建设工程监理与相关服务收费管理规定》[2007]670号文规定计费，项目审计后根据供应商</w:t>
      </w:r>
      <w:r>
        <w:rPr>
          <w:rFonts w:ascii="宋体" w:hAnsi="宋体" w:cs="宋体"/>
          <w:color w:val="auto"/>
          <w:szCs w:val="21"/>
          <w:highlight w:val="none"/>
          <w:u w:val="single"/>
        </w:rPr>
        <w:t>成交</w:t>
      </w:r>
      <w:r>
        <w:rPr>
          <w:rFonts w:hint="eastAsia" w:ascii="宋体" w:hAnsi="宋体" w:cs="宋体"/>
          <w:color w:val="auto"/>
          <w:szCs w:val="21"/>
          <w:highlight w:val="none"/>
          <w:u w:val="single"/>
        </w:rPr>
        <w:t>的折扣率进行结算，结算方式：[2007]670号文规定计费*（折扣率）专业调整系数1.0，工程复杂程度调整系数1.0，高程调整系数1.0。</w:t>
      </w:r>
    </w:p>
    <w:p w14:paraId="6587AF8D">
      <w:pPr>
        <w:snapToGrid w:val="0"/>
        <w:spacing w:line="360" w:lineRule="auto"/>
        <w:ind w:firstLine="420" w:firstLineChars="200"/>
        <w:rPr>
          <w:rFonts w:hint="eastAsia" w:ascii="宋体" w:hAnsi="宋体" w:cs="宋体"/>
          <w:color w:val="auto"/>
          <w:szCs w:val="21"/>
          <w:highlight w:val="none"/>
          <w:u w:val="single"/>
          <w:lang w:val="en-US" w:eastAsia="zh-CN"/>
        </w:rPr>
      </w:pPr>
      <w:r>
        <w:rPr>
          <w:rFonts w:hint="eastAsia" w:ascii="宋体" w:hAnsi="宋体" w:cs="宋体"/>
          <w:color w:val="auto"/>
          <w:szCs w:val="21"/>
          <w:highlight w:val="none"/>
          <w:u w:val="single"/>
        </w:rPr>
        <w:t>监理费结算方式：1.监理费半年结算一次，结算基数先以半年内所有完成验收的施工项目合同价的合计，支付至半年内监理费的80%；</w:t>
      </w:r>
      <w:r>
        <w:rPr>
          <w:rFonts w:hint="eastAsia" w:ascii="宋体" w:hAnsi="宋体" w:cs="宋体"/>
          <w:color w:val="auto"/>
          <w:szCs w:val="21"/>
          <w:highlight w:val="none"/>
          <w:u w:val="single"/>
          <w:lang w:val="en-US" w:eastAsia="zh-CN"/>
        </w:rPr>
        <w:t>2</w:t>
      </w:r>
      <w:r>
        <w:rPr>
          <w:rFonts w:hint="eastAsia" w:ascii="宋体" w:hAnsi="宋体" w:cs="宋体"/>
          <w:color w:val="auto"/>
          <w:szCs w:val="21"/>
          <w:highlight w:val="none"/>
          <w:u w:val="single"/>
        </w:rPr>
        <w:t>.剩余监理费按经学院审计部门审计后的所有施工结算价的合计额为收费基数，根据</w:t>
      </w:r>
      <w:r>
        <w:rPr>
          <w:rFonts w:hint="eastAsia" w:ascii="宋体" w:hAnsi="宋体" w:cs="宋体"/>
          <w:color w:val="auto"/>
          <w:szCs w:val="21"/>
          <w:highlight w:val="none"/>
          <w:u w:val="single"/>
          <w:lang w:eastAsia="zh-CN"/>
        </w:rPr>
        <w:t>磋商响应供应商</w:t>
      </w:r>
      <w:r>
        <w:rPr>
          <w:rFonts w:hint="eastAsia" w:ascii="宋体" w:hAnsi="宋体" w:cs="宋体"/>
          <w:color w:val="auto"/>
          <w:szCs w:val="21"/>
          <w:highlight w:val="none"/>
          <w:u w:val="single"/>
        </w:rPr>
        <w:t>中标的折扣率进行结算并一次性付清剩余监理费。</w:t>
      </w:r>
      <w:r>
        <w:rPr>
          <w:rFonts w:hint="eastAsia" w:ascii="宋体" w:hAnsi="宋体" w:cs="宋体"/>
          <w:color w:val="auto"/>
          <w:szCs w:val="21"/>
          <w:highlight w:val="none"/>
          <w:u w:val="single"/>
          <w:lang w:val="en-US" w:eastAsia="zh-CN"/>
        </w:rPr>
        <w:t>注：</w:t>
      </w:r>
      <w:r>
        <w:rPr>
          <w:rFonts w:hint="eastAsia" w:ascii="宋体" w:hAnsi="宋体" w:cs="宋体"/>
          <w:color w:val="auto"/>
          <w:szCs w:val="21"/>
          <w:highlight w:val="none"/>
          <w:u w:val="single"/>
        </w:rPr>
        <w:t>监理人充分理解并接受委托人内部支付流程审批所需的时间，不得因此追究委托人的逾期付款责任。</w:t>
      </w:r>
    </w:p>
    <w:p w14:paraId="0D9736F3">
      <w:pPr>
        <w:snapToGrid w:val="0"/>
        <w:spacing w:line="300" w:lineRule="auto"/>
        <w:ind w:firstLine="420"/>
        <w:rPr>
          <w:rFonts w:ascii="Calibri" w:hAnsi="Calibri" w:cs="Calibri"/>
          <w:color w:val="auto"/>
          <w:highlight w:val="none"/>
        </w:rPr>
      </w:pPr>
    </w:p>
    <w:p w14:paraId="6F612357">
      <w:pPr>
        <w:snapToGrid w:val="0"/>
        <w:spacing w:line="360" w:lineRule="auto"/>
        <w:rPr>
          <w:rFonts w:ascii="宋体" w:hAnsi="宋体"/>
          <w:b/>
          <w:bCs/>
          <w:color w:val="auto"/>
          <w:szCs w:val="21"/>
          <w:highlight w:val="none"/>
        </w:rPr>
      </w:pPr>
      <w:r>
        <w:rPr>
          <w:rFonts w:hint="eastAsia" w:ascii="宋体" w:hAnsi="宋体"/>
          <w:bCs/>
          <w:color w:val="auto"/>
          <w:szCs w:val="21"/>
          <w:highlight w:val="none"/>
        </w:rPr>
        <w:t>6</w:t>
      </w:r>
      <w:r>
        <w:rPr>
          <w:rFonts w:hint="eastAsia" w:ascii="宋体" w:hAnsi="宋体"/>
          <w:b/>
          <w:bCs/>
          <w:color w:val="auto"/>
          <w:szCs w:val="21"/>
          <w:highlight w:val="none"/>
        </w:rPr>
        <w:t>. 合同生效、变更、暂停、解除与终止</w:t>
      </w:r>
    </w:p>
    <w:p w14:paraId="4E559B06">
      <w:pPr>
        <w:adjustRightInd w:val="0"/>
        <w:snapToGrid w:val="0"/>
        <w:spacing w:line="360" w:lineRule="auto"/>
        <w:ind w:firstLine="210" w:firstLineChars="100"/>
        <w:rPr>
          <w:rFonts w:ascii="宋体" w:hAnsi="宋体"/>
          <w:color w:val="auto"/>
          <w:szCs w:val="21"/>
          <w:highlight w:val="none"/>
        </w:rPr>
      </w:pPr>
      <w:r>
        <w:rPr>
          <w:rFonts w:hint="eastAsia" w:ascii="宋体" w:hAnsi="宋体"/>
          <w:color w:val="auto"/>
          <w:szCs w:val="21"/>
          <w:highlight w:val="none"/>
        </w:rPr>
        <w:t>6.1 生效</w:t>
      </w:r>
    </w:p>
    <w:p w14:paraId="7AAB70AB">
      <w:pPr>
        <w:adjustRightInd w:val="0"/>
        <w:snapToGrid w:val="0"/>
        <w:spacing w:line="360" w:lineRule="auto"/>
        <w:ind w:firstLine="480"/>
        <w:rPr>
          <w:rFonts w:ascii="宋体" w:hAnsi="宋体"/>
          <w:color w:val="auto"/>
          <w:szCs w:val="21"/>
          <w:highlight w:val="none"/>
        </w:rPr>
      </w:pPr>
      <w:r>
        <w:rPr>
          <w:rFonts w:hint="eastAsia" w:ascii="宋体" w:hAnsi="宋体"/>
          <w:color w:val="auto"/>
          <w:szCs w:val="21"/>
          <w:highlight w:val="none"/>
        </w:rPr>
        <w:t>本合同生效条件：</w:t>
      </w:r>
      <w:r>
        <w:rPr>
          <w:rFonts w:hint="eastAsia" w:ascii="宋体" w:hAnsi="宋体"/>
          <w:color w:val="auto"/>
          <w:szCs w:val="21"/>
          <w:highlight w:val="none"/>
          <w:u w:val="single"/>
        </w:rPr>
        <w:t xml:space="preserve">    合同签署并盖章后生效             </w:t>
      </w:r>
      <w:r>
        <w:rPr>
          <w:rFonts w:hint="eastAsia" w:ascii="宋体" w:hAnsi="宋体"/>
          <w:color w:val="auto"/>
          <w:szCs w:val="21"/>
          <w:highlight w:val="none"/>
        </w:rPr>
        <w:t>。</w:t>
      </w:r>
    </w:p>
    <w:p w14:paraId="7C1C05E9">
      <w:pPr>
        <w:adjustRightInd w:val="0"/>
        <w:snapToGrid w:val="0"/>
        <w:spacing w:line="360" w:lineRule="auto"/>
        <w:ind w:firstLine="205" w:firstLineChars="98"/>
        <w:rPr>
          <w:rFonts w:ascii="宋体" w:hAnsi="宋体"/>
          <w:color w:val="auto"/>
          <w:szCs w:val="21"/>
          <w:highlight w:val="none"/>
        </w:rPr>
      </w:pPr>
      <w:r>
        <w:rPr>
          <w:rFonts w:hint="eastAsia" w:ascii="宋体" w:hAnsi="宋体"/>
          <w:color w:val="auto"/>
          <w:szCs w:val="21"/>
          <w:highlight w:val="none"/>
        </w:rPr>
        <w:t xml:space="preserve">6.2 变更 </w:t>
      </w:r>
    </w:p>
    <w:p w14:paraId="229C1D99">
      <w:pPr>
        <w:adjustRightInd w:val="0"/>
        <w:snapToGrid w:val="0"/>
        <w:spacing w:line="360" w:lineRule="auto"/>
        <w:ind w:firstLine="480"/>
        <w:rPr>
          <w:rFonts w:ascii="宋体" w:hAnsi="宋体"/>
          <w:color w:val="auto"/>
          <w:szCs w:val="21"/>
          <w:highlight w:val="none"/>
        </w:rPr>
      </w:pPr>
      <w:r>
        <w:rPr>
          <w:rFonts w:hint="eastAsia" w:ascii="宋体" w:hAnsi="宋体"/>
          <w:color w:val="auto"/>
          <w:szCs w:val="21"/>
          <w:highlight w:val="none"/>
        </w:rPr>
        <w:t xml:space="preserve">6.2.1 正常工作酬金增加额按下列方法确定： </w:t>
      </w:r>
    </w:p>
    <w:p w14:paraId="2ECA63DE">
      <w:pPr>
        <w:adjustRightInd w:val="0"/>
        <w:snapToGrid w:val="0"/>
        <w:spacing w:line="360" w:lineRule="auto"/>
        <w:ind w:firstLine="480"/>
        <w:rPr>
          <w:rFonts w:ascii="宋体" w:hAnsi="宋体"/>
          <w:color w:val="auto"/>
          <w:szCs w:val="21"/>
          <w:highlight w:val="none"/>
        </w:rPr>
      </w:pPr>
      <w:r>
        <w:rPr>
          <w:rFonts w:hint="eastAsia" w:ascii="宋体" w:hAnsi="宋体"/>
          <w:color w:val="auto"/>
          <w:szCs w:val="21"/>
          <w:highlight w:val="none"/>
        </w:rPr>
        <w:t>正常工作酬金增加额=工程投资额或建筑安装工程费增加额×正常工作酬金÷工程概算投资额（或建筑安装工程费）</w:t>
      </w:r>
    </w:p>
    <w:p w14:paraId="1EBA6ED4">
      <w:pPr>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6.2.2 因工程规模、监理范围的变化导致监理人的正常工作量减少或者增加时，协议书约定的正常工作酬金不进行调整，延长期监理服务费按照原合同价同比例调整。</w:t>
      </w:r>
    </w:p>
    <w:p w14:paraId="15FEADB7">
      <w:pPr>
        <w:snapToGrid w:val="0"/>
        <w:spacing w:line="360" w:lineRule="auto"/>
        <w:rPr>
          <w:rFonts w:ascii="宋体" w:hAnsi="宋体"/>
          <w:b/>
          <w:color w:val="auto"/>
          <w:szCs w:val="21"/>
          <w:highlight w:val="none"/>
        </w:rPr>
      </w:pPr>
      <w:r>
        <w:rPr>
          <w:rFonts w:hint="eastAsia" w:ascii="宋体" w:hAnsi="宋体"/>
          <w:b/>
          <w:bCs/>
          <w:color w:val="auto"/>
          <w:szCs w:val="21"/>
          <w:highlight w:val="none"/>
        </w:rPr>
        <w:t>7. 争议解决</w:t>
      </w:r>
    </w:p>
    <w:p w14:paraId="445D6E92">
      <w:pPr>
        <w:snapToGrid w:val="0"/>
        <w:spacing w:line="360" w:lineRule="auto"/>
        <w:ind w:firstLine="205" w:firstLineChars="98"/>
        <w:rPr>
          <w:rFonts w:ascii="宋体" w:hAnsi="宋体"/>
          <w:color w:val="auto"/>
          <w:szCs w:val="21"/>
          <w:highlight w:val="none"/>
        </w:rPr>
      </w:pPr>
      <w:r>
        <w:rPr>
          <w:rFonts w:hint="eastAsia" w:ascii="宋体" w:hAnsi="宋体"/>
          <w:color w:val="auto"/>
          <w:szCs w:val="21"/>
          <w:highlight w:val="none"/>
        </w:rPr>
        <w:t xml:space="preserve">7.2 </w:t>
      </w:r>
      <w:r>
        <w:rPr>
          <w:rFonts w:hint="eastAsia" w:ascii="宋体" w:hAnsi="宋体"/>
          <w:bCs/>
          <w:color w:val="auto"/>
          <w:szCs w:val="21"/>
          <w:highlight w:val="none"/>
        </w:rPr>
        <w:t>调解</w:t>
      </w:r>
    </w:p>
    <w:p w14:paraId="39531010">
      <w:pPr>
        <w:snapToGrid w:val="0"/>
        <w:spacing w:line="360" w:lineRule="auto"/>
        <w:ind w:firstLine="411" w:firstLineChars="196"/>
        <w:rPr>
          <w:rFonts w:ascii="宋体" w:hAnsi="宋体"/>
          <w:color w:val="auto"/>
          <w:szCs w:val="21"/>
          <w:highlight w:val="none"/>
        </w:rPr>
      </w:pPr>
      <w:r>
        <w:rPr>
          <w:rFonts w:hint="eastAsia" w:ascii="宋体" w:hAnsi="宋体"/>
          <w:color w:val="auto"/>
          <w:szCs w:val="21"/>
          <w:highlight w:val="none"/>
        </w:rPr>
        <w:t>本合同争议进行调解时，可提交</w:t>
      </w:r>
      <w:r>
        <w:rPr>
          <w:rFonts w:hint="eastAsia" w:ascii="宋体" w:hAnsi="宋体"/>
          <w:color w:val="auto"/>
          <w:szCs w:val="21"/>
          <w:highlight w:val="none"/>
          <w:u w:val="single"/>
        </w:rPr>
        <w:t xml:space="preserve">   /     </w:t>
      </w:r>
      <w:r>
        <w:rPr>
          <w:rFonts w:hint="eastAsia" w:ascii="宋体" w:hAnsi="宋体"/>
          <w:color w:val="auto"/>
          <w:szCs w:val="21"/>
          <w:highlight w:val="none"/>
        </w:rPr>
        <w:t>进行调解。</w:t>
      </w:r>
    </w:p>
    <w:p w14:paraId="38A875A6">
      <w:pPr>
        <w:snapToGrid w:val="0"/>
        <w:spacing w:line="360" w:lineRule="auto"/>
        <w:ind w:firstLine="205" w:firstLineChars="98"/>
        <w:rPr>
          <w:rFonts w:ascii="宋体" w:hAnsi="宋体"/>
          <w:color w:val="auto"/>
          <w:szCs w:val="21"/>
          <w:highlight w:val="none"/>
        </w:rPr>
      </w:pPr>
      <w:r>
        <w:rPr>
          <w:rFonts w:hint="eastAsia" w:ascii="宋体" w:hAnsi="宋体"/>
          <w:color w:val="auto"/>
          <w:szCs w:val="21"/>
          <w:highlight w:val="none"/>
        </w:rPr>
        <w:t xml:space="preserve">7.3 </w:t>
      </w:r>
      <w:r>
        <w:rPr>
          <w:rFonts w:hint="eastAsia" w:ascii="宋体" w:hAnsi="宋体"/>
          <w:bCs/>
          <w:color w:val="auto"/>
          <w:szCs w:val="21"/>
          <w:highlight w:val="none"/>
        </w:rPr>
        <w:t>仲裁或诉讼</w:t>
      </w:r>
    </w:p>
    <w:p w14:paraId="0A5150BA">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合同争议的最终解决方式为下列第</w:t>
      </w:r>
      <w:r>
        <w:rPr>
          <w:rFonts w:hint="eastAsia" w:ascii="宋体" w:hAnsi="宋体"/>
          <w:color w:val="auto"/>
          <w:szCs w:val="21"/>
          <w:highlight w:val="none"/>
          <w:u w:val="single"/>
        </w:rPr>
        <w:t xml:space="preserve"> （2）  </w:t>
      </w:r>
      <w:r>
        <w:rPr>
          <w:rFonts w:hint="eastAsia" w:ascii="宋体" w:hAnsi="宋体"/>
          <w:color w:val="auto"/>
          <w:szCs w:val="21"/>
          <w:highlight w:val="none"/>
        </w:rPr>
        <w:t>种方式：</w:t>
      </w:r>
    </w:p>
    <w:p w14:paraId="5FCB2B33">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（1）提请</w:t>
      </w:r>
      <w:r>
        <w:rPr>
          <w:rFonts w:hint="eastAsia" w:ascii="宋体" w:hAnsi="宋体"/>
          <w:color w:val="auto"/>
          <w:szCs w:val="21"/>
          <w:highlight w:val="none"/>
          <w:u w:val="single"/>
        </w:rPr>
        <w:t xml:space="preserve">   /     </w:t>
      </w:r>
      <w:r>
        <w:rPr>
          <w:rFonts w:hint="eastAsia" w:ascii="宋体" w:hAnsi="宋体"/>
          <w:color w:val="auto"/>
          <w:szCs w:val="21"/>
          <w:highlight w:val="none"/>
        </w:rPr>
        <w:t>仲裁委员会进行仲裁。</w:t>
      </w:r>
    </w:p>
    <w:p w14:paraId="2CA932C6">
      <w:pPr>
        <w:adjustRightInd w:val="0"/>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（2）向</w:t>
      </w:r>
      <w:r>
        <w:rPr>
          <w:rFonts w:hint="eastAsia" w:ascii="宋体" w:hAnsi="宋体"/>
          <w:color w:val="auto"/>
          <w:szCs w:val="21"/>
          <w:highlight w:val="none"/>
          <w:u w:val="single"/>
        </w:rPr>
        <w:t xml:space="preserve">委托人所在地 </w:t>
      </w:r>
      <w:r>
        <w:rPr>
          <w:rFonts w:hint="eastAsia" w:ascii="宋体" w:hAnsi="宋体"/>
          <w:color w:val="auto"/>
          <w:szCs w:val="21"/>
          <w:highlight w:val="none"/>
        </w:rPr>
        <w:t>人民法院提起诉讼。</w:t>
      </w:r>
    </w:p>
    <w:p w14:paraId="70EB77D0">
      <w:pPr>
        <w:adjustRightInd w:val="0"/>
        <w:snapToGrid w:val="0"/>
        <w:spacing w:line="360" w:lineRule="auto"/>
        <w:rPr>
          <w:rFonts w:ascii="宋体" w:hAnsi="宋体"/>
          <w:b/>
          <w:bCs/>
          <w:color w:val="auto"/>
          <w:szCs w:val="21"/>
          <w:highlight w:val="none"/>
        </w:rPr>
      </w:pPr>
      <w:r>
        <w:rPr>
          <w:rFonts w:hint="eastAsia" w:ascii="宋体" w:hAnsi="宋体"/>
          <w:b/>
          <w:bCs/>
          <w:color w:val="auto"/>
          <w:szCs w:val="21"/>
          <w:highlight w:val="none"/>
        </w:rPr>
        <w:t>8. 其他</w:t>
      </w:r>
    </w:p>
    <w:p w14:paraId="7AF49702">
      <w:pPr>
        <w:adjustRightInd w:val="0"/>
        <w:snapToGrid w:val="0"/>
        <w:spacing w:line="360" w:lineRule="auto"/>
        <w:rPr>
          <w:rFonts w:ascii="宋体" w:hAnsi="宋体"/>
          <w:bCs/>
          <w:color w:val="auto"/>
          <w:szCs w:val="21"/>
          <w:highlight w:val="none"/>
        </w:rPr>
      </w:pPr>
      <w:r>
        <w:rPr>
          <w:rFonts w:hint="eastAsia" w:ascii="宋体" w:hAnsi="宋体"/>
          <w:b/>
          <w:bCs/>
          <w:color w:val="auto"/>
          <w:szCs w:val="21"/>
          <w:highlight w:val="none"/>
        </w:rPr>
        <w:t xml:space="preserve">  </w:t>
      </w:r>
      <w:r>
        <w:rPr>
          <w:rFonts w:hint="eastAsia" w:ascii="宋体" w:hAnsi="宋体"/>
          <w:bCs/>
          <w:color w:val="auto"/>
          <w:szCs w:val="21"/>
          <w:highlight w:val="none"/>
        </w:rPr>
        <w:t>8.2 检测费用</w:t>
      </w:r>
    </w:p>
    <w:p w14:paraId="76670E3D">
      <w:pPr>
        <w:adjustRightInd w:val="0"/>
        <w:snapToGrid w:val="0"/>
        <w:spacing w:line="360" w:lineRule="auto"/>
        <w:rPr>
          <w:rFonts w:ascii="宋体" w:hAnsi="宋体"/>
          <w:bCs/>
          <w:color w:val="auto"/>
          <w:szCs w:val="21"/>
          <w:highlight w:val="none"/>
        </w:rPr>
      </w:pPr>
      <w:r>
        <w:rPr>
          <w:rFonts w:hint="eastAsia" w:ascii="宋体" w:hAnsi="宋体"/>
          <w:bCs/>
          <w:color w:val="auto"/>
          <w:szCs w:val="21"/>
          <w:highlight w:val="none"/>
        </w:rPr>
        <w:t xml:space="preserve">    委托人应在检测工作完成后</w:t>
      </w:r>
      <w:r>
        <w:rPr>
          <w:rFonts w:hint="eastAsia" w:ascii="宋体" w:hAnsi="宋体"/>
          <w:color w:val="auto"/>
          <w:szCs w:val="21"/>
          <w:highlight w:val="none"/>
          <w:u w:val="single"/>
        </w:rPr>
        <w:t xml:space="preserve">   /    </w:t>
      </w:r>
      <w:r>
        <w:rPr>
          <w:rFonts w:hint="eastAsia" w:ascii="宋体" w:hAnsi="宋体"/>
          <w:bCs/>
          <w:color w:val="auto"/>
          <w:szCs w:val="21"/>
          <w:highlight w:val="none"/>
        </w:rPr>
        <w:t>天内支付检测费用。</w:t>
      </w:r>
    </w:p>
    <w:p w14:paraId="635C6E5A">
      <w:pPr>
        <w:adjustRightInd w:val="0"/>
        <w:snapToGrid w:val="0"/>
        <w:spacing w:line="360" w:lineRule="auto"/>
        <w:rPr>
          <w:rFonts w:ascii="宋体" w:hAnsi="宋体"/>
          <w:bCs/>
          <w:color w:val="auto"/>
          <w:szCs w:val="21"/>
          <w:highlight w:val="none"/>
        </w:rPr>
      </w:pPr>
      <w:r>
        <w:rPr>
          <w:rFonts w:hint="eastAsia" w:ascii="宋体" w:hAnsi="宋体"/>
          <w:bCs/>
          <w:color w:val="auto"/>
          <w:szCs w:val="21"/>
          <w:highlight w:val="none"/>
        </w:rPr>
        <w:t xml:space="preserve">  8.3 咨询费用</w:t>
      </w:r>
    </w:p>
    <w:p w14:paraId="1680179F">
      <w:pPr>
        <w:adjustRightInd w:val="0"/>
        <w:snapToGrid w:val="0"/>
        <w:spacing w:line="360" w:lineRule="auto"/>
        <w:rPr>
          <w:rFonts w:ascii="宋体" w:hAnsi="宋体"/>
          <w:bCs/>
          <w:color w:val="auto"/>
          <w:szCs w:val="21"/>
          <w:highlight w:val="none"/>
        </w:rPr>
      </w:pPr>
      <w:r>
        <w:rPr>
          <w:rFonts w:hint="eastAsia" w:ascii="宋体" w:hAnsi="宋体"/>
          <w:bCs/>
          <w:color w:val="auto"/>
          <w:szCs w:val="21"/>
          <w:highlight w:val="none"/>
        </w:rPr>
        <w:t xml:space="preserve">    委托人应在咨询工作完成后</w:t>
      </w:r>
      <w:r>
        <w:rPr>
          <w:rFonts w:hint="eastAsia" w:ascii="宋体" w:hAnsi="宋体"/>
          <w:color w:val="auto"/>
          <w:szCs w:val="21"/>
          <w:highlight w:val="none"/>
          <w:u w:val="single"/>
        </w:rPr>
        <w:t xml:space="preserve">   /    </w:t>
      </w:r>
      <w:r>
        <w:rPr>
          <w:rFonts w:hint="eastAsia" w:ascii="宋体" w:hAnsi="宋体"/>
          <w:bCs/>
          <w:color w:val="auto"/>
          <w:szCs w:val="21"/>
          <w:highlight w:val="none"/>
        </w:rPr>
        <w:t>天内支付咨询费用。</w:t>
      </w:r>
    </w:p>
    <w:p w14:paraId="3C50D6ED">
      <w:pPr>
        <w:snapToGrid w:val="0"/>
        <w:spacing w:line="360" w:lineRule="auto"/>
        <w:ind w:firstLine="205" w:firstLineChars="98"/>
        <w:rPr>
          <w:rFonts w:ascii="宋体" w:hAnsi="宋体"/>
          <w:color w:val="auto"/>
          <w:szCs w:val="21"/>
          <w:highlight w:val="none"/>
        </w:rPr>
      </w:pPr>
      <w:r>
        <w:rPr>
          <w:rFonts w:hint="eastAsia" w:ascii="宋体" w:hAnsi="宋体"/>
          <w:color w:val="auto"/>
          <w:szCs w:val="21"/>
          <w:highlight w:val="none"/>
        </w:rPr>
        <w:t>8.4 奖励</w:t>
      </w:r>
    </w:p>
    <w:p w14:paraId="5042078E">
      <w:pPr>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合理化建议的奖励金额按下列方法确定为：</w:t>
      </w:r>
    </w:p>
    <w:p w14:paraId="7A3E55D1">
      <w:pPr>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奖励金额＝工程投资节省额×奖励金额的比率；</w:t>
      </w:r>
    </w:p>
    <w:p w14:paraId="1F26CD04">
      <w:pPr>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奖励金额的比率为</w:t>
      </w:r>
      <w:r>
        <w:rPr>
          <w:rFonts w:hint="eastAsia" w:ascii="宋体" w:hAnsi="宋体"/>
          <w:color w:val="auto"/>
          <w:szCs w:val="21"/>
          <w:highlight w:val="none"/>
          <w:u w:val="single"/>
        </w:rPr>
        <w:t xml:space="preserve">     /     </w:t>
      </w:r>
      <w:r>
        <w:rPr>
          <w:rFonts w:hint="eastAsia" w:ascii="宋体" w:hAnsi="宋体"/>
          <w:color w:val="auto"/>
          <w:szCs w:val="21"/>
          <w:highlight w:val="none"/>
        </w:rPr>
        <w:t>%。</w:t>
      </w:r>
    </w:p>
    <w:p w14:paraId="47F8BA19">
      <w:pPr>
        <w:adjustRightInd w:val="0"/>
        <w:snapToGrid w:val="0"/>
        <w:spacing w:line="360" w:lineRule="auto"/>
        <w:ind w:firstLine="205" w:firstLineChars="98"/>
        <w:rPr>
          <w:rFonts w:ascii="宋体" w:hAnsi="宋体"/>
          <w:color w:val="auto"/>
          <w:szCs w:val="21"/>
          <w:highlight w:val="none"/>
        </w:rPr>
      </w:pPr>
      <w:r>
        <w:rPr>
          <w:rFonts w:hint="eastAsia" w:ascii="宋体" w:hAnsi="宋体"/>
          <w:color w:val="auto"/>
          <w:szCs w:val="21"/>
          <w:highlight w:val="none"/>
        </w:rPr>
        <w:t>8.6 保密</w:t>
      </w:r>
    </w:p>
    <w:p w14:paraId="11C0654E">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委托人申明的保密事项和期限：/</w:t>
      </w:r>
      <w:r>
        <w:rPr>
          <w:rFonts w:hint="eastAsia" w:ascii="宋体" w:hAnsi="宋体"/>
          <w:color w:val="auto"/>
          <w:szCs w:val="21"/>
          <w:highlight w:val="none"/>
          <w:u w:val="single"/>
        </w:rPr>
        <w:t xml:space="preserve"> </w:t>
      </w:r>
    </w:p>
    <w:p w14:paraId="6C5B0D44">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监理人申明的保密事项和期限：</w:t>
      </w:r>
      <w:r>
        <w:rPr>
          <w:rFonts w:hint="eastAsia" w:ascii="宋体" w:hAnsi="宋体"/>
          <w:color w:val="auto"/>
          <w:szCs w:val="21"/>
          <w:highlight w:val="none"/>
          <w:u w:val="single"/>
        </w:rPr>
        <w:t>对图纸内容及相关事项进行保密 ，本项目相关资料未经委托人同意，不得以任何形式向第三人外泄。</w:t>
      </w:r>
    </w:p>
    <w:p w14:paraId="2B722E45">
      <w:pPr>
        <w:adjustRightInd w:val="0"/>
        <w:snapToGrid w:val="0"/>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第三方申明的保密事项和期限：</w:t>
      </w:r>
      <w:r>
        <w:rPr>
          <w:rFonts w:hint="eastAsia" w:ascii="宋体" w:hAnsi="宋体"/>
          <w:color w:val="auto"/>
          <w:szCs w:val="21"/>
          <w:highlight w:val="none"/>
          <w:u w:val="single"/>
        </w:rPr>
        <w:t xml:space="preserve">           /            </w:t>
      </w:r>
      <w:r>
        <w:rPr>
          <w:rFonts w:hint="eastAsia" w:ascii="宋体" w:hAnsi="宋体"/>
          <w:color w:val="auto"/>
          <w:szCs w:val="21"/>
          <w:highlight w:val="none"/>
        </w:rPr>
        <w:t>。</w:t>
      </w:r>
    </w:p>
    <w:p w14:paraId="38172E32">
      <w:pPr>
        <w:snapToGrid w:val="0"/>
        <w:spacing w:line="360" w:lineRule="auto"/>
        <w:ind w:firstLine="205" w:firstLineChars="98"/>
        <w:rPr>
          <w:rFonts w:ascii="宋体" w:hAnsi="宋体"/>
          <w:bCs/>
          <w:color w:val="auto"/>
          <w:szCs w:val="21"/>
          <w:highlight w:val="none"/>
        </w:rPr>
      </w:pPr>
      <w:r>
        <w:rPr>
          <w:rFonts w:hint="eastAsia" w:ascii="宋体" w:hAnsi="宋体"/>
          <w:color w:val="auto"/>
          <w:szCs w:val="21"/>
          <w:highlight w:val="none"/>
        </w:rPr>
        <w:t>8.8</w:t>
      </w:r>
      <w:r>
        <w:rPr>
          <w:rFonts w:hint="eastAsia" w:ascii="宋体" w:hAnsi="宋体"/>
          <w:bCs/>
          <w:color w:val="auto"/>
          <w:szCs w:val="21"/>
          <w:highlight w:val="none"/>
        </w:rPr>
        <w:t>著作权</w:t>
      </w:r>
    </w:p>
    <w:p w14:paraId="4F09B54B">
      <w:pPr>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监理人在本合同履行期间及本合同终止后两年内出版涉及本工程的有关监理与相关服务的资料的限制条件：</w:t>
      </w:r>
      <w:r>
        <w:rPr>
          <w:rFonts w:hint="eastAsia" w:ascii="宋体" w:hAnsi="宋体"/>
          <w:color w:val="auto"/>
          <w:szCs w:val="21"/>
          <w:highlight w:val="none"/>
          <w:u w:val="single"/>
        </w:rPr>
        <w:t xml:space="preserve">      /       </w:t>
      </w:r>
      <w:r>
        <w:rPr>
          <w:rFonts w:hint="eastAsia" w:ascii="宋体" w:hAnsi="宋体"/>
          <w:color w:val="auto"/>
          <w:szCs w:val="21"/>
          <w:highlight w:val="none"/>
        </w:rPr>
        <w:t>。</w:t>
      </w:r>
    </w:p>
    <w:p w14:paraId="72A89452">
      <w:pPr>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9. 补充条款</w:t>
      </w:r>
    </w:p>
    <w:p w14:paraId="6950CF73">
      <w:pPr>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（1）、乙方将认真履行对本工程的安全、质量、进度等的监理职责，特别是管理好安全生产，包括施工安全、围护安全、人身安全等。</w:t>
      </w:r>
    </w:p>
    <w:p w14:paraId="3E56A766">
      <w:pPr>
        <w:snapToGrid w:val="0"/>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监督施工单位按投标文件认真履行，包括围护搭设；监理单位在本工程监理过程中发现问题需第一时间向甲方汇报，并督促施工单位整改；如施工单位拒不整改，监理单位可经甲方同意，有权向施工单位下发工程停工令，并向施工单位下发罚款通知单，具体处罚金额详见施工合同内的相关条款。</w:t>
      </w:r>
    </w:p>
    <w:p w14:paraId="559D5253">
      <w:pPr>
        <w:spacing w:line="288" w:lineRule="auto"/>
        <w:ind w:firstLine="415" w:firstLineChars="198"/>
        <w:rPr>
          <w:rFonts w:ascii="Calibri" w:hAnsi="Calibri" w:cs="Calibri"/>
          <w:color w:val="auto"/>
          <w:spacing w:val="6"/>
          <w:szCs w:val="21"/>
          <w:highlight w:val="none"/>
        </w:rPr>
      </w:pPr>
      <w:r>
        <w:rPr>
          <w:rFonts w:hint="eastAsia" w:ascii="宋体" w:hAnsi="宋体"/>
          <w:color w:val="auto"/>
          <w:szCs w:val="21"/>
          <w:highlight w:val="none"/>
        </w:rPr>
        <w:t>（3）、如甲方发现乙方消极怠工一经查实将对监理单位进行处罚，第一次罚500元人民币，第二次罚2000元，第三次终止合同。</w:t>
      </w:r>
      <w:r>
        <w:rPr>
          <w:rFonts w:ascii="Calibri" w:hAnsi="Calibri" w:cs="Calibri"/>
          <w:color w:val="auto"/>
          <w:spacing w:val="6"/>
          <w:szCs w:val="21"/>
          <w:highlight w:val="none"/>
        </w:rPr>
        <w:t xml:space="preserve"> </w:t>
      </w:r>
    </w:p>
    <w:p w14:paraId="02F18B79">
      <w:pPr>
        <w:keepNext w:val="0"/>
        <w:keepLines w:val="0"/>
        <w:pageBreakBefore w:val="0"/>
        <w:widowControl w:val="0"/>
        <w:kinsoku/>
        <w:wordWrap/>
        <w:overflowPunct/>
        <w:topLinePunct w:val="0"/>
        <w:autoSpaceDE/>
        <w:autoSpaceDN/>
        <w:bidi w:val="0"/>
        <w:adjustRightInd w:val="0"/>
        <w:snapToGrid w:val="0"/>
        <w:spacing w:line="360" w:lineRule="auto"/>
        <w:rPr>
          <w:rFonts w:ascii="宋体" w:hAnsi="宋体" w:cs="宋体"/>
          <w:color w:val="auto"/>
          <w:highlight w:val="none"/>
        </w:rPr>
      </w:pPr>
    </w:p>
    <w:p w14:paraId="1A825F7F">
      <w:pPr>
        <w:spacing w:line="360" w:lineRule="auto"/>
        <w:ind w:left="-420" w:leftChars="-200" w:right="-420" w:rightChars="-200" w:firstLine="480" w:firstLineChars="200"/>
        <w:jc w:val="center"/>
        <w:outlineLvl w:val="9"/>
        <w:rPr>
          <w:rFonts w:ascii="宋体" w:hAnsi="宋体" w:cs="宋体"/>
          <w:color w:val="auto"/>
          <w:sz w:val="24"/>
          <w:highlight w:val="none"/>
        </w:rPr>
        <w:sectPr>
          <w:headerReference r:id="rId8" w:type="first"/>
          <w:footerReference r:id="rId10" w:type="first"/>
          <w:footerReference r:id="rId9" w:type="default"/>
          <w:pgSz w:w="11906" w:h="16838"/>
          <w:pgMar w:top="1440" w:right="1080" w:bottom="1440" w:left="1080" w:header="851" w:footer="992" w:gutter="0"/>
          <w:cols w:space="720" w:num="1"/>
          <w:titlePg/>
          <w:docGrid w:linePitch="312" w:charSpace="0"/>
        </w:sectPr>
      </w:pPr>
    </w:p>
    <w:p w14:paraId="7D063DF9">
      <w:pPr>
        <w:snapToGrid w:val="0"/>
        <w:spacing w:line="360" w:lineRule="auto"/>
        <w:jc w:val="center"/>
        <w:outlineLvl w:val="0"/>
        <w:rPr>
          <w:rFonts w:ascii="宋体" w:hAnsi="宋体" w:cs="宋体"/>
          <w:b/>
          <w:color w:val="auto"/>
          <w:sz w:val="36"/>
          <w:szCs w:val="20"/>
          <w:highlight w:val="none"/>
        </w:rPr>
      </w:pPr>
      <w:bookmarkStart w:id="431" w:name="_Toc5140"/>
      <w:r>
        <w:rPr>
          <w:rFonts w:hint="eastAsia" w:ascii="宋体" w:hAnsi="宋体" w:cs="宋体"/>
          <w:b/>
          <w:color w:val="auto"/>
          <w:sz w:val="36"/>
          <w:szCs w:val="20"/>
          <w:highlight w:val="none"/>
        </w:rPr>
        <w:t>第六部分</w:t>
      </w:r>
      <w:bookmarkEnd w:id="429"/>
      <w:bookmarkEnd w:id="430"/>
      <w:r>
        <w:rPr>
          <w:rFonts w:hint="eastAsia" w:ascii="宋体" w:hAnsi="宋体" w:cs="宋体"/>
          <w:b/>
          <w:color w:val="auto"/>
          <w:sz w:val="36"/>
          <w:szCs w:val="20"/>
          <w:highlight w:val="none"/>
          <w:lang w:val="en-US" w:eastAsia="zh-CN"/>
        </w:rPr>
        <w:t xml:space="preserve"> </w:t>
      </w:r>
      <w:r>
        <w:rPr>
          <w:rFonts w:hint="eastAsia" w:ascii="宋体" w:hAnsi="宋体" w:cs="宋体"/>
          <w:b/>
          <w:color w:val="auto"/>
          <w:sz w:val="36"/>
          <w:szCs w:val="20"/>
          <w:highlight w:val="none"/>
        </w:rPr>
        <w:t>应提交的有关格式范例</w:t>
      </w:r>
      <w:bookmarkEnd w:id="431"/>
    </w:p>
    <w:p w14:paraId="141CDF2D">
      <w:pPr>
        <w:rPr>
          <w:rFonts w:ascii="宋体" w:hAnsi="宋体" w:cs="宋体"/>
          <w:color w:val="auto"/>
          <w:highlight w:val="none"/>
        </w:rPr>
      </w:pPr>
    </w:p>
    <w:p w14:paraId="2D3E9965">
      <w:pPr>
        <w:spacing w:line="360" w:lineRule="auto"/>
        <w:jc w:val="center"/>
        <w:outlineLvl w:val="0"/>
        <w:rPr>
          <w:rFonts w:ascii="宋体" w:hAnsi="宋体" w:cs="宋体"/>
          <w:b/>
          <w:color w:val="auto"/>
          <w:kern w:val="0"/>
          <w:sz w:val="36"/>
          <w:szCs w:val="36"/>
          <w:highlight w:val="none"/>
        </w:rPr>
      </w:pPr>
      <w:bookmarkStart w:id="432" w:name="_Toc13799"/>
      <w:r>
        <w:rPr>
          <w:rFonts w:hint="eastAsia" w:ascii="宋体" w:hAnsi="宋体" w:cs="宋体"/>
          <w:b/>
          <w:color w:val="auto"/>
          <w:kern w:val="0"/>
          <w:sz w:val="36"/>
          <w:szCs w:val="36"/>
          <w:highlight w:val="none"/>
        </w:rPr>
        <w:t>资格文件部分</w:t>
      </w:r>
      <w:bookmarkEnd w:id="432"/>
    </w:p>
    <w:p w14:paraId="75110863">
      <w:pPr>
        <w:spacing w:line="360" w:lineRule="auto"/>
        <w:jc w:val="center"/>
        <w:outlineLvl w:val="0"/>
        <w:rPr>
          <w:rFonts w:ascii="宋体" w:hAnsi="宋体" w:cs="宋体"/>
          <w:b/>
          <w:color w:val="auto"/>
          <w:kern w:val="0"/>
          <w:sz w:val="36"/>
          <w:szCs w:val="36"/>
          <w:highlight w:val="none"/>
        </w:rPr>
      </w:pPr>
      <w:bookmarkStart w:id="433" w:name="_Toc19973"/>
      <w:r>
        <w:rPr>
          <w:rFonts w:hint="eastAsia" w:ascii="宋体" w:hAnsi="宋体" w:cs="宋体"/>
          <w:b/>
          <w:color w:val="auto"/>
          <w:kern w:val="0"/>
          <w:sz w:val="36"/>
          <w:szCs w:val="36"/>
          <w:highlight w:val="none"/>
        </w:rPr>
        <w:t>目录</w:t>
      </w:r>
      <w:bookmarkEnd w:id="433"/>
    </w:p>
    <w:p w14:paraId="7A1582F0">
      <w:pPr>
        <w:rPr>
          <w:rFonts w:ascii="宋体" w:hAnsi="宋体" w:cs="宋体"/>
          <w:color w:val="auto"/>
          <w:highlight w:val="none"/>
        </w:rPr>
      </w:pPr>
    </w:p>
    <w:p w14:paraId="5CB8B2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49B62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）落实政府采购政策需满足的资格要求………………………………（页码）</w:t>
      </w:r>
    </w:p>
    <w:p w14:paraId="34A2769D">
      <w:pPr>
        <w:tabs>
          <w:tab w:val="left" w:pos="305"/>
        </w:tabs>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）本项目的特定资格要求………………………………………………（页码）</w:t>
      </w:r>
    </w:p>
    <w:p w14:paraId="7CE1CB1B">
      <w:pPr>
        <w:snapToGrid w:val="0"/>
        <w:spacing w:line="360" w:lineRule="auto"/>
        <w:ind w:firstLine="480" w:firstLineChars="200"/>
        <w:rPr>
          <w:rFonts w:ascii="宋体" w:hAnsi="宋体" w:cs="宋体"/>
          <w:color w:val="auto"/>
          <w:sz w:val="24"/>
          <w:highlight w:val="none"/>
        </w:rPr>
      </w:pPr>
    </w:p>
    <w:p w14:paraId="62BEC126">
      <w:pPr>
        <w:spacing w:line="360" w:lineRule="auto"/>
        <w:ind w:firstLine="480" w:firstLineChars="200"/>
        <w:rPr>
          <w:rFonts w:ascii="宋体" w:hAnsi="宋体" w:cs="宋体"/>
          <w:color w:val="auto"/>
          <w:sz w:val="24"/>
          <w:highlight w:val="none"/>
        </w:rPr>
      </w:pPr>
    </w:p>
    <w:p w14:paraId="1F8B8B83">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3E503053">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浙江艺术职业学院</w:t>
      </w:r>
      <w:r>
        <w:rPr>
          <w:rFonts w:hint="eastAsia" w:ascii="宋体" w:hAnsi="宋体" w:cs="宋体"/>
          <w:color w:val="auto"/>
          <w:sz w:val="24"/>
          <w:highlight w:val="none"/>
        </w:rPr>
        <w:t>、浙江致信招标代理有限公司：</w:t>
      </w:r>
    </w:p>
    <w:p w14:paraId="0461024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浙江艺术职业学院监理服务项目</w:t>
      </w: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ZXZB-ZJYS-2025001C</w:t>
      </w:r>
      <w:r>
        <w:rPr>
          <w:rFonts w:hint="eastAsia" w:ascii="宋体" w:hAnsi="宋体" w:cs="宋体"/>
          <w:color w:val="auto"/>
          <w:sz w:val="24"/>
          <w:highlight w:val="none"/>
        </w:rPr>
        <w:t>】政府采购活动，郑重承诺：</w:t>
      </w:r>
    </w:p>
    <w:p w14:paraId="7C13F4FE">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3CB3B60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765E714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7CBAD87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746BF5A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2C7A02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4DED17A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60BE266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003E34C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13FF7EF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77168B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1C537DB7">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供应商名称(电子签名)：</w:t>
      </w:r>
    </w:p>
    <w:p w14:paraId="0DACCC3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月日</w:t>
      </w:r>
    </w:p>
    <w:p w14:paraId="70002B44">
      <w:pPr>
        <w:snapToGrid w:val="0"/>
        <w:spacing w:line="360" w:lineRule="auto"/>
        <w:ind w:right="480"/>
        <w:jc w:val="center"/>
        <w:rPr>
          <w:rFonts w:ascii="宋体" w:hAnsi="宋体" w:cs="宋体"/>
          <w:b/>
          <w:color w:val="auto"/>
          <w:kern w:val="0"/>
          <w:sz w:val="32"/>
          <w:szCs w:val="32"/>
          <w:highlight w:val="none"/>
        </w:rPr>
        <w:sectPr>
          <w:pgSz w:w="11906" w:h="16838"/>
          <w:pgMar w:top="1440" w:right="1080" w:bottom="1440" w:left="1080" w:header="851" w:footer="992" w:gutter="0"/>
          <w:cols w:space="720" w:num="1"/>
          <w:titlePg/>
          <w:docGrid w:linePitch="312" w:charSpace="0"/>
        </w:sectPr>
      </w:pPr>
    </w:p>
    <w:p w14:paraId="4AC2E44D">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二</w:t>
      </w:r>
      <w:r>
        <w:rPr>
          <w:rFonts w:hint="eastAsia" w:ascii="宋体" w:hAnsi="宋体" w:cs="宋体"/>
          <w:b/>
          <w:color w:val="auto"/>
          <w:kern w:val="0"/>
          <w:sz w:val="32"/>
          <w:szCs w:val="32"/>
          <w:highlight w:val="none"/>
        </w:rPr>
        <w:t>、落实政府采购政策需满足的资格要求</w:t>
      </w:r>
    </w:p>
    <w:p w14:paraId="75092887">
      <w:pPr>
        <w:spacing w:line="360" w:lineRule="auto"/>
        <w:rPr>
          <w:rFonts w:ascii="宋体" w:hAnsi="宋体" w:cs="宋体"/>
          <w:color w:val="auto"/>
          <w:sz w:val="24"/>
          <w:highlight w:val="none"/>
        </w:rPr>
      </w:pPr>
      <w:r>
        <w:rPr>
          <w:rFonts w:hint="eastAsia" w:ascii="宋体" w:hAnsi="宋体" w:cs="宋体"/>
          <w:color w:val="auto"/>
          <w:sz w:val="24"/>
          <w:highlight w:val="none"/>
        </w:rPr>
        <w:t>（根据竞争性磋商公告落实政府采购政策需满足的资格要求选择提供相应的材料；未要求的，无需提供）</w:t>
      </w:r>
    </w:p>
    <w:p w14:paraId="1DFB0591">
      <w:pPr>
        <w:snapToGrid w:val="0"/>
        <w:spacing w:before="50" w:after="50" w:line="360" w:lineRule="auto"/>
        <w:ind w:firstLine="470" w:firstLineChars="196"/>
        <w:jc w:val="left"/>
        <w:rPr>
          <w:rFonts w:ascii="宋体" w:hAnsi="宋体" w:cs="宋体"/>
          <w:color w:val="auto"/>
          <w:sz w:val="24"/>
          <w:highlight w:val="none"/>
        </w:rPr>
      </w:pPr>
      <w:r>
        <w:rPr>
          <w:rFonts w:hint="eastAsia" w:ascii="宋体" w:hAnsi="宋体" w:cs="宋体"/>
          <w:color w:val="auto"/>
          <w:sz w:val="24"/>
          <w:highlight w:val="none"/>
        </w:rPr>
        <w:t>专门面向中小企业，服务全部由符合政策要求的中小企业（或小微企业）实施的，提供相应的中小企业声明函（</w:t>
      </w:r>
      <w:r>
        <w:rPr>
          <w:rFonts w:hint="eastAsia" w:ascii="宋体" w:hAnsi="宋体" w:cs="宋体"/>
          <w:color w:val="auto"/>
          <w:sz w:val="24"/>
          <w:highlight w:val="none"/>
          <w:lang w:eastAsia="zh-CN"/>
        </w:rPr>
        <w:t>附件5</w:t>
      </w:r>
      <w:r>
        <w:rPr>
          <w:rFonts w:hint="eastAsia" w:ascii="宋体" w:hAnsi="宋体" w:cs="宋体"/>
          <w:color w:val="auto"/>
          <w:sz w:val="24"/>
          <w:highlight w:val="none"/>
        </w:rPr>
        <w:t xml:space="preserve">）。 </w:t>
      </w:r>
    </w:p>
    <w:p w14:paraId="016AF358">
      <w:pPr>
        <w:widowControl/>
        <w:spacing w:line="360" w:lineRule="auto"/>
        <w:ind w:firstLine="480"/>
        <w:jc w:val="left"/>
        <w:rPr>
          <w:rFonts w:ascii="宋体" w:hAnsi="宋体" w:cs="宋体"/>
          <w:color w:val="auto"/>
          <w:sz w:val="24"/>
          <w:highlight w:val="none"/>
        </w:rPr>
      </w:pPr>
    </w:p>
    <w:p w14:paraId="08B98EAF">
      <w:pPr>
        <w:widowControl/>
        <w:spacing w:line="360" w:lineRule="auto"/>
        <w:ind w:left="150"/>
        <w:jc w:val="center"/>
        <w:rPr>
          <w:rFonts w:ascii="宋体" w:hAnsi="宋体" w:cs="宋体"/>
          <w:b/>
          <w:color w:val="auto"/>
          <w:kern w:val="0"/>
          <w:sz w:val="32"/>
          <w:szCs w:val="32"/>
          <w:highlight w:val="none"/>
        </w:rPr>
      </w:pPr>
    </w:p>
    <w:p w14:paraId="71EACB6E">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1E4DA8F7">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（根据竞争性磋商公告本项目的特定资格要求提供相应的材料；未要求的，无需提供）</w:t>
      </w:r>
    </w:p>
    <w:p w14:paraId="62F91C1D">
      <w:pPr>
        <w:rPr>
          <w:rFonts w:ascii="宋体" w:hAnsi="宋体" w:cs="宋体"/>
          <w:color w:val="auto"/>
          <w:highlight w:val="none"/>
        </w:rPr>
      </w:pPr>
    </w:p>
    <w:p w14:paraId="3A3E000D">
      <w:pPr>
        <w:snapToGrid w:val="0"/>
        <w:spacing w:line="360" w:lineRule="auto"/>
        <w:ind w:right="480"/>
        <w:jc w:val="center"/>
        <w:rPr>
          <w:rFonts w:ascii="宋体" w:hAnsi="宋体" w:cs="宋体"/>
          <w:b/>
          <w:color w:val="auto"/>
          <w:kern w:val="0"/>
          <w:sz w:val="32"/>
          <w:szCs w:val="32"/>
          <w:highlight w:val="none"/>
        </w:rPr>
        <w:sectPr>
          <w:pgSz w:w="11906" w:h="16838"/>
          <w:pgMar w:top="1440" w:right="1080" w:bottom="1440" w:left="1080" w:header="851" w:footer="992" w:gutter="0"/>
          <w:cols w:space="720" w:num="1"/>
          <w:titlePg/>
          <w:docGrid w:linePitch="312" w:charSpace="0"/>
        </w:sectPr>
      </w:pPr>
    </w:p>
    <w:p w14:paraId="7190F131">
      <w:pPr>
        <w:rPr>
          <w:rFonts w:ascii="宋体" w:hAnsi="宋体" w:cs="宋体"/>
          <w:color w:val="auto"/>
          <w:highlight w:val="none"/>
        </w:rPr>
      </w:pPr>
    </w:p>
    <w:p w14:paraId="7D7FAFC9">
      <w:pPr>
        <w:spacing w:line="360" w:lineRule="auto"/>
        <w:jc w:val="center"/>
        <w:outlineLvl w:val="0"/>
        <w:rPr>
          <w:rFonts w:ascii="宋体" w:hAnsi="宋体" w:cs="宋体"/>
          <w:b/>
          <w:color w:val="auto"/>
          <w:kern w:val="0"/>
          <w:sz w:val="36"/>
          <w:szCs w:val="36"/>
          <w:highlight w:val="none"/>
        </w:rPr>
      </w:pPr>
      <w:bookmarkStart w:id="434" w:name="_Toc23189"/>
      <w:r>
        <w:rPr>
          <w:rFonts w:hint="eastAsia" w:ascii="宋体" w:hAnsi="宋体" w:cs="宋体"/>
          <w:b/>
          <w:color w:val="auto"/>
          <w:kern w:val="0"/>
          <w:sz w:val="36"/>
          <w:szCs w:val="36"/>
          <w:highlight w:val="none"/>
          <w:lang w:eastAsia="zh-CN"/>
        </w:rPr>
        <w:t>资信技术</w:t>
      </w:r>
      <w:r>
        <w:rPr>
          <w:rFonts w:hint="eastAsia" w:ascii="宋体" w:hAnsi="宋体" w:cs="宋体"/>
          <w:b/>
          <w:color w:val="auto"/>
          <w:kern w:val="0"/>
          <w:sz w:val="36"/>
          <w:szCs w:val="36"/>
          <w:highlight w:val="none"/>
        </w:rPr>
        <w:t>文件部分</w:t>
      </w:r>
      <w:bookmarkEnd w:id="434"/>
    </w:p>
    <w:p w14:paraId="5FECADC8">
      <w:pPr>
        <w:spacing w:line="360" w:lineRule="auto"/>
        <w:jc w:val="center"/>
        <w:outlineLvl w:val="0"/>
        <w:rPr>
          <w:rFonts w:ascii="宋体" w:hAnsi="宋体" w:cs="宋体"/>
          <w:b/>
          <w:color w:val="auto"/>
          <w:kern w:val="0"/>
          <w:sz w:val="28"/>
          <w:szCs w:val="28"/>
          <w:highlight w:val="none"/>
        </w:rPr>
      </w:pPr>
      <w:bookmarkStart w:id="435" w:name="_Toc3355"/>
      <w:r>
        <w:rPr>
          <w:rFonts w:hint="eastAsia" w:ascii="宋体" w:hAnsi="宋体" w:cs="宋体"/>
          <w:b/>
          <w:color w:val="auto"/>
          <w:kern w:val="0"/>
          <w:sz w:val="28"/>
          <w:szCs w:val="28"/>
          <w:highlight w:val="none"/>
        </w:rPr>
        <w:t>目录</w:t>
      </w:r>
      <w:bookmarkEnd w:id="435"/>
    </w:p>
    <w:p w14:paraId="6C9E0F3E">
      <w:pPr>
        <w:numPr>
          <w:ilvl w:val="255"/>
          <w:numId w:val="0"/>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（1）响应函……………………………………………………………………………（页码）</w:t>
      </w:r>
    </w:p>
    <w:p w14:paraId="385D7FE2">
      <w:pPr>
        <w:numPr>
          <w:ilvl w:val="255"/>
          <w:numId w:val="0"/>
        </w:num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（2）授权委托书或法定代表人（单位负责人、自然人本人）身份证明……………（页码）</w:t>
      </w:r>
    </w:p>
    <w:p w14:paraId="4177970D">
      <w:pPr>
        <w:tabs>
          <w:tab w:val="left" w:pos="768"/>
        </w:tabs>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）符合性审查资料……………………………………………………………………（页码）</w:t>
      </w:r>
    </w:p>
    <w:p w14:paraId="1AF65932">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）评审标准相应的</w:t>
      </w:r>
      <w:r>
        <w:rPr>
          <w:rFonts w:hint="eastAsia" w:ascii="宋体" w:hAnsi="宋体" w:cs="宋体"/>
          <w:color w:val="auto"/>
          <w:sz w:val="24"/>
          <w:highlight w:val="none"/>
          <w:lang w:eastAsia="zh-CN"/>
        </w:rPr>
        <w:t>资信技术</w:t>
      </w:r>
      <w:r>
        <w:rPr>
          <w:rFonts w:hint="eastAsia" w:ascii="宋体" w:hAnsi="宋体" w:cs="宋体"/>
          <w:color w:val="auto"/>
          <w:sz w:val="24"/>
          <w:highlight w:val="none"/>
        </w:rPr>
        <w:t>资料……………………………………………………（页码）（</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w:t>
      </w:r>
      <w:r>
        <w:rPr>
          <w:rFonts w:hint="eastAsia" w:ascii="宋体" w:hAnsi="宋体" w:cs="宋体"/>
          <w:color w:val="auto"/>
          <w:sz w:val="24"/>
          <w:highlight w:val="none"/>
          <w:lang w:eastAsia="zh-CN"/>
        </w:rPr>
        <w:t>资信技术</w:t>
      </w:r>
      <w:r>
        <w:rPr>
          <w:rFonts w:hint="eastAsia" w:ascii="宋体" w:hAnsi="宋体" w:cs="宋体"/>
          <w:color w:val="auto"/>
          <w:sz w:val="24"/>
          <w:highlight w:val="none"/>
        </w:rPr>
        <w:t>偏离表……………………………………………………………………（页码）</w:t>
      </w:r>
    </w:p>
    <w:p w14:paraId="59FDEC98">
      <w:pPr>
        <w:snapToGrid w:val="0"/>
        <w:spacing w:line="360" w:lineRule="auto"/>
        <w:ind w:left="479" w:leftChars="228"/>
        <w:rPr>
          <w:rFonts w:ascii="宋体" w:hAnsi="宋体" w:cs="宋体"/>
          <w:color w:val="auto"/>
          <w:sz w:val="24"/>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lang w:val="zh-CN"/>
        </w:rPr>
        <w:t>）政府采购供应商廉洁自律承诺书</w:t>
      </w:r>
      <w:r>
        <w:rPr>
          <w:rFonts w:hint="eastAsia" w:ascii="宋体" w:hAnsi="宋体" w:cs="宋体"/>
          <w:color w:val="auto"/>
          <w:sz w:val="24"/>
          <w:highlight w:val="none"/>
        </w:rPr>
        <w:t>…………………………………………………（页码）</w:t>
      </w:r>
    </w:p>
    <w:p w14:paraId="0288A196">
      <w:pPr>
        <w:snapToGrid w:val="0"/>
        <w:spacing w:line="360" w:lineRule="auto"/>
        <w:jc w:val="center"/>
        <w:rPr>
          <w:rFonts w:ascii="宋体" w:hAnsi="宋体" w:cs="宋体"/>
          <w:b/>
          <w:color w:val="auto"/>
          <w:kern w:val="0"/>
          <w:sz w:val="24"/>
          <w:szCs w:val="32"/>
          <w:highlight w:val="none"/>
          <w:lang w:val="zh-CN"/>
        </w:rPr>
        <w:sectPr>
          <w:pgSz w:w="11906" w:h="16838"/>
          <w:pgMar w:top="1440" w:right="1080" w:bottom="1440" w:left="1080" w:header="851" w:footer="992" w:gutter="0"/>
          <w:cols w:space="720" w:num="1"/>
          <w:titlePg/>
          <w:docGrid w:linePitch="312" w:charSpace="0"/>
        </w:sectPr>
      </w:pPr>
    </w:p>
    <w:p w14:paraId="299B2645">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一、响应函</w:t>
      </w:r>
    </w:p>
    <w:p w14:paraId="073ABD48">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浙江艺术职业学院</w:t>
      </w:r>
      <w:r>
        <w:rPr>
          <w:rFonts w:hint="eastAsia" w:ascii="宋体" w:hAnsi="宋体" w:cs="宋体"/>
          <w:color w:val="auto"/>
          <w:sz w:val="24"/>
          <w:highlight w:val="none"/>
        </w:rPr>
        <w:t>、浙江致信招标代理有限公司：</w:t>
      </w:r>
    </w:p>
    <w:p w14:paraId="04BA8F7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浙江艺术职业学院监理服务项目</w:t>
      </w: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ZXZB-ZJYS-2025001C</w:t>
      </w:r>
      <w:r>
        <w:rPr>
          <w:rFonts w:hint="eastAsia" w:ascii="宋体" w:hAnsi="宋体" w:cs="宋体"/>
          <w:color w:val="auto"/>
          <w:sz w:val="24"/>
          <w:highlight w:val="none"/>
        </w:rPr>
        <w:t>】采购的有关活动，并对此项目提交响应文件及报价。为此：</w:t>
      </w:r>
    </w:p>
    <w:p w14:paraId="1D06F18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1、我方承诺响应文件有效期从提交响应文件的截止之日起天（不少于90天）</w:t>
      </w:r>
      <w:r>
        <w:rPr>
          <w:rFonts w:hint="eastAsia" w:ascii="宋体" w:hAnsi="宋体" w:cs="宋体"/>
          <w:color w:val="auto"/>
          <w:highlight w:val="none"/>
        </w:rPr>
        <w:t>，</w:t>
      </w:r>
      <w:r>
        <w:rPr>
          <w:rFonts w:hint="eastAsia" w:ascii="宋体" w:hAnsi="宋体" w:cs="宋体"/>
          <w:color w:val="auto"/>
          <w:sz w:val="24"/>
          <w:highlight w:val="none"/>
        </w:rPr>
        <w:t>本响应文件在响应文件有效期满之前均具有约束力。</w:t>
      </w:r>
    </w:p>
    <w:p w14:paraId="708B2B8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2、我方的响应文件包括以下内容：</w:t>
      </w:r>
    </w:p>
    <w:p w14:paraId="5570D897">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45AB711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7DB6A2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0C7CF49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2.1.3落实政府采购政策需满足的资格要求（如果有）；</w:t>
      </w:r>
    </w:p>
    <w:p w14:paraId="3291F91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2.1.4本项目的特定资格要求（如果有）。</w:t>
      </w:r>
    </w:p>
    <w:p w14:paraId="0053125A">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eastAsia="zh-CN"/>
        </w:rPr>
        <w:t>资信技术</w:t>
      </w:r>
      <w:r>
        <w:rPr>
          <w:rFonts w:hint="eastAsia" w:ascii="宋体" w:hAnsi="宋体" w:cs="宋体"/>
          <w:color w:val="auto"/>
          <w:sz w:val="24"/>
          <w:highlight w:val="none"/>
          <w:lang w:val="zh-CN"/>
        </w:rPr>
        <w:t>文件：</w:t>
      </w:r>
    </w:p>
    <w:p w14:paraId="25FEE12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2.2.1响应函；</w:t>
      </w:r>
    </w:p>
    <w:p w14:paraId="300796B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4AA4D54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2.2.3分包意向协议（如果有）；</w:t>
      </w:r>
    </w:p>
    <w:p w14:paraId="5D9F15F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2.2.4符合性审查资料；</w:t>
      </w:r>
    </w:p>
    <w:p w14:paraId="45BCE0A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2.2.5评审标准相应的</w:t>
      </w:r>
      <w:r>
        <w:rPr>
          <w:rFonts w:hint="eastAsia" w:ascii="宋体" w:hAnsi="宋体" w:cs="宋体"/>
          <w:color w:val="auto"/>
          <w:sz w:val="24"/>
          <w:highlight w:val="none"/>
          <w:lang w:eastAsia="zh-CN"/>
        </w:rPr>
        <w:t>资信技术</w:t>
      </w:r>
      <w:r>
        <w:rPr>
          <w:rFonts w:hint="eastAsia" w:ascii="宋体" w:hAnsi="宋体" w:cs="宋体"/>
          <w:color w:val="auto"/>
          <w:sz w:val="24"/>
          <w:highlight w:val="none"/>
        </w:rPr>
        <w:t>资料；</w:t>
      </w:r>
    </w:p>
    <w:p w14:paraId="54AA2AE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2.2.6</w:t>
      </w:r>
      <w:r>
        <w:rPr>
          <w:rFonts w:hint="eastAsia" w:ascii="宋体" w:hAnsi="宋体" w:cs="宋体"/>
          <w:color w:val="auto"/>
          <w:sz w:val="24"/>
          <w:highlight w:val="none"/>
          <w:lang w:eastAsia="zh-CN"/>
        </w:rPr>
        <w:t>资信技术</w:t>
      </w:r>
      <w:r>
        <w:rPr>
          <w:rFonts w:hint="eastAsia" w:ascii="宋体" w:hAnsi="宋体" w:cs="宋体"/>
          <w:color w:val="auto"/>
          <w:sz w:val="24"/>
          <w:highlight w:val="none"/>
        </w:rPr>
        <w:t>偏离表；</w:t>
      </w:r>
    </w:p>
    <w:p w14:paraId="3B4BCA44">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7</w:t>
      </w:r>
      <w:r>
        <w:rPr>
          <w:rFonts w:hint="eastAsia" w:ascii="宋体" w:hAnsi="宋体" w:cs="宋体"/>
          <w:color w:val="auto"/>
          <w:sz w:val="24"/>
          <w:highlight w:val="none"/>
          <w:lang w:val="zh-CN"/>
        </w:rPr>
        <w:t>政府采购供应商廉洁自律承诺书；</w:t>
      </w:r>
    </w:p>
    <w:p w14:paraId="6DDBDCA7">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2E3B2B4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2.3.1报价单；</w:t>
      </w:r>
    </w:p>
    <w:p w14:paraId="4249775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2.3.2报价明细表；</w:t>
      </w:r>
    </w:p>
    <w:p w14:paraId="7854428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2.3.3中小企业声明函（如果有）。</w:t>
      </w:r>
    </w:p>
    <w:p w14:paraId="6DA6791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w:t>
      </w:r>
      <w:r>
        <w:rPr>
          <w:rFonts w:hint="eastAsia" w:ascii="宋体" w:hAnsi="宋体" w:cs="宋体"/>
          <w:color w:val="auto"/>
          <w:sz w:val="24"/>
          <w:highlight w:val="none"/>
          <w:lang w:eastAsia="zh-CN"/>
        </w:rPr>
        <w:t>资信技术</w:t>
      </w:r>
      <w:r>
        <w:rPr>
          <w:rFonts w:hint="eastAsia" w:ascii="宋体" w:hAnsi="宋体" w:cs="宋体"/>
          <w:color w:val="auto"/>
          <w:sz w:val="24"/>
          <w:highlight w:val="none"/>
        </w:rPr>
        <w:t>偏离表列出的偏离外，我方响应采购文件的全部要求。</w:t>
      </w:r>
    </w:p>
    <w:p w14:paraId="3985E02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4、如我方成交，我方承诺：</w:t>
      </w:r>
    </w:p>
    <w:p w14:paraId="1BF7E6E1">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4.1在收到成交通知书后，在成交通知书规定的期限内与你方签订合同； </w:t>
      </w:r>
    </w:p>
    <w:p w14:paraId="7F28C64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56166D6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4.3按照采购文件要求提交履约保证金； </w:t>
      </w:r>
    </w:p>
    <w:p w14:paraId="0C100B98">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7860F30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p>
    <w:p w14:paraId="1D19B228">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供应商名称（电子签名）：                          </w:t>
      </w:r>
    </w:p>
    <w:p w14:paraId="299D86A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CB6C488">
      <w:pPr>
        <w:snapToGrid w:val="0"/>
        <w:spacing w:line="360" w:lineRule="auto"/>
        <w:ind w:left="420" w:leftChars="200" w:firstLine="4200" w:firstLineChars="1750"/>
        <w:rPr>
          <w:rFonts w:ascii="宋体" w:hAnsi="宋体" w:cs="宋体"/>
          <w:color w:val="auto"/>
          <w:kern w:val="0"/>
          <w:sz w:val="24"/>
          <w:highlight w:val="none"/>
          <w:u w:val="single"/>
        </w:rPr>
      </w:pPr>
    </w:p>
    <w:p w14:paraId="499DBC2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25F90CB">
      <w:pPr>
        <w:snapToGrid w:val="0"/>
        <w:spacing w:line="360" w:lineRule="auto"/>
        <w:jc w:val="center"/>
        <w:rPr>
          <w:rFonts w:ascii="宋体" w:hAnsi="宋体" w:cs="宋体"/>
          <w:b/>
          <w:color w:val="auto"/>
          <w:kern w:val="0"/>
          <w:sz w:val="32"/>
          <w:szCs w:val="32"/>
          <w:highlight w:val="none"/>
        </w:rPr>
      </w:pPr>
    </w:p>
    <w:p w14:paraId="490E33C1">
      <w:pPr>
        <w:snapToGrid w:val="0"/>
        <w:spacing w:line="360" w:lineRule="auto"/>
        <w:rPr>
          <w:rFonts w:ascii="宋体" w:hAnsi="宋体" w:cs="宋体"/>
          <w:color w:val="auto"/>
          <w:sz w:val="24"/>
          <w:highlight w:val="none"/>
        </w:rPr>
      </w:pPr>
    </w:p>
    <w:p w14:paraId="1598E37A">
      <w:pPr>
        <w:jc w:val="center"/>
        <w:rPr>
          <w:rFonts w:ascii="宋体" w:hAnsi="宋体" w:cs="宋体"/>
          <w:b/>
          <w:color w:val="auto"/>
          <w:kern w:val="0"/>
          <w:sz w:val="32"/>
          <w:szCs w:val="32"/>
          <w:highlight w:val="none"/>
        </w:rPr>
      </w:pPr>
    </w:p>
    <w:p w14:paraId="56B1C68A">
      <w:pPr>
        <w:jc w:val="center"/>
        <w:rPr>
          <w:rFonts w:ascii="宋体" w:hAnsi="宋体" w:cs="宋体"/>
          <w:b/>
          <w:color w:val="auto"/>
          <w:kern w:val="0"/>
          <w:sz w:val="32"/>
          <w:szCs w:val="32"/>
          <w:highlight w:val="none"/>
        </w:rPr>
        <w:sectPr>
          <w:pgSz w:w="11906" w:h="16838"/>
          <w:pgMar w:top="1440" w:right="1080" w:bottom="1440" w:left="1080" w:header="851" w:footer="992" w:gutter="0"/>
          <w:cols w:space="720" w:num="1"/>
          <w:titlePg/>
          <w:docGrid w:linePitch="312" w:charSpace="0"/>
        </w:sectPr>
      </w:pPr>
    </w:p>
    <w:p w14:paraId="5A6795DF">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二、授权委托书或法定代表人（单位负责人、自然人本人）身份证明</w:t>
      </w:r>
    </w:p>
    <w:p w14:paraId="462EBD27">
      <w:pPr>
        <w:snapToGrid w:val="0"/>
        <w:spacing w:line="360" w:lineRule="auto"/>
        <w:rPr>
          <w:rFonts w:ascii="宋体" w:hAnsi="宋体" w:cs="宋体"/>
          <w:color w:val="auto"/>
          <w:sz w:val="24"/>
          <w:highlight w:val="none"/>
        </w:rPr>
      </w:pPr>
    </w:p>
    <w:p w14:paraId="5F48A091">
      <w:pPr>
        <w:snapToGrid w:val="0"/>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授权委托书</w:t>
      </w:r>
    </w:p>
    <w:p w14:paraId="39E89F93">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浙江艺术职业学院</w:t>
      </w:r>
      <w:r>
        <w:rPr>
          <w:rFonts w:hint="eastAsia" w:ascii="宋体" w:hAnsi="宋体" w:cs="宋体"/>
          <w:color w:val="auto"/>
          <w:sz w:val="24"/>
          <w:highlight w:val="none"/>
        </w:rPr>
        <w:t>、浙江致信招标代理有限公司</w:t>
      </w:r>
      <w:r>
        <w:rPr>
          <w:rFonts w:hint="eastAsia" w:ascii="宋体" w:hAnsi="宋体" w:cs="宋体"/>
          <w:color w:val="auto"/>
          <w:kern w:val="0"/>
          <w:sz w:val="24"/>
          <w:highlight w:val="none"/>
          <w:lang w:val="zh-CN"/>
        </w:rPr>
        <w:t>：</w:t>
      </w:r>
    </w:p>
    <w:p w14:paraId="123952B0">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委托（姓名）为我方代理人（身份证号码：，手机：），以我方名义处理</w:t>
      </w:r>
      <w:r>
        <w:rPr>
          <w:rFonts w:hint="eastAsia" w:ascii="宋体" w:hAnsi="宋体" w:cs="宋体"/>
          <w:color w:val="auto"/>
          <w:sz w:val="24"/>
          <w:highlight w:val="none"/>
          <w:lang w:eastAsia="zh-CN"/>
        </w:rPr>
        <w:t>浙江艺术职业学院监理服务项目</w:t>
      </w: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ZXZB-ZJYS-2025001C</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w:t>
      </w:r>
      <w:r>
        <w:rPr>
          <w:rFonts w:hint="eastAsia" w:ascii="宋体" w:hAnsi="宋体" w:cs="宋体"/>
          <w:color w:val="auto"/>
          <w:kern w:val="0"/>
          <w:sz w:val="24"/>
          <w:highlight w:val="none"/>
        </w:rPr>
        <w:t>响应</w:t>
      </w:r>
      <w:r>
        <w:rPr>
          <w:rFonts w:hint="eastAsia" w:ascii="宋体" w:hAnsi="宋体" w:cs="宋体"/>
          <w:color w:val="auto"/>
          <w:kern w:val="0"/>
          <w:sz w:val="24"/>
          <w:highlight w:val="none"/>
          <w:lang w:val="zh-CN"/>
        </w:rPr>
        <w:t>的一切事项，其法律后果由我方承担。</w:t>
      </w:r>
    </w:p>
    <w:p w14:paraId="278406D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自年月日起至年月日止。</w:t>
      </w:r>
    </w:p>
    <w:p w14:paraId="633385F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特此告知。</w:t>
      </w:r>
    </w:p>
    <w:p w14:paraId="7E0EFA3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供应商名称(电子签名)：</w:t>
      </w:r>
    </w:p>
    <w:p w14:paraId="79E74D2D">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6087B471">
      <w:pPr>
        <w:snapToGrid w:val="0"/>
        <w:spacing w:line="360" w:lineRule="auto"/>
        <w:rPr>
          <w:rFonts w:ascii="宋体" w:hAnsi="宋体" w:cs="宋体"/>
          <w:color w:val="auto"/>
          <w:sz w:val="24"/>
          <w:highlight w:val="none"/>
        </w:rPr>
      </w:pPr>
    </w:p>
    <w:p w14:paraId="4995C16F">
      <w:pPr>
        <w:snapToGrid w:val="0"/>
        <w:spacing w:line="360" w:lineRule="auto"/>
        <w:rPr>
          <w:rFonts w:ascii="宋体" w:hAnsi="宋体" w:cs="宋体"/>
          <w:color w:val="auto"/>
          <w:sz w:val="24"/>
          <w:highlight w:val="none"/>
        </w:rPr>
      </w:pPr>
    </w:p>
    <w:p w14:paraId="636E5B63">
      <w:pPr>
        <w:snapToGrid w:val="0"/>
        <w:spacing w:line="360" w:lineRule="auto"/>
        <w:rPr>
          <w:rFonts w:ascii="宋体" w:hAnsi="宋体" w:cs="宋体"/>
          <w:color w:val="auto"/>
          <w:sz w:val="24"/>
          <w:highlight w:val="none"/>
        </w:rPr>
      </w:pPr>
    </w:p>
    <w:p w14:paraId="603166CE">
      <w:pPr>
        <w:snapToGrid w:val="0"/>
        <w:jc w:val="center"/>
        <w:rPr>
          <w:rFonts w:hint="eastAsia" w:ascii="宋体" w:hAnsi="宋体" w:cs="宋体"/>
          <w:b/>
          <w:bCs/>
          <w:color w:val="auto"/>
          <w:sz w:val="32"/>
          <w:szCs w:val="32"/>
          <w:highlight w:val="none"/>
          <w:lang w:val="zh-CN"/>
        </w:rPr>
        <w:sectPr>
          <w:pgSz w:w="11906" w:h="16838"/>
          <w:pgMar w:top="1440" w:right="1080" w:bottom="1440" w:left="1080" w:header="851" w:footer="992" w:gutter="0"/>
          <w:cols w:space="720" w:num="1"/>
          <w:titlePg/>
          <w:docGrid w:linePitch="312" w:charSpace="0"/>
        </w:sectPr>
      </w:pPr>
    </w:p>
    <w:p w14:paraId="1448D898">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lang w:val="zh-CN"/>
        </w:rPr>
        <w:t>法定代表人、单位负责人或自然人本人</w:t>
      </w:r>
      <w:r>
        <w:rPr>
          <w:rFonts w:hint="eastAsia" w:ascii="宋体" w:hAnsi="宋体" w:cs="宋体"/>
          <w:b/>
          <w:bCs/>
          <w:color w:val="auto"/>
          <w:sz w:val="32"/>
          <w:szCs w:val="32"/>
          <w:highlight w:val="none"/>
        </w:rPr>
        <w:t>的身份证明（适用于法定代表人、单位负责人或者自然人本人代表供应商参加响应）</w:t>
      </w:r>
    </w:p>
    <w:p w14:paraId="47ABF6FC">
      <w:pPr>
        <w:pStyle w:val="146"/>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5621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AC78A96">
            <w:pPr>
              <w:pStyle w:val="146"/>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5BFFE6A3">
            <w:pPr>
              <w:pStyle w:val="146"/>
              <w:adjustRightInd w:val="0"/>
              <w:spacing w:line="360" w:lineRule="auto"/>
              <w:rPr>
                <w:rFonts w:hAnsi="宋体" w:cs="宋体"/>
                <w:bCs/>
                <w:color w:val="auto"/>
                <w:sz w:val="24"/>
                <w:highlight w:val="none"/>
              </w:rPr>
            </w:pPr>
          </w:p>
        </w:tc>
      </w:tr>
    </w:tbl>
    <w:p w14:paraId="1EFF6DE3">
      <w:pPr>
        <w:snapToGrid w:val="0"/>
        <w:spacing w:line="360" w:lineRule="auto"/>
        <w:ind w:firstLine="576"/>
        <w:jc w:val="center"/>
        <w:rPr>
          <w:rFonts w:ascii="宋体" w:hAnsi="宋体" w:cs="宋体"/>
          <w:color w:val="auto"/>
          <w:kern w:val="0"/>
          <w:sz w:val="24"/>
          <w:highlight w:val="none"/>
          <w:lang w:val="zh-CN"/>
        </w:rPr>
      </w:pPr>
    </w:p>
    <w:p w14:paraId="491D40B5">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供应商名称(电子签名)：                              </w:t>
      </w:r>
    </w:p>
    <w:p w14:paraId="407DD28F">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226AB56D">
      <w:pPr>
        <w:jc w:val="center"/>
        <w:rPr>
          <w:rFonts w:ascii="宋体" w:hAnsi="宋体" w:cs="宋体"/>
          <w:b/>
          <w:color w:val="auto"/>
          <w:kern w:val="0"/>
          <w:sz w:val="32"/>
          <w:szCs w:val="32"/>
          <w:highlight w:val="none"/>
        </w:rPr>
      </w:pPr>
    </w:p>
    <w:p w14:paraId="5107C3CD">
      <w:pPr>
        <w:jc w:val="center"/>
        <w:rPr>
          <w:rFonts w:ascii="宋体" w:hAnsi="宋体" w:cs="宋体"/>
          <w:b/>
          <w:color w:val="auto"/>
          <w:kern w:val="0"/>
          <w:sz w:val="32"/>
          <w:szCs w:val="32"/>
          <w:highlight w:val="none"/>
        </w:rPr>
      </w:pPr>
    </w:p>
    <w:p w14:paraId="5F7B919B">
      <w:pPr>
        <w:jc w:val="center"/>
        <w:rPr>
          <w:rFonts w:ascii="宋体" w:hAnsi="宋体" w:cs="宋体"/>
          <w:b/>
          <w:color w:val="auto"/>
          <w:kern w:val="0"/>
          <w:sz w:val="32"/>
          <w:szCs w:val="32"/>
          <w:highlight w:val="none"/>
        </w:rPr>
      </w:pPr>
    </w:p>
    <w:p w14:paraId="37F82A60">
      <w:pPr>
        <w:jc w:val="center"/>
        <w:rPr>
          <w:rFonts w:ascii="宋体" w:hAnsi="宋体" w:cs="宋体"/>
          <w:b/>
          <w:color w:val="auto"/>
          <w:kern w:val="0"/>
          <w:sz w:val="32"/>
          <w:szCs w:val="32"/>
          <w:highlight w:val="none"/>
        </w:rPr>
      </w:pPr>
    </w:p>
    <w:p w14:paraId="4A1E132D">
      <w:pPr>
        <w:jc w:val="center"/>
        <w:rPr>
          <w:rFonts w:ascii="宋体" w:hAnsi="宋体" w:cs="宋体"/>
          <w:b/>
          <w:color w:val="auto"/>
          <w:kern w:val="0"/>
          <w:sz w:val="32"/>
          <w:szCs w:val="32"/>
          <w:highlight w:val="none"/>
        </w:rPr>
      </w:pPr>
    </w:p>
    <w:p w14:paraId="11D2B9C3">
      <w:pPr>
        <w:jc w:val="center"/>
        <w:rPr>
          <w:rFonts w:ascii="宋体" w:hAnsi="宋体" w:cs="宋体"/>
          <w:b/>
          <w:color w:val="auto"/>
          <w:kern w:val="0"/>
          <w:sz w:val="32"/>
          <w:szCs w:val="32"/>
          <w:highlight w:val="none"/>
        </w:rPr>
      </w:pPr>
    </w:p>
    <w:p w14:paraId="460A2822">
      <w:pPr>
        <w:jc w:val="center"/>
        <w:rPr>
          <w:rFonts w:ascii="宋体" w:hAnsi="宋体" w:cs="宋体"/>
          <w:b/>
          <w:color w:val="auto"/>
          <w:kern w:val="0"/>
          <w:sz w:val="32"/>
          <w:szCs w:val="32"/>
          <w:highlight w:val="none"/>
        </w:rPr>
      </w:pPr>
    </w:p>
    <w:p w14:paraId="0D9135F7">
      <w:pPr>
        <w:jc w:val="center"/>
        <w:rPr>
          <w:rFonts w:ascii="宋体" w:hAnsi="宋体" w:cs="宋体"/>
          <w:b/>
          <w:color w:val="auto"/>
          <w:kern w:val="0"/>
          <w:sz w:val="32"/>
          <w:szCs w:val="32"/>
          <w:highlight w:val="none"/>
        </w:rPr>
      </w:pPr>
    </w:p>
    <w:p w14:paraId="380EC07C">
      <w:pPr>
        <w:jc w:val="center"/>
        <w:rPr>
          <w:rFonts w:ascii="宋体" w:hAnsi="宋体" w:cs="宋体"/>
          <w:b/>
          <w:color w:val="auto"/>
          <w:kern w:val="0"/>
          <w:sz w:val="32"/>
          <w:szCs w:val="32"/>
          <w:highlight w:val="none"/>
        </w:rPr>
      </w:pPr>
    </w:p>
    <w:p w14:paraId="0DA4402C">
      <w:pPr>
        <w:jc w:val="center"/>
        <w:rPr>
          <w:rFonts w:ascii="宋体" w:hAnsi="宋体" w:cs="宋体"/>
          <w:b/>
          <w:color w:val="auto"/>
          <w:kern w:val="0"/>
          <w:sz w:val="32"/>
          <w:szCs w:val="32"/>
          <w:highlight w:val="none"/>
        </w:rPr>
      </w:pPr>
    </w:p>
    <w:p w14:paraId="27FD0870">
      <w:pPr>
        <w:snapToGrid w:val="0"/>
        <w:spacing w:line="360" w:lineRule="auto"/>
        <w:ind w:right="480"/>
        <w:rPr>
          <w:rFonts w:ascii="宋体" w:hAnsi="宋体" w:cs="宋体"/>
          <w:b/>
          <w:color w:val="auto"/>
          <w:kern w:val="0"/>
          <w:sz w:val="32"/>
          <w:szCs w:val="32"/>
          <w:highlight w:val="none"/>
        </w:rPr>
        <w:sectPr>
          <w:pgSz w:w="11906" w:h="16838"/>
          <w:pgMar w:top="1440" w:right="1080" w:bottom="1440" w:left="1080" w:header="851" w:footer="992" w:gutter="0"/>
          <w:cols w:space="720" w:num="1"/>
          <w:titlePg/>
          <w:docGrid w:linePitch="312" w:charSpace="0"/>
        </w:sectPr>
      </w:pPr>
    </w:p>
    <w:p w14:paraId="3E42BB2B">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lang w:val="en-US" w:eastAsia="zh-CN"/>
        </w:rPr>
        <w:t>三</w:t>
      </w:r>
      <w:r>
        <w:rPr>
          <w:rFonts w:hint="eastAsia" w:ascii="宋体" w:hAnsi="宋体" w:cs="宋体"/>
          <w:b/>
          <w:bCs/>
          <w:color w:val="auto"/>
          <w:sz w:val="32"/>
          <w:szCs w:val="32"/>
          <w:highlight w:val="none"/>
        </w:rPr>
        <w:t>、符合性审查资料</w:t>
      </w:r>
    </w:p>
    <w:p w14:paraId="581E4D78">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A9E4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F5DA897">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5F76343D">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0DE892EC">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075FA8A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响应文件中的</w:t>
            </w:r>
          </w:p>
          <w:p w14:paraId="7A8AB934">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051D7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B312909">
            <w:pPr>
              <w:rPr>
                <w:rFonts w:ascii="宋体" w:hAnsi="宋体" w:cs="宋体"/>
                <w:color w:val="auto"/>
                <w:sz w:val="24"/>
                <w:highlight w:val="none"/>
              </w:rPr>
            </w:pPr>
            <w:r>
              <w:rPr>
                <w:rFonts w:hint="eastAsia" w:ascii="宋体" w:hAnsi="宋体" w:cs="宋体"/>
                <w:color w:val="auto"/>
                <w:sz w:val="24"/>
                <w:highlight w:val="none"/>
              </w:rPr>
              <w:t>1</w:t>
            </w:r>
          </w:p>
        </w:tc>
        <w:tc>
          <w:tcPr>
            <w:tcW w:w="4991" w:type="dxa"/>
            <w:vAlign w:val="center"/>
          </w:tcPr>
          <w:p w14:paraId="6401385F">
            <w:pPr>
              <w:spacing w:line="360" w:lineRule="auto"/>
              <w:rPr>
                <w:rFonts w:ascii="宋体" w:hAnsi="宋体" w:cs="宋体"/>
                <w:color w:val="auto"/>
                <w:sz w:val="24"/>
                <w:highlight w:val="none"/>
              </w:rPr>
            </w:pPr>
            <w:r>
              <w:rPr>
                <w:rFonts w:hint="eastAsia" w:ascii="宋体" w:hAnsi="宋体" w:cs="宋体"/>
                <w:color w:val="auto"/>
                <w:sz w:val="24"/>
                <w:highlight w:val="none"/>
              </w:rPr>
              <w:t>响应文件按照采购文件要求签署、盖章。</w:t>
            </w:r>
          </w:p>
        </w:tc>
        <w:tc>
          <w:tcPr>
            <w:tcW w:w="2551" w:type="dxa"/>
            <w:vAlign w:val="center"/>
          </w:tcPr>
          <w:p w14:paraId="71AC6B55">
            <w:pPr>
              <w:rPr>
                <w:rFonts w:ascii="宋体" w:hAnsi="宋体" w:cs="宋体"/>
                <w:color w:val="auto"/>
                <w:sz w:val="24"/>
                <w:highlight w:val="none"/>
              </w:rPr>
            </w:pPr>
            <w:r>
              <w:rPr>
                <w:rFonts w:hint="eastAsia" w:ascii="宋体" w:hAnsi="宋体" w:cs="宋体"/>
                <w:color w:val="auto"/>
                <w:sz w:val="24"/>
                <w:highlight w:val="none"/>
              </w:rPr>
              <w:t>需要使用电子签名或者签字盖章的响应文件的组成部分</w:t>
            </w:r>
          </w:p>
        </w:tc>
        <w:tc>
          <w:tcPr>
            <w:tcW w:w="1418" w:type="dxa"/>
            <w:vAlign w:val="center"/>
          </w:tcPr>
          <w:p w14:paraId="625B3E62">
            <w:pPr>
              <w:rPr>
                <w:rFonts w:ascii="宋体" w:hAnsi="宋体" w:cs="宋体"/>
                <w:color w:val="auto"/>
                <w:sz w:val="24"/>
                <w:highlight w:val="none"/>
              </w:rPr>
            </w:pPr>
            <w:r>
              <w:rPr>
                <w:rFonts w:hint="eastAsia" w:ascii="宋体" w:hAnsi="宋体" w:cs="宋体"/>
                <w:color w:val="auto"/>
                <w:sz w:val="24"/>
                <w:highlight w:val="none"/>
              </w:rPr>
              <w:t>见响应文件</w:t>
            </w:r>
          </w:p>
          <w:p w14:paraId="63774781">
            <w:pPr>
              <w:rPr>
                <w:rFonts w:ascii="宋体" w:hAnsi="宋体" w:cs="宋体"/>
                <w:color w:val="auto"/>
                <w:highlight w:val="none"/>
              </w:rPr>
            </w:pPr>
            <w:r>
              <w:rPr>
                <w:rFonts w:hint="eastAsia" w:ascii="宋体" w:hAnsi="宋体" w:cs="宋体"/>
                <w:color w:val="auto"/>
                <w:sz w:val="24"/>
                <w:highlight w:val="none"/>
              </w:rPr>
              <w:t>第页</w:t>
            </w:r>
          </w:p>
        </w:tc>
      </w:tr>
      <w:tr w14:paraId="67CE0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5EE49A1">
            <w:pPr>
              <w:spacing w:line="360" w:lineRule="auto"/>
              <w:rPr>
                <w:rFonts w:ascii="宋体" w:hAnsi="宋体" w:cs="宋体"/>
                <w:color w:val="auto"/>
                <w:sz w:val="24"/>
                <w:highlight w:val="none"/>
              </w:rPr>
            </w:pPr>
            <w:r>
              <w:rPr>
                <w:rFonts w:hint="eastAsia" w:ascii="宋体" w:hAnsi="宋体" w:cs="宋体"/>
                <w:color w:val="auto"/>
                <w:sz w:val="24"/>
                <w:highlight w:val="none"/>
              </w:rPr>
              <w:t>2</w:t>
            </w:r>
          </w:p>
        </w:tc>
        <w:tc>
          <w:tcPr>
            <w:tcW w:w="4991" w:type="dxa"/>
            <w:vAlign w:val="center"/>
          </w:tcPr>
          <w:p w14:paraId="731C2795">
            <w:pPr>
              <w:spacing w:line="360" w:lineRule="auto"/>
              <w:rPr>
                <w:rFonts w:ascii="宋体" w:hAnsi="宋体" w:cs="宋体"/>
                <w:color w:val="auto"/>
                <w:sz w:val="24"/>
                <w:highlight w:val="none"/>
              </w:rPr>
            </w:pPr>
            <w:r>
              <w:rPr>
                <w:rFonts w:hint="eastAsia" w:ascii="宋体" w:hAnsi="宋体" w:cs="宋体"/>
                <w:color w:val="auto"/>
                <w:sz w:val="24"/>
                <w:highlight w:val="none"/>
              </w:rPr>
              <w:t>响应文件中承诺的响应文件有效期不少于采购文件中载明的响应文件有效期。</w:t>
            </w:r>
          </w:p>
        </w:tc>
        <w:tc>
          <w:tcPr>
            <w:tcW w:w="2551" w:type="dxa"/>
            <w:vAlign w:val="center"/>
          </w:tcPr>
          <w:p w14:paraId="72B5AC88">
            <w:pPr>
              <w:rPr>
                <w:rFonts w:ascii="宋体" w:hAnsi="宋体" w:cs="宋体"/>
                <w:color w:val="auto"/>
                <w:sz w:val="24"/>
                <w:highlight w:val="none"/>
              </w:rPr>
            </w:pPr>
            <w:r>
              <w:rPr>
                <w:rFonts w:hint="eastAsia" w:ascii="宋体" w:hAnsi="宋体" w:cs="宋体"/>
                <w:color w:val="auto"/>
                <w:sz w:val="24"/>
                <w:highlight w:val="none"/>
              </w:rPr>
              <w:t>响应函</w:t>
            </w:r>
          </w:p>
        </w:tc>
        <w:tc>
          <w:tcPr>
            <w:tcW w:w="1418" w:type="dxa"/>
            <w:vAlign w:val="center"/>
          </w:tcPr>
          <w:p w14:paraId="1F02E288">
            <w:pPr>
              <w:rPr>
                <w:rFonts w:ascii="宋体" w:hAnsi="宋体" w:cs="宋体"/>
                <w:color w:val="auto"/>
                <w:highlight w:val="none"/>
              </w:rPr>
            </w:pPr>
            <w:r>
              <w:rPr>
                <w:rFonts w:hint="eastAsia" w:ascii="宋体" w:hAnsi="宋体" w:cs="宋体"/>
                <w:color w:val="auto"/>
                <w:sz w:val="24"/>
                <w:highlight w:val="none"/>
              </w:rPr>
              <w:t>见响应文件第页</w:t>
            </w:r>
          </w:p>
        </w:tc>
      </w:tr>
      <w:tr w14:paraId="4DEE2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6B58C80">
            <w:pPr>
              <w:rPr>
                <w:rFonts w:ascii="宋体" w:hAnsi="宋体" w:cs="宋体"/>
                <w:color w:val="auto"/>
                <w:sz w:val="24"/>
                <w:highlight w:val="none"/>
              </w:rPr>
            </w:pPr>
            <w:r>
              <w:rPr>
                <w:rFonts w:hint="eastAsia" w:ascii="宋体" w:hAnsi="宋体" w:cs="宋体"/>
                <w:color w:val="auto"/>
                <w:sz w:val="24"/>
                <w:highlight w:val="none"/>
              </w:rPr>
              <w:t>3</w:t>
            </w:r>
          </w:p>
        </w:tc>
        <w:tc>
          <w:tcPr>
            <w:tcW w:w="4991" w:type="dxa"/>
            <w:vAlign w:val="center"/>
          </w:tcPr>
          <w:p w14:paraId="10384ACD">
            <w:pPr>
              <w:spacing w:line="360" w:lineRule="auto"/>
              <w:rPr>
                <w:rFonts w:ascii="宋体" w:hAnsi="宋体" w:cs="宋体"/>
                <w:color w:val="auto"/>
                <w:sz w:val="24"/>
                <w:highlight w:val="none"/>
              </w:rPr>
            </w:pPr>
            <w:r>
              <w:rPr>
                <w:rFonts w:hint="eastAsia" w:ascii="宋体" w:hAnsi="宋体" w:cs="宋体"/>
                <w:color w:val="auto"/>
                <w:sz w:val="24"/>
                <w:highlight w:val="none"/>
              </w:rPr>
              <w:t>响应文件满足采购文件的其它实质性要求。</w:t>
            </w:r>
          </w:p>
        </w:tc>
        <w:tc>
          <w:tcPr>
            <w:tcW w:w="2551" w:type="dxa"/>
            <w:vAlign w:val="center"/>
          </w:tcPr>
          <w:p w14:paraId="7231E696">
            <w:pPr>
              <w:rPr>
                <w:rFonts w:ascii="宋体" w:hAnsi="宋体" w:cs="宋体"/>
                <w:color w:val="auto"/>
                <w:sz w:val="24"/>
                <w:highlight w:val="none"/>
              </w:rPr>
            </w:pPr>
            <w:r>
              <w:rPr>
                <w:rFonts w:hint="eastAsia" w:ascii="宋体" w:hAnsi="宋体" w:cs="宋体"/>
                <w:color w:val="auto"/>
                <w:kern w:val="0"/>
                <w:sz w:val="24"/>
                <w:highlight w:val="none"/>
              </w:rPr>
              <w:t>采购文件其它实质性要求相应的材料（“▲” 系指实质性要求条款，采购文件无其它实质性要求的，无需提供）</w:t>
            </w:r>
          </w:p>
        </w:tc>
        <w:tc>
          <w:tcPr>
            <w:tcW w:w="1418" w:type="dxa"/>
            <w:vAlign w:val="center"/>
          </w:tcPr>
          <w:p w14:paraId="63398CBF">
            <w:pPr>
              <w:rPr>
                <w:rFonts w:ascii="宋体" w:hAnsi="宋体" w:cs="宋体"/>
                <w:color w:val="auto"/>
                <w:highlight w:val="none"/>
              </w:rPr>
            </w:pPr>
            <w:r>
              <w:rPr>
                <w:rFonts w:hint="eastAsia" w:ascii="宋体" w:hAnsi="宋体" w:cs="宋体"/>
                <w:color w:val="auto"/>
                <w:sz w:val="24"/>
                <w:highlight w:val="none"/>
              </w:rPr>
              <w:t>见响应文件第页</w:t>
            </w:r>
          </w:p>
        </w:tc>
      </w:tr>
    </w:tbl>
    <w:p w14:paraId="4C4D0D6F">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B04DB65">
      <w:pPr>
        <w:jc w:val="center"/>
        <w:rPr>
          <w:rFonts w:ascii="宋体" w:hAnsi="宋体" w:cs="宋体"/>
          <w:b/>
          <w:color w:val="auto"/>
          <w:kern w:val="0"/>
          <w:sz w:val="32"/>
          <w:szCs w:val="32"/>
          <w:highlight w:val="none"/>
        </w:rPr>
      </w:pPr>
    </w:p>
    <w:p w14:paraId="4AB69F34">
      <w:pPr>
        <w:jc w:val="center"/>
        <w:rPr>
          <w:rFonts w:ascii="宋体" w:hAnsi="宋体" w:cs="宋体"/>
          <w:b/>
          <w:color w:val="auto"/>
          <w:kern w:val="0"/>
          <w:sz w:val="32"/>
          <w:szCs w:val="32"/>
          <w:highlight w:val="none"/>
        </w:rPr>
      </w:pPr>
    </w:p>
    <w:p w14:paraId="6978392B">
      <w:pPr>
        <w:jc w:val="center"/>
        <w:rPr>
          <w:rFonts w:ascii="宋体" w:hAnsi="宋体" w:cs="宋体"/>
          <w:b/>
          <w:color w:val="auto"/>
          <w:kern w:val="0"/>
          <w:sz w:val="32"/>
          <w:szCs w:val="32"/>
          <w:highlight w:val="none"/>
        </w:rPr>
      </w:pPr>
    </w:p>
    <w:p w14:paraId="756E9829">
      <w:pPr>
        <w:jc w:val="center"/>
        <w:rPr>
          <w:rFonts w:ascii="宋体" w:hAnsi="宋体" w:cs="宋体"/>
          <w:b/>
          <w:color w:val="auto"/>
          <w:kern w:val="0"/>
          <w:sz w:val="32"/>
          <w:szCs w:val="32"/>
          <w:highlight w:val="none"/>
        </w:rPr>
      </w:pPr>
    </w:p>
    <w:p w14:paraId="6C0FA5F7">
      <w:pPr>
        <w:jc w:val="center"/>
        <w:rPr>
          <w:rFonts w:ascii="宋体" w:hAnsi="宋体" w:cs="宋体"/>
          <w:b/>
          <w:color w:val="auto"/>
          <w:kern w:val="0"/>
          <w:sz w:val="32"/>
          <w:szCs w:val="32"/>
          <w:highlight w:val="none"/>
        </w:rPr>
      </w:pPr>
    </w:p>
    <w:p w14:paraId="7F12C059">
      <w:pPr>
        <w:jc w:val="center"/>
        <w:rPr>
          <w:rFonts w:ascii="宋体" w:hAnsi="宋体" w:cs="宋体"/>
          <w:b/>
          <w:color w:val="auto"/>
          <w:kern w:val="0"/>
          <w:sz w:val="32"/>
          <w:szCs w:val="32"/>
          <w:highlight w:val="none"/>
        </w:rPr>
      </w:pPr>
    </w:p>
    <w:p w14:paraId="5AA7A2D7">
      <w:pPr>
        <w:jc w:val="center"/>
        <w:rPr>
          <w:rFonts w:ascii="宋体" w:hAnsi="宋体" w:cs="宋体"/>
          <w:b/>
          <w:color w:val="auto"/>
          <w:kern w:val="0"/>
          <w:sz w:val="32"/>
          <w:szCs w:val="32"/>
          <w:highlight w:val="none"/>
        </w:rPr>
      </w:pPr>
    </w:p>
    <w:p w14:paraId="4F0219B0">
      <w:pPr>
        <w:jc w:val="center"/>
        <w:rPr>
          <w:rFonts w:ascii="宋体" w:hAnsi="宋体" w:cs="宋体"/>
          <w:b/>
          <w:color w:val="auto"/>
          <w:kern w:val="0"/>
          <w:sz w:val="32"/>
          <w:szCs w:val="32"/>
          <w:highlight w:val="none"/>
        </w:rPr>
      </w:pPr>
    </w:p>
    <w:p w14:paraId="11872E02">
      <w:pPr>
        <w:jc w:val="center"/>
        <w:rPr>
          <w:rFonts w:ascii="宋体" w:hAnsi="宋体" w:cs="宋体"/>
          <w:b/>
          <w:color w:val="auto"/>
          <w:kern w:val="0"/>
          <w:sz w:val="32"/>
          <w:szCs w:val="32"/>
          <w:highlight w:val="none"/>
        </w:rPr>
      </w:pPr>
    </w:p>
    <w:p w14:paraId="0870EAE8">
      <w:pPr>
        <w:jc w:val="center"/>
        <w:rPr>
          <w:rFonts w:ascii="宋体" w:hAnsi="宋体" w:cs="宋体"/>
          <w:b/>
          <w:color w:val="auto"/>
          <w:kern w:val="0"/>
          <w:sz w:val="32"/>
          <w:szCs w:val="32"/>
          <w:highlight w:val="none"/>
        </w:rPr>
      </w:pPr>
    </w:p>
    <w:p w14:paraId="0F980464">
      <w:pPr>
        <w:snapToGrid w:val="0"/>
        <w:jc w:val="center"/>
        <w:rPr>
          <w:rFonts w:ascii="宋体" w:hAnsi="宋体" w:cs="宋体"/>
          <w:b/>
          <w:bCs/>
          <w:color w:val="auto"/>
          <w:sz w:val="32"/>
          <w:szCs w:val="32"/>
          <w:highlight w:val="none"/>
        </w:rPr>
        <w:sectPr>
          <w:footerReference r:id="rId12" w:type="first"/>
          <w:footerReference r:id="rId11" w:type="default"/>
          <w:pgSz w:w="11906" w:h="16838"/>
          <w:pgMar w:top="1440" w:right="1080" w:bottom="1440" w:left="1080" w:header="851" w:footer="992" w:gutter="0"/>
          <w:cols w:space="720" w:num="1"/>
          <w:titlePg/>
          <w:docGrid w:linePitch="312" w:charSpace="0"/>
        </w:sectPr>
      </w:pPr>
    </w:p>
    <w:p w14:paraId="54234B12">
      <w:pPr>
        <w:snapToGrid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lang w:val="en-US" w:eastAsia="zh-CN"/>
        </w:rPr>
        <w:t>四</w:t>
      </w:r>
      <w:r>
        <w:rPr>
          <w:rFonts w:hint="eastAsia" w:ascii="宋体" w:hAnsi="宋体" w:cs="宋体"/>
          <w:b/>
          <w:bCs/>
          <w:color w:val="auto"/>
          <w:sz w:val="32"/>
          <w:szCs w:val="32"/>
          <w:highlight w:val="none"/>
        </w:rPr>
        <w:t>、评审标准相应的</w:t>
      </w:r>
      <w:r>
        <w:rPr>
          <w:rFonts w:hint="eastAsia" w:ascii="宋体" w:hAnsi="宋体" w:cs="宋体"/>
          <w:b/>
          <w:bCs/>
          <w:color w:val="auto"/>
          <w:sz w:val="32"/>
          <w:szCs w:val="32"/>
          <w:highlight w:val="none"/>
          <w:lang w:eastAsia="zh-CN"/>
        </w:rPr>
        <w:t>资信技术</w:t>
      </w:r>
      <w:r>
        <w:rPr>
          <w:rFonts w:hint="eastAsia" w:ascii="宋体" w:hAnsi="宋体" w:cs="宋体"/>
          <w:b/>
          <w:bCs/>
          <w:color w:val="auto"/>
          <w:sz w:val="32"/>
          <w:szCs w:val="32"/>
          <w:highlight w:val="none"/>
        </w:rPr>
        <w:t>资料</w:t>
      </w:r>
    </w:p>
    <w:p w14:paraId="7E88AEA7">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（按采购文件第四部分评审办法前附表中“响应文件中评审标准相应的</w:t>
      </w:r>
      <w:r>
        <w:rPr>
          <w:rFonts w:hint="eastAsia" w:ascii="宋体" w:hAnsi="宋体" w:cs="宋体"/>
          <w:b/>
          <w:color w:val="auto"/>
          <w:sz w:val="24"/>
          <w:highlight w:val="none"/>
          <w:lang w:eastAsia="zh-CN"/>
        </w:rPr>
        <w:t>资信技术</w:t>
      </w:r>
      <w:r>
        <w:rPr>
          <w:rFonts w:hint="eastAsia" w:ascii="宋体" w:hAnsi="宋体" w:cs="宋体"/>
          <w:b/>
          <w:color w:val="auto"/>
          <w:sz w:val="24"/>
          <w:highlight w:val="none"/>
        </w:rPr>
        <w:t>资料目录”提供资料。）</w:t>
      </w:r>
    </w:p>
    <w:p w14:paraId="76784073">
      <w:pPr>
        <w:jc w:val="center"/>
        <w:rPr>
          <w:rFonts w:ascii="宋体" w:hAnsi="宋体" w:cs="宋体"/>
          <w:b/>
          <w:color w:val="auto"/>
          <w:kern w:val="0"/>
          <w:sz w:val="32"/>
          <w:szCs w:val="32"/>
          <w:highlight w:val="none"/>
        </w:rPr>
      </w:pPr>
    </w:p>
    <w:p w14:paraId="1C95C817">
      <w:pPr>
        <w:pStyle w:val="3"/>
        <w:outlineLvl w:val="9"/>
        <w:rPr>
          <w:rFonts w:ascii="宋体" w:hAnsi="宋体" w:cs="宋体"/>
          <w:color w:val="auto"/>
          <w:szCs w:val="24"/>
          <w:highlight w:val="none"/>
          <w:lang w:val="en-US"/>
        </w:rPr>
        <w:sectPr>
          <w:pgSz w:w="11906" w:h="16838"/>
          <w:pgMar w:top="1440" w:right="1080" w:bottom="1440" w:left="1080" w:header="851" w:footer="992" w:gutter="0"/>
          <w:cols w:space="720" w:num="1"/>
          <w:titlePg/>
          <w:docGrid w:linePitch="312" w:charSpace="0"/>
        </w:sectPr>
      </w:pPr>
    </w:p>
    <w:p w14:paraId="59FCE61B">
      <w:pPr>
        <w:spacing w:line="360" w:lineRule="auto"/>
        <w:jc w:val="center"/>
        <w:outlineLvl w:val="0"/>
        <w:rPr>
          <w:rFonts w:ascii="宋体" w:hAnsi="宋体" w:cs="宋体"/>
          <w:b/>
          <w:color w:val="auto"/>
          <w:kern w:val="0"/>
          <w:sz w:val="36"/>
          <w:szCs w:val="36"/>
          <w:highlight w:val="none"/>
        </w:rPr>
      </w:pPr>
      <w:bookmarkStart w:id="436" w:name="_Toc10265"/>
      <w:r>
        <w:rPr>
          <w:rFonts w:hint="eastAsia" w:ascii="宋体" w:hAnsi="宋体" w:cs="宋体"/>
          <w:b/>
          <w:color w:val="auto"/>
          <w:kern w:val="0"/>
          <w:sz w:val="36"/>
          <w:szCs w:val="36"/>
          <w:highlight w:val="none"/>
        </w:rPr>
        <w:t>报价文件部分</w:t>
      </w:r>
      <w:bookmarkEnd w:id="436"/>
    </w:p>
    <w:p w14:paraId="51DBEC5D">
      <w:pPr>
        <w:spacing w:line="360" w:lineRule="auto"/>
        <w:jc w:val="center"/>
        <w:outlineLvl w:val="0"/>
        <w:rPr>
          <w:rFonts w:ascii="宋体" w:hAnsi="宋体" w:cs="宋体"/>
          <w:b/>
          <w:color w:val="auto"/>
          <w:kern w:val="0"/>
          <w:sz w:val="36"/>
          <w:szCs w:val="36"/>
          <w:highlight w:val="none"/>
        </w:rPr>
      </w:pPr>
      <w:bookmarkStart w:id="437" w:name="_Toc19933"/>
      <w:r>
        <w:rPr>
          <w:rFonts w:hint="eastAsia" w:ascii="宋体" w:hAnsi="宋体" w:cs="宋体"/>
          <w:b/>
          <w:color w:val="auto"/>
          <w:kern w:val="0"/>
          <w:sz w:val="36"/>
          <w:szCs w:val="36"/>
          <w:highlight w:val="none"/>
        </w:rPr>
        <w:t>目录</w:t>
      </w:r>
      <w:bookmarkEnd w:id="437"/>
    </w:p>
    <w:p w14:paraId="6385C980">
      <w:pPr>
        <w:rPr>
          <w:rFonts w:ascii="宋体" w:hAnsi="宋体" w:cs="宋体"/>
          <w:color w:val="auto"/>
          <w:highlight w:val="none"/>
        </w:rPr>
      </w:pPr>
    </w:p>
    <w:p w14:paraId="0AA0B18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（1）报价单…………………………………………………………………………（页码）</w:t>
      </w:r>
    </w:p>
    <w:p w14:paraId="60F9410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（2）报价明细表……………………………………………………………（页码）</w:t>
      </w:r>
    </w:p>
    <w:p w14:paraId="2AF26E7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（3）中小企业声明函………………………………………………………………（页码）</w:t>
      </w:r>
    </w:p>
    <w:p w14:paraId="2189A138">
      <w:pPr>
        <w:snapToGrid w:val="0"/>
        <w:spacing w:line="360" w:lineRule="auto"/>
        <w:ind w:right="480"/>
        <w:jc w:val="center"/>
        <w:rPr>
          <w:rFonts w:ascii="宋体" w:hAnsi="宋体" w:cs="宋体"/>
          <w:b/>
          <w:color w:val="auto"/>
          <w:kern w:val="0"/>
          <w:sz w:val="32"/>
          <w:szCs w:val="32"/>
          <w:highlight w:val="none"/>
        </w:rPr>
      </w:pPr>
    </w:p>
    <w:p w14:paraId="555FB093">
      <w:pPr>
        <w:snapToGrid w:val="0"/>
        <w:spacing w:line="360" w:lineRule="auto"/>
        <w:ind w:right="480"/>
        <w:jc w:val="center"/>
        <w:rPr>
          <w:rFonts w:ascii="宋体" w:hAnsi="宋体" w:cs="宋体"/>
          <w:b/>
          <w:color w:val="auto"/>
          <w:kern w:val="0"/>
          <w:sz w:val="32"/>
          <w:szCs w:val="32"/>
          <w:highlight w:val="none"/>
        </w:rPr>
      </w:pPr>
    </w:p>
    <w:p w14:paraId="1CB2FA61">
      <w:pPr>
        <w:snapToGrid w:val="0"/>
        <w:spacing w:line="360" w:lineRule="auto"/>
        <w:ind w:right="480"/>
        <w:jc w:val="center"/>
        <w:rPr>
          <w:rFonts w:ascii="宋体" w:hAnsi="宋体" w:cs="宋体"/>
          <w:b/>
          <w:color w:val="auto"/>
          <w:kern w:val="0"/>
          <w:sz w:val="32"/>
          <w:szCs w:val="32"/>
          <w:highlight w:val="none"/>
        </w:rPr>
      </w:pPr>
    </w:p>
    <w:p w14:paraId="505F6E7E">
      <w:pPr>
        <w:snapToGrid w:val="0"/>
        <w:spacing w:line="360" w:lineRule="auto"/>
        <w:ind w:right="480"/>
        <w:jc w:val="center"/>
        <w:rPr>
          <w:rFonts w:ascii="宋体" w:hAnsi="宋体" w:cs="宋体"/>
          <w:b/>
          <w:color w:val="auto"/>
          <w:kern w:val="0"/>
          <w:sz w:val="32"/>
          <w:szCs w:val="32"/>
          <w:highlight w:val="none"/>
        </w:rPr>
      </w:pPr>
    </w:p>
    <w:p w14:paraId="0A13FE45">
      <w:pPr>
        <w:snapToGrid w:val="0"/>
        <w:spacing w:line="360" w:lineRule="auto"/>
        <w:ind w:right="480"/>
        <w:jc w:val="center"/>
        <w:rPr>
          <w:rFonts w:ascii="宋体" w:hAnsi="宋体" w:cs="宋体"/>
          <w:b/>
          <w:color w:val="auto"/>
          <w:kern w:val="0"/>
          <w:sz w:val="32"/>
          <w:szCs w:val="32"/>
          <w:highlight w:val="none"/>
        </w:rPr>
      </w:pPr>
    </w:p>
    <w:p w14:paraId="140D825E">
      <w:pPr>
        <w:snapToGrid w:val="0"/>
        <w:spacing w:line="360" w:lineRule="auto"/>
        <w:ind w:right="480"/>
        <w:jc w:val="center"/>
        <w:rPr>
          <w:rFonts w:ascii="宋体" w:hAnsi="宋体" w:cs="宋体"/>
          <w:b/>
          <w:color w:val="auto"/>
          <w:kern w:val="0"/>
          <w:sz w:val="32"/>
          <w:szCs w:val="32"/>
          <w:highlight w:val="none"/>
        </w:rPr>
      </w:pPr>
    </w:p>
    <w:p w14:paraId="70A91F33">
      <w:pPr>
        <w:snapToGrid w:val="0"/>
        <w:spacing w:line="360" w:lineRule="auto"/>
        <w:ind w:right="480"/>
        <w:jc w:val="center"/>
        <w:rPr>
          <w:rFonts w:ascii="宋体" w:hAnsi="宋体" w:cs="宋体"/>
          <w:b/>
          <w:color w:val="auto"/>
          <w:kern w:val="0"/>
          <w:sz w:val="32"/>
          <w:szCs w:val="32"/>
          <w:highlight w:val="none"/>
        </w:rPr>
      </w:pPr>
    </w:p>
    <w:p w14:paraId="14F050AC">
      <w:pPr>
        <w:snapToGrid w:val="0"/>
        <w:spacing w:line="360" w:lineRule="auto"/>
        <w:ind w:right="480"/>
        <w:jc w:val="center"/>
        <w:rPr>
          <w:rFonts w:ascii="宋体" w:hAnsi="宋体" w:cs="宋体"/>
          <w:b/>
          <w:color w:val="auto"/>
          <w:kern w:val="0"/>
          <w:sz w:val="32"/>
          <w:szCs w:val="32"/>
          <w:highlight w:val="none"/>
        </w:rPr>
      </w:pPr>
    </w:p>
    <w:p w14:paraId="50E8CFC0">
      <w:pPr>
        <w:snapToGrid w:val="0"/>
        <w:spacing w:line="360" w:lineRule="auto"/>
        <w:ind w:right="480"/>
        <w:jc w:val="center"/>
        <w:rPr>
          <w:rFonts w:ascii="宋体" w:hAnsi="宋体" w:cs="宋体"/>
          <w:b/>
          <w:color w:val="auto"/>
          <w:kern w:val="0"/>
          <w:sz w:val="32"/>
          <w:szCs w:val="32"/>
          <w:highlight w:val="none"/>
        </w:rPr>
      </w:pPr>
    </w:p>
    <w:p w14:paraId="79A526C7">
      <w:pPr>
        <w:snapToGrid w:val="0"/>
        <w:spacing w:line="360" w:lineRule="auto"/>
        <w:ind w:right="480"/>
        <w:jc w:val="center"/>
        <w:rPr>
          <w:rFonts w:ascii="宋体" w:hAnsi="宋体" w:cs="宋体"/>
          <w:b/>
          <w:color w:val="auto"/>
          <w:kern w:val="0"/>
          <w:sz w:val="32"/>
          <w:szCs w:val="32"/>
          <w:highlight w:val="none"/>
        </w:rPr>
      </w:pPr>
    </w:p>
    <w:p w14:paraId="0245C2F2">
      <w:pPr>
        <w:snapToGrid w:val="0"/>
        <w:spacing w:line="360" w:lineRule="auto"/>
        <w:ind w:right="480"/>
        <w:jc w:val="center"/>
        <w:rPr>
          <w:rFonts w:ascii="宋体" w:hAnsi="宋体" w:cs="宋体"/>
          <w:b/>
          <w:color w:val="auto"/>
          <w:kern w:val="0"/>
          <w:sz w:val="32"/>
          <w:szCs w:val="32"/>
          <w:highlight w:val="none"/>
        </w:rPr>
      </w:pPr>
    </w:p>
    <w:p w14:paraId="0C161A69">
      <w:pPr>
        <w:snapToGrid w:val="0"/>
        <w:spacing w:line="360" w:lineRule="auto"/>
        <w:ind w:right="480"/>
        <w:jc w:val="center"/>
        <w:rPr>
          <w:rFonts w:ascii="宋体" w:hAnsi="宋体" w:cs="宋体"/>
          <w:b/>
          <w:color w:val="auto"/>
          <w:kern w:val="0"/>
          <w:sz w:val="32"/>
          <w:szCs w:val="32"/>
          <w:highlight w:val="none"/>
        </w:rPr>
      </w:pPr>
    </w:p>
    <w:p w14:paraId="1D2828C8">
      <w:pPr>
        <w:snapToGrid w:val="0"/>
        <w:spacing w:line="360" w:lineRule="auto"/>
        <w:ind w:right="480"/>
        <w:jc w:val="center"/>
        <w:rPr>
          <w:rFonts w:ascii="宋体" w:hAnsi="宋体" w:cs="宋体"/>
          <w:b/>
          <w:color w:val="auto"/>
          <w:kern w:val="0"/>
          <w:sz w:val="32"/>
          <w:szCs w:val="32"/>
          <w:highlight w:val="none"/>
        </w:rPr>
      </w:pPr>
    </w:p>
    <w:p w14:paraId="452A13D9">
      <w:pPr>
        <w:snapToGrid w:val="0"/>
        <w:spacing w:line="360" w:lineRule="auto"/>
        <w:ind w:right="480"/>
        <w:jc w:val="center"/>
        <w:rPr>
          <w:rFonts w:ascii="宋体" w:hAnsi="宋体" w:cs="宋体"/>
          <w:b/>
          <w:color w:val="auto"/>
          <w:kern w:val="0"/>
          <w:sz w:val="32"/>
          <w:szCs w:val="32"/>
          <w:highlight w:val="none"/>
        </w:rPr>
      </w:pPr>
    </w:p>
    <w:p w14:paraId="700F0099">
      <w:pPr>
        <w:snapToGrid w:val="0"/>
        <w:spacing w:line="360" w:lineRule="auto"/>
        <w:ind w:right="480"/>
        <w:jc w:val="center"/>
        <w:rPr>
          <w:rFonts w:ascii="宋体" w:hAnsi="宋体" w:cs="宋体"/>
          <w:b/>
          <w:color w:val="auto"/>
          <w:kern w:val="0"/>
          <w:sz w:val="32"/>
          <w:szCs w:val="32"/>
          <w:highlight w:val="none"/>
        </w:rPr>
      </w:pPr>
    </w:p>
    <w:p w14:paraId="170C3B19">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footerReference r:id="rId15" w:type="first"/>
          <w:headerReference r:id="rId13" w:type="default"/>
          <w:footerReference r:id="rId14" w:type="default"/>
          <w:pgSz w:w="11906" w:h="16838"/>
          <w:pgMar w:top="1440" w:right="1080" w:bottom="1440" w:left="1080" w:header="851" w:footer="992" w:gutter="0"/>
          <w:cols w:space="720" w:num="1"/>
          <w:titlePg/>
          <w:docGrid w:linePitch="312" w:charSpace="0"/>
        </w:sectPr>
      </w:pPr>
    </w:p>
    <w:p w14:paraId="7C02768D">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bookmarkStart w:id="438" w:name="_Toc3337"/>
      <w:r>
        <w:rPr>
          <w:rFonts w:hint="eastAsia" w:ascii="宋体" w:hAnsi="宋体" w:eastAsia="宋体" w:cs="宋体"/>
          <w:color w:val="auto"/>
          <w:kern w:val="2"/>
          <w:sz w:val="32"/>
          <w:szCs w:val="32"/>
          <w:highlight w:val="none"/>
        </w:rPr>
        <w:t>一、报价单</w:t>
      </w:r>
      <w:bookmarkEnd w:id="438"/>
    </w:p>
    <w:p w14:paraId="0FB340AC">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浙江艺术职业学院</w:t>
      </w:r>
      <w:r>
        <w:rPr>
          <w:rFonts w:hint="eastAsia" w:ascii="宋体" w:hAnsi="宋体" w:cs="宋体"/>
          <w:color w:val="auto"/>
          <w:sz w:val="24"/>
          <w:highlight w:val="none"/>
        </w:rPr>
        <w:t>、浙江致信招标代理有限公司</w:t>
      </w:r>
      <w:r>
        <w:rPr>
          <w:rFonts w:hint="eastAsia" w:ascii="宋体" w:hAnsi="宋体" w:cs="宋体"/>
          <w:color w:val="auto"/>
          <w:kern w:val="0"/>
          <w:sz w:val="24"/>
          <w:highlight w:val="none"/>
          <w:lang w:val="zh-CN"/>
        </w:rPr>
        <w:t>：</w:t>
      </w:r>
    </w:p>
    <w:p w14:paraId="792F30A5">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按你方采购文件要求，我们，本响应文件签字方，谨此向你方发出要约如下：如你方接受本投标，我方承诺按照如下报价单的价格完成</w:t>
      </w:r>
      <w:r>
        <w:rPr>
          <w:rFonts w:hint="eastAsia" w:ascii="宋体" w:hAnsi="宋体" w:cs="宋体"/>
          <w:color w:val="auto"/>
          <w:sz w:val="24"/>
          <w:highlight w:val="none"/>
          <w:lang w:eastAsia="zh-CN"/>
        </w:rPr>
        <w:t>浙江艺术职业学院监理服务项目</w:t>
      </w:r>
      <w:r>
        <w:rPr>
          <w:rFonts w:hint="eastAsia" w:ascii="宋体" w:hAnsi="宋体" w:cs="宋体"/>
          <w:color w:val="auto"/>
          <w:kern w:val="0"/>
          <w:sz w:val="24"/>
          <w:highlight w:val="none"/>
          <w:lang w:val="zh-CN"/>
        </w:rPr>
        <w:t>【项目编号：</w:t>
      </w:r>
      <w:r>
        <w:rPr>
          <w:rFonts w:hint="eastAsia" w:ascii="宋体" w:hAnsi="宋体" w:cs="宋体"/>
          <w:color w:val="auto"/>
          <w:sz w:val="24"/>
          <w:highlight w:val="none"/>
          <w:lang w:eastAsia="zh-CN"/>
        </w:rPr>
        <w:t>ZXZB-ZJYS-2025001C，</w:t>
      </w:r>
      <w:r>
        <w:rPr>
          <w:rFonts w:hint="eastAsia" w:ascii="宋体" w:hAnsi="宋体" w:cs="宋体"/>
          <w:color w:val="auto"/>
          <w:sz w:val="24"/>
          <w:highlight w:val="none"/>
          <w:lang w:val="en-US" w:eastAsia="zh-CN"/>
        </w:rPr>
        <w:t>标项：</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7B1A1E98">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报价单</w:t>
      </w:r>
    </w:p>
    <w:tbl>
      <w:tblPr>
        <w:tblStyle w:val="62"/>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447"/>
        <w:gridCol w:w="7447"/>
      </w:tblGrid>
      <w:tr w14:paraId="6F0C3F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8" w:hRule="atLeast"/>
          <w:jc w:val="center"/>
        </w:trPr>
        <w:tc>
          <w:tcPr>
            <w:tcW w:w="5000" w:type="pct"/>
            <w:gridSpan w:val="2"/>
            <w:tcBorders>
              <w:top w:val="single" w:color="auto" w:sz="4" w:space="0"/>
              <w:left w:val="single" w:color="auto" w:sz="4" w:space="0"/>
              <w:bottom w:val="single" w:color="auto" w:sz="4" w:space="0"/>
              <w:right w:val="single" w:color="auto" w:sz="4" w:space="0"/>
            </w:tcBorders>
            <w:vAlign w:val="center"/>
          </w:tcPr>
          <w:p w14:paraId="2EEEAFE6">
            <w:pPr>
              <w:shd w:val="clear" w:color="auto" w:fill="FFFFFF" w:themeFill="background1"/>
              <w:ind w:firstLine="458"/>
              <w:jc w:val="center"/>
              <w:rPr>
                <w:color w:val="auto"/>
                <w:spacing w:val="-6"/>
                <w:highlight w:val="none"/>
                <w:u w:val="single"/>
                <w:shd w:val="clear" w:color="auto" w:fill="FFFFFF" w:themeFill="background1"/>
              </w:rPr>
            </w:pPr>
            <w:r>
              <w:rPr>
                <w:rFonts w:hint="eastAsia"/>
                <w:b/>
                <w:color w:val="auto"/>
                <w:spacing w:val="-6"/>
                <w:highlight w:val="none"/>
                <w:shd w:val="clear" w:color="auto" w:fill="FFFFFF" w:themeFill="background1"/>
                <w:lang w:val="en-US" w:eastAsia="zh-CN"/>
              </w:rPr>
              <w:t>响应</w:t>
            </w:r>
            <w:r>
              <w:rPr>
                <w:rFonts w:hint="eastAsia"/>
                <w:b/>
                <w:color w:val="auto"/>
                <w:spacing w:val="-6"/>
                <w:highlight w:val="none"/>
                <w:shd w:val="clear" w:color="auto" w:fill="FFFFFF" w:themeFill="background1"/>
              </w:rPr>
              <w:t>报价</w:t>
            </w:r>
          </w:p>
        </w:tc>
      </w:tr>
      <w:tr w14:paraId="1607E9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7" w:hRule="atLeast"/>
          <w:jc w:val="center"/>
        </w:trPr>
        <w:tc>
          <w:tcPr>
            <w:tcW w:w="5000" w:type="pct"/>
            <w:gridSpan w:val="2"/>
            <w:tcBorders>
              <w:top w:val="single" w:color="auto" w:sz="4" w:space="0"/>
              <w:left w:val="single" w:color="auto" w:sz="4" w:space="0"/>
              <w:bottom w:val="single" w:color="auto" w:sz="4" w:space="0"/>
              <w:right w:val="single" w:color="auto" w:sz="4" w:space="0"/>
            </w:tcBorders>
            <w:vAlign w:val="center"/>
          </w:tcPr>
          <w:p w14:paraId="74710CD2">
            <w:pPr>
              <w:pStyle w:val="232"/>
              <w:shd w:val="clear" w:color="auto" w:fill="FFFFFF" w:themeFill="background1"/>
              <w:jc w:val="center"/>
              <w:rPr>
                <w:rFonts w:cs="宋体"/>
                <w:b/>
                <w:color w:val="auto"/>
                <w:spacing w:val="-6"/>
                <w:highlight w:val="none"/>
                <w:shd w:val="clear" w:color="auto" w:fill="FFFFFF" w:themeFill="background1"/>
              </w:rPr>
            </w:pPr>
            <w:r>
              <w:rPr>
                <w:rFonts w:hint="eastAsia" w:ascii="宋体" w:hAnsi="宋体" w:eastAsia="宋体" w:cs="宋体"/>
                <w:color w:val="auto"/>
                <w:spacing w:val="-6"/>
                <w:highlight w:val="none"/>
                <w:shd w:val="clear" w:color="auto" w:fill="FFFFFF" w:themeFill="background1"/>
              </w:rPr>
              <w:t>按《建设工程监理与相关服务收费管理规定》[2007]670号文的</w:t>
            </w:r>
            <w:r>
              <w:rPr>
                <w:rFonts w:hint="eastAsia" w:ascii="宋体" w:hAnsi="宋体" w:eastAsia="宋体" w:cs="宋体"/>
                <w:color w:val="auto"/>
                <w:spacing w:val="-6"/>
                <w:highlight w:val="none"/>
                <w:u w:val="single"/>
                <w:shd w:val="clear" w:color="auto" w:fill="FFFFFF" w:themeFill="background1"/>
              </w:rPr>
              <w:t xml:space="preserve">      </w:t>
            </w:r>
            <w:r>
              <w:rPr>
                <w:rFonts w:hint="eastAsia" w:ascii="宋体" w:hAnsi="宋体" w:eastAsia="宋体" w:cs="宋体"/>
                <w:color w:val="auto"/>
                <w:spacing w:val="-6"/>
                <w:highlight w:val="none"/>
                <w:shd w:val="clear" w:color="auto" w:fill="FFFFFF" w:themeFill="background1"/>
              </w:rPr>
              <w:t>%计取</w:t>
            </w:r>
          </w:p>
        </w:tc>
      </w:tr>
      <w:tr w14:paraId="76E930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2500" w:type="pct"/>
            <w:vMerge w:val="restart"/>
            <w:tcBorders>
              <w:top w:val="single" w:color="auto" w:sz="4" w:space="0"/>
              <w:left w:val="single" w:color="auto" w:sz="4" w:space="0"/>
              <w:right w:val="single" w:color="auto" w:sz="4" w:space="0"/>
            </w:tcBorders>
            <w:vAlign w:val="center"/>
          </w:tcPr>
          <w:p w14:paraId="707C96CE">
            <w:pPr>
              <w:ind w:firstLine="420" w:firstLineChars="200"/>
              <w:rPr>
                <w:color w:val="auto"/>
                <w:spacing w:val="-6"/>
                <w:highlight w:val="none"/>
                <w:shd w:val="clear" w:color="auto" w:fill="FFFFFF" w:themeFill="background1"/>
              </w:rPr>
            </w:pPr>
            <w:r>
              <w:rPr>
                <w:rFonts w:hint="eastAsia"/>
                <w:color w:val="auto"/>
                <w:szCs w:val="21"/>
                <w:highlight w:val="none"/>
              </w:rPr>
              <w:t>项目负责人姓名和执业证书编号</w:t>
            </w:r>
          </w:p>
        </w:tc>
        <w:tc>
          <w:tcPr>
            <w:tcW w:w="2500" w:type="pct"/>
            <w:tcBorders>
              <w:top w:val="single" w:color="auto" w:sz="4" w:space="0"/>
              <w:left w:val="single" w:color="auto" w:sz="4" w:space="0"/>
              <w:bottom w:val="single" w:color="auto" w:sz="4" w:space="0"/>
              <w:right w:val="single" w:color="auto" w:sz="4" w:space="0"/>
            </w:tcBorders>
            <w:vAlign w:val="center"/>
          </w:tcPr>
          <w:p w14:paraId="7BE4E78A">
            <w:pPr>
              <w:rPr>
                <w:color w:val="auto"/>
                <w:spacing w:val="-6"/>
                <w:highlight w:val="none"/>
                <w:shd w:val="clear" w:color="auto" w:fill="FFFFFF" w:themeFill="background1"/>
              </w:rPr>
            </w:pPr>
            <w:r>
              <w:rPr>
                <w:rFonts w:hint="eastAsia"/>
                <w:color w:val="auto"/>
                <w:spacing w:val="-6"/>
                <w:highlight w:val="none"/>
                <w:shd w:val="clear" w:color="auto" w:fill="FFFFFF" w:themeFill="background1"/>
              </w:rPr>
              <w:t>姓名：</w:t>
            </w:r>
          </w:p>
        </w:tc>
      </w:tr>
      <w:tr w14:paraId="0BEB26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2500" w:type="pct"/>
            <w:vMerge w:val="continue"/>
            <w:tcBorders>
              <w:left w:val="single" w:color="auto" w:sz="4" w:space="0"/>
              <w:bottom w:val="single" w:color="auto" w:sz="4" w:space="0"/>
              <w:right w:val="single" w:color="auto" w:sz="4" w:space="0"/>
            </w:tcBorders>
            <w:vAlign w:val="center"/>
          </w:tcPr>
          <w:p w14:paraId="224CB8C7">
            <w:pPr>
              <w:rPr>
                <w:color w:val="auto"/>
                <w:highlight w:val="none"/>
              </w:rPr>
            </w:pPr>
          </w:p>
        </w:tc>
        <w:tc>
          <w:tcPr>
            <w:tcW w:w="2500" w:type="pct"/>
            <w:tcBorders>
              <w:top w:val="single" w:color="auto" w:sz="4" w:space="0"/>
              <w:left w:val="single" w:color="auto" w:sz="4" w:space="0"/>
              <w:bottom w:val="single" w:color="auto" w:sz="4" w:space="0"/>
              <w:right w:val="single" w:color="auto" w:sz="4" w:space="0"/>
            </w:tcBorders>
            <w:vAlign w:val="center"/>
          </w:tcPr>
          <w:p w14:paraId="45F2A9E0">
            <w:pPr>
              <w:rPr>
                <w:rFonts w:hint="eastAsia" w:eastAsia="宋体"/>
                <w:color w:val="auto"/>
                <w:spacing w:val="-6"/>
                <w:highlight w:val="none"/>
                <w:shd w:val="clear" w:color="auto" w:fill="FFFFFF" w:themeFill="background1"/>
                <w:lang w:eastAsia="zh-CN"/>
              </w:rPr>
            </w:pPr>
            <w:r>
              <w:rPr>
                <w:rFonts w:hint="eastAsia"/>
                <w:color w:val="auto"/>
                <w:szCs w:val="21"/>
                <w:highlight w:val="none"/>
              </w:rPr>
              <w:t>执业证书编号</w:t>
            </w:r>
            <w:r>
              <w:rPr>
                <w:rFonts w:hint="eastAsia"/>
                <w:color w:val="auto"/>
                <w:szCs w:val="21"/>
                <w:highlight w:val="none"/>
                <w:lang w:eastAsia="zh-CN"/>
              </w:rPr>
              <w:t>：</w:t>
            </w:r>
          </w:p>
        </w:tc>
      </w:tr>
      <w:tr w14:paraId="35FEE4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5" w:hRule="atLeast"/>
          <w:jc w:val="center"/>
        </w:trPr>
        <w:tc>
          <w:tcPr>
            <w:tcW w:w="5000" w:type="pct"/>
            <w:gridSpan w:val="2"/>
            <w:tcBorders>
              <w:top w:val="single" w:color="auto" w:sz="4" w:space="0"/>
              <w:left w:val="single" w:color="auto" w:sz="4" w:space="0"/>
              <w:bottom w:val="single" w:color="auto" w:sz="4" w:space="0"/>
              <w:right w:val="single" w:color="auto" w:sz="4" w:space="0"/>
            </w:tcBorders>
            <w:vAlign w:val="center"/>
          </w:tcPr>
          <w:p w14:paraId="43D13C40">
            <w:pPr>
              <w:shd w:val="clear" w:color="auto" w:fill="FFFFFF" w:themeFill="background1"/>
              <w:rPr>
                <w:color w:val="auto"/>
                <w:spacing w:val="-6"/>
                <w:highlight w:val="none"/>
                <w:shd w:val="clear" w:color="auto" w:fill="FFFFFF" w:themeFill="background1"/>
              </w:rPr>
            </w:pPr>
            <w:r>
              <w:rPr>
                <w:rFonts w:hint="eastAsia"/>
                <w:color w:val="auto"/>
                <w:spacing w:val="-6"/>
                <w:highlight w:val="none"/>
                <w:shd w:val="clear" w:color="auto" w:fill="FFFFFF" w:themeFill="background1"/>
              </w:rPr>
              <w:t>备注：</w:t>
            </w:r>
          </w:p>
        </w:tc>
      </w:tr>
    </w:tbl>
    <w:p w14:paraId="01856CD1">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DD0D2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1、供应商需按本表格式填写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响应文件含有采购人不能接受的附加条件，响应文件无效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633D4C8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采购人将以合同形式有偿取得货物或服务，不接受供应商给予的赠品、回扣或者与采购无关的其他商品、服务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响应文件含有采购人不能接受的附加条件，响应文件无效</w:t>
      </w:r>
      <w:r>
        <w:rPr>
          <w:rFonts w:hint="eastAsia" w:ascii="宋体" w:hAnsi="宋体" w:cs="宋体"/>
          <w:b/>
          <w:color w:val="auto"/>
          <w:kern w:val="0"/>
          <w:sz w:val="24"/>
          <w:highlight w:val="none"/>
          <w:lang w:val="zh-CN"/>
        </w:rPr>
        <w:t>；采购内容未包含在《报价单》名称栏中，供应商不能作出合理解释的，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响应文件含有采购人不能接受的附加条件的，响应文件无效。</w:t>
      </w:r>
    </w:p>
    <w:p w14:paraId="2F1FF4B5">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3、特别提示：采购代理机构将对项目名称和项目编号，成交供应商名称、地址和成交金额、施工范围、施工工期、项目经理、执业证书信息、品牌（如果有）、规格型号、数量、单价等予以公示。</w:t>
      </w:r>
    </w:p>
    <w:p w14:paraId="2572A0DC">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szCs w:val="22"/>
          <w:highlight w:val="none"/>
          <w:lang w:val="zh-CN"/>
        </w:rPr>
        <w:t>4、</w:t>
      </w:r>
      <w:r>
        <w:rPr>
          <w:rFonts w:hint="eastAsia" w:ascii="宋体" w:hAnsi="宋体" w:cs="宋体"/>
          <w:color w:val="auto"/>
          <w:kern w:val="0"/>
          <w:sz w:val="24"/>
          <w:highlight w:val="none"/>
          <w:lang w:val="zh-CN"/>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0DE404A7">
      <w:pPr>
        <w:spacing w:line="360" w:lineRule="auto"/>
        <w:ind w:firstLine="482" w:firstLineChars="200"/>
        <w:rPr>
          <w:rFonts w:ascii="宋体" w:hAnsi="宋体" w:cs="宋体"/>
          <w:b/>
          <w:color w:val="auto"/>
          <w:kern w:val="0"/>
          <w:sz w:val="24"/>
          <w:highlight w:val="none"/>
        </w:rPr>
      </w:pPr>
    </w:p>
    <w:p w14:paraId="2630E09D">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3E54FA06">
      <w:pPr>
        <w:pStyle w:val="691"/>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40" w:right="1080" w:bottom="1440" w:left="1080" w:header="851" w:footer="992" w:gutter="0"/>
          <w:cols w:space="720" w:num="1"/>
          <w:titlePg/>
          <w:docGrid w:linePitch="312" w:charSpace="0"/>
        </w:sectPr>
      </w:pPr>
    </w:p>
    <w:p w14:paraId="13DCA9F9">
      <w:pPr>
        <w:pStyle w:val="691"/>
        <w:keepNext w:val="0"/>
        <w:pageBreakBefore w:val="0"/>
        <w:tabs>
          <w:tab w:val="clear" w:pos="720"/>
        </w:tabs>
        <w:snapToGrid w:val="0"/>
        <w:spacing w:before="120" w:after="120"/>
        <w:outlineLvl w:val="9"/>
        <w:rPr>
          <w:rFonts w:ascii="宋体" w:hAnsi="宋体" w:eastAsia="宋体" w:cs="宋体"/>
          <w:color w:val="auto"/>
          <w:kern w:val="2"/>
          <w:sz w:val="32"/>
          <w:szCs w:val="32"/>
          <w:highlight w:val="none"/>
        </w:rPr>
      </w:pPr>
      <w:bookmarkStart w:id="439" w:name="_Toc16398"/>
      <w:r>
        <w:rPr>
          <w:rFonts w:hint="eastAsia" w:ascii="宋体" w:hAnsi="宋体" w:eastAsia="宋体" w:cs="宋体"/>
          <w:color w:val="auto"/>
          <w:kern w:val="2"/>
          <w:sz w:val="32"/>
          <w:szCs w:val="32"/>
          <w:highlight w:val="none"/>
        </w:rPr>
        <w:t>二、报价明细表</w:t>
      </w:r>
      <w:bookmarkEnd w:id="439"/>
    </w:p>
    <w:p w14:paraId="186226E8">
      <w:pPr>
        <w:ind w:right="420"/>
        <w:rPr>
          <w:rFonts w:ascii="宋体" w:hAnsi="宋体" w:cs="宋体"/>
          <w:color w:val="auto"/>
          <w:sz w:val="24"/>
          <w:highlight w:val="none"/>
        </w:rPr>
      </w:pPr>
      <w:r>
        <w:rPr>
          <w:rFonts w:hint="eastAsia" w:ascii="宋体" w:hAnsi="宋体" w:cs="宋体"/>
          <w:color w:val="auto"/>
          <w:sz w:val="24"/>
          <w:highlight w:val="none"/>
        </w:rPr>
        <w:t>注：如需要，自行编制。</w:t>
      </w:r>
    </w:p>
    <w:p w14:paraId="2EDEFC62">
      <w:pPr>
        <w:pStyle w:val="61"/>
        <w:ind w:firstLine="480"/>
        <w:rPr>
          <w:rFonts w:cs="宋体"/>
          <w:color w:val="auto"/>
          <w:sz w:val="24"/>
          <w:highlight w:val="none"/>
        </w:rPr>
      </w:pPr>
    </w:p>
    <w:p w14:paraId="3F4FFA19">
      <w:pPr>
        <w:pStyle w:val="61"/>
        <w:ind w:firstLine="480"/>
        <w:rPr>
          <w:rFonts w:cs="宋体"/>
          <w:color w:val="auto"/>
          <w:sz w:val="24"/>
          <w:highlight w:val="none"/>
        </w:rPr>
        <w:sectPr>
          <w:footerReference r:id="rId19" w:type="first"/>
          <w:headerReference r:id="rId16" w:type="default"/>
          <w:footerReference r:id="rId17" w:type="default"/>
          <w:footerReference r:id="rId18" w:type="even"/>
          <w:pgSz w:w="11906" w:h="16838"/>
          <w:pgMar w:top="1440" w:right="1080" w:bottom="1440" w:left="1080" w:header="851" w:footer="992" w:gutter="0"/>
          <w:cols w:space="720" w:num="1"/>
          <w:titlePg/>
          <w:docGrid w:linePitch="312" w:charSpace="0"/>
        </w:sectPr>
      </w:pPr>
    </w:p>
    <w:p w14:paraId="0F054047">
      <w:pPr>
        <w:pStyle w:val="691"/>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bookmarkStart w:id="440" w:name="_Toc3989"/>
      <w:r>
        <w:rPr>
          <w:rFonts w:hint="eastAsia" w:ascii="宋体" w:hAnsi="宋体" w:eastAsia="宋体" w:cs="宋体"/>
          <w:color w:val="auto"/>
          <w:kern w:val="2"/>
          <w:sz w:val="32"/>
          <w:szCs w:val="32"/>
          <w:highlight w:val="none"/>
        </w:rPr>
        <w:t>三、</w:t>
      </w:r>
      <w:r>
        <w:rPr>
          <w:rFonts w:hint="eastAsia" w:ascii="宋体" w:hAnsi="宋体" w:eastAsia="宋体" w:cs="宋体"/>
          <w:color w:val="auto"/>
          <w:sz w:val="32"/>
          <w:szCs w:val="32"/>
          <w:highlight w:val="none"/>
        </w:rPr>
        <w:t>中小企业声明函</w:t>
      </w:r>
      <w:bookmarkStart w:id="441" w:name="_Hlk101259491"/>
      <w:r>
        <w:rPr>
          <w:rFonts w:hint="eastAsia" w:ascii="宋体" w:hAnsi="宋体" w:eastAsia="宋体" w:cs="宋体"/>
          <w:color w:val="auto"/>
          <w:sz w:val="32"/>
          <w:szCs w:val="32"/>
          <w:highlight w:val="none"/>
        </w:rPr>
        <w:t>（如果有）</w:t>
      </w:r>
      <w:bookmarkEnd w:id="440"/>
      <w:bookmarkEnd w:id="441"/>
    </w:p>
    <w:p w14:paraId="5F146841">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w:t>
      </w:r>
      <w:r>
        <w:rPr>
          <w:rFonts w:hint="eastAsia" w:ascii="宋体" w:hAnsi="宋体" w:cs="宋体"/>
          <w:b/>
          <w:color w:val="auto"/>
          <w:sz w:val="24"/>
          <w:highlight w:val="none"/>
          <w:lang w:eastAsia="zh-CN"/>
        </w:rPr>
        <w:t>附件5</w:t>
      </w:r>
      <w:r>
        <w:rPr>
          <w:rFonts w:hint="eastAsia" w:ascii="宋体" w:hAnsi="宋体" w:cs="宋体"/>
          <w:b/>
          <w:color w:val="auto"/>
          <w:sz w:val="24"/>
          <w:highlight w:val="none"/>
        </w:rPr>
        <w:t>）。]</w:t>
      </w:r>
    </w:p>
    <w:p w14:paraId="0CB1329C">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442" w:name="_Toc30893"/>
      <w:bookmarkStart w:id="443" w:name="_Toc465665161"/>
      <w:r>
        <w:rPr>
          <w:rFonts w:hint="eastAsia" w:ascii="宋体" w:hAnsi="宋体" w:cs="宋体"/>
          <w:color w:val="auto"/>
          <w:highlight w:val="none"/>
        </w:rPr>
        <w:t>附件</w:t>
      </w:r>
      <w:bookmarkEnd w:id="442"/>
      <w:bookmarkEnd w:id="443"/>
    </w:p>
    <w:p w14:paraId="67F79D7A">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517DCCAE">
      <w:pPr>
        <w:spacing w:line="360" w:lineRule="auto"/>
        <w:jc w:val="center"/>
        <w:rPr>
          <w:rFonts w:ascii="宋体" w:hAnsi="宋体" w:cs="宋体"/>
          <w:b/>
          <w:color w:val="auto"/>
          <w:spacing w:val="6"/>
          <w:sz w:val="32"/>
          <w:szCs w:val="32"/>
          <w:highlight w:val="none"/>
        </w:rPr>
      </w:pPr>
      <w:bookmarkStart w:id="444" w:name="OLE_LINK13"/>
      <w:bookmarkStart w:id="445" w:name="OLE_LINK14"/>
      <w:r>
        <w:rPr>
          <w:rFonts w:hint="eastAsia" w:ascii="宋体" w:hAnsi="宋体" w:cs="宋体"/>
          <w:b/>
          <w:color w:val="auto"/>
          <w:spacing w:val="6"/>
          <w:sz w:val="32"/>
          <w:szCs w:val="32"/>
          <w:highlight w:val="none"/>
        </w:rPr>
        <w:t>残疾人福利性单位声明函</w:t>
      </w:r>
    </w:p>
    <w:bookmarkEnd w:id="444"/>
    <w:bookmarkEnd w:id="445"/>
    <w:p w14:paraId="7D92246E">
      <w:pPr>
        <w:spacing w:line="360" w:lineRule="auto"/>
        <w:rPr>
          <w:rFonts w:ascii="宋体" w:hAnsi="宋体" w:cs="宋体"/>
          <w:b/>
          <w:color w:val="auto"/>
          <w:spacing w:val="6"/>
          <w:sz w:val="30"/>
          <w:szCs w:val="30"/>
          <w:highlight w:val="none"/>
        </w:rPr>
      </w:pPr>
    </w:p>
    <w:p w14:paraId="4EA1D3D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442856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555ACCF8">
      <w:pPr>
        <w:spacing w:line="360" w:lineRule="auto"/>
        <w:ind w:firstLine="480" w:firstLineChars="200"/>
        <w:rPr>
          <w:rFonts w:ascii="宋体" w:hAnsi="宋体" w:cs="宋体"/>
          <w:color w:val="auto"/>
          <w:sz w:val="24"/>
          <w:highlight w:val="none"/>
        </w:rPr>
      </w:pPr>
    </w:p>
    <w:p w14:paraId="3A1747F9">
      <w:pPr>
        <w:spacing w:line="360" w:lineRule="auto"/>
        <w:ind w:firstLine="480" w:firstLineChars="200"/>
        <w:rPr>
          <w:rFonts w:ascii="宋体" w:hAnsi="宋体" w:cs="宋体"/>
          <w:color w:val="auto"/>
          <w:sz w:val="24"/>
          <w:highlight w:val="none"/>
        </w:rPr>
      </w:pPr>
    </w:p>
    <w:p w14:paraId="4B0A524A">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kern w:val="0"/>
          <w:sz w:val="24"/>
          <w:highlight w:val="none"/>
          <w:lang w:val="zh-CN"/>
        </w:rPr>
        <w:t>供应商名称（电子签名）</w:t>
      </w:r>
      <w:r>
        <w:rPr>
          <w:rFonts w:hint="eastAsia" w:ascii="宋体" w:hAnsi="宋体" w:cs="宋体"/>
          <w:color w:val="auto"/>
          <w:sz w:val="24"/>
          <w:highlight w:val="none"/>
        </w:rPr>
        <w:t>：</w:t>
      </w:r>
    </w:p>
    <w:p w14:paraId="45614A24">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063388E9">
      <w:pPr>
        <w:spacing w:line="360" w:lineRule="auto"/>
        <w:ind w:firstLine="480" w:firstLineChars="200"/>
        <w:rPr>
          <w:rFonts w:ascii="宋体" w:hAnsi="宋体" w:cs="宋体"/>
          <w:color w:val="auto"/>
          <w:sz w:val="24"/>
          <w:highlight w:val="none"/>
        </w:rPr>
      </w:pPr>
    </w:p>
    <w:p w14:paraId="45D5552E">
      <w:pPr>
        <w:spacing w:line="360" w:lineRule="auto"/>
        <w:ind w:firstLine="420" w:firstLineChars="200"/>
        <w:rPr>
          <w:rFonts w:ascii="宋体" w:hAnsi="宋体" w:cs="宋体"/>
          <w:color w:val="auto"/>
          <w:highlight w:val="none"/>
        </w:rPr>
      </w:pPr>
    </w:p>
    <w:p w14:paraId="2385ACFB">
      <w:pPr>
        <w:spacing w:line="360" w:lineRule="auto"/>
        <w:ind w:firstLine="420" w:firstLineChars="200"/>
        <w:rPr>
          <w:rFonts w:ascii="宋体" w:hAnsi="宋体" w:cs="宋体"/>
          <w:color w:val="auto"/>
          <w:highlight w:val="none"/>
        </w:rPr>
      </w:pPr>
    </w:p>
    <w:p w14:paraId="2B09DB80">
      <w:pPr>
        <w:spacing w:line="360" w:lineRule="auto"/>
        <w:ind w:firstLine="420" w:firstLineChars="200"/>
        <w:rPr>
          <w:rFonts w:ascii="宋体" w:hAnsi="宋体" w:cs="宋体"/>
          <w:color w:val="auto"/>
          <w:highlight w:val="none"/>
        </w:rPr>
      </w:pPr>
    </w:p>
    <w:p w14:paraId="3ED8A750">
      <w:pPr>
        <w:spacing w:line="360" w:lineRule="auto"/>
        <w:ind w:firstLine="420" w:firstLineChars="200"/>
        <w:rPr>
          <w:rFonts w:ascii="宋体" w:hAnsi="宋体" w:cs="宋体"/>
          <w:color w:val="auto"/>
          <w:highlight w:val="none"/>
        </w:rPr>
      </w:pPr>
    </w:p>
    <w:p w14:paraId="31809619">
      <w:pPr>
        <w:spacing w:line="360" w:lineRule="auto"/>
        <w:rPr>
          <w:rFonts w:ascii="宋体" w:hAnsi="宋体" w:cs="宋体"/>
          <w:b/>
          <w:color w:val="auto"/>
          <w:sz w:val="24"/>
          <w:highlight w:val="none"/>
        </w:rPr>
      </w:pPr>
    </w:p>
    <w:p w14:paraId="358BC7C1">
      <w:pPr>
        <w:spacing w:line="360" w:lineRule="auto"/>
        <w:rPr>
          <w:rFonts w:ascii="宋体" w:hAnsi="宋体" w:cs="宋体"/>
          <w:b/>
          <w:color w:val="auto"/>
          <w:sz w:val="24"/>
          <w:highlight w:val="none"/>
        </w:rPr>
      </w:pPr>
    </w:p>
    <w:p w14:paraId="33599AFC">
      <w:pPr>
        <w:spacing w:line="360" w:lineRule="auto"/>
        <w:rPr>
          <w:rFonts w:ascii="宋体" w:hAnsi="宋体" w:cs="宋体"/>
          <w:b/>
          <w:color w:val="auto"/>
          <w:sz w:val="24"/>
          <w:highlight w:val="none"/>
        </w:rPr>
      </w:pPr>
    </w:p>
    <w:p w14:paraId="38F694BC">
      <w:pPr>
        <w:spacing w:line="360" w:lineRule="auto"/>
        <w:rPr>
          <w:rFonts w:ascii="宋体" w:hAnsi="宋体" w:cs="宋体"/>
          <w:b/>
          <w:color w:val="auto"/>
          <w:sz w:val="24"/>
          <w:highlight w:val="none"/>
        </w:rPr>
      </w:pPr>
    </w:p>
    <w:p w14:paraId="42827B2E">
      <w:pPr>
        <w:spacing w:line="360" w:lineRule="auto"/>
        <w:rPr>
          <w:rFonts w:ascii="宋体" w:hAnsi="宋体" w:cs="宋体"/>
          <w:b/>
          <w:color w:val="auto"/>
          <w:sz w:val="24"/>
          <w:highlight w:val="none"/>
        </w:rPr>
      </w:pPr>
    </w:p>
    <w:p w14:paraId="70F0648C">
      <w:pPr>
        <w:spacing w:line="360" w:lineRule="auto"/>
        <w:rPr>
          <w:rFonts w:ascii="宋体" w:hAnsi="宋体" w:cs="宋体"/>
          <w:b/>
          <w:color w:val="auto"/>
          <w:sz w:val="24"/>
          <w:highlight w:val="none"/>
        </w:rPr>
      </w:pPr>
    </w:p>
    <w:p w14:paraId="189F9081">
      <w:pPr>
        <w:spacing w:line="360" w:lineRule="auto"/>
        <w:rPr>
          <w:rFonts w:ascii="宋体" w:hAnsi="宋体" w:cs="宋体"/>
          <w:b/>
          <w:color w:val="auto"/>
          <w:sz w:val="24"/>
          <w:highlight w:val="none"/>
        </w:rPr>
      </w:pPr>
    </w:p>
    <w:p w14:paraId="1C889AB8">
      <w:pPr>
        <w:spacing w:line="360" w:lineRule="auto"/>
        <w:rPr>
          <w:rFonts w:ascii="宋体" w:hAnsi="宋体" w:cs="宋体"/>
          <w:b/>
          <w:color w:val="auto"/>
          <w:sz w:val="24"/>
          <w:highlight w:val="none"/>
        </w:rPr>
      </w:pPr>
    </w:p>
    <w:p w14:paraId="78999BBB">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2C0A7FFF">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666ACE15">
      <w:pPr>
        <w:snapToGrid w:val="0"/>
        <w:spacing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6764AB0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p>
    <w:p w14:paraId="748CBE1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地址：邮编：</w:t>
      </w:r>
    </w:p>
    <w:p w14:paraId="1990263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联系人：联系电话：</w:t>
      </w:r>
    </w:p>
    <w:p w14:paraId="7BA62C2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p>
    <w:p w14:paraId="1866531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p>
    <w:p w14:paraId="50FFB8E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 邮编：</w:t>
      </w:r>
    </w:p>
    <w:p w14:paraId="61CDA3A3">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F85CE3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p>
    <w:p w14:paraId="653BEAE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质疑项目的编号：包号：</w:t>
      </w:r>
    </w:p>
    <w:p w14:paraId="022FD15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p>
    <w:p w14:paraId="352C56D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p>
    <w:p w14:paraId="6FB8F1E7">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2A61FFA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p>
    <w:p w14:paraId="02C89B3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p>
    <w:p w14:paraId="35788396">
      <w:pPr>
        <w:snapToGrid w:val="0"/>
        <w:spacing w:line="360" w:lineRule="auto"/>
        <w:rPr>
          <w:rFonts w:ascii="宋体" w:hAnsi="宋体" w:cs="宋体"/>
          <w:color w:val="auto"/>
          <w:sz w:val="24"/>
          <w:highlight w:val="none"/>
        </w:rPr>
      </w:pPr>
    </w:p>
    <w:p w14:paraId="695EF6B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p>
    <w:p w14:paraId="620BA860">
      <w:pPr>
        <w:snapToGrid w:val="0"/>
        <w:spacing w:line="360" w:lineRule="auto"/>
        <w:rPr>
          <w:rFonts w:ascii="宋体" w:hAnsi="宋体" w:cs="宋体"/>
          <w:color w:val="auto"/>
          <w:sz w:val="24"/>
          <w:highlight w:val="none"/>
          <w:u w:val="dotted"/>
        </w:rPr>
      </w:pPr>
    </w:p>
    <w:p w14:paraId="76EAE13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56ABA79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95B627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ADC8D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p>
    <w:p w14:paraId="1930195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058AF03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1FF7DCE7">
      <w:pPr>
        <w:spacing w:line="360" w:lineRule="auto"/>
        <w:jc w:val="center"/>
        <w:rPr>
          <w:rFonts w:ascii="宋体" w:hAnsi="宋体" w:cs="宋体"/>
          <w:b/>
          <w:bCs/>
          <w:color w:val="auto"/>
          <w:sz w:val="24"/>
          <w:highlight w:val="none"/>
        </w:rPr>
      </w:pPr>
    </w:p>
    <w:p w14:paraId="1C749B4E">
      <w:pPr>
        <w:spacing w:line="360" w:lineRule="auto"/>
        <w:rPr>
          <w:rFonts w:ascii="宋体" w:hAnsi="宋体" w:cs="宋体"/>
          <w:b/>
          <w:color w:val="auto"/>
          <w:sz w:val="24"/>
          <w:highlight w:val="none"/>
        </w:rPr>
      </w:pPr>
    </w:p>
    <w:p w14:paraId="750EDA67">
      <w:pPr>
        <w:spacing w:line="360" w:lineRule="auto"/>
        <w:rPr>
          <w:rFonts w:ascii="宋体" w:hAnsi="宋体" w:cs="宋体"/>
          <w:b/>
          <w:color w:val="auto"/>
          <w:sz w:val="24"/>
          <w:highlight w:val="none"/>
        </w:rPr>
      </w:pPr>
    </w:p>
    <w:p w14:paraId="436989D0">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296199D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57196BF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2BAD2A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7C54E38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6F5D7D0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5D6BE68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72BAC183">
      <w:pPr>
        <w:widowControl/>
        <w:spacing w:line="360" w:lineRule="auto"/>
        <w:ind w:firstLine="600" w:firstLineChars="200"/>
        <w:jc w:val="left"/>
        <w:rPr>
          <w:rFonts w:ascii="宋体" w:hAnsi="宋体" w:cs="宋体"/>
          <w:color w:val="auto"/>
          <w:sz w:val="30"/>
          <w:szCs w:val="30"/>
          <w:highlight w:val="none"/>
        </w:rPr>
      </w:pPr>
    </w:p>
    <w:p w14:paraId="7860AC55">
      <w:pPr>
        <w:spacing w:line="360" w:lineRule="auto"/>
        <w:jc w:val="center"/>
        <w:rPr>
          <w:rFonts w:ascii="宋体" w:hAnsi="宋体" w:cs="宋体"/>
          <w:b/>
          <w:color w:val="auto"/>
          <w:spacing w:val="6"/>
          <w:sz w:val="32"/>
          <w:szCs w:val="32"/>
          <w:highlight w:val="none"/>
        </w:rPr>
      </w:pPr>
    </w:p>
    <w:p w14:paraId="5B883D9D">
      <w:pPr>
        <w:spacing w:line="360" w:lineRule="auto"/>
        <w:jc w:val="center"/>
        <w:rPr>
          <w:rFonts w:ascii="宋体" w:hAnsi="宋体" w:cs="宋体"/>
          <w:b/>
          <w:color w:val="auto"/>
          <w:spacing w:val="6"/>
          <w:sz w:val="32"/>
          <w:szCs w:val="32"/>
          <w:highlight w:val="none"/>
        </w:rPr>
      </w:pPr>
    </w:p>
    <w:p w14:paraId="41E2DDDE">
      <w:pPr>
        <w:spacing w:line="360" w:lineRule="auto"/>
        <w:jc w:val="center"/>
        <w:rPr>
          <w:rFonts w:ascii="宋体" w:hAnsi="宋体" w:cs="宋体"/>
          <w:b/>
          <w:color w:val="auto"/>
          <w:spacing w:val="6"/>
          <w:sz w:val="32"/>
          <w:szCs w:val="32"/>
          <w:highlight w:val="none"/>
        </w:rPr>
      </w:pPr>
    </w:p>
    <w:p w14:paraId="67EF9716">
      <w:pPr>
        <w:spacing w:line="360" w:lineRule="auto"/>
        <w:jc w:val="center"/>
        <w:rPr>
          <w:rFonts w:ascii="宋体" w:hAnsi="宋体" w:cs="宋体"/>
          <w:b/>
          <w:color w:val="auto"/>
          <w:spacing w:val="6"/>
          <w:sz w:val="32"/>
          <w:szCs w:val="32"/>
          <w:highlight w:val="none"/>
        </w:rPr>
      </w:pPr>
    </w:p>
    <w:p w14:paraId="3956F680">
      <w:pPr>
        <w:spacing w:line="360" w:lineRule="auto"/>
        <w:jc w:val="center"/>
        <w:rPr>
          <w:rFonts w:ascii="宋体" w:hAnsi="宋体" w:cs="宋体"/>
          <w:b/>
          <w:color w:val="auto"/>
          <w:spacing w:val="6"/>
          <w:sz w:val="32"/>
          <w:szCs w:val="32"/>
          <w:highlight w:val="none"/>
        </w:rPr>
      </w:pPr>
    </w:p>
    <w:p w14:paraId="272BDCDF">
      <w:pPr>
        <w:spacing w:line="360" w:lineRule="auto"/>
        <w:jc w:val="center"/>
        <w:rPr>
          <w:rFonts w:ascii="宋体" w:hAnsi="宋体" w:cs="宋体"/>
          <w:b/>
          <w:color w:val="auto"/>
          <w:spacing w:val="6"/>
          <w:sz w:val="32"/>
          <w:szCs w:val="32"/>
          <w:highlight w:val="none"/>
        </w:rPr>
      </w:pPr>
    </w:p>
    <w:p w14:paraId="4E1A5C82">
      <w:pPr>
        <w:spacing w:line="360" w:lineRule="auto"/>
        <w:jc w:val="center"/>
        <w:rPr>
          <w:rFonts w:ascii="宋体" w:hAnsi="宋体" w:cs="宋体"/>
          <w:b/>
          <w:color w:val="auto"/>
          <w:spacing w:val="6"/>
          <w:sz w:val="32"/>
          <w:szCs w:val="32"/>
          <w:highlight w:val="none"/>
        </w:rPr>
      </w:pPr>
    </w:p>
    <w:p w14:paraId="4FCBBFE3">
      <w:pPr>
        <w:spacing w:line="360" w:lineRule="auto"/>
        <w:jc w:val="center"/>
        <w:rPr>
          <w:rFonts w:ascii="宋体" w:hAnsi="宋体" w:cs="宋体"/>
          <w:b/>
          <w:color w:val="auto"/>
          <w:spacing w:val="6"/>
          <w:sz w:val="32"/>
          <w:szCs w:val="32"/>
          <w:highlight w:val="none"/>
        </w:rPr>
      </w:pPr>
    </w:p>
    <w:p w14:paraId="3A889012">
      <w:pPr>
        <w:spacing w:line="360" w:lineRule="auto"/>
        <w:jc w:val="center"/>
        <w:rPr>
          <w:rFonts w:ascii="宋体" w:hAnsi="宋体" w:cs="宋体"/>
          <w:b/>
          <w:color w:val="auto"/>
          <w:spacing w:val="6"/>
          <w:sz w:val="32"/>
          <w:szCs w:val="32"/>
          <w:highlight w:val="none"/>
        </w:rPr>
      </w:pPr>
    </w:p>
    <w:p w14:paraId="6561AF8C">
      <w:pPr>
        <w:spacing w:line="360" w:lineRule="auto"/>
        <w:jc w:val="center"/>
        <w:rPr>
          <w:rFonts w:ascii="宋体" w:hAnsi="宋体" w:cs="宋体"/>
          <w:b/>
          <w:color w:val="auto"/>
          <w:spacing w:val="6"/>
          <w:sz w:val="32"/>
          <w:szCs w:val="32"/>
          <w:highlight w:val="none"/>
        </w:rPr>
      </w:pPr>
    </w:p>
    <w:p w14:paraId="61F2226F">
      <w:pPr>
        <w:spacing w:line="360" w:lineRule="auto"/>
        <w:jc w:val="center"/>
        <w:rPr>
          <w:rFonts w:ascii="宋体" w:hAnsi="宋体" w:cs="宋体"/>
          <w:b/>
          <w:color w:val="auto"/>
          <w:spacing w:val="6"/>
          <w:sz w:val="32"/>
          <w:szCs w:val="32"/>
          <w:highlight w:val="none"/>
        </w:rPr>
      </w:pPr>
    </w:p>
    <w:p w14:paraId="2B49D22A">
      <w:pPr>
        <w:spacing w:line="360" w:lineRule="auto"/>
        <w:jc w:val="center"/>
        <w:rPr>
          <w:rFonts w:ascii="宋体" w:hAnsi="宋体" w:cs="宋体"/>
          <w:b/>
          <w:color w:val="auto"/>
          <w:spacing w:val="6"/>
          <w:sz w:val="32"/>
          <w:szCs w:val="32"/>
          <w:highlight w:val="none"/>
        </w:rPr>
      </w:pPr>
    </w:p>
    <w:p w14:paraId="6D84289F">
      <w:pPr>
        <w:spacing w:line="360" w:lineRule="auto"/>
        <w:jc w:val="left"/>
        <w:rPr>
          <w:rFonts w:ascii="宋体" w:hAnsi="宋体" w:cs="宋体"/>
          <w:b/>
          <w:color w:val="auto"/>
          <w:spacing w:val="6"/>
          <w:sz w:val="32"/>
          <w:szCs w:val="32"/>
          <w:highlight w:val="none"/>
        </w:rPr>
      </w:pPr>
    </w:p>
    <w:p w14:paraId="041AF4CC">
      <w:pPr>
        <w:spacing w:line="360" w:lineRule="auto"/>
        <w:jc w:val="left"/>
        <w:rPr>
          <w:rFonts w:ascii="宋体" w:hAnsi="宋体" w:cs="宋体"/>
          <w:b/>
          <w:color w:val="auto"/>
          <w:spacing w:val="6"/>
          <w:sz w:val="32"/>
          <w:szCs w:val="32"/>
          <w:highlight w:val="none"/>
        </w:rPr>
      </w:pPr>
    </w:p>
    <w:p w14:paraId="710E29CC">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0B0CE978">
      <w:pPr>
        <w:spacing w:line="360" w:lineRule="auto"/>
        <w:jc w:val="center"/>
        <w:rPr>
          <w:rFonts w:ascii="宋体" w:hAnsi="宋体" w:cs="宋体"/>
          <w:b/>
          <w:color w:val="auto"/>
          <w:sz w:val="24"/>
          <w:highlight w:val="none"/>
        </w:rPr>
      </w:pPr>
    </w:p>
    <w:p w14:paraId="68E03FE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6EF0126">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1411BBBA">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p>
    <w:p w14:paraId="4910B69C">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址：邮编：</w:t>
      </w:r>
    </w:p>
    <w:p w14:paraId="4E3A3BD8">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p>
    <w:p w14:paraId="64EDB3E5">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p>
    <w:p w14:paraId="24BDFD97">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授权代表：联系电话</w:t>
      </w:r>
      <w:r>
        <w:rPr>
          <w:rFonts w:hint="eastAsia" w:ascii="宋体" w:hAnsi="宋体" w:cs="宋体"/>
          <w:color w:val="auto"/>
          <w:sz w:val="24"/>
          <w:highlight w:val="none"/>
          <w:u w:val="dotted"/>
        </w:rPr>
        <w:t xml:space="preserve">：                  </w:t>
      </w:r>
    </w:p>
    <w:p w14:paraId="2D299833">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址：邮编：</w:t>
      </w:r>
    </w:p>
    <w:p w14:paraId="4F245FBB">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p>
    <w:p w14:paraId="0C04769E">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址：邮编：</w:t>
      </w:r>
    </w:p>
    <w:p w14:paraId="7555E1E3">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联系人：联系电话：</w:t>
      </w:r>
    </w:p>
    <w:p w14:paraId="4290C686">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3BEFAB4B">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065EC5C9">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p>
    <w:p w14:paraId="452BB81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址：邮编：</w:t>
      </w:r>
    </w:p>
    <w:p w14:paraId="382952C0">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联系人：联系电话：</w:t>
      </w:r>
    </w:p>
    <w:p w14:paraId="31BBEB4D">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48E00A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p>
    <w:p w14:paraId="7990F458">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采购项目编号：包号：</w:t>
      </w:r>
    </w:p>
    <w:p w14:paraId="709BFEF0">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p>
    <w:p w14:paraId="4713AB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p>
    <w:p w14:paraId="2FBF4384">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p>
    <w:p w14:paraId="201D3EB0">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p>
    <w:p w14:paraId="5C6466A0">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737C82DE">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投诉人于年月日,向提出质疑，质疑事项为：</w:t>
      </w:r>
    </w:p>
    <w:p w14:paraId="55EE1BF2">
      <w:pPr>
        <w:spacing w:line="360" w:lineRule="auto"/>
        <w:rPr>
          <w:rFonts w:ascii="宋体" w:hAnsi="宋体" w:cs="宋体"/>
          <w:color w:val="auto"/>
          <w:sz w:val="24"/>
          <w:highlight w:val="none"/>
          <w:u w:val="dotted"/>
        </w:rPr>
      </w:pPr>
    </w:p>
    <w:p w14:paraId="373912A9">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于年月日,就质疑事项作出了答复/没有在法定期限内作出答复。</w:t>
      </w:r>
    </w:p>
    <w:p w14:paraId="2A77A8D9">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09B714C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p>
    <w:p w14:paraId="69639678">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p>
    <w:p w14:paraId="23E47A16">
      <w:pPr>
        <w:spacing w:line="360" w:lineRule="auto"/>
        <w:rPr>
          <w:rFonts w:ascii="宋体" w:hAnsi="宋体" w:cs="宋体"/>
          <w:color w:val="auto"/>
          <w:sz w:val="24"/>
          <w:highlight w:val="none"/>
          <w:u w:val="dotted"/>
        </w:rPr>
      </w:pPr>
    </w:p>
    <w:p w14:paraId="2F476C25">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p>
    <w:p w14:paraId="30689974">
      <w:pPr>
        <w:spacing w:line="360" w:lineRule="auto"/>
        <w:rPr>
          <w:rFonts w:ascii="宋体" w:hAnsi="宋体" w:cs="宋体"/>
          <w:color w:val="auto"/>
          <w:sz w:val="24"/>
          <w:highlight w:val="none"/>
          <w:u w:val="dotted"/>
        </w:rPr>
      </w:pPr>
    </w:p>
    <w:p w14:paraId="0404BF26">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92FDE9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804AF6C">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43A6D7AD">
      <w:pPr>
        <w:spacing w:line="360" w:lineRule="auto"/>
        <w:rPr>
          <w:rFonts w:ascii="宋体" w:hAnsi="宋体" w:cs="宋体"/>
          <w:color w:val="auto"/>
          <w:sz w:val="24"/>
          <w:highlight w:val="none"/>
        </w:rPr>
      </w:pPr>
      <w:r>
        <w:rPr>
          <w:rFonts w:hint="eastAsia" w:ascii="宋体" w:hAnsi="宋体" w:cs="宋体"/>
          <w:color w:val="auto"/>
          <w:sz w:val="24"/>
          <w:highlight w:val="none"/>
        </w:rPr>
        <w:t>请求：</w:t>
      </w:r>
    </w:p>
    <w:p w14:paraId="63763F1A">
      <w:pPr>
        <w:spacing w:line="360" w:lineRule="auto"/>
        <w:rPr>
          <w:rFonts w:ascii="宋体" w:hAnsi="宋体" w:cs="宋体"/>
          <w:color w:val="auto"/>
          <w:sz w:val="24"/>
          <w:highlight w:val="none"/>
          <w:u w:val="single"/>
        </w:rPr>
      </w:pPr>
    </w:p>
    <w:p w14:paraId="4207EEA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1EB6E93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5A135C6D">
      <w:pPr>
        <w:spacing w:line="360" w:lineRule="auto"/>
        <w:rPr>
          <w:rFonts w:ascii="宋体" w:hAnsi="宋体" w:cs="宋体"/>
          <w:b/>
          <w:color w:val="auto"/>
          <w:sz w:val="24"/>
          <w:highlight w:val="none"/>
        </w:rPr>
      </w:pPr>
    </w:p>
    <w:p w14:paraId="078A44EE">
      <w:pPr>
        <w:spacing w:line="360" w:lineRule="auto"/>
        <w:rPr>
          <w:rFonts w:ascii="宋体" w:hAnsi="宋体" w:cs="宋体"/>
          <w:b/>
          <w:color w:val="auto"/>
          <w:sz w:val="24"/>
          <w:highlight w:val="none"/>
        </w:rPr>
      </w:pPr>
    </w:p>
    <w:p w14:paraId="754F018A">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10CAE729">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296DCC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9A1EEA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56BAE66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336C16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2EBEAC5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2796064">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73399C4">
      <w:pPr>
        <w:spacing w:line="360" w:lineRule="auto"/>
        <w:rPr>
          <w:rFonts w:ascii="宋体" w:hAnsi="宋体" w:cs="宋体"/>
          <w:b/>
          <w:color w:val="auto"/>
          <w:sz w:val="24"/>
          <w:highlight w:val="none"/>
        </w:rPr>
      </w:pPr>
    </w:p>
    <w:p w14:paraId="60B6C378">
      <w:pPr>
        <w:autoSpaceDE w:val="0"/>
        <w:autoSpaceDN w:val="0"/>
        <w:jc w:val="center"/>
        <w:rPr>
          <w:rFonts w:ascii="宋体" w:hAnsi="宋体" w:cs="宋体"/>
          <w:b/>
          <w:color w:val="auto"/>
          <w:spacing w:val="6"/>
          <w:sz w:val="32"/>
          <w:szCs w:val="32"/>
          <w:highlight w:val="none"/>
        </w:rPr>
      </w:pPr>
    </w:p>
    <w:p w14:paraId="5CF49B85">
      <w:pPr>
        <w:autoSpaceDE w:val="0"/>
        <w:autoSpaceDN w:val="0"/>
        <w:jc w:val="center"/>
        <w:rPr>
          <w:rFonts w:ascii="宋体" w:hAnsi="宋体" w:cs="宋体"/>
          <w:b/>
          <w:color w:val="auto"/>
          <w:spacing w:val="6"/>
          <w:sz w:val="32"/>
          <w:szCs w:val="32"/>
          <w:highlight w:val="none"/>
        </w:rPr>
        <w:sectPr>
          <w:pgSz w:w="11906" w:h="16838"/>
          <w:pgMar w:top="1440" w:right="1080" w:bottom="1440" w:left="1080" w:header="851" w:footer="992" w:gutter="0"/>
          <w:cols w:space="720" w:num="1"/>
          <w:titlePg/>
          <w:docGrid w:linePitch="312" w:charSpace="0"/>
        </w:sectPr>
      </w:pPr>
    </w:p>
    <w:p w14:paraId="6040AFAF">
      <w:pPr>
        <w:autoSpaceDE w:val="0"/>
        <w:autoSpaceDN w:val="0"/>
        <w:jc w:val="center"/>
        <w:outlineLvl w:val="0"/>
        <w:rPr>
          <w:rFonts w:ascii="宋体" w:hAnsi="宋体" w:cs="宋体"/>
          <w:b/>
          <w:bCs/>
          <w:color w:val="auto"/>
          <w:sz w:val="32"/>
          <w:szCs w:val="32"/>
          <w:highlight w:val="none"/>
        </w:rPr>
      </w:pPr>
      <w:bookmarkStart w:id="446" w:name="_Toc16905"/>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bookmarkEnd w:id="446"/>
    </w:p>
    <w:p w14:paraId="51CA3D60">
      <w:pPr>
        <w:spacing w:line="360" w:lineRule="auto"/>
        <w:rPr>
          <w:rFonts w:ascii="宋体" w:hAnsi="宋体" w:cs="宋体"/>
          <w:color w:val="auto"/>
          <w:sz w:val="24"/>
          <w:highlight w:val="none"/>
          <w:u w:val="single"/>
        </w:rPr>
      </w:pPr>
    </w:p>
    <w:p w14:paraId="237DC96D">
      <w:pPr>
        <w:spacing w:line="360" w:lineRule="auto"/>
        <w:outlineLvl w:val="0"/>
        <w:rPr>
          <w:rFonts w:ascii="宋体" w:hAnsi="宋体" w:cs="宋体"/>
          <w:color w:val="auto"/>
          <w:sz w:val="24"/>
          <w:highlight w:val="none"/>
        </w:rPr>
      </w:pPr>
      <w:bookmarkStart w:id="447" w:name="_Toc29949"/>
      <w:r>
        <w:rPr>
          <w:rFonts w:hint="eastAsia" w:ascii="宋体" w:hAnsi="宋体" w:cs="宋体"/>
          <w:color w:val="auto"/>
          <w:sz w:val="24"/>
          <w:highlight w:val="none"/>
          <w:u w:val="single"/>
          <w:lang w:eastAsia="zh-CN"/>
        </w:rPr>
        <w:t>浙江艺术职业学院</w:t>
      </w:r>
      <w:r>
        <w:rPr>
          <w:rFonts w:hint="eastAsia" w:ascii="宋体" w:hAnsi="宋体" w:cs="宋体"/>
          <w:color w:val="auto"/>
          <w:sz w:val="24"/>
          <w:highlight w:val="none"/>
          <w:u w:val="single"/>
        </w:rPr>
        <w:t>、浙江致信招标代理有限公司</w:t>
      </w:r>
      <w:bookmarkEnd w:id="447"/>
    </w:p>
    <w:p w14:paraId="32BC70DC">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sz w:val="24"/>
          <w:highlight w:val="none"/>
        </w:rPr>
        <w:t>(供应商全称)是中华人民共和国依法登记注册的合法企业，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浙江艺术职业学院监理服务项目</w:t>
      </w:r>
      <w:r>
        <w:rPr>
          <w:rFonts w:hint="eastAsia" w:ascii="宋体" w:hAnsi="宋体" w:cs="宋体"/>
          <w:color w:val="auto"/>
          <w:sz w:val="24"/>
          <w:highlight w:val="none"/>
        </w:rPr>
        <w:t>项目【项目编号：</w:t>
      </w:r>
      <w:r>
        <w:rPr>
          <w:rFonts w:hint="eastAsia" w:ascii="宋体" w:hAnsi="宋体" w:cs="宋体"/>
          <w:color w:val="auto"/>
          <w:sz w:val="24"/>
          <w:highlight w:val="none"/>
          <w:lang w:eastAsia="zh-CN"/>
        </w:rPr>
        <w:t>ZXZB-ZJYS-2025001C</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345509D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0CCCDF5E">
      <w:pPr>
        <w:spacing w:line="360" w:lineRule="auto"/>
        <w:ind w:firstLine="494"/>
        <w:rPr>
          <w:rFonts w:ascii="宋体" w:hAnsi="宋体" w:cs="宋体"/>
          <w:color w:val="auto"/>
          <w:sz w:val="24"/>
          <w:highlight w:val="none"/>
        </w:rPr>
      </w:pPr>
    </w:p>
    <w:p w14:paraId="4ED53C9E">
      <w:pPr>
        <w:spacing w:line="360" w:lineRule="auto"/>
        <w:ind w:firstLine="494"/>
        <w:rPr>
          <w:rFonts w:ascii="宋体" w:hAnsi="宋体" w:cs="宋体"/>
          <w:color w:val="auto"/>
          <w:sz w:val="24"/>
          <w:highlight w:val="none"/>
        </w:rPr>
      </w:pPr>
    </w:p>
    <w:p w14:paraId="23485EDA">
      <w:pPr>
        <w:spacing w:line="360" w:lineRule="auto"/>
        <w:ind w:firstLine="494"/>
        <w:rPr>
          <w:rFonts w:ascii="宋体" w:hAnsi="宋体" w:cs="宋体"/>
          <w:color w:val="auto"/>
          <w:sz w:val="24"/>
          <w:highlight w:val="none"/>
        </w:rPr>
      </w:pPr>
    </w:p>
    <w:p w14:paraId="4F46E9D5">
      <w:pPr>
        <w:spacing w:line="360" w:lineRule="auto"/>
        <w:ind w:firstLine="494"/>
        <w:rPr>
          <w:rFonts w:ascii="宋体" w:hAnsi="宋体" w:cs="宋体"/>
          <w:color w:val="auto"/>
          <w:sz w:val="24"/>
          <w:highlight w:val="none"/>
        </w:rPr>
      </w:pPr>
    </w:p>
    <w:p w14:paraId="74E4C504">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供应商（法定名称章）：</w:t>
      </w:r>
    </w:p>
    <w:p w14:paraId="7A8D19B0">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0C937A7F">
      <w:pPr>
        <w:rPr>
          <w:rFonts w:ascii="宋体" w:hAnsi="宋体" w:cs="宋体"/>
          <w:color w:val="auto"/>
          <w:sz w:val="24"/>
          <w:highlight w:val="none"/>
        </w:rPr>
      </w:pPr>
      <w:r>
        <w:rPr>
          <w:rFonts w:hint="eastAsia" w:ascii="宋体" w:hAnsi="宋体" w:cs="宋体"/>
          <w:b/>
          <w:bCs/>
          <w:color w:val="auto"/>
          <w:sz w:val="24"/>
          <w:highlight w:val="none"/>
        </w:rPr>
        <w:t>附：</w:t>
      </w:r>
    </w:p>
    <w:p w14:paraId="2C65A96D">
      <w:pPr>
        <w:spacing w:line="360" w:lineRule="auto"/>
        <w:rPr>
          <w:rFonts w:ascii="宋体" w:hAnsi="宋体" w:cs="宋体"/>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8415" b="1270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1270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w:t>供应商</w:t>
      </w:r>
      <w:r>
        <w:rPr>
          <w:rFonts w:hint="eastAsia" w:ascii="宋体" w:hAnsi="宋体" w:cs="宋体"/>
          <w:color w:val="auto"/>
          <w:sz w:val="24"/>
          <w:highlight w:val="none"/>
        </w:rPr>
        <w:t>法定名称章（印模）                供应商“XX专用章”（印模）</w:t>
      </w:r>
    </w:p>
    <w:p w14:paraId="4AC2D801">
      <w:pPr>
        <w:autoSpaceDE w:val="0"/>
        <w:autoSpaceDN w:val="0"/>
        <w:jc w:val="center"/>
        <w:rPr>
          <w:rFonts w:ascii="宋体" w:hAnsi="宋体" w:cs="宋体"/>
          <w:b/>
          <w:color w:val="auto"/>
          <w:spacing w:val="6"/>
          <w:sz w:val="32"/>
          <w:szCs w:val="32"/>
          <w:highlight w:val="none"/>
        </w:rPr>
      </w:pPr>
    </w:p>
    <w:p w14:paraId="649238AC">
      <w:pPr>
        <w:autoSpaceDE w:val="0"/>
        <w:autoSpaceDN w:val="0"/>
        <w:jc w:val="center"/>
        <w:rPr>
          <w:rFonts w:ascii="宋体" w:hAnsi="宋体" w:cs="宋体"/>
          <w:b/>
          <w:color w:val="auto"/>
          <w:spacing w:val="6"/>
          <w:sz w:val="32"/>
          <w:szCs w:val="32"/>
          <w:highlight w:val="none"/>
        </w:rPr>
      </w:pPr>
    </w:p>
    <w:p w14:paraId="0313954B">
      <w:pPr>
        <w:autoSpaceDE w:val="0"/>
        <w:autoSpaceDN w:val="0"/>
        <w:jc w:val="center"/>
        <w:rPr>
          <w:rFonts w:ascii="宋体" w:hAnsi="宋体" w:cs="宋体"/>
          <w:b/>
          <w:color w:val="auto"/>
          <w:spacing w:val="6"/>
          <w:sz w:val="32"/>
          <w:szCs w:val="32"/>
          <w:highlight w:val="none"/>
        </w:rPr>
      </w:pPr>
    </w:p>
    <w:p w14:paraId="1F9D59C1">
      <w:pPr>
        <w:autoSpaceDE w:val="0"/>
        <w:autoSpaceDN w:val="0"/>
        <w:jc w:val="center"/>
        <w:rPr>
          <w:rFonts w:ascii="宋体" w:hAnsi="宋体" w:cs="宋体"/>
          <w:b/>
          <w:color w:val="auto"/>
          <w:spacing w:val="6"/>
          <w:sz w:val="32"/>
          <w:szCs w:val="32"/>
          <w:highlight w:val="none"/>
        </w:rPr>
      </w:pPr>
    </w:p>
    <w:p w14:paraId="4D6AB227">
      <w:pPr>
        <w:autoSpaceDE w:val="0"/>
        <w:autoSpaceDN w:val="0"/>
        <w:jc w:val="center"/>
        <w:rPr>
          <w:rFonts w:ascii="宋体" w:hAnsi="宋体" w:cs="宋体"/>
          <w:b/>
          <w:color w:val="auto"/>
          <w:spacing w:val="6"/>
          <w:sz w:val="32"/>
          <w:szCs w:val="32"/>
          <w:highlight w:val="none"/>
        </w:rPr>
      </w:pPr>
    </w:p>
    <w:p w14:paraId="2DE35AF3">
      <w:pPr>
        <w:autoSpaceDE w:val="0"/>
        <w:autoSpaceDN w:val="0"/>
        <w:jc w:val="center"/>
        <w:rPr>
          <w:rFonts w:ascii="宋体" w:hAnsi="宋体" w:cs="宋体"/>
          <w:b/>
          <w:color w:val="auto"/>
          <w:spacing w:val="6"/>
          <w:sz w:val="32"/>
          <w:szCs w:val="32"/>
          <w:highlight w:val="none"/>
        </w:rPr>
      </w:pPr>
    </w:p>
    <w:p w14:paraId="3BEDF228">
      <w:pPr>
        <w:autoSpaceDE w:val="0"/>
        <w:autoSpaceDN w:val="0"/>
        <w:jc w:val="center"/>
        <w:rPr>
          <w:rFonts w:ascii="宋体" w:hAnsi="宋体" w:cs="宋体"/>
          <w:b/>
          <w:color w:val="auto"/>
          <w:spacing w:val="6"/>
          <w:sz w:val="32"/>
          <w:szCs w:val="32"/>
          <w:highlight w:val="none"/>
        </w:rPr>
      </w:pPr>
    </w:p>
    <w:p w14:paraId="07653277">
      <w:pPr>
        <w:autoSpaceDE w:val="0"/>
        <w:autoSpaceDN w:val="0"/>
        <w:jc w:val="center"/>
        <w:rPr>
          <w:rFonts w:ascii="宋体" w:hAnsi="宋体" w:cs="宋体"/>
          <w:b/>
          <w:color w:val="auto"/>
          <w:spacing w:val="6"/>
          <w:sz w:val="32"/>
          <w:szCs w:val="32"/>
          <w:highlight w:val="none"/>
        </w:rPr>
      </w:pPr>
    </w:p>
    <w:p w14:paraId="34769D82">
      <w:pPr>
        <w:autoSpaceDE w:val="0"/>
        <w:autoSpaceDN w:val="0"/>
        <w:jc w:val="center"/>
        <w:rPr>
          <w:rFonts w:ascii="宋体" w:hAnsi="宋体" w:cs="宋体"/>
          <w:b/>
          <w:color w:val="auto"/>
          <w:spacing w:val="6"/>
          <w:sz w:val="32"/>
          <w:szCs w:val="32"/>
          <w:highlight w:val="none"/>
        </w:rPr>
      </w:pPr>
    </w:p>
    <w:p w14:paraId="42C00424">
      <w:pPr>
        <w:autoSpaceDE w:val="0"/>
        <w:autoSpaceDN w:val="0"/>
        <w:jc w:val="center"/>
        <w:rPr>
          <w:rFonts w:ascii="宋体" w:hAnsi="宋体" w:cs="宋体"/>
          <w:b/>
          <w:color w:val="auto"/>
          <w:spacing w:val="6"/>
          <w:sz w:val="32"/>
          <w:szCs w:val="32"/>
          <w:highlight w:val="none"/>
        </w:rPr>
      </w:pPr>
    </w:p>
    <w:p w14:paraId="21BE41CE">
      <w:pPr>
        <w:autoSpaceDE w:val="0"/>
        <w:autoSpaceDN w:val="0"/>
        <w:jc w:val="center"/>
        <w:rPr>
          <w:rFonts w:ascii="宋体" w:hAnsi="宋体" w:cs="宋体"/>
          <w:b/>
          <w:color w:val="auto"/>
          <w:spacing w:val="6"/>
          <w:sz w:val="32"/>
          <w:szCs w:val="32"/>
          <w:highlight w:val="none"/>
        </w:rPr>
      </w:pPr>
    </w:p>
    <w:p w14:paraId="4FE4FD3A">
      <w:pPr>
        <w:autoSpaceDE w:val="0"/>
        <w:autoSpaceDN w:val="0"/>
        <w:jc w:val="center"/>
        <w:rPr>
          <w:rFonts w:ascii="宋体" w:hAnsi="宋体" w:cs="宋体"/>
          <w:b/>
          <w:color w:val="auto"/>
          <w:spacing w:val="6"/>
          <w:sz w:val="32"/>
          <w:szCs w:val="32"/>
          <w:highlight w:val="none"/>
        </w:rPr>
      </w:pPr>
    </w:p>
    <w:p w14:paraId="3E272D86">
      <w:pPr>
        <w:autoSpaceDE w:val="0"/>
        <w:autoSpaceDN w:val="0"/>
        <w:jc w:val="center"/>
        <w:rPr>
          <w:rFonts w:ascii="宋体" w:hAnsi="宋体" w:cs="宋体"/>
          <w:b/>
          <w:color w:val="auto"/>
          <w:spacing w:val="6"/>
          <w:sz w:val="32"/>
          <w:szCs w:val="32"/>
          <w:highlight w:val="none"/>
        </w:rPr>
      </w:pPr>
    </w:p>
    <w:p w14:paraId="0B6156CF">
      <w:pPr>
        <w:autoSpaceDE w:val="0"/>
        <w:autoSpaceDN w:val="0"/>
        <w:jc w:val="center"/>
        <w:rPr>
          <w:rFonts w:ascii="宋体" w:hAnsi="宋体" w:cs="宋体"/>
          <w:b/>
          <w:color w:val="auto"/>
          <w:spacing w:val="6"/>
          <w:sz w:val="32"/>
          <w:szCs w:val="32"/>
          <w:highlight w:val="none"/>
        </w:rPr>
      </w:pPr>
    </w:p>
    <w:p w14:paraId="69A2A237">
      <w:pPr>
        <w:autoSpaceDE w:val="0"/>
        <w:autoSpaceDN w:val="0"/>
        <w:jc w:val="center"/>
        <w:rPr>
          <w:rFonts w:ascii="宋体" w:hAnsi="宋体" w:cs="宋体"/>
          <w:b/>
          <w:color w:val="auto"/>
          <w:spacing w:val="6"/>
          <w:sz w:val="32"/>
          <w:szCs w:val="32"/>
          <w:highlight w:val="none"/>
        </w:rPr>
        <w:sectPr>
          <w:pgSz w:w="11906" w:h="16838"/>
          <w:pgMar w:top="1440" w:right="1080" w:bottom="1440" w:left="1080" w:header="851" w:footer="992" w:gutter="0"/>
          <w:cols w:space="720" w:num="1"/>
          <w:titlePg/>
          <w:docGrid w:linePitch="312" w:charSpace="0"/>
        </w:sectPr>
      </w:pPr>
    </w:p>
    <w:p w14:paraId="1754F736">
      <w:pPr>
        <w:autoSpaceDE w:val="0"/>
        <w:autoSpaceDN w:val="0"/>
        <w:jc w:val="center"/>
        <w:outlineLvl w:val="0"/>
        <w:rPr>
          <w:rFonts w:ascii="宋体" w:hAnsi="宋体" w:cs="宋体"/>
          <w:b/>
          <w:bCs/>
          <w:color w:val="auto"/>
          <w:sz w:val="32"/>
          <w:szCs w:val="32"/>
          <w:highlight w:val="none"/>
        </w:rPr>
      </w:pPr>
      <w:bookmarkStart w:id="448" w:name="_Toc6199"/>
      <w:r>
        <w:rPr>
          <w:rFonts w:hint="eastAsia" w:ascii="宋体" w:hAnsi="宋体" w:cs="宋体"/>
          <w:b/>
          <w:color w:val="auto"/>
          <w:spacing w:val="6"/>
          <w:sz w:val="32"/>
          <w:szCs w:val="32"/>
          <w:highlight w:val="none"/>
          <w:lang w:eastAsia="zh-CN"/>
        </w:rPr>
        <w:t>附件5</w:t>
      </w:r>
      <w:r>
        <w:rPr>
          <w:rFonts w:hint="eastAsia" w:ascii="宋体" w:hAnsi="宋体" w:cs="宋体"/>
          <w:b/>
          <w:color w:val="auto"/>
          <w:spacing w:val="6"/>
          <w:sz w:val="32"/>
          <w:szCs w:val="32"/>
          <w:highlight w:val="none"/>
        </w:rPr>
        <w:t>：</w:t>
      </w:r>
      <w:r>
        <w:rPr>
          <w:rFonts w:hint="eastAsia" w:ascii="宋体" w:hAnsi="宋体" w:cs="宋体"/>
          <w:b/>
          <w:color w:val="auto"/>
          <w:sz w:val="32"/>
          <w:szCs w:val="32"/>
          <w:highlight w:val="none"/>
        </w:rPr>
        <w:t>中小企业声明函</w:t>
      </w:r>
      <w:bookmarkEnd w:id="448"/>
    </w:p>
    <w:p w14:paraId="45F3E805">
      <w:pPr>
        <w:spacing w:line="360" w:lineRule="auto"/>
        <w:jc w:val="center"/>
        <w:rPr>
          <w:rFonts w:ascii="宋体" w:hAnsi="宋体" w:cs="宋体"/>
          <w:color w:val="auto"/>
          <w:sz w:val="24"/>
          <w:highlight w:val="none"/>
          <w:u w:val="single"/>
        </w:rPr>
      </w:pPr>
    </w:p>
    <w:p w14:paraId="4B360002">
      <w:pPr>
        <w:spacing w:line="360" w:lineRule="auto"/>
        <w:jc w:val="center"/>
        <w:outlineLvl w:val="0"/>
        <w:rPr>
          <w:rFonts w:ascii="宋体" w:hAnsi="宋体" w:cs="宋体"/>
          <w:b/>
          <w:color w:val="auto"/>
          <w:sz w:val="32"/>
          <w:szCs w:val="32"/>
          <w:highlight w:val="none"/>
        </w:rPr>
      </w:pPr>
      <w:bookmarkStart w:id="449" w:name="_Toc32437"/>
      <w:r>
        <w:rPr>
          <w:rFonts w:hint="eastAsia" w:ascii="宋体" w:hAnsi="宋体" w:cs="宋体"/>
          <w:b/>
          <w:color w:val="auto"/>
          <w:sz w:val="32"/>
          <w:szCs w:val="32"/>
          <w:highlight w:val="none"/>
        </w:rPr>
        <w:t>中小企业声明函（服务）</w:t>
      </w:r>
      <w:bookmarkEnd w:id="449"/>
    </w:p>
    <w:p w14:paraId="5EBB732E">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（招标人）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4E41919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（竞争性磋商文件中明确的所属行业）</w:t>
      </w:r>
      <w:r>
        <w:rPr>
          <w:rFonts w:hint="eastAsia" w:ascii="宋体" w:hAnsi="宋体" w:cs="宋体"/>
          <w:color w:val="auto"/>
          <w:sz w:val="24"/>
          <w:highlight w:val="none"/>
        </w:rPr>
        <w:t xml:space="preserve"> ；承接企业为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，从业人员人，营业收入为万元，资产总额为万元属于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5E8F3E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（竞争性磋商文件中明确的所属行业） </w:t>
      </w:r>
      <w:r>
        <w:rPr>
          <w:rFonts w:hint="eastAsia" w:ascii="宋体" w:hAnsi="宋体" w:cs="宋体"/>
          <w:color w:val="auto"/>
          <w:sz w:val="24"/>
          <w:highlight w:val="none"/>
        </w:rPr>
        <w:t xml:space="preserve">；承接企业为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，从业人员人，营业收入为万元，资产总额为万元属于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3642CB4B">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50966C6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2D28FE9E">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4FBA1407">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磋商响应供应商名称（电子签名）：</w:t>
      </w:r>
    </w:p>
    <w:p w14:paraId="08020722">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4D964876">
      <w:pPr>
        <w:spacing w:line="360" w:lineRule="auto"/>
        <w:jc w:val="left"/>
        <w:rPr>
          <w:rFonts w:ascii="宋体" w:hAnsi="宋体" w:cs="宋体"/>
          <w:color w:val="auto"/>
          <w:sz w:val="18"/>
          <w:szCs w:val="18"/>
          <w:highlight w:val="none"/>
        </w:rPr>
      </w:pPr>
      <w:r>
        <w:rPr>
          <w:rFonts w:hint="eastAsia" w:ascii="宋体" w:hAnsi="宋体" w:cs="宋体"/>
          <w:color w:val="auto"/>
          <w:sz w:val="18"/>
          <w:szCs w:val="18"/>
          <w:highlight w:val="none"/>
        </w:rPr>
        <w:t>从业人员、营业收入、资产总额填报上一年度数据，无上一年度数据的新成立企业可不填报。</w:t>
      </w:r>
    </w:p>
    <w:p w14:paraId="6CC595B9">
      <w:pPr>
        <w:shd w:val="clea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注：</w:t>
      </w:r>
    </w:p>
    <w:p w14:paraId="4259ABD5">
      <w:pPr>
        <w:shd w:val="clear"/>
        <w:spacing w:line="360" w:lineRule="auto"/>
        <w:ind w:right="420" w:firstLine="480" w:firstLineChars="200"/>
        <w:rPr>
          <w:rFonts w:hint="eastAsia" w:ascii="宋体" w:hAnsi="宋体" w:cs="宋体"/>
          <w:b/>
          <w:bCs/>
          <w:color w:val="auto"/>
          <w:sz w:val="24"/>
          <w:highlight w:val="none"/>
          <w:lang w:eastAsia="zh-CN"/>
        </w:rPr>
      </w:pPr>
      <w:r>
        <w:rPr>
          <w:rFonts w:hint="eastAsia" w:ascii="宋体" w:hAnsi="宋体" w:cs="宋体"/>
          <w:color w:val="auto"/>
          <w:sz w:val="24"/>
          <w:highlight w:val="none"/>
        </w:rPr>
        <w:t>1、填写要求：①“标的名称”、“采购文件中明确的所属行业”依据招标文件第二部分</w:t>
      </w:r>
      <w:r>
        <w:rPr>
          <w:rFonts w:hint="eastAsia" w:ascii="宋体" w:hAnsi="宋体" w:cs="宋体"/>
          <w:color w:val="auto"/>
          <w:sz w:val="24"/>
          <w:highlight w:val="none"/>
          <w:lang w:eastAsia="zh-CN"/>
        </w:rPr>
        <w:t>磋商响应供应商</w:t>
      </w:r>
      <w:r>
        <w:rPr>
          <w:rFonts w:hint="eastAsia" w:ascii="宋体" w:hAnsi="宋体" w:cs="宋体"/>
          <w:color w:val="auto"/>
          <w:sz w:val="24"/>
          <w:highlight w:val="none"/>
        </w:rPr>
        <w:t>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w:t>
      </w:r>
      <w:r>
        <w:rPr>
          <w:rFonts w:hint="eastAsia" w:ascii="宋体" w:hAnsi="宋体" w:cs="宋体"/>
          <w:b/>
          <w:bCs/>
          <w:color w:val="auto"/>
          <w:sz w:val="24"/>
          <w:highlight w:val="none"/>
        </w:rPr>
        <w:t>④</w:t>
      </w:r>
      <w:r>
        <w:rPr>
          <w:rFonts w:hint="eastAsia" w:ascii="宋体" w:hAnsi="宋体" w:cs="宋体"/>
          <w:b/>
          <w:bCs/>
          <w:color w:val="auto"/>
          <w:sz w:val="24"/>
          <w:highlight w:val="none"/>
          <w:lang w:eastAsia="zh-CN"/>
        </w:rPr>
        <w:t>磋商响应供应商</w:t>
      </w:r>
      <w:r>
        <w:rPr>
          <w:rFonts w:hint="eastAsia" w:ascii="宋体" w:hAnsi="宋体" w:cs="宋体"/>
          <w:b/>
          <w:bCs/>
          <w:color w:val="auto"/>
          <w:sz w:val="24"/>
          <w:highlight w:val="none"/>
        </w:rPr>
        <w:t>提供的《中小企业声明函》</w:t>
      </w:r>
      <w:r>
        <w:rPr>
          <w:rFonts w:hint="eastAsia" w:ascii="宋体" w:hAnsi="宋体" w:cs="宋体"/>
          <w:b/>
          <w:bCs/>
          <w:color w:val="auto"/>
          <w:sz w:val="24"/>
          <w:highlight w:val="none"/>
          <w:lang w:val="en-US" w:eastAsia="zh-CN"/>
        </w:rPr>
        <w:t>中企业类型错误的</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《中小企业声明函》</w:t>
      </w:r>
      <w:r>
        <w:rPr>
          <w:rFonts w:hint="eastAsia" w:ascii="宋体" w:hAnsi="宋体" w:cs="宋体"/>
          <w:b/>
          <w:bCs/>
          <w:color w:val="auto"/>
          <w:sz w:val="24"/>
          <w:highlight w:val="none"/>
        </w:rPr>
        <w:t>无效，不享受中小企业扶持政策。</w:t>
      </w:r>
    </w:p>
    <w:p w14:paraId="26A4BA48">
      <w:pPr>
        <w:shd w:val="clea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w:t>
      </w:r>
      <w:r>
        <w:rPr>
          <w:rFonts w:hint="eastAsia" w:ascii="宋体" w:hAnsi="宋体" w:cs="宋体"/>
          <w:color w:val="auto"/>
          <w:sz w:val="24"/>
          <w:highlight w:val="none"/>
          <w:lang w:eastAsia="zh-CN"/>
        </w:rPr>
        <w:t>磋商响应供应商</w:t>
      </w:r>
      <w:r>
        <w:rPr>
          <w:rFonts w:hint="eastAsia" w:ascii="宋体" w:hAnsi="宋体" w:cs="宋体"/>
          <w:color w:val="auto"/>
          <w:sz w:val="24"/>
          <w:highlight w:val="none"/>
        </w:rPr>
        <w:t>提供由省级以上监狱管理局、戒毒管理局（含新疆生产建设兵团）出具的属于监狱企业证明文件的，视同为小型和微型企业。</w:t>
      </w:r>
    </w:p>
    <w:p w14:paraId="337D1802">
      <w:pPr>
        <w:shd w:val="clear"/>
        <w:spacing w:line="360" w:lineRule="auto"/>
        <w:ind w:right="420" w:firstLine="482" w:firstLineChars="200"/>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3、供应商填写的《中小企业声明函》中如存在数据错误，但企业类型正确的，其《中小企业声明函》有效。如存在疑义可由供应商澄清说明，供应商对填报的数据来源作出合理解释。</w:t>
      </w:r>
    </w:p>
    <w:p w14:paraId="72C5C76D">
      <w:pPr>
        <w:shd w:val="clear"/>
        <w:spacing w:line="360" w:lineRule="auto"/>
        <w:ind w:right="420" w:firstLine="482" w:firstLineChars="200"/>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4、《中小企业声明函》中填写行业错误或者未填写行业的，《中小企业声明函》无效。但错填为“采购文件中明确的所属行业”等类似瑕疵的，《中小企业声明函》有效。</w:t>
      </w:r>
    </w:p>
    <w:p w14:paraId="33E6F10A">
      <w:pPr>
        <w:spacing w:line="360" w:lineRule="auto"/>
        <w:ind w:right="420" w:firstLine="482" w:firstLineChars="200"/>
        <w:rPr>
          <w:rFonts w:ascii="宋体" w:hAnsi="宋体" w:cs="宋体"/>
          <w:color w:val="auto"/>
          <w:sz w:val="24"/>
          <w:highlight w:val="none"/>
        </w:rPr>
      </w:pPr>
      <w:r>
        <w:rPr>
          <w:rFonts w:hint="eastAsia" w:ascii="宋体" w:hAnsi="宋体" w:cs="宋体"/>
          <w:b/>
          <w:bCs/>
          <w:color w:val="auto"/>
          <w:sz w:val="24"/>
          <w:highlight w:val="none"/>
          <w:lang w:val="en-US" w:eastAsia="zh-CN"/>
        </w:rPr>
        <w:t>5、</w:t>
      </w:r>
      <w:r>
        <w:rPr>
          <w:rFonts w:hint="eastAsia" w:ascii="宋体" w:hAnsi="宋体" w:cs="宋体"/>
          <w:b/>
          <w:bCs/>
          <w:color w:val="auto"/>
          <w:sz w:val="24"/>
          <w:highlight w:val="none"/>
        </w:rPr>
        <w:t>如果供应商声明的类型获得了本不应获得的利益（价格扣除或者资格审查通过），则属于虚假材料；反之，没有获得非法利益，则不属于虚假材料。</w:t>
      </w:r>
    </w:p>
    <w:p w14:paraId="7950DF72">
      <w:pPr>
        <w:spacing w:line="360" w:lineRule="auto"/>
        <w:jc w:val="center"/>
        <w:rPr>
          <w:rFonts w:ascii="宋体" w:hAnsi="宋体" w:cs="宋体"/>
          <w:b/>
          <w:color w:val="auto"/>
          <w:sz w:val="32"/>
          <w:szCs w:val="32"/>
          <w:highlight w:val="none"/>
        </w:rPr>
      </w:pPr>
    </w:p>
    <w:p w14:paraId="46D37714">
      <w:pPr>
        <w:spacing w:line="360" w:lineRule="auto"/>
        <w:rPr>
          <w:rFonts w:ascii="宋体" w:hAnsi="宋体" w:cs="宋体"/>
          <w:bCs/>
          <w:color w:val="auto"/>
          <w:sz w:val="24"/>
          <w:highlight w:val="none"/>
        </w:rPr>
        <w:sectPr>
          <w:pgSz w:w="11906" w:h="16838"/>
          <w:pgMar w:top="1440" w:right="1080" w:bottom="1440" w:left="1080" w:header="851" w:footer="992" w:gutter="0"/>
          <w:cols w:space="720" w:num="1"/>
          <w:titlePg/>
          <w:docGrid w:linePitch="312" w:charSpace="0"/>
        </w:sectPr>
      </w:pPr>
    </w:p>
    <w:p w14:paraId="750D71D1">
      <w:pPr>
        <w:snapToGrid w:val="0"/>
        <w:spacing w:line="440" w:lineRule="exact"/>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各行业划型标准</w:t>
      </w:r>
    </w:p>
    <w:p w14:paraId="6401128F">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（一）农、林、牧、渔业。营业收入20000万元以下的为中小微型企业。其中，营业收入500万元及以上的为中型企业，营业收入50万元及以上的为小型企业，营业收入50万元以下的为微型企业。</w:t>
      </w:r>
    </w:p>
    <w:p w14:paraId="78D60289">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BCC2C5A">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F9EBFF5">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9A928BC">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7CBA5F6">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59D01782">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BFEB052">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EFFF4F7">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D230FA6">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BD778C4">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F20B2A5">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FD40841">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A0B6B7C">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7C85190">
      <w:pPr>
        <w:snapToGrid w:val="0"/>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BA4442E">
      <w:pPr>
        <w:snapToGrid w:val="0"/>
        <w:spacing w:line="430" w:lineRule="exact"/>
        <w:ind w:firstLine="480" w:firstLineChars="200"/>
        <w:rPr>
          <w:rFonts w:ascii="宋体" w:hAnsi="宋体" w:cs="宋体"/>
          <w:color w:val="auto"/>
          <w:highlight w:val="none"/>
        </w:rPr>
      </w:pPr>
      <w:r>
        <w:rPr>
          <w:rFonts w:hint="eastAsia" w:ascii="宋体" w:hAnsi="宋体" w:cs="宋体"/>
          <w:color w:val="auto"/>
          <w:sz w:val="24"/>
          <w:highlight w:val="none"/>
        </w:rPr>
        <w:t>（十六）其他未列明行业。从业人员300人以下的为中小微型企业。其中，从业人员100人及以上的为中型企业；从业人员10人及以上的为小型企业；从业人员10人以下的为微型企业。</w:t>
      </w:r>
    </w:p>
    <w:sectPr>
      <w:headerReference r:id="rId21" w:type="first"/>
      <w:footerReference r:id="rId24" w:type="first"/>
      <w:headerReference r:id="rId20" w:type="default"/>
      <w:footerReference r:id="rId22" w:type="default"/>
      <w:footerReference r:id="rId23" w:type="even"/>
      <w:pgSz w:w="11906" w:h="16838"/>
      <w:pgMar w:top="1440" w:right="1080" w:bottom="1440" w:left="1080"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00000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88519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4B0446">
    <w:pPr>
      <w:pStyle w:val="39"/>
      <w:framePr w:wrap="around" w:vAnchor="text" w:hAnchor="margin" w:xAlign="right" w:y="1"/>
      <w:rPr>
        <w:rStyle w:val="72"/>
      </w:rPr>
    </w:pPr>
    <w:r>
      <w:fldChar w:fldCharType="begin"/>
    </w:r>
    <w:r>
      <w:rPr>
        <w:rStyle w:val="72"/>
      </w:rPr>
      <w:instrText xml:space="preserve">PAGE  </w:instrText>
    </w:r>
    <w:r>
      <w:fldChar w:fldCharType="end"/>
    </w:r>
  </w:p>
  <w:p w14:paraId="68D2F02C">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956F8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AC4C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p w14:paraId="169488DC">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5275D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p w14:paraId="66187E88">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0E252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w:t>
    </w:r>
  </w:p>
  <w:p w14:paraId="6BBA972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87446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p w14:paraId="09ED657F">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BFA04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p w14:paraId="04E82365">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158AE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p w14:paraId="78F8C0BB">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4BA5E">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F2875E">
    <w:pPr>
      <w:pStyle w:val="39"/>
      <w:framePr w:wrap="around" w:vAnchor="text" w:hAnchor="margin" w:xAlign="right" w:y="1"/>
      <w:rPr>
        <w:rStyle w:val="72"/>
      </w:rPr>
    </w:pPr>
    <w:r>
      <w:fldChar w:fldCharType="begin"/>
    </w:r>
    <w:r>
      <w:rPr>
        <w:rStyle w:val="72"/>
      </w:rPr>
      <w:instrText xml:space="preserve">PAGE  </w:instrText>
    </w:r>
    <w:r>
      <w:fldChar w:fldCharType="end"/>
    </w:r>
  </w:p>
  <w:p w14:paraId="352F2391">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43C357">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bookmarkStart w:id="450" w:name="_Toc164085800"/>
    <w:bookmarkStart w:id="451" w:name="_Toc36110187"/>
    <w:bookmarkStart w:id="452" w:name="_Toc131845147"/>
    <w:bookmarkStart w:id="453" w:name="_Toc91899912"/>
    <w:r>
      <w:rPr>
        <w:rFonts w:hint="eastAsia" w:ascii="仿宋_GB2312" w:eastAsia="仿宋_GB2312"/>
        <w:kern w:val="0"/>
        <w:szCs w:val="21"/>
      </w:rPr>
      <w:t xml:space="preserve"> 页</w:t>
    </w:r>
    <w:bookmarkEnd w:id="450"/>
    <w:bookmarkEnd w:id="451"/>
    <w:bookmarkEnd w:id="452"/>
    <w:bookmarkEnd w:id="453"/>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93D330">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27C53F">
    <w:pPr>
      <w:pStyle w:val="39"/>
      <w:framePr w:wrap="around" w:vAnchor="text" w:hAnchor="margin" w:xAlign="right" w:y="1"/>
      <w:rPr>
        <w:rStyle w:val="72"/>
      </w:rPr>
    </w:pPr>
    <w:r>
      <w:fldChar w:fldCharType="begin"/>
    </w:r>
    <w:r>
      <w:rPr>
        <w:rStyle w:val="72"/>
      </w:rPr>
      <w:instrText xml:space="preserve">PAGE  </w:instrText>
    </w:r>
    <w:r>
      <w:fldChar w:fldCharType="end"/>
    </w:r>
  </w:p>
  <w:p w14:paraId="2EF0CBB4">
    <w:pPr>
      <w:pStyle w:val="39"/>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F6FFC5">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A3D512">
    <w:pPr>
      <w:pStyle w:val="40"/>
      <w:pBdr>
        <w:bottom w:val="single" w:color="auto" w:sz="6" w:space="0"/>
      </w:pBdr>
      <w:jc w:val="right"/>
      <w:rPr>
        <w:rFonts w:ascii="仿宋_GB2312" w:eastAsia="仿宋_GB2312"/>
        <w:i/>
        <w:u w:val="single"/>
      </w:rPr>
    </w:pPr>
    <w:r>
      <w:rPr>
        <w:rFonts w:hint="eastAsia"/>
        <w:lang w:val="zh-CN"/>
      </w:rPr>
      <w:t>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410FD3">
    <w:pPr>
      <w:pStyle w:val="40"/>
      <w:pBdr>
        <w:bottom w:val="single" w:color="auto" w:sz="6" w:space="0"/>
      </w:pBdr>
      <w:tabs>
        <w:tab w:val="center" w:pos="4535"/>
        <w:tab w:val="right" w:pos="9070"/>
        <w:tab w:val="clear" w:pos="4153"/>
        <w:tab w:val="clear" w:pos="8306"/>
      </w:tabs>
      <w:jc w:val="right"/>
    </w:pPr>
    <w:r>
      <w:rPr>
        <w:rFonts w:hint="eastAsia"/>
        <w:lang w:val="zh-CN"/>
      </w:rPr>
      <w:t>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07E65">
    <w:pPr>
      <w:pStyle w:val="40"/>
      <w:pBdr>
        <w:bottom w:val="single" w:color="auto" w:sz="6" w:space="0"/>
      </w:pBdr>
      <w:tabs>
        <w:tab w:val="center" w:pos="4535"/>
        <w:tab w:val="right" w:pos="9070"/>
        <w:tab w:val="clear" w:pos="4153"/>
        <w:tab w:val="clear" w:pos="8306"/>
      </w:tabs>
      <w:jc w:val="right"/>
    </w:pPr>
    <w:r>
      <w:rPr>
        <w:rFonts w:hint="eastAsia"/>
        <w:lang w:val="zh-CN"/>
      </w:rPr>
      <w:t>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90423">
    <w:pPr>
      <w:pStyle w:val="40"/>
      <w:pBdr>
        <w:bottom w:val="single" w:color="auto" w:sz="6" w:space="0"/>
      </w:pBdr>
      <w:tabs>
        <w:tab w:val="center" w:pos="4535"/>
        <w:tab w:val="right" w:pos="9070"/>
        <w:tab w:val="clear" w:pos="4153"/>
        <w:tab w:val="clear" w:pos="8306"/>
      </w:tabs>
      <w:jc w:val="right"/>
      <w:rPr>
        <w:rFonts w:ascii="仿宋_GB2312" w:eastAsia="仿宋_GB2312"/>
        <w:b/>
        <w:i/>
        <w:u w:val="single"/>
      </w:rPr>
    </w:pPr>
    <w:r>
      <w:rPr>
        <w:rFonts w:hint="eastAsia"/>
        <w:lang w:val="zh-CN"/>
      </w:rPr>
      <w:t>政府采购竞争性磋商文件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E6D4B">
    <w:pPr>
      <w:pStyle w:val="40"/>
      <w:pBdr>
        <w:bottom w:val="single" w:color="auto" w:sz="6" w:space="0"/>
      </w:pBdr>
      <w:tabs>
        <w:tab w:val="center" w:pos="4535"/>
        <w:tab w:val="right" w:pos="9070"/>
        <w:tab w:val="clear" w:pos="4153"/>
        <w:tab w:val="clear" w:pos="8306"/>
      </w:tabs>
      <w:jc w:val="right"/>
      <w:rPr>
        <w:rFonts w:ascii="仿宋_GB2312"/>
        <w:b/>
        <w:i/>
        <w:iCs/>
        <w:u w:val="single"/>
      </w:rPr>
    </w:pPr>
    <w:r>
      <w:rPr>
        <w:rFonts w:hint="eastAsia"/>
        <w:lang w:val="zh-CN"/>
      </w:rPr>
      <w:t>政府采购竞争性磋商文件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81D94">
    <w:pPr>
      <w:pStyle w:val="40"/>
      <w:jc w:val="right"/>
      <w:rPr>
        <w:rFonts w:ascii="仿宋_GB2312"/>
        <w:b/>
        <w:i/>
        <w:iCs/>
        <w:u w:val="single"/>
      </w:rPr>
    </w:pPr>
    <w:r>
      <w:t>杭州市政府采购公开</w:t>
    </w:r>
    <w:r>
      <w:rPr>
        <w:rFonts w:hint="eastAsia"/>
      </w:rPr>
      <w:t>竞争性磋商文件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915AA">
    <w:pPr>
      <w:pStyle w:val="40"/>
    </w:pPr>
    <w:r>
      <w:t>杭州市政府采购公开</w:t>
    </w:r>
    <w:r>
      <w:rPr>
        <w:rFonts w:hint="eastAsia"/>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965EAA6"/>
    <w:multiLevelType w:val="singleLevel"/>
    <w:tmpl w:val="F965EAA6"/>
    <w:lvl w:ilvl="0" w:tentative="0">
      <w:start w:val="2"/>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19"/>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MxYTdkZDk0NTY3YjRjZTUwY2Q1YTAxODM5MTczZWI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471"/>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43"/>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689A"/>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0CFA"/>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59D"/>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52C"/>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A25"/>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8DC"/>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32B"/>
    <w:rsid w:val="003025FE"/>
    <w:rsid w:val="00302A27"/>
    <w:rsid w:val="00303AB6"/>
    <w:rsid w:val="00304640"/>
    <w:rsid w:val="00304AC1"/>
    <w:rsid w:val="00305090"/>
    <w:rsid w:val="00305454"/>
    <w:rsid w:val="00305B9F"/>
    <w:rsid w:val="00305E21"/>
    <w:rsid w:val="003066C6"/>
    <w:rsid w:val="003066FA"/>
    <w:rsid w:val="00306AD6"/>
    <w:rsid w:val="003077F4"/>
    <w:rsid w:val="00307ABB"/>
    <w:rsid w:val="00307DC7"/>
    <w:rsid w:val="00307FF2"/>
    <w:rsid w:val="00310EDB"/>
    <w:rsid w:val="00311C51"/>
    <w:rsid w:val="00311D56"/>
    <w:rsid w:val="00312016"/>
    <w:rsid w:val="00312340"/>
    <w:rsid w:val="00312C23"/>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988"/>
    <w:rsid w:val="00332D52"/>
    <w:rsid w:val="00333337"/>
    <w:rsid w:val="00333A28"/>
    <w:rsid w:val="00333B6C"/>
    <w:rsid w:val="00334927"/>
    <w:rsid w:val="003360AD"/>
    <w:rsid w:val="003361F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088"/>
    <w:rsid w:val="003C011C"/>
    <w:rsid w:val="003C0E32"/>
    <w:rsid w:val="003C11D7"/>
    <w:rsid w:val="003C16CB"/>
    <w:rsid w:val="003C1B97"/>
    <w:rsid w:val="003C247B"/>
    <w:rsid w:val="003C308C"/>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CEE"/>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AA4"/>
    <w:rsid w:val="00483BC7"/>
    <w:rsid w:val="00483CF0"/>
    <w:rsid w:val="00484D4D"/>
    <w:rsid w:val="00486516"/>
    <w:rsid w:val="0048664F"/>
    <w:rsid w:val="004868AD"/>
    <w:rsid w:val="00486D00"/>
    <w:rsid w:val="00487FE1"/>
    <w:rsid w:val="00490707"/>
    <w:rsid w:val="00490815"/>
    <w:rsid w:val="0049117E"/>
    <w:rsid w:val="0049217D"/>
    <w:rsid w:val="00492503"/>
    <w:rsid w:val="004925C8"/>
    <w:rsid w:val="00492AF9"/>
    <w:rsid w:val="00492B76"/>
    <w:rsid w:val="0049333E"/>
    <w:rsid w:val="0049418F"/>
    <w:rsid w:val="00494BA2"/>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45F"/>
    <w:rsid w:val="004B6E50"/>
    <w:rsid w:val="004B728F"/>
    <w:rsid w:val="004B7317"/>
    <w:rsid w:val="004B75B2"/>
    <w:rsid w:val="004B75C6"/>
    <w:rsid w:val="004B7A1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5EF"/>
    <w:rsid w:val="004E1D6F"/>
    <w:rsid w:val="004E1DF3"/>
    <w:rsid w:val="004E2393"/>
    <w:rsid w:val="004E289D"/>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17FE0"/>
    <w:rsid w:val="005207D8"/>
    <w:rsid w:val="0052091D"/>
    <w:rsid w:val="005212F4"/>
    <w:rsid w:val="00521908"/>
    <w:rsid w:val="005224BC"/>
    <w:rsid w:val="00522928"/>
    <w:rsid w:val="00522FF1"/>
    <w:rsid w:val="00523946"/>
    <w:rsid w:val="0052397A"/>
    <w:rsid w:val="005256D6"/>
    <w:rsid w:val="00525AD8"/>
    <w:rsid w:val="00525D6B"/>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250"/>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C07"/>
    <w:rsid w:val="006212D3"/>
    <w:rsid w:val="00621639"/>
    <w:rsid w:val="00622B22"/>
    <w:rsid w:val="00622F67"/>
    <w:rsid w:val="00623571"/>
    <w:rsid w:val="00623A5E"/>
    <w:rsid w:val="00625008"/>
    <w:rsid w:val="0062548B"/>
    <w:rsid w:val="006261E6"/>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3BA"/>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8BB"/>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1E4"/>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9A3"/>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761"/>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67CD0"/>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982"/>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317"/>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503"/>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0800"/>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4D71"/>
    <w:rsid w:val="008052CE"/>
    <w:rsid w:val="0080548A"/>
    <w:rsid w:val="008058D0"/>
    <w:rsid w:val="00806A4C"/>
    <w:rsid w:val="0080705B"/>
    <w:rsid w:val="0080723C"/>
    <w:rsid w:val="00807F71"/>
    <w:rsid w:val="0081000F"/>
    <w:rsid w:val="0081137A"/>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C35"/>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4FA"/>
    <w:rsid w:val="009245CC"/>
    <w:rsid w:val="0092490A"/>
    <w:rsid w:val="00925A3E"/>
    <w:rsid w:val="009261DB"/>
    <w:rsid w:val="009267C2"/>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357"/>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8B8"/>
    <w:rsid w:val="009C19FC"/>
    <w:rsid w:val="009C1DDB"/>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4DD"/>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2EB9"/>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0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0E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311"/>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4EE"/>
    <w:rsid w:val="00B04678"/>
    <w:rsid w:val="00B047C9"/>
    <w:rsid w:val="00B049D0"/>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B83"/>
    <w:rsid w:val="00BC2DBD"/>
    <w:rsid w:val="00BC3BCB"/>
    <w:rsid w:val="00BC3CF1"/>
    <w:rsid w:val="00BC428A"/>
    <w:rsid w:val="00BC45D9"/>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3919"/>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595"/>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448"/>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239"/>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8E"/>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ABD"/>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34B"/>
    <w:rsid w:val="00CB0662"/>
    <w:rsid w:val="00CB0A82"/>
    <w:rsid w:val="00CB0F2F"/>
    <w:rsid w:val="00CB0F76"/>
    <w:rsid w:val="00CB1556"/>
    <w:rsid w:val="00CB28A4"/>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0EFD"/>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38E"/>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3C99"/>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931"/>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C31"/>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4FC"/>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3E71"/>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6EC6"/>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1EE"/>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3E4"/>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2E67"/>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230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C65DA5"/>
    <w:rsid w:val="01D066D5"/>
    <w:rsid w:val="01D55165"/>
    <w:rsid w:val="01DF6BF8"/>
    <w:rsid w:val="01EC2C57"/>
    <w:rsid w:val="025F0711"/>
    <w:rsid w:val="026B2E25"/>
    <w:rsid w:val="02824D4D"/>
    <w:rsid w:val="02DC4B10"/>
    <w:rsid w:val="02DD76CE"/>
    <w:rsid w:val="02F36323"/>
    <w:rsid w:val="02F5619C"/>
    <w:rsid w:val="031F5047"/>
    <w:rsid w:val="0326446A"/>
    <w:rsid w:val="032D5555"/>
    <w:rsid w:val="036634D2"/>
    <w:rsid w:val="03DD35E4"/>
    <w:rsid w:val="03F040A4"/>
    <w:rsid w:val="04076900"/>
    <w:rsid w:val="041A5A3B"/>
    <w:rsid w:val="042311BA"/>
    <w:rsid w:val="042B157A"/>
    <w:rsid w:val="048F763B"/>
    <w:rsid w:val="049F330E"/>
    <w:rsid w:val="04AA775C"/>
    <w:rsid w:val="04AF1889"/>
    <w:rsid w:val="04C64E6C"/>
    <w:rsid w:val="04F66F48"/>
    <w:rsid w:val="05251E14"/>
    <w:rsid w:val="05A16594"/>
    <w:rsid w:val="05A7762D"/>
    <w:rsid w:val="060E5941"/>
    <w:rsid w:val="06110FAF"/>
    <w:rsid w:val="061E21DC"/>
    <w:rsid w:val="06493CA7"/>
    <w:rsid w:val="065A6178"/>
    <w:rsid w:val="066F1CF3"/>
    <w:rsid w:val="06930BB8"/>
    <w:rsid w:val="07245D42"/>
    <w:rsid w:val="07264C62"/>
    <w:rsid w:val="0779354C"/>
    <w:rsid w:val="077F5547"/>
    <w:rsid w:val="07A46B95"/>
    <w:rsid w:val="08061376"/>
    <w:rsid w:val="08452D77"/>
    <w:rsid w:val="086401F8"/>
    <w:rsid w:val="08661343"/>
    <w:rsid w:val="08751CAA"/>
    <w:rsid w:val="087E4C40"/>
    <w:rsid w:val="08923AEE"/>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703465"/>
    <w:rsid w:val="0AA374A5"/>
    <w:rsid w:val="0AAB7649"/>
    <w:rsid w:val="0AB738E4"/>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3323DB"/>
    <w:rsid w:val="0D4A7419"/>
    <w:rsid w:val="0D827401"/>
    <w:rsid w:val="0D84094E"/>
    <w:rsid w:val="0D8A00E9"/>
    <w:rsid w:val="0D8D589E"/>
    <w:rsid w:val="0DA01C73"/>
    <w:rsid w:val="0DB717F6"/>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333D3"/>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2B4878"/>
    <w:rsid w:val="154A6454"/>
    <w:rsid w:val="15762120"/>
    <w:rsid w:val="16A8729C"/>
    <w:rsid w:val="16B33777"/>
    <w:rsid w:val="16BC70A7"/>
    <w:rsid w:val="16C6339E"/>
    <w:rsid w:val="172F2D79"/>
    <w:rsid w:val="17557BEF"/>
    <w:rsid w:val="17D349C1"/>
    <w:rsid w:val="18015DF3"/>
    <w:rsid w:val="1830729E"/>
    <w:rsid w:val="1870062C"/>
    <w:rsid w:val="18817102"/>
    <w:rsid w:val="18830A15"/>
    <w:rsid w:val="18852B28"/>
    <w:rsid w:val="188B5321"/>
    <w:rsid w:val="190653E0"/>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7725CD"/>
    <w:rsid w:val="1C88086E"/>
    <w:rsid w:val="1D266CE1"/>
    <w:rsid w:val="1D3963AF"/>
    <w:rsid w:val="1D3D0FE5"/>
    <w:rsid w:val="1D6A673C"/>
    <w:rsid w:val="1D9247AE"/>
    <w:rsid w:val="1DB567EC"/>
    <w:rsid w:val="1DDF4451"/>
    <w:rsid w:val="1DF51A98"/>
    <w:rsid w:val="1E3D060F"/>
    <w:rsid w:val="1E3F7D2E"/>
    <w:rsid w:val="1E4134E4"/>
    <w:rsid w:val="1E5062B3"/>
    <w:rsid w:val="1E523514"/>
    <w:rsid w:val="1E714A66"/>
    <w:rsid w:val="1E802593"/>
    <w:rsid w:val="1E8B6156"/>
    <w:rsid w:val="1EA703CC"/>
    <w:rsid w:val="1EB7330C"/>
    <w:rsid w:val="1F0A0FF3"/>
    <w:rsid w:val="1F5771FF"/>
    <w:rsid w:val="1F904124"/>
    <w:rsid w:val="1FCD4EA9"/>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0F17A9"/>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EB6089"/>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873341"/>
    <w:rsid w:val="2BA50BF7"/>
    <w:rsid w:val="2BBF00EC"/>
    <w:rsid w:val="2BC37CFD"/>
    <w:rsid w:val="2BD5237F"/>
    <w:rsid w:val="2BE536CE"/>
    <w:rsid w:val="2BE758D9"/>
    <w:rsid w:val="2C09049E"/>
    <w:rsid w:val="2C091017"/>
    <w:rsid w:val="2C0A653C"/>
    <w:rsid w:val="2C191F85"/>
    <w:rsid w:val="2C41044A"/>
    <w:rsid w:val="2C5956EF"/>
    <w:rsid w:val="2CE82D6F"/>
    <w:rsid w:val="2D343236"/>
    <w:rsid w:val="2DD15014"/>
    <w:rsid w:val="2DF61A6F"/>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2F2B4F"/>
    <w:rsid w:val="319C6071"/>
    <w:rsid w:val="31A11ECE"/>
    <w:rsid w:val="31AC537E"/>
    <w:rsid w:val="31E3679B"/>
    <w:rsid w:val="31E732FD"/>
    <w:rsid w:val="32517576"/>
    <w:rsid w:val="32BE5C2C"/>
    <w:rsid w:val="32D63C1D"/>
    <w:rsid w:val="32FB6478"/>
    <w:rsid w:val="332410BB"/>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7F92887"/>
    <w:rsid w:val="38296C89"/>
    <w:rsid w:val="383002EB"/>
    <w:rsid w:val="38586797"/>
    <w:rsid w:val="38BC0149"/>
    <w:rsid w:val="38D87D1C"/>
    <w:rsid w:val="390F6E42"/>
    <w:rsid w:val="39636459"/>
    <w:rsid w:val="396B7F6C"/>
    <w:rsid w:val="39B417A9"/>
    <w:rsid w:val="39FC5695"/>
    <w:rsid w:val="3A006D8E"/>
    <w:rsid w:val="3A204F94"/>
    <w:rsid w:val="3A3651E5"/>
    <w:rsid w:val="3A4F49E1"/>
    <w:rsid w:val="3A744481"/>
    <w:rsid w:val="3A8C7328"/>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602C0F"/>
    <w:rsid w:val="3D8734BB"/>
    <w:rsid w:val="3D9A11D4"/>
    <w:rsid w:val="3DA16D89"/>
    <w:rsid w:val="3DA364BE"/>
    <w:rsid w:val="3DE041CB"/>
    <w:rsid w:val="3E0D48F6"/>
    <w:rsid w:val="3E1868B4"/>
    <w:rsid w:val="3E377251"/>
    <w:rsid w:val="3E42664B"/>
    <w:rsid w:val="3E491747"/>
    <w:rsid w:val="3E5A7334"/>
    <w:rsid w:val="3E7B5D6B"/>
    <w:rsid w:val="3E843E66"/>
    <w:rsid w:val="3E8F51FE"/>
    <w:rsid w:val="3E926F87"/>
    <w:rsid w:val="3E9A59DE"/>
    <w:rsid w:val="3EAF4836"/>
    <w:rsid w:val="3EC33DFA"/>
    <w:rsid w:val="3F060E16"/>
    <w:rsid w:val="3F1D1096"/>
    <w:rsid w:val="3F2F0234"/>
    <w:rsid w:val="3F6363FE"/>
    <w:rsid w:val="3F756B8F"/>
    <w:rsid w:val="3F95482B"/>
    <w:rsid w:val="400342D4"/>
    <w:rsid w:val="4019356B"/>
    <w:rsid w:val="40592157"/>
    <w:rsid w:val="406E1CAE"/>
    <w:rsid w:val="40A0133A"/>
    <w:rsid w:val="40C31A53"/>
    <w:rsid w:val="40FF545D"/>
    <w:rsid w:val="410067C8"/>
    <w:rsid w:val="415C3964"/>
    <w:rsid w:val="416176D3"/>
    <w:rsid w:val="416B704F"/>
    <w:rsid w:val="418F0D2A"/>
    <w:rsid w:val="41D01505"/>
    <w:rsid w:val="42474939"/>
    <w:rsid w:val="424C3C57"/>
    <w:rsid w:val="42613FF3"/>
    <w:rsid w:val="42660D96"/>
    <w:rsid w:val="428667D2"/>
    <w:rsid w:val="429A6DBA"/>
    <w:rsid w:val="42CD1CE0"/>
    <w:rsid w:val="42E1381E"/>
    <w:rsid w:val="42ED6459"/>
    <w:rsid w:val="42FE58DD"/>
    <w:rsid w:val="43174B3D"/>
    <w:rsid w:val="434B790E"/>
    <w:rsid w:val="4360274F"/>
    <w:rsid w:val="43977AB6"/>
    <w:rsid w:val="43A3342B"/>
    <w:rsid w:val="43C77C27"/>
    <w:rsid w:val="43DE09EE"/>
    <w:rsid w:val="44002FAD"/>
    <w:rsid w:val="441C37AA"/>
    <w:rsid w:val="449101DD"/>
    <w:rsid w:val="44DE1391"/>
    <w:rsid w:val="451B225C"/>
    <w:rsid w:val="45214BB6"/>
    <w:rsid w:val="452410C9"/>
    <w:rsid w:val="45317DFB"/>
    <w:rsid w:val="456D3CE4"/>
    <w:rsid w:val="4579042C"/>
    <w:rsid w:val="457F0571"/>
    <w:rsid w:val="45851176"/>
    <w:rsid w:val="45C55BC2"/>
    <w:rsid w:val="45C63B94"/>
    <w:rsid w:val="460E7DA5"/>
    <w:rsid w:val="46422483"/>
    <w:rsid w:val="4659254A"/>
    <w:rsid w:val="465B0637"/>
    <w:rsid w:val="465E3F0D"/>
    <w:rsid w:val="466A16E6"/>
    <w:rsid w:val="46893F2B"/>
    <w:rsid w:val="46C444E6"/>
    <w:rsid w:val="46C4686E"/>
    <w:rsid w:val="46CC73B9"/>
    <w:rsid w:val="472B0583"/>
    <w:rsid w:val="477B778F"/>
    <w:rsid w:val="478203EC"/>
    <w:rsid w:val="47B025FA"/>
    <w:rsid w:val="4809698F"/>
    <w:rsid w:val="4811697D"/>
    <w:rsid w:val="487A3E25"/>
    <w:rsid w:val="488B5503"/>
    <w:rsid w:val="48937E21"/>
    <w:rsid w:val="489A0361"/>
    <w:rsid w:val="48A8102D"/>
    <w:rsid w:val="48B94FF3"/>
    <w:rsid w:val="48E37AAB"/>
    <w:rsid w:val="48FD4B4C"/>
    <w:rsid w:val="490A68E0"/>
    <w:rsid w:val="491055FE"/>
    <w:rsid w:val="495F5B3E"/>
    <w:rsid w:val="496F77D7"/>
    <w:rsid w:val="497654FD"/>
    <w:rsid w:val="49B64211"/>
    <w:rsid w:val="49D41AAC"/>
    <w:rsid w:val="49F6167F"/>
    <w:rsid w:val="4A064FA0"/>
    <w:rsid w:val="4A16615C"/>
    <w:rsid w:val="4A4424D7"/>
    <w:rsid w:val="4AB82D0F"/>
    <w:rsid w:val="4AEB7664"/>
    <w:rsid w:val="4AFD7C19"/>
    <w:rsid w:val="4B0567D1"/>
    <w:rsid w:val="4B236AAE"/>
    <w:rsid w:val="4B2F799D"/>
    <w:rsid w:val="4B707271"/>
    <w:rsid w:val="4B9739F7"/>
    <w:rsid w:val="4BBA0128"/>
    <w:rsid w:val="4BC0573E"/>
    <w:rsid w:val="4BEE2503"/>
    <w:rsid w:val="4BF727EA"/>
    <w:rsid w:val="4C245A30"/>
    <w:rsid w:val="4CB6685F"/>
    <w:rsid w:val="4CC367FE"/>
    <w:rsid w:val="4CDD3589"/>
    <w:rsid w:val="4D077F3C"/>
    <w:rsid w:val="4D123355"/>
    <w:rsid w:val="4D2A3B31"/>
    <w:rsid w:val="4D312C52"/>
    <w:rsid w:val="4D905305"/>
    <w:rsid w:val="4D964A72"/>
    <w:rsid w:val="4D9C1254"/>
    <w:rsid w:val="4D9E5B15"/>
    <w:rsid w:val="4E793892"/>
    <w:rsid w:val="4E800872"/>
    <w:rsid w:val="4EC569ED"/>
    <w:rsid w:val="4ED50EA1"/>
    <w:rsid w:val="4EEC050C"/>
    <w:rsid w:val="4F104EC3"/>
    <w:rsid w:val="4F47354A"/>
    <w:rsid w:val="4F911C54"/>
    <w:rsid w:val="4FE625E0"/>
    <w:rsid w:val="5021480F"/>
    <w:rsid w:val="505C301C"/>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1254B"/>
    <w:rsid w:val="51B7396D"/>
    <w:rsid w:val="522E4CC3"/>
    <w:rsid w:val="5244713B"/>
    <w:rsid w:val="52615633"/>
    <w:rsid w:val="526F4DE4"/>
    <w:rsid w:val="52977FD4"/>
    <w:rsid w:val="52A25790"/>
    <w:rsid w:val="52A96B6F"/>
    <w:rsid w:val="52B45975"/>
    <w:rsid w:val="52D94AA4"/>
    <w:rsid w:val="52EA3A62"/>
    <w:rsid w:val="52F50BB8"/>
    <w:rsid w:val="53097272"/>
    <w:rsid w:val="534C1537"/>
    <w:rsid w:val="53544462"/>
    <w:rsid w:val="5397158E"/>
    <w:rsid w:val="53E325D5"/>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8094F"/>
    <w:rsid w:val="558931E1"/>
    <w:rsid w:val="55923347"/>
    <w:rsid w:val="55925180"/>
    <w:rsid w:val="55983B1B"/>
    <w:rsid w:val="55A1785E"/>
    <w:rsid w:val="55A8376B"/>
    <w:rsid w:val="55DC29B6"/>
    <w:rsid w:val="55DD4241"/>
    <w:rsid w:val="566B6D1E"/>
    <w:rsid w:val="57032A2C"/>
    <w:rsid w:val="570F5219"/>
    <w:rsid w:val="572E78E5"/>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1E264C"/>
    <w:rsid w:val="595E1678"/>
    <w:rsid w:val="596D5BD4"/>
    <w:rsid w:val="597E3DD8"/>
    <w:rsid w:val="59F80043"/>
    <w:rsid w:val="5A09252F"/>
    <w:rsid w:val="5A0B2778"/>
    <w:rsid w:val="5A2A7C7B"/>
    <w:rsid w:val="5A3E2560"/>
    <w:rsid w:val="5A5D3B6E"/>
    <w:rsid w:val="5A637A76"/>
    <w:rsid w:val="5A6D33BA"/>
    <w:rsid w:val="5A792B1F"/>
    <w:rsid w:val="5A874767"/>
    <w:rsid w:val="5A8E2EAB"/>
    <w:rsid w:val="5AA85BE2"/>
    <w:rsid w:val="5AAD6F28"/>
    <w:rsid w:val="5ABE2749"/>
    <w:rsid w:val="5AD63A24"/>
    <w:rsid w:val="5AE51A4D"/>
    <w:rsid w:val="5B2E1A1D"/>
    <w:rsid w:val="5B414B86"/>
    <w:rsid w:val="5B55095A"/>
    <w:rsid w:val="5B843A1C"/>
    <w:rsid w:val="5B873E3F"/>
    <w:rsid w:val="5C02690E"/>
    <w:rsid w:val="5C196DA7"/>
    <w:rsid w:val="5C2A048C"/>
    <w:rsid w:val="5C4D2220"/>
    <w:rsid w:val="5C80234E"/>
    <w:rsid w:val="5C8A680C"/>
    <w:rsid w:val="5CBE2338"/>
    <w:rsid w:val="5CD51922"/>
    <w:rsid w:val="5D0C4701"/>
    <w:rsid w:val="5D0F0395"/>
    <w:rsid w:val="5D221076"/>
    <w:rsid w:val="5D397964"/>
    <w:rsid w:val="5D5A391C"/>
    <w:rsid w:val="5D5F10C0"/>
    <w:rsid w:val="5D790E2F"/>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0D059B"/>
    <w:rsid w:val="611D2366"/>
    <w:rsid w:val="61421856"/>
    <w:rsid w:val="615227C4"/>
    <w:rsid w:val="61654E3F"/>
    <w:rsid w:val="6182292A"/>
    <w:rsid w:val="619F7F92"/>
    <w:rsid w:val="61F904AC"/>
    <w:rsid w:val="61F94C26"/>
    <w:rsid w:val="62000E56"/>
    <w:rsid w:val="624F3E49"/>
    <w:rsid w:val="62632286"/>
    <w:rsid w:val="62885958"/>
    <w:rsid w:val="62F40B65"/>
    <w:rsid w:val="62FC2CFE"/>
    <w:rsid w:val="63024505"/>
    <w:rsid w:val="63416D0D"/>
    <w:rsid w:val="635600A5"/>
    <w:rsid w:val="635B1DB5"/>
    <w:rsid w:val="63711FED"/>
    <w:rsid w:val="63880DDC"/>
    <w:rsid w:val="638D750D"/>
    <w:rsid w:val="63AC6CC0"/>
    <w:rsid w:val="63F23480"/>
    <w:rsid w:val="64055776"/>
    <w:rsid w:val="641F5B67"/>
    <w:rsid w:val="64240056"/>
    <w:rsid w:val="643E143A"/>
    <w:rsid w:val="644213CF"/>
    <w:rsid w:val="64491666"/>
    <w:rsid w:val="64854F4C"/>
    <w:rsid w:val="648B6EEF"/>
    <w:rsid w:val="64C158BF"/>
    <w:rsid w:val="64CE2EAA"/>
    <w:rsid w:val="653C3090"/>
    <w:rsid w:val="65854376"/>
    <w:rsid w:val="658767BE"/>
    <w:rsid w:val="65892531"/>
    <w:rsid w:val="659C5EE6"/>
    <w:rsid w:val="66195831"/>
    <w:rsid w:val="662E75B1"/>
    <w:rsid w:val="66342C2E"/>
    <w:rsid w:val="663E784C"/>
    <w:rsid w:val="665335DB"/>
    <w:rsid w:val="668B6A45"/>
    <w:rsid w:val="67112C4A"/>
    <w:rsid w:val="672F3F24"/>
    <w:rsid w:val="673E055F"/>
    <w:rsid w:val="67551CE3"/>
    <w:rsid w:val="67A22552"/>
    <w:rsid w:val="67A5353F"/>
    <w:rsid w:val="67B22DCC"/>
    <w:rsid w:val="67BE71AA"/>
    <w:rsid w:val="67CF7323"/>
    <w:rsid w:val="67D90273"/>
    <w:rsid w:val="67DE5875"/>
    <w:rsid w:val="67E4012B"/>
    <w:rsid w:val="67E55852"/>
    <w:rsid w:val="67EB1AB4"/>
    <w:rsid w:val="67FA1285"/>
    <w:rsid w:val="6832131A"/>
    <w:rsid w:val="68551F4F"/>
    <w:rsid w:val="687C10C9"/>
    <w:rsid w:val="68840C16"/>
    <w:rsid w:val="68876EFB"/>
    <w:rsid w:val="68884654"/>
    <w:rsid w:val="689F444F"/>
    <w:rsid w:val="68B96DBB"/>
    <w:rsid w:val="68CA2805"/>
    <w:rsid w:val="68E5638C"/>
    <w:rsid w:val="68E937A3"/>
    <w:rsid w:val="68FB149A"/>
    <w:rsid w:val="69321A7A"/>
    <w:rsid w:val="693E15D3"/>
    <w:rsid w:val="69627681"/>
    <w:rsid w:val="696604FE"/>
    <w:rsid w:val="6977531D"/>
    <w:rsid w:val="69CC2BFF"/>
    <w:rsid w:val="69FD55B8"/>
    <w:rsid w:val="6A0B1C62"/>
    <w:rsid w:val="6A2406C8"/>
    <w:rsid w:val="6A9A1ADF"/>
    <w:rsid w:val="6ADE0BD1"/>
    <w:rsid w:val="6AE81378"/>
    <w:rsid w:val="6AE96859"/>
    <w:rsid w:val="6B147746"/>
    <w:rsid w:val="6B24787C"/>
    <w:rsid w:val="6B573233"/>
    <w:rsid w:val="6B5B6274"/>
    <w:rsid w:val="6B935D53"/>
    <w:rsid w:val="6C1316F7"/>
    <w:rsid w:val="6C196F71"/>
    <w:rsid w:val="6C226FCB"/>
    <w:rsid w:val="6C31226F"/>
    <w:rsid w:val="6C517EC7"/>
    <w:rsid w:val="6C552F0B"/>
    <w:rsid w:val="6C8C67B7"/>
    <w:rsid w:val="6C9D744C"/>
    <w:rsid w:val="6CFC7FBF"/>
    <w:rsid w:val="6D167928"/>
    <w:rsid w:val="6D26299B"/>
    <w:rsid w:val="6D4772EC"/>
    <w:rsid w:val="6D9078AF"/>
    <w:rsid w:val="6DAA3FEF"/>
    <w:rsid w:val="6DC0172B"/>
    <w:rsid w:val="6DCB690C"/>
    <w:rsid w:val="6DD41A5B"/>
    <w:rsid w:val="6DF43C2E"/>
    <w:rsid w:val="6DF51CA3"/>
    <w:rsid w:val="6E0B0643"/>
    <w:rsid w:val="6E8335BD"/>
    <w:rsid w:val="6E8E12EF"/>
    <w:rsid w:val="6E972936"/>
    <w:rsid w:val="6ED446C5"/>
    <w:rsid w:val="6F2A7D94"/>
    <w:rsid w:val="6F8331F1"/>
    <w:rsid w:val="6FAE1A09"/>
    <w:rsid w:val="6FD75BF8"/>
    <w:rsid w:val="7036127C"/>
    <w:rsid w:val="707723D0"/>
    <w:rsid w:val="70F5661B"/>
    <w:rsid w:val="71360107"/>
    <w:rsid w:val="713B688E"/>
    <w:rsid w:val="7148279F"/>
    <w:rsid w:val="71D43752"/>
    <w:rsid w:val="71F1796A"/>
    <w:rsid w:val="71FB63D5"/>
    <w:rsid w:val="72154626"/>
    <w:rsid w:val="72262B5D"/>
    <w:rsid w:val="72283FF7"/>
    <w:rsid w:val="722E7212"/>
    <w:rsid w:val="723A0474"/>
    <w:rsid w:val="725923E4"/>
    <w:rsid w:val="725F1977"/>
    <w:rsid w:val="72864BF7"/>
    <w:rsid w:val="729023FC"/>
    <w:rsid w:val="72F61B01"/>
    <w:rsid w:val="737B231D"/>
    <w:rsid w:val="73C0646E"/>
    <w:rsid w:val="742222F5"/>
    <w:rsid w:val="74476126"/>
    <w:rsid w:val="74706664"/>
    <w:rsid w:val="747F3682"/>
    <w:rsid w:val="749C4185"/>
    <w:rsid w:val="75067759"/>
    <w:rsid w:val="7529591A"/>
    <w:rsid w:val="752E6DCD"/>
    <w:rsid w:val="7551380D"/>
    <w:rsid w:val="755D394A"/>
    <w:rsid w:val="75600BE5"/>
    <w:rsid w:val="7564475C"/>
    <w:rsid w:val="7583797F"/>
    <w:rsid w:val="75D20F1D"/>
    <w:rsid w:val="75DA2C18"/>
    <w:rsid w:val="75F54412"/>
    <w:rsid w:val="761D08E0"/>
    <w:rsid w:val="762C55B7"/>
    <w:rsid w:val="765D347C"/>
    <w:rsid w:val="76826699"/>
    <w:rsid w:val="76C87133"/>
    <w:rsid w:val="76CD08D5"/>
    <w:rsid w:val="76D161A2"/>
    <w:rsid w:val="76DB4B92"/>
    <w:rsid w:val="77052AA4"/>
    <w:rsid w:val="77136511"/>
    <w:rsid w:val="77340A39"/>
    <w:rsid w:val="77351FD0"/>
    <w:rsid w:val="77472422"/>
    <w:rsid w:val="777F31F2"/>
    <w:rsid w:val="77D1700D"/>
    <w:rsid w:val="77EC04CC"/>
    <w:rsid w:val="77F71C38"/>
    <w:rsid w:val="77FF22CF"/>
    <w:rsid w:val="78775729"/>
    <w:rsid w:val="78A42DB0"/>
    <w:rsid w:val="78A656AB"/>
    <w:rsid w:val="78B2245C"/>
    <w:rsid w:val="78E172CC"/>
    <w:rsid w:val="78EA1D1F"/>
    <w:rsid w:val="79036DC3"/>
    <w:rsid w:val="7904172F"/>
    <w:rsid w:val="790F7E27"/>
    <w:rsid w:val="792A231A"/>
    <w:rsid w:val="79316829"/>
    <w:rsid w:val="797E66A9"/>
    <w:rsid w:val="798518A4"/>
    <w:rsid w:val="79A97383"/>
    <w:rsid w:val="79CF3C20"/>
    <w:rsid w:val="79E27E8B"/>
    <w:rsid w:val="79F850CE"/>
    <w:rsid w:val="79FD443C"/>
    <w:rsid w:val="7A1D1975"/>
    <w:rsid w:val="7A3E5150"/>
    <w:rsid w:val="7A4670D6"/>
    <w:rsid w:val="7A534B63"/>
    <w:rsid w:val="7A615382"/>
    <w:rsid w:val="7A67303B"/>
    <w:rsid w:val="7AAB1D04"/>
    <w:rsid w:val="7ABA4368"/>
    <w:rsid w:val="7AD05746"/>
    <w:rsid w:val="7B257FFD"/>
    <w:rsid w:val="7B343476"/>
    <w:rsid w:val="7B4A02D1"/>
    <w:rsid w:val="7B5A2978"/>
    <w:rsid w:val="7B5A7E4C"/>
    <w:rsid w:val="7B667AF9"/>
    <w:rsid w:val="7B7468F8"/>
    <w:rsid w:val="7BAF3731"/>
    <w:rsid w:val="7BEE0103"/>
    <w:rsid w:val="7C0A0FE4"/>
    <w:rsid w:val="7C254906"/>
    <w:rsid w:val="7C590818"/>
    <w:rsid w:val="7C7C10F6"/>
    <w:rsid w:val="7C853BEA"/>
    <w:rsid w:val="7C881368"/>
    <w:rsid w:val="7CD564F7"/>
    <w:rsid w:val="7CE27788"/>
    <w:rsid w:val="7D0C32F1"/>
    <w:rsid w:val="7D0F408D"/>
    <w:rsid w:val="7D491C6C"/>
    <w:rsid w:val="7D5429C0"/>
    <w:rsid w:val="7D6E6D43"/>
    <w:rsid w:val="7D7A3FCC"/>
    <w:rsid w:val="7DB57A34"/>
    <w:rsid w:val="7DC16CD6"/>
    <w:rsid w:val="7DE60973"/>
    <w:rsid w:val="7DEF0916"/>
    <w:rsid w:val="7E1E5218"/>
    <w:rsid w:val="7E6C679B"/>
    <w:rsid w:val="7E9A4E1F"/>
    <w:rsid w:val="7EA7723A"/>
    <w:rsid w:val="7EF56FBB"/>
    <w:rsid w:val="7F0768EB"/>
    <w:rsid w:val="7F143BEC"/>
    <w:rsid w:val="7F362021"/>
    <w:rsid w:val="7F715AF2"/>
    <w:rsid w:val="7F7B47F9"/>
    <w:rsid w:val="7F886E69"/>
    <w:rsid w:val="7FBA5A25"/>
    <w:rsid w:val="BB7FA927"/>
    <w:rsid w:val="EFF72F48"/>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snapToGrid w:val="0"/>
      <w:spacing w:line="360" w:lineRule="auto"/>
      <w:jc w:val="left"/>
      <w:outlineLvl w:val="1"/>
    </w:pPr>
    <w:rPr>
      <w:rFonts w:ascii="仿宋_GB2312" w:hAnsi="仿宋_GB2312"/>
      <w:b/>
      <w:bCs/>
      <w:sz w:val="24"/>
      <w:szCs w:val="32"/>
      <w:lang w:val="zh-CN"/>
    </w:rPr>
  </w:style>
  <w:style w:type="paragraph" w:styleId="4">
    <w:name w:val="heading 3"/>
    <w:basedOn w:val="1"/>
    <w:next w:val="5"/>
    <w:qFormat/>
    <w:uiPriority w:val="0"/>
    <w:pPr>
      <w:keepNext/>
      <w:keepLines/>
      <w:tabs>
        <w:tab w:val="left" w:pos="900"/>
      </w:tabs>
      <w:snapToGrid w:val="0"/>
      <w:spacing w:line="360" w:lineRule="auto"/>
      <w:jc w:val="left"/>
      <w:outlineLvl w:val="2"/>
    </w:pPr>
    <w:rPr>
      <w:b/>
      <w:bCs/>
      <w:sz w:val="24"/>
      <w:szCs w:val="32"/>
    </w:rPr>
  </w:style>
  <w:style w:type="paragraph" w:styleId="6">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2"/>
    <w:qFormat/>
    <w:uiPriority w:val="99"/>
    <w:pPr>
      <w:jc w:val="left"/>
    </w:pPr>
  </w:style>
  <w:style w:type="paragraph" w:styleId="20">
    <w:name w:val="Salutation"/>
    <w:basedOn w:val="1"/>
    <w:next w:val="1"/>
    <w:link w:val="296"/>
    <w:qFormat/>
    <w:uiPriority w:val="0"/>
    <w:rPr>
      <w:rFonts w:ascii="仿宋_GB2312" w:eastAsia="仿宋_GB2312"/>
      <w:sz w:val="28"/>
      <w:szCs w:val="20"/>
    </w:rPr>
  </w:style>
  <w:style w:type="paragraph" w:styleId="21">
    <w:name w:val="Body Text 3"/>
    <w:basedOn w:val="1"/>
    <w:link w:val="328"/>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28"/>
    <w:qFormat/>
    <w:uiPriority w:val="0"/>
    <w:pPr>
      <w:autoSpaceDE w:val="0"/>
      <w:autoSpaceDN w:val="0"/>
      <w:spacing w:line="360" w:lineRule="auto"/>
    </w:pPr>
    <w:rPr>
      <w:rFonts w:ascii="宋体" w:hAnsi="Arial" w:cs="Arial"/>
      <w:snapToGrid w:val="0"/>
      <w:sz w:val="24"/>
      <w:szCs w:val="21"/>
      <w:lang w:val="zh-CN"/>
    </w:rPr>
  </w:style>
  <w:style w:type="paragraph" w:styleId="24">
    <w:name w:val="toc 8"/>
    <w:basedOn w:val="1"/>
    <w:next w:val="1"/>
    <w:qFormat/>
    <w:uiPriority w:val="0"/>
    <w:pPr>
      <w:ind w:left="2940" w:leftChars="1400"/>
    </w:pPr>
  </w:style>
  <w:style w:type="paragraph" w:styleId="25">
    <w:name w:val="Body Text Indent"/>
    <w:basedOn w:val="1"/>
    <w:next w:val="1"/>
    <w:link w:val="263"/>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5"/>
    <w:link w:val="122"/>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Date"/>
    <w:basedOn w:val="1"/>
    <w:next w:val="1"/>
    <w:link w:val="178"/>
    <w:qFormat/>
    <w:uiPriority w:val="0"/>
    <w:pPr>
      <w:ind w:left="100" w:leftChars="2500"/>
    </w:pPr>
    <w:rPr>
      <w:rFonts w:ascii="宋体"/>
      <w:sz w:val="24"/>
      <w:szCs w:val="21"/>
      <w:lang w:val="zh-CN"/>
    </w:rPr>
  </w:style>
  <w:style w:type="paragraph" w:styleId="36">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7">
    <w:name w:val="endnote text"/>
    <w:basedOn w:val="1"/>
    <w:link w:val="930"/>
    <w:qFormat/>
    <w:uiPriority w:val="0"/>
    <w:rPr>
      <w:lang w:val="zh-CN"/>
    </w:rPr>
  </w:style>
  <w:style w:type="paragraph" w:styleId="38">
    <w:name w:val="Balloon Text"/>
    <w:basedOn w:val="1"/>
    <w:link w:val="185"/>
    <w:qFormat/>
    <w:uiPriority w:val="0"/>
    <w:rPr>
      <w:sz w:val="18"/>
      <w:szCs w:val="18"/>
    </w:rPr>
  </w:style>
  <w:style w:type="paragraph" w:styleId="39">
    <w:name w:val="footer"/>
    <w:basedOn w:val="1"/>
    <w:link w:val="381"/>
    <w:qFormat/>
    <w:uiPriority w:val="99"/>
    <w:pPr>
      <w:tabs>
        <w:tab w:val="center" w:pos="4153"/>
        <w:tab w:val="right" w:pos="8306"/>
      </w:tabs>
      <w:snapToGrid w:val="0"/>
      <w:jc w:val="left"/>
    </w:pPr>
    <w:rPr>
      <w:sz w:val="18"/>
      <w:szCs w:val="18"/>
    </w:rPr>
  </w:style>
  <w:style w:type="paragraph" w:styleId="40">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08"/>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3"/>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0"/>
    <w:qFormat/>
    <w:uiPriority w:val="0"/>
    <w:pPr>
      <w:spacing w:after="120" w:line="480" w:lineRule="auto"/>
    </w:pPr>
  </w:style>
  <w:style w:type="paragraph" w:styleId="56">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3"/>
    <w:qFormat/>
    <w:uiPriority w:val="0"/>
    <w:rPr>
      <w:b/>
      <w:bCs/>
    </w:rPr>
  </w:style>
  <w:style w:type="paragraph" w:styleId="60">
    <w:name w:val="Body Text First Indent"/>
    <w:basedOn w:val="23"/>
    <w:next w:val="1"/>
    <w:link w:val="319"/>
    <w:qFormat/>
    <w:uiPriority w:val="0"/>
    <w:pPr>
      <w:ind w:firstLine="420"/>
    </w:pPr>
    <w:rPr>
      <w:rFonts w:hAnsi="Calibri" w:cs="Times New Roman"/>
      <w:snapToGrid/>
      <w:szCs w:val="20"/>
    </w:rPr>
  </w:style>
  <w:style w:type="paragraph" w:styleId="61">
    <w:name w:val="Body Text First Indent 2"/>
    <w:basedOn w:val="25"/>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Char1"/>
    <w:link w:val="59"/>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Char"/>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Char"/>
    <w:link w:val="46"/>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Char"/>
    <w:link w:val="8"/>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3"/>
    <w:link w:val="167"/>
    <w:qFormat/>
    <w:uiPriority w:val="0"/>
    <w:pPr>
      <w:spacing w:before="240" w:after="240" w:line="240" w:lineRule="auto"/>
      <w:jc w:val="center"/>
    </w:pPr>
    <w:rPr>
      <w:rFonts w:ascii="Calibri" w:hAnsi="Calibri"/>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Char"/>
    <w:link w:val="35"/>
    <w:qFormat/>
    <w:uiPriority w:val="0"/>
    <w:rPr>
      <w:rFonts w:ascii="宋体"/>
      <w:kern w:val="2"/>
      <w:sz w:val="24"/>
      <w:szCs w:val="21"/>
      <w:lang w:val="zh-CN"/>
    </w:rPr>
  </w:style>
  <w:style w:type="character" w:customStyle="1" w:styleId="179">
    <w:name w:val="标题 9 Char"/>
    <w:link w:val="11"/>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Char"/>
    <w:link w:val="38"/>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Char2"/>
    <w:link w:val="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ind w:left="851" w:right="407" w:rightChars="194" w:hanging="851"/>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Char1"/>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Char"/>
    <w:link w:val="30"/>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6"/>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Char"/>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next w:val="233"/>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33">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6">
    <w:name w:val="列出段落1"/>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5"/>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2"/>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8"/>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7"/>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0"/>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6"/>
    <w:qFormat/>
    <w:uiPriority w:val="0"/>
    <w:rPr>
      <w:rFonts w:ascii="黑体" w:hAnsi="Courier New" w:eastAsia="黑体"/>
    </w:rPr>
  </w:style>
  <w:style w:type="character" w:customStyle="1" w:styleId="300">
    <w:name w:val="正文文本 2 Char1"/>
    <w:link w:val="55"/>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9"/>
    <w:qFormat/>
    <w:uiPriority w:val="0"/>
    <w:rPr>
      <w:b/>
      <w:bCs/>
      <w:kern w:val="2"/>
      <w:sz w:val="24"/>
      <w:szCs w:val="24"/>
    </w:rPr>
  </w:style>
  <w:style w:type="character" w:customStyle="1" w:styleId="306">
    <w:name w:val="正文文本缩进 2 Char"/>
    <w:link w:val="36"/>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49"/>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60"/>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1"/>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19"/>
    <w:qFormat/>
    <w:uiPriority w:val="99"/>
    <w:rPr>
      <w:kern w:val="2"/>
      <w:sz w:val="21"/>
      <w:szCs w:val="24"/>
    </w:rPr>
  </w:style>
  <w:style w:type="character" w:customStyle="1" w:styleId="343">
    <w:name w:val="签名 Char"/>
    <w:link w:val="41"/>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0"/>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2"/>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39"/>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0"/>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5"/>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3"/>
    <w:qFormat/>
    <w:uiPriority w:val="0"/>
    <w:pPr>
      <w:keepLines w:val="0"/>
      <w:widowControl/>
      <w:tabs>
        <w:tab w:val="left" w:pos="840"/>
        <w:tab w:val="clear" w:pos="432"/>
      </w:tabs>
      <w:spacing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3"/>
    <w:qFormat/>
    <w:uiPriority w:val="0"/>
    <w:pPr>
      <w:widowControl/>
      <w:spacing w:before="360" w:after="360" w:line="240" w:lineRule="atLeast"/>
    </w:pPr>
    <w:rPr>
      <w:rFonts w:ascii="宋体" w:hAnsi="Arial"/>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outlineLvl w:val="5"/>
    </w:pPr>
  </w:style>
  <w:style w:type="paragraph" w:customStyle="1" w:styleId="472">
    <w:name w:val="5级标题"/>
    <w:basedOn w:val="473"/>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1">
    <w:name w:val="无间隔2"/>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3"/>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4"/>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7"/>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4"/>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6"/>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Lines="50"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3"/>
    <w:qFormat/>
    <w:uiPriority w:val="0"/>
    <w:pPr>
      <w:tabs>
        <w:tab w:val="left" w:pos="0"/>
        <w:tab w:val="clear" w:pos="432"/>
      </w:tabs>
      <w:spacing w:before="260" w:after="260" w:line="415" w:lineRule="auto"/>
      <w:ind w:firstLine="200" w:firstLineChars="200"/>
      <w:jc w:val="both"/>
    </w:pPr>
    <w:rPr>
      <w:rFonts w:ascii="宋体" w:hAnsi="Cambria"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2"/>
    <w:next w:val="232"/>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2"/>
    <w:next w:val="232"/>
    <w:qFormat/>
    <w:uiPriority w:val="0"/>
    <w:rPr>
      <w:rFonts w:ascii="宋体" w:eastAsia="宋体" w:cs="Times New Roman"/>
      <w:color w:val="auto"/>
    </w:rPr>
  </w:style>
  <w:style w:type="paragraph" w:customStyle="1" w:styleId="548">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5"/>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4"/>
    <w:qFormat/>
    <w:uiPriority w:val="0"/>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2"/>
    <w:qFormat/>
    <w:uiPriority w:val="0"/>
    <w:pPr>
      <w:tabs>
        <w:tab w:val="left" w:pos="840"/>
      </w:tabs>
      <w:adjustRightInd/>
      <w:ind w:left="840" w:hanging="420"/>
    </w:pPr>
  </w:style>
  <w:style w:type="paragraph" w:customStyle="1" w:styleId="624">
    <w:name w:val="样式 标题 2标题2H2Heading 2 HiddenHeading 2 CCBSheading 22nd lev..."/>
    <w:basedOn w:val="3"/>
    <w:qFormat/>
    <w:uiPriority w:val="0"/>
    <w:pPr>
      <w:widowControl/>
      <w:spacing w:before="260" w:after="260" w:line="416" w:lineRule="auto"/>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Lines="0" w:afterLines="0"/>
      <w:ind w:left="1680"/>
      <w:outlineLvl w:val="2"/>
    </w:pPr>
  </w:style>
  <w:style w:type="paragraph" w:customStyle="1" w:styleId="656">
    <w:name w:val="章标题"/>
    <w:next w:val="6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3"/>
    <w:next w:val="1"/>
    <w:qFormat/>
    <w:uiPriority w:val="0"/>
    <w:pPr>
      <w:tabs>
        <w:tab w:val="left" w:pos="480"/>
      </w:tabs>
      <w:ind w:left="480" w:hanging="480"/>
    </w:pPr>
    <w:rPr>
      <w:rFonts w:ascii="Times New Roman"/>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Lines="50"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3"/>
    <w:qFormat/>
    <w:uiPriority w:val="0"/>
    <w:pPr>
      <w:spacing w:before="120" w:after="120"/>
      <w:jc w:val="both"/>
    </w:pPr>
    <w:rPr>
      <w:rFonts w:ascii="宋体" w:hAnsi="Arial"/>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6"/>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4"/>
    <w:qFormat/>
    <w:uiPriority w:val="0"/>
    <w:pPr>
      <w:keepLines w:val="0"/>
      <w:spacing w:line="240" w:lineRule="auto"/>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8">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2"/>
    <w:qFormat/>
    <w:uiPriority w:val="0"/>
    <w:pPr>
      <w:tabs>
        <w:tab w:val="clear" w:pos="900"/>
      </w:tabs>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qFormat/>
    <w:uiPriority w:val="0"/>
    <w:pPr>
      <w:keepLines w:val="0"/>
      <w:widowControl/>
      <w:spacing w:before="120" w:after="60" w:line="300" w:lineRule="auto"/>
    </w:pPr>
    <w:rPr>
      <w:rFonts w:ascii="Arial Narrow" w:hAnsi="Arial Narrow" w:eastAsia="仿宋_GB2312"/>
      <w:b w:val="0"/>
      <w:bCs w:val="0"/>
      <w:color w:val="000000"/>
      <w:kern w:val="0"/>
      <w:sz w:val="28"/>
    </w:rPr>
  </w:style>
  <w:style w:type="paragraph" w:customStyle="1" w:styleId="889">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2"/>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7"/>
    <w:qFormat/>
    <w:uiPriority w:val="0"/>
    <w:rPr>
      <w:kern w:val="2"/>
      <w:sz w:val="21"/>
      <w:szCs w:val="24"/>
      <w:lang w:val="zh-CN"/>
    </w:rPr>
  </w:style>
  <w:style w:type="character" w:customStyle="1" w:styleId="931">
    <w:name w:val="无间隔 字符"/>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3"/>
    <w:qFormat/>
    <w:uiPriority w:val="0"/>
    <w:pPr>
      <w:tabs>
        <w:tab w:val="clear" w:pos="432"/>
      </w:tabs>
      <w:spacing w:before="160" w:after="160" w:line="720" w:lineRule="exact"/>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样式 标题 2 + Times New Roman 四号 非加粗 段前: 5 磅 段后: 0 磅 行距: 固定值 20..."/>
    <w:basedOn w:val="3"/>
    <w:qFormat/>
    <w:uiPriority w:val="0"/>
    <w:pPr>
      <w:tabs>
        <w:tab w:val="left" w:pos="1080"/>
        <w:tab w:val="clear" w:pos="432"/>
      </w:tabs>
      <w:spacing w:before="100" w:line="400" w:lineRule="exact"/>
    </w:pPr>
    <w:rPr>
      <w:rFonts w:ascii="Times New Roman" w:hAnsi="Times New Roman" w:eastAsia="黑体" w:cs="宋体"/>
      <w:b w:val="0"/>
      <w:sz w:val="28"/>
      <w:szCs w:val="20"/>
    </w:rPr>
  </w:style>
  <w:style w:type="paragraph" w:customStyle="1" w:styleId="963">
    <w:name w:val="p16"/>
    <w:basedOn w:val="1"/>
    <w:qFormat/>
    <w:uiPriority w:val="0"/>
    <w:pPr>
      <w:widowControl/>
      <w:spacing w:before="100" w:after="100"/>
      <w:jc w:val="left"/>
    </w:pPr>
    <w:rPr>
      <w:rFonts w:ascii="宋体" w:hAnsi="宋体" w:cs="宋体"/>
      <w:color w:val="000000"/>
      <w:kern w:val="0"/>
      <w:sz w:val="24"/>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中文正文、"/>
    <w:basedOn w:val="1"/>
    <w:qFormat/>
    <w:uiPriority w:val="0"/>
    <w:pPr>
      <w:spacing w:line="360" w:lineRule="auto"/>
      <w:ind w:firstLine="420" w:firstLineChars="200"/>
      <w:jc w:val="left"/>
    </w:pPr>
    <w:rPr>
      <w:rFonts w:asciiTheme="minorHAnsi" w:hAnsiTheme="minorHAnsi" w:eastAsiaTheme="minorEastAsia" w:cstheme="minorBidi"/>
      <w:szCs w:val="22"/>
    </w:rPr>
  </w:style>
  <w:style w:type="paragraph" w:customStyle="1" w:styleId="966">
    <w:name w:val="WPSOffice手动目录 1"/>
    <w:qFormat/>
    <w:uiPriority w:val="0"/>
    <w:pPr>
      <w:ind w:leftChars="0"/>
    </w:pPr>
    <w:rPr>
      <w:rFonts w:ascii="Times New Roman" w:hAnsi="Times New Roman" w:eastAsia="宋体" w:cs="Times New Roman"/>
      <w:sz w:val="20"/>
      <w:szCs w:val="20"/>
    </w:rPr>
  </w:style>
  <w:style w:type="paragraph" w:customStyle="1" w:styleId="967">
    <w:name w:val="正文内文"/>
    <w:basedOn w:val="1"/>
    <w:qFormat/>
    <w:uiPriority w:val="0"/>
    <w:pPr>
      <w:adjustRightInd w:val="0"/>
      <w:snapToGrid w:val="0"/>
      <w:spacing w:line="400" w:lineRule="exact"/>
      <w:ind w:firstLine="200" w:firstLineChars="200"/>
    </w:pPr>
    <w:rPr>
      <w:rFonts w:ascii="Arial" w:hAnsi="Arial" w:cs="Arial"/>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5.xml"/><Relationship Id="rId23" Type="http://schemas.openxmlformats.org/officeDocument/2006/relationships/footer" Target="footer14.xml"/><Relationship Id="rId22" Type="http://schemas.openxmlformats.org/officeDocument/2006/relationships/footer" Target="footer13.xml"/><Relationship Id="rId21" Type="http://schemas.openxmlformats.org/officeDocument/2006/relationships/header" Target="header7.xml"/><Relationship Id="rId20" Type="http://schemas.openxmlformats.org/officeDocument/2006/relationships/header" Target="header6.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header" Target="header5.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64</Pages>
  <Words>17047</Words>
  <Characters>18223</Characters>
  <Lines>250</Lines>
  <Paragraphs>70</Paragraphs>
  <TotalTime>59</TotalTime>
  <ScaleCrop>false</ScaleCrop>
  <LinksUpToDate>false</LinksUpToDate>
  <CharactersWithSpaces>18376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2022-05-07T07:35:00Z</dcterms:created>
  <dc:creator>玥</dc:creator>
  <cp:lastModifiedBy>繁华终易逝</cp:lastModifiedBy>
  <cp:lastPrinted>2021-12-27T11:06:00Z</cp:lastPrinted>
  <dcterms:modified xsi:type="dcterms:W3CDTF">2025-03-19T07:33:06Z</dcterms:modified>
  <dc:title>杭州市市民卡扩大发卡工程</dc:title>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DE5D8205E12849C0BAC4258798E8B938_13</vt:lpwstr>
  </property>
  <property fmtid="{D5CDD505-2E9C-101B-9397-08002B2CF9AE}" pid="5" name="commondata">
    <vt:lpwstr>eyJoZGlkIjoiNGNlMmFkMDQ1NDY0ZmRiM2Q0NjY4NTFjN2IwMTllYjMifQ==</vt:lpwstr>
  </property>
  <property fmtid="{D5CDD505-2E9C-101B-9397-08002B2CF9AE}" pid="6" name="KSOTemplateDocerSaveRecord">
    <vt:lpwstr>eyJoZGlkIjoiMWJkNjM2NmU4MmEzYzg1MDY4MjMzNTY1YjQwMzhkMTYiLCJ1c2VySWQiOiIzNTc0MjA0ODEifQ==</vt:lpwstr>
  </property>
</Properties>
</file>