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color w:val="auto"/>
          <w:sz w:val="52"/>
          <w:szCs w:val="52"/>
          <w:highlight w:val="none"/>
          <w:lang w:eastAsia="zh-CN"/>
        </w:rPr>
      </w:pPr>
      <w:r>
        <w:rPr>
          <w:rFonts w:hint="eastAsia" w:ascii="宋体" w:hAnsi="宋体" w:cs="宋体"/>
          <w:color w:val="auto"/>
          <w:sz w:val="52"/>
          <w:szCs w:val="52"/>
          <w:highlight w:val="none"/>
          <w:lang w:eastAsia="zh-CN"/>
        </w:rPr>
        <w:t>建德市公安局2024年电子数据勘验取证实验室设备更新升级项目</w:t>
      </w:r>
    </w:p>
    <w:p>
      <w:pPr>
        <w:adjustRightInd/>
        <w:spacing w:line="360" w:lineRule="auto"/>
        <w:jc w:val="center"/>
        <w:rPr>
          <w:rFonts w:hint="eastAsia" w:ascii="宋体" w:hAnsi="宋体" w:eastAsia="宋体" w:cs="宋体"/>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bookmarkStart w:id="559" w:name="_GoBack"/>
      <w:bookmarkEnd w:id="559"/>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JD2024BF-152-001</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建德市公安局</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杭州博望建设工程招标投标代理有限公司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eastAsia="zh-CN"/>
        </w:rPr>
        <w:t>十一</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十三</w:t>
      </w:r>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建德市公安局2024年电子数据勘验取证实验室设备更新升级项目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69"/>
          <w:rFonts w:hint="eastAsia" w:ascii="宋体" w:hAnsi="宋体" w:eastAsia="宋体" w:cs="宋体"/>
          <w:snapToGrid/>
          <w:color w:val="auto"/>
          <w:kern w:val="2"/>
          <w:sz w:val="24"/>
          <w:szCs w:val="24"/>
          <w:highlight w:val="none"/>
        </w:rPr>
        <w:t>https://www.zcygov.cn/）获取（下载）招标文件，并于</w:t>
      </w:r>
      <w:r>
        <w:rPr>
          <w:rStyle w:val="69"/>
          <w:rFonts w:hint="eastAsia" w:ascii="宋体" w:hAnsi="宋体" w:cs="宋体"/>
          <w:snapToGrid/>
          <w:color w:val="auto"/>
          <w:kern w:val="2"/>
          <w:sz w:val="24"/>
          <w:szCs w:val="24"/>
          <w:highlight w:val="none"/>
          <w:lang w:eastAsia="zh-CN"/>
        </w:rPr>
        <w:t>2024年12月4日</w:t>
      </w:r>
      <w:r>
        <w:rPr>
          <w:rStyle w:val="69"/>
          <w:rFonts w:hint="eastAsia" w:ascii="宋体" w:hAnsi="宋体" w:cs="宋体"/>
          <w:snapToGrid/>
          <w:color w:val="auto"/>
          <w:kern w:val="2"/>
          <w:sz w:val="24"/>
          <w:szCs w:val="24"/>
          <w:highlight w:val="none"/>
          <w:lang w:val="en-US" w:eastAsia="zh-CN"/>
        </w:rPr>
        <w:t>14</w:t>
      </w:r>
      <w:r>
        <w:rPr>
          <w:rStyle w:val="69"/>
          <w:rFonts w:hint="eastAsia" w:ascii="宋体" w:hAnsi="宋体" w:eastAsia="宋体" w:cs="宋体"/>
          <w:snapToGrid/>
          <w:color w:val="auto"/>
          <w:kern w:val="2"/>
          <w:sz w:val="24"/>
          <w:szCs w:val="24"/>
          <w:highlight w:val="none"/>
        </w:rPr>
        <w:t>点</w:t>
      </w:r>
      <w:r>
        <w:rPr>
          <w:rStyle w:val="69"/>
          <w:rFonts w:hint="eastAsia" w:ascii="宋体" w:hAnsi="宋体" w:cs="宋体"/>
          <w:snapToGrid/>
          <w:color w:val="auto"/>
          <w:kern w:val="2"/>
          <w:sz w:val="24"/>
          <w:szCs w:val="24"/>
          <w:highlight w:val="none"/>
          <w:lang w:val="en-US" w:eastAsia="zh-CN"/>
        </w:rPr>
        <w:t>00</w:t>
      </w:r>
      <w:r>
        <w:rPr>
          <w:rStyle w:val="69"/>
          <w:rFonts w:hint="eastAsia" w:ascii="宋体" w:hAnsi="宋体" w:eastAsia="宋体" w:cs="宋体"/>
          <w:snapToGrid/>
          <w:color w:val="auto"/>
          <w:kern w:val="2"/>
          <w:sz w:val="24"/>
          <w:szCs w:val="24"/>
          <w:highlight w:val="none"/>
        </w:rPr>
        <w:t>分</w:t>
      </w:r>
      <w:r>
        <w:rPr>
          <w:rStyle w:val="69"/>
          <w:rFonts w:hint="eastAsia" w:ascii="宋体" w:hAnsi="宋体" w:eastAsia="宋体" w:cs="宋体"/>
          <w:bCs/>
          <w:snapToGrid/>
          <w:color w:val="auto"/>
          <w:kern w:val="2"/>
          <w:sz w:val="24"/>
          <w:szCs w:val="24"/>
          <w:highlight w:val="none"/>
        </w:rPr>
        <w:t>00秒</w:t>
      </w:r>
      <w:r>
        <w:rPr>
          <w:rStyle w:val="69"/>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JD2024BF-152-001</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建德市公安局2024年电子数据勘验取证实验室设备更新升级项目</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val="0"/>
          <w:bCs/>
          <w:color w:val="auto"/>
          <w:sz w:val="24"/>
          <w:highlight w:val="none"/>
          <w:lang w:val="en-US" w:eastAsia="zh-CN"/>
        </w:rPr>
        <w:t>360000.00</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360000.00</w:t>
      </w:r>
    </w:p>
    <w:p>
      <w:pPr>
        <w:pStyle w:val="5"/>
        <w:spacing w:line="360" w:lineRule="auto"/>
        <w:ind w:firstLine="480"/>
        <w:rPr>
          <w:rFonts w:hint="eastAsia" w:hAnsi="宋体" w:cs="宋体"/>
          <w:b w:val="0"/>
          <w:bCs/>
          <w:snapToGrid/>
          <w:color w:val="auto"/>
          <w:kern w:val="2"/>
          <w:sz w:val="24"/>
          <w:szCs w:val="24"/>
          <w:highlight w:val="none"/>
          <w:lang w:eastAsia="zh-CN"/>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本次项目计划对建德市公安局电子数据勘验实验室设备进行更新升级，对现有的电子物证检验基础设施和资源进行有效整合，提升整体取证技术水平及工作效率</w:t>
      </w:r>
      <w:r>
        <w:rPr>
          <w:rFonts w:hint="eastAsia" w:hAnsi="宋体" w:cs="宋体"/>
          <w:b w:val="0"/>
          <w:bCs/>
          <w:color w:val="auto"/>
          <w:sz w:val="24"/>
          <w:highlight w:val="none"/>
          <w:lang w:eastAsia="zh-CN"/>
        </w:rPr>
        <w:t>。</w:t>
      </w:r>
    </w:p>
    <w:p>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bCs/>
          <w:snapToGrid/>
          <w:color w:val="auto"/>
          <w:kern w:val="2"/>
          <w:sz w:val="24"/>
          <w:szCs w:val="24"/>
          <w:highlight w:val="none"/>
          <w:lang w:eastAsia="zh-CN"/>
        </w:rPr>
        <w:t>建德市公安局2024年电子数据勘验取证实验室设备更新升级</w:t>
      </w:r>
      <w:r>
        <w:rPr>
          <w:rFonts w:hint="eastAsia" w:ascii="宋体" w:hAnsi="宋体" w:eastAsia="宋体" w:cs="宋体"/>
          <w:bCs/>
          <w:snapToGrid/>
          <w:color w:val="auto"/>
          <w:kern w:val="2"/>
          <w:sz w:val="24"/>
          <w:szCs w:val="24"/>
          <w:highlight w:val="none"/>
        </w:rPr>
        <w:t>。</w:t>
      </w:r>
    </w:p>
    <w:p>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pPr>
        <w:pStyle w:val="128"/>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val="0"/>
          <w:bCs/>
          <w:color w:val="auto"/>
          <w:highlight w:val="none"/>
        </w:rPr>
        <w:t>合同签订生效之日起</w:t>
      </w:r>
      <w:r>
        <w:rPr>
          <w:rFonts w:hint="eastAsia" w:ascii="宋体" w:hAnsi="宋体" w:cs="宋体"/>
          <w:b w:val="0"/>
          <w:bCs/>
          <w:color w:val="auto"/>
          <w:highlight w:val="none"/>
          <w:lang w:val="en-US" w:eastAsia="zh-CN"/>
        </w:rPr>
        <w:t>20</w:t>
      </w:r>
      <w:r>
        <w:rPr>
          <w:rFonts w:hint="eastAsia" w:ascii="宋体" w:hAnsi="宋体" w:eastAsia="宋体" w:cs="宋体"/>
          <w:b w:val="0"/>
          <w:bCs/>
          <w:color w:val="auto"/>
          <w:highlight w:val="none"/>
        </w:rPr>
        <w:t xml:space="preserve">日历天内送达、安装调试完成并通过验收。 </w:t>
      </w:r>
    </w:p>
    <w:p>
      <w:pPr>
        <w:pStyle w:val="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8313"/>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6783"/>
                  <w:showingPlcHdr/>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842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831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sdt>
        <w:sdtPr>
          <w:rPr>
            <w:rFonts w:hint="eastAsia" w:ascii="宋体" w:hAnsi="宋体" w:eastAsia="宋体" w:cs="宋体"/>
            <w:color w:val="auto"/>
            <w:kern w:val="0"/>
            <w:sz w:val="24"/>
            <w:highlight w:val="none"/>
          </w:rPr>
          <w:id w:val="-1024704304"/>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147456783"/>
        </w:sdtPr>
        <w:sdtEndPr>
          <w:rPr>
            <w:rFonts w:hint="eastAsia" w:ascii="宋体" w:hAnsi="宋体" w:eastAsia="宋体" w:cs="宋体"/>
            <w:color w:val="auto"/>
            <w:kern w:val="0"/>
            <w:sz w:val="24"/>
            <w:highlight w:val="none"/>
          </w:rPr>
        </w:sdtEndPr>
        <w:sdtContent/>
      </w:sdt>
      <w:sdt>
        <w:sdtPr>
          <w:rPr>
            <w:rFonts w:hint="eastAsia" w:ascii="宋体" w:hAnsi="宋体" w:eastAsia="宋体" w:cs="宋体"/>
            <w:color w:val="auto"/>
            <w:kern w:val="0"/>
            <w:sz w:val="24"/>
            <w:highlight w:val="none"/>
          </w:rPr>
          <w:id w:val="-92473058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831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2024年12月4日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cs="宋体"/>
          <w:color w:val="auto"/>
          <w:sz w:val="24"/>
          <w:highlight w:val="none"/>
          <w:u w:val="single"/>
          <w:lang w:eastAsia="zh-CN"/>
        </w:rPr>
        <w:t>2024年12月4日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2024年12月4日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关于进一步加大政府采购支持中小企业力度的通知》（财库〔2022〕19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建德市公安局</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址：建德市新安江街道法院路2号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项目联系人（询问）：何素芬</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项目联系方式（询问）：13868127528</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质疑联系人：朱晓宇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质疑联系方式：13968123333</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杭州博望建设工程招标投标代理有限公司</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址：浙江省建德市新安江街道新安财富城6幢</w:t>
      </w:r>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rPr>
        <w:t>座</w:t>
      </w:r>
      <w:r>
        <w:rPr>
          <w:rFonts w:hint="eastAsia" w:ascii="宋体" w:hAnsi="宋体" w:eastAsia="宋体" w:cs="宋体"/>
          <w:color w:val="auto"/>
          <w:sz w:val="24"/>
          <w:highlight w:val="none"/>
          <w:lang w:val="en-US" w:eastAsia="zh-CN"/>
        </w:rPr>
        <w:t>1201</w:t>
      </w:r>
      <w:r>
        <w:rPr>
          <w:rFonts w:hint="eastAsia" w:ascii="宋体" w:hAnsi="宋体" w:eastAsia="宋体" w:cs="宋体"/>
          <w:color w:val="auto"/>
          <w:sz w:val="24"/>
          <w:highlight w:val="none"/>
        </w:rPr>
        <w:t>室</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陈梁</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13758155274</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黄慧宗</w:t>
      </w:r>
      <w:r>
        <w:rPr>
          <w:rFonts w:hint="eastAsia" w:ascii="宋体" w:hAnsi="宋体" w:eastAsia="宋体" w:cs="宋体"/>
          <w:color w:val="auto"/>
          <w:sz w:val="24"/>
          <w:highlight w:val="non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w:t>
      </w:r>
      <w:r>
        <w:rPr>
          <w:rFonts w:hint="eastAsia" w:ascii="宋体" w:hAnsi="宋体" w:eastAsia="宋体" w:cs="宋体"/>
          <w:color w:val="auto"/>
          <w:sz w:val="24"/>
          <w:highlight w:val="none"/>
          <w:lang w:val="en-US" w:eastAsia="zh-CN"/>
        </w:rPr>
        <w:t>64785986</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w:t>
      </w:r>
      <w:r>
        <w:rPr>
          <w:rFonts w:hint="eastAsia" w:ascii="宋体" w:hAnsi="宋体" w:eastAsia="宋体" w:cs="宋体"/>
          <w:color w:val="auto"/>
          <w:sz w:val="24"/>
          <w:highlight w:val="none"/>
          <w:lang w:eastAsia="zh-CN"/>
        </w:rPr>
        <w:t>、浙江省政府采购行政裁决服务中心（杭州）</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：朱女士、王女士</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监督投诉电话：0571-87227671,0571-87800218</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5"/>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pPr>
        <w:pStyle w:val="2"/>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7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9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kern w:val="0"/>
                <w:sz w:val="24"/>
                <w:highlight w:val="none"/>
                <w:u w:val="single"/>
              </w:rPr>
              <w:t>现场勘验系统套装</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8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napToGrid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标的</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只读接口</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eastAsia="宋体" w:cs="宋体"/>
                <w:color w:val="auto"/>
                <w:sz w:val="24"/>
                <w:highlight w:val="none"/>
              </w:rPr>
              <w:t>行业；</w:t>
            </w:r>
          </w:p>
          <w:p>
            <w:pPr>
              <w:numPr>
                <w:ilvl w:val="0"/>
                <w:numId w:val="0"/>
              </w:numPr>
              <w:snapToGrid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标的</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现场勘验系统套装</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eastAsia="宋体" w:cs="宋体"/>
                <w:color w:val="auto"/>
                <w:sz w:val="24"/>
                <w:highlight w:val="none"/>
              </w:rPr>
              <w:t>行业；</w:t>
            </w:r>
          </w:p>
          <w:p>
            <w:pPr>
              <w:numPr>
                <w:ilvl w:val="0"/>
                <w:numId w:val="0"/>
              </w:numPr>
              <w:snapToGrid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标的</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耗材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eastAsia="宋体" w:cs="宋体"/>
                <w:color w:val="auto"/>
                <w:sz w:val="24"/>
                <w:highlight w:val="none"/>
              </w:rPr>
              <w:t>行业；</w:t>
            </w:r>
          </w:p>
          <w:p>
            <w:pPr>
              <w:numPr>
                <w:ilvl w:val="0"/>
                <w:numId w:val="0"/>
              </w:numPr>
              <w:snapToGrid w:val="0"/>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标的</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硬盘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eastAsia="宋体" w:cs="宋体"/>
                <w:color w:val="auto"/>
                <w:sz w:val="24"/>
                <w:highlight w:val="none"/>
              </w:rPr>
              <w:t>行业；</w:t>
            </w:r>
          </w:p>
          <w:p>
            <w:pPr>
              <w:numPr>
                <w:ilvl w:val="0"/>
                <w:numId w:val="0"/>
              </w:numPr>
              <w:snapToGrid w:val="0"/>
              <w:rPr>
                <w:rFonts w:hint="eastAsia" w:ascii="宋体" w:hAnsi="宋体" w:eastAsia="宋体" w:cs="宋体"/>
                <w:color w:val="auto"/>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标的</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视频会议终端</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eastAsia="zh-CN"/>
              </w:rPr>
              <w:t>工业</w:t>
            </w:r>
            <w:r>
              <w:rPr>
                <w:rFonts w:hint="eastAsia" w:ascii="宋体" w:hAnsi="宋体" w:eastAsia="宋体" w:cs="宋体"/>
                <w:color w:val="auto"/>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4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927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168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5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178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115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311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174071719"/>
                        <w:showingPlcHdr/>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rPr>
              <w:t>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政采云平台在线讲解演示。政采云平台在线讲解需投标人根据政采云平台操作要求做好准备工作，提前完善软硬件配置环境。</w:t>
            </w:r>
          </w:p>
          <w:p>
            <w:pPr>
              <w:snapToGrid w:val="0"/>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建议各投标人将演示视频制作成光盘或U盘并进行密封作为备份文件</w:t>
            </w:r>
            <w:r>
              <w:rPr>
                <w:rFonts w:hint="eastAsia" w:ascii="宋体" w:hAnsi="宋体" w:cs="宋体"/>
                <w:color w:val="auto"/>
                <w:kern w:val="0"/>
                <w:sz w:val="24"/>
                <w:highlight w:val="none"/>
                <w:lang w:val="en-US" w:eastAsia="zh-CN"/>
              </w:rPr>
              <w:t>，在因平台原因导致本项目演示环节无法顺利开展的情况下，将采用演示视频的备份文件。备份文件要求详见招标文件内容。</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1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w:t>
            </w:r>
            <w:r>
              <w:rPr>
                <w:rFonts w:hint="eastAsia" w:ascii="宋体" w:hAnsi="宋体" w:cs="宋体"/>
                <w:snapToGrid w:val="0"/>
                <w:color w:val="auto"/>
                <w:kern w:val="28"/>
                <w:sz w:val="24"/>
                <w:highlight w:val="none"/>
                <w:lang w:eastAsia="zh-CN"/>
              </w:rPr>
              <w:t>89606885</w:t>
            </w:r>
            <w:r>
              <w:rPr>
                <w:rFonts w:hint="eastAsia" w:ascii="宋体" w:hAnsi="宋体" w:eastAsia="宋体" w:cs="宋体"/>
                <w:snapToGrid w:val="0"/>
                <w:color w:val="auto"/>
                <w:kern w:val="28"/>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浙江省杭州市建德市新安江街道新安财富城6幢B座1201室</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sz w:val="24"/>
                <w:highlight w:val="none"/>
                <w:u w:val="single"/>
                <w:lang w:eastAsia="zh-CN"/>
              </w:rPr>
              <w:t>陈梁</w:t>
            </w:r>
            <w:r>
              <w:rPr>
                <w:rFonts w:hint="eastAsia" w:ascii="宋体" w:hAnsi="宋体" w:eastAsia="宋体" w:cs="宋体"/>
                <w:color w:val="auto"/>
                <w:sz w:val="24"/>
                <w:highlight w:val="none"/>
                <w:u w:val="single"/>
              </w:rPr>
              <w:t>，</w:t>
            </w:r>
            <w:r>
              <w:rPr>
                <w:rFonts w:hint="eastAsia" w:hAnsi="宋体" w:cs="宋体"/>
                <w:color w:val="auto"/>
                <w:sz w:val="24"/>
                <w:highlight w:val="none"/>
                <w:u w:val="single"/>
                <w:lang w:val="en-US" w:eastAsia="zh-CN"/>
              </w:rPr>
              <w:t>13758155274</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097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w:t>
            </w:r>
            <w:r>
              <w:rPr>
                <w:rFonts w:hint="eastAsia" w:ascii="宋体" w:hAnsi="宋体" w:eastAsia="宋体" w:cs="宋体"/>
                <w:snapToGrid w:val="0"/>
                <w:color w:val="auto"/>
                <w:kern w:val="28"/>
                <w:sz w:val="24"/>
                <w:szCs w:val="24"/>
                <w:highlight w:val="none"/>
                <w:u w:val="single"/>
                <w:lang w:val="en-US" w:eastAsia="zh-CN" w:bidi="ar-SA"/>
              </w:rPr>
              <w:t>国家发展计划委员会计价格[2002]1980 号文《招标代理服务费管理暂行办法》及发改办价格[2003]857号文的</w:t>
            </w:r>
            <w:r>
              <w:rPr>
                <w:rFonts w:hint="eastAsia" w:ascii="宋体" w:hAnsi="宋体" w:eastAsia="宋体" w:cs="宋体"/>
                <w:snapToGrid w:val="0"/>
                <w:color w:val="auto"/>
                <w:kern w:val="28"/>
                <w:sz w:val="24"/>
                <w:highlight w:val="none"/>
              </w:rPr>
              <w:t>收费标准（</w:t>
            </w:r>
            <w:r>
              <w:rPr>
                <w:rFonts w:hint="eastAsia" w:ascii="宋体" w:hAnsi="宋体" w:eastAsia="宋体" w:cs="宋体"/>
                <w:color w:val="auto"/>
                <w:sz w:val="24"/>
                <w:highlight w:val="none"/>
                <w:u w:val="single"/>
              </w:rPr>
              <w:t>货物</w:t>
            </w:r>
            <w:r>
              <w:rPr>
                <w:rFonts w:hint="eastAsia" w:ascii="宋体" w:hAnsi="宋体" w:eastAsia="宋体" w:cs="宋体"/>
                <w:snapToGrid w:val="0"/>
                <w:color w:val="auto"/>
                <w:kern w:val="28"/>
                <w:sz w:val="24"/>
                <w:highlight w:val="none"/>
              </w:rPr>
              <w:t>类）计取，人民币</w:t>
            </w:r>
            <w:r>
              <w:rPr>
                <w:rFonts w:hint="eastAsia" w:ascii="宋体" w:hAnsi="宋体" w:cs="宋体"/>
                <w:snapToGrid w:val="0"/>
                <w:color w:val="auto"/>
                <w:kern w:val="28"/>
                <w:sz w:val="24"/>
                <w:highlight w:val="none"/>
                <w:lang w:eastAsia="zh-CN"/>
              </w:rPr>
              <w:t>伍仟肆佰</w:t>
            </w:r>
            <w:r>
              <w:rPr>
                <w:rFonts w:hint="eastAsia" w:ascii="宋体" w:hAnsi="宋体" w:eastAsia="宋体" w:cs="宋体"/>
                <w:snapToGrid w:val="0"/>
                <w:color w:val="auto"/>
                <w:kern w:val="28"/>
                <w:sz w:val="24"/>
                <w:highlight w:val="none"/>
              </w:rPr>
              <w:fldChar w:fldCharType="begin"/>
            </w:r>
            <w:r>
              <w:rPr>
                <w:rFonts w:hint="eastAsia" w:ascii="宋体" w:hAnsi="宋体" w:eastAsia="宋体" w:cs="宋体"/>
                <w:snapToGrid w:val="0"/>
                <w:color w:val="auto"/>
                <w:kern w:val="28"/>
                <w:sz w:val="24"/>
                <w:highlight w:val="none"/>
              </w:rPr>
              <w:instrText xml:space="preserve"> = 6900 \* CHINESENUM4 \* MERGEFORMAT </w:instrText>
            </w:r>
            <w:r>
              <w:rPr>
                <w:rFonts w:hint="eastAsia" w:ascii="宋体" w:hAnsi="宋体" w:eastAsia="宋体" w:cs="宋体"/>
                <w:snapToGrid w:val="0"/>
                <w:color w:val="auto"/>
                <w:kern w:val="28"/>
                <w:sz w:val="24"/>
                <w:highlight w:val="none"/>
              </w:rPr>
              <w:fldChar w:fldCharType="separate"/>
            </w:r>
            <w:r>
              <w:rPr>
                <w:rFonts w:hint="eastAsia" w:ascii="宋体" w:hAnsi="宋体" w:eastAsia="宋体" w:cs="宋体"/>
                <w:snapToGrid w:val="0"/>
                <w:color w:val="auto"/>
                <w:kern w:val="28"/>
                <w:sz w:val="24"/>
                <w:highlight w:val="none"/>
              </w:rPr>
              <w:t>元整</w:t>
            </w:r>
            <w:r>
              <w:rPr>
                <w:rFonts w:hint="eastAsia" w:ascii="宋体" w:hAnsi="宋体" w:eastAsia="宋体" w:cs="宋体"/>
                <w:snapToGrid w:val="0"/>
                <w:color w:val="auto"/>
                <w:kern w:val="28"/>
                <w:sz w:val="24"/>
                <w:highlight w:val="none"/>
              </w:rPr>
              <w:fldChar w:fldCharType="end"/>
            </w:r>
            <w:r>
              <w:rPr>
                <w:rFonts w:hint="eastAsia" w:ascii="宋体" w:hAnsi="宋体" w:eastAsia="宋体" w:cs="宋体"/>
                <w:snapToGrid w:val="0"/>
                <w:color w:val="auto"/>
                <w:kern w:val="28"/>
                <w:sz w:val="24"/>
                <w:highlight w:val="none"/>
              </w:rPr>
              <w:t>（¥：</w:t>
            </w:r>
            <w:r>
              <w:rPr>
                <w:rFonts w:hint="eastAsia" w:ascii="宋体" w:hAnsi="宋体" w:cs="宋体"/>
                <w:snapToGrid w:val="0"/>
                <w:color w:val="auto"/>
                <w:kern w:val="28"/>
                <w:sz w:val="24"/>
                <w:highlight w:val="none"/>
                <w:lang w:val="en-US" w:eastAsia="zh-CN"/>
              </w:rPr>
              <w:t>5400.00</w:t>
            </w:r>
            <w:r>
              <w:rPr>
                <w:rFonts w:hint="eastAsia" w:ascii="宋体" w:hAnsi="宋体" w:eastAsia="宋体" w:cs="宋体"/>
                <w:snapToGrid w:val="0"/>
                <w:color w:val="auto"/>
                <w:kern w:val="28"/>
                <w:sz w:val="24"/>
                <w:highlight w:val="none"/>
              </w:rPr>
              <w:t>元），由成交供应商在领取成交通知书时支付给采购代理公司。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36976655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宋体" w:hAnsi="宋体" w:eastAsia="宋体" w:cs="宋体"/>
          <w:b/>
          <w:color w:val="auto"/>
          <w:sz w:val="32"/>
          <w:szCs w:val="20"/>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3" w:name="第三部分"/>
      <w:bookmarkStart w:id="14" w:name="_Toc164416483"/>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14746496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hd w:val="clea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hd w:val="clea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5"/>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5"/>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hd w:val="clear"/>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5"/>
        <w:shd w:val="clear"/>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5"/>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5"/>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6"/>
        <w:shd w:val="clear" w:color="auto"/>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28"/>
        <w:shd w:val="clear"/>
        <w:snapToGrid w:val="0"/>
        <w:spacing w:before="0"/>
        <w:ind w:firstLine="360"/>
        <w:rPr>
          <w:rFonts w:hint="eastAsia" w:ascii="宋体" w:hAnsi="宋体" w:eastAsia="宋体" w:cs="宋体"/>
          <w:color w:val="auto"/>
          <w:sz w:val="18"/>
          <w:szCs w:val="18"/>
          <w:highlight w:val="none"/>
        </w:rPr>
      </w:pPr>
    </w:p>
    <w:p>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5"/>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2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pPr>
        <w:pStyle w:val="12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shd w:val="clear"/>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shd w:val="clea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5"/>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hd w:val="clear"/>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5"/>
        <w:shd w:val="clea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10.投标文件的语言</w:t>
      </w:r>
    </w:p>
    <w:p>
      <w:pPr>
        <w:shd w:val="clea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5"/>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11.投标文件的组成</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7" w:name="_Hlk101259339"/>
      <w:r>
        <w:rPr>
          <w:rFonts w:hint="eastAsia" w:ascii="宋体" w:hAnsi="宋体" w:eastAsia="宋体" w:cs="宋体"/>
          <w:snapToGrid w:val="0"/>
          <w:color w:val="auto"/>
          <w:kern w:val="28"/>
          <w:sz w:val="24"/>
          <w:szCs w:val="20"/>
          <w:highlight w:val="none"/>
        </w:rPr>
        <w:t>联合协议</w:t>
      </w:r>
      <w:bookmarkEnd w:id="17"/>
      <w:r>
        <w:rPr>
          <w:rFonts w:hint="eastAsia" w:ascii="宋体" w:hAnsi="宋体" w:eastAsia="宋体" w:cs="宋体"/>
          <w:snapToGrid w:val="0"/>
          <w:color w:val="auto"/>
          <w:kern w:val="28"/>
          <w:sz w:val="24"/>
          <w:szCs w:val="20"/>
          <w:highlight w:val="none"/>
        </w:rPr>
        <w:t>（如果有)；</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hd w:val="clea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11.2.3分包意向协议（如果有)；</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hd w:val="clea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hd w:val="clea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r>
        <w:rPr>
          <w:rFonts w:hint="eastAsia" w:ascii="宋体" w:hAnsi="宋体" w:cs="宋体"/>
          <w:color w:val="auto"/>
          <w:sz w:val="24"/>
          <w:highlight w:val="none"/>
          <w:lang w:eastAsia="zh-CN"/>
        </w:rPr>
        <w:t>（如果有）</w:t>
      </w:r>
      <w:r>
        <w:rPr>
          <w:rFonts w:hint="eastAsia" w:ascii="宋体" w:hAnsi="宋体" w:eastAsia="宋体" w:cs="宋体"/>
          <w:color w:val="auto"/>
          <w:sz w:val="24"/>
          <w:highlight w:val="none"/>
        </w:rPr>
        <w:t>。</w:t>
      </w:r>
    </w:p>
    <w:p>
      <w:pPr>
        <w:shd w:val="clea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hd w:val="clea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28"/>
        <w:shd w:val="clear"/>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投标文件的编制</w:t>
      </w:r>
    </w:p>
    <w:p>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2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14.投标文件的提交、补充、修改、撤回</w:t>
      </w:r>
    </w:p>
    <w:p>
      <w:pPr>
        <w:pStyle w:val="12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7"/>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hint="eastAsia" w:ascii="宋体" w:hAnsi="宋体" w:eastAsia="宋体" w:cs="宋体"/>
          <w:b/>
          <w:color w:val="auto"/>
          <w:sz w:val="32"/>
          <w:highlight w:val="none"/>
        </w:rPr>
      </w:pPr>
    </w:p>
    <w:p>
      <w:pPr>
        <w:pStyle w:val="12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18.开标 </w:t>
      </w:r>
    </w:p>
    <w:p>
      <w:pPr>
        <w:pStyle w:val="55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19</w:t>
      </w:r>
      <w:r>
        <w:rPr>
          <w:rFonts w:hint="eastAsia" w:ascii="宋体" w:hAnsi="宋体" w:eastAsia="宋体" w:cs="宋体"/>
          <w:b/>
          <w:color w:val="auto"/>
          <w:szCs w:val="24"/>
          <w:highlight w:val="none"/>
          <w:lang w:val="en-US" w:eastAsia="zh-CN"/>
        </w:rPr>
        <w:t>.</w:t>
      </w:r>
      <w:r>
        <w:rPr>
          <w:rFonts w:hint="eastAsia" w:ascii="宋体" w:hAnsi="宋体" w:eastAsia="宋体" w:cs="宋体"/>
          <w:b/>
          <w:color w:val="auto"/>
          <w:szCs w:val="24"/>
          <w:highlight w:val="none"/>
        </w:rPr>
        <w:t>资格审查</w:t>
      </w:r>
    </w:p>
    <w:p>
      <w:pPr>
        <w:pStyle w:val="554"/>
        <w:spacing w:before="0" w:line="360" w:lineRule="auto"/>
        <w:ind w:left="0" w:firstLine="480" w:firstLineChars="200"/>
        <w:contextualSpacing/>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19.1采购人或采购代理机构依据法律法规和招标文件的规定，对投标人的资格进行审查。</w:t>
      </w:r>
    </w:p>
    <w:p>
      <w:pPr>
        <w:pStyle w:val="554"/>
        <w:spacing w:before="0" w:line="360" w:lineRule="auto"/>
        <w:ind w:left="0" w:firstLine="480" w:firstLineChars="200"/>
        <w:contextualSpacing/>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19.2投标人未按照招标文件要求提供与资格条件相应的有效资格证明材料的，视为投标人不具备招标文件中规定的资格要求，其投标无效。</w:t>
      </w:r>
    </w:p>
    <w:p>
      <w:pPr>
        <w:pStyle w:val="554"/>
        <w:spacing w:before="0" w:line="360" w:lineRule="auto"/>
        <w:ind w:left="0" w:firstLine="480" w:firstLineChars="200"/>
        <w:contextualSpacing/>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19.3对未通过资格审查的投标人，采购人或采购代理机构告知其未通过的原因。</w:t>
      </w:r>
    </w:p>
    <w:p>
      <w:pPr>
        <w:pStyle w:val="554"/>
        <w:spacing w:before="0" w:line="360" w:lineRule="auto"/>
        <w:ind w:left="0" w:firstLine="480" w:firstLineChars="200"/>
        <w:contextualSpacing/>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19.4合格投标人不足3家的，不再评标。</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eastAsia="宋体" w:cs="宋体"/>
          <w:b/>
          <w:color w:val="auto"/>
          <w:szCs w:val="24"/>
          <w:highlight w:val="none"/>
        </w:rPr>
        <w:t>信用信息查询</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、政府采购严重违法失信行为记录名单的投标人将被拒绝参与政府采购活动。</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8"/>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22.确定中标供应商</w:t>
      </w:r>
    </w:p>
    <w:p>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hd w:val="clear"/>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23.中标通知与中标结果公告</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p>
    <w:p>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7"/>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24.</w:t>
      </w:r>
      <w:r>
        <w:rPr>
          <w:rFonts w:hint="eastAsia" w:ascii="宋体" w:hAnsi="宋体" w:eastAsia="宋体" w:cs="宋体"/>
          <w:color w:val="auto"/>
          <w:highlight w:val="none"/>
        </w:rPr>
        <w:t>合同主要条款详见第五部分拟签订的合同文本。</w:t>
      </w:r>
    </w:p>
    <w:p>
      <w:pPr>
        <w:pStyle w:val="27"/>
        <w:shd w:val="clear"/>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25.合同的签订</w:t>
      </w:r>
    </w:p>
    <w:p>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hd w:val="clear"/>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29.</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7"/>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011"/>
      <w:bookmarkEnd w:id="19"/>
      <w:bookmarkStart w:id="20" w:name="_Hlt68057669"/>
      <w:bookmarkEnd w:id="20"/>
      <w:bookmarkStart w:id="21" w:name="_Hlt74729768"/>
      <w:bookmarkEnd w:id="21"/>
      <w:bookmarkStart w:id="22" w:name="_Hlt68403820"/>
      <w:bookmarkEnd w:id="22"/>
      <w:bookmarkStart w:id="23" w:name="_Hlt74730295"/>
      <w:bookmarkEnd w:id="23"/>
      <w:bookmarkStart w:id="24" w:name="_Hlt75236290"/>
      <w:bookmarkEnd w:id="24"/>
      <w:bookmarkStart w:id="25" w:name="_Hlt68073093"/>
      <w:bookmarkEnd w:id="25"/>
      <w:bookmarkStart w:id="26" w:name="_Hlt74707468"/>
      <w:bookmarkEnd w:id="26"/>
      <w:bookmarkStart w:id="27" w:name="_Hlt68072990"/>
      <w:bookmarkEnd w:id="27"/>
      <w:bookmarkStart w:id="28" w:name="_Hlt75236101"/>
      <w:bookmarkEnd w:id="28"/>
      <w:bookmarkStart w:id="29" w:name="_Hlt74714665"/>
      <w:bookmarkEnd w:id="29"/>
      <w:bookmarkStart w:id="30" w:name="_Hlt68072998"/>
      <w:bookmarkEnd w:id="30"/>
    </w:p>
    <w:bookmarkEnd w:id="13"/>
    <w:bookmarkEnd w:id="14"/>
    <w:p>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pPr>
        <w:widowControl/>
        <w:shd w:val="clear"/>
        <w:tabs>
          <w:tab w:val="left" w:pos="425"/>
          <w:tab w:val="left" w:pos="747"/>
        </w:tabs>
        <w:spacing w:line="400" w:lineRule="exact"/>
        <w:ind w:left="0" w:leftChars="0" w:firstLine="0" w:firstLineChars="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&lt;</w:t>
      </w: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&gt;采购内容</w:t>
      </w:r>
    </w:p>
    <w:tbl>
      <w:tblPr>
        <w:tblStyle w:val="72"/>
        <w:tblW w:w="8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2741"/>
        <w:gridCol w:w="2062"/>
        <w:gridCol w:w="475"/>
        <w:gridCol w:w="475"/>
        <w:gridCol w:w="2166"/>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485"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41"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采购内容</w:t>
            </w:r>
          </w:p>
        </w:tc>
        <w:tc>
          <w:tcPr>
            <w:tcW w:w="2062" w:type="dxa"/>
            <w:vAlign w:val="center"/>
          </w:tcPr>
          <w:p>
            <w:pPr>
              <w:widowControl/>
              <w:tabs>
                <w:tab w:val="left" w:pos="360"/>
              </w:tabs>
              <w:spacing w:line="240" w:lineRule="auto"/>
              <w:ind w:left="0" w:leftChars="0"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主要服务技术</w:t>
            </w:r>
          </w:p>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要求</w:t>
            </w:r>
          </w:p>
        </w:tc>
        <w:tc>
          <w:tcPr>
            <w:tcW w:w="475"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单位</w:t>
            </w:r>
          </w:p>
        </w:tc>
        <w:tc>
          <w:tcPr>
            <w:tcW w:w="475"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数量</w:t>
            </w:r>
          </w:p>
        </w:tc>
        <w:tc>
          <w:tcPr>
            <w:tcW w:w="2166"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预算总价（元）</w:t>
            </w:r>
          </w:p>
        </w:tc>
        <w:tc>
          <w:tcPr>
            <w:tcW w:w="523"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485"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1</w:t>
            </w:r>
          </w:p>
        </w:tc>
        <w:tc>
          <w:tcPr>
            <w:tcW w:w="2741" w:type="dxa"/>
            <w:vAlign w:val="center"/>
          </w:tcPr>
          <w:p>
            <w:pPr>
              <w:widowControl/>
              <w:tabs>
                <w:tab w:val="left" w:pos="360"/>
              </w:tabs>
              <w:spacing w:line="240" w:lineRule="auto"/>
              <w:ind w:left="0" w:leftChars="0" w:firstLine="0" w:firstLineChars="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建德市公安局2024年电子数据勘验取证实验室设备更新升级项目</w:t>
            </w:r>
          </w:p>
        </w:tc>
        <w:tc>
          <w:tcPr>
            <w:tcW w:w="2062" w:type="dxa"/>
            <w:vAlign w:val="center"/>
          </w:tcPr>
          <w:p>
            <w:pPr>
              <w:widowControl/>
              <w:tabs>
                <w:tab w:val="left" w:pos="360"/>
              </w:tabs>
              <w:spacing w:line="240" w:lineRule="auto"/>
              <w:ind w:left="0" w:leftChars="0"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详见</w:t>
            </w:r>
          </w:p>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“&lt;二&gt;采购需求”</w:t>
            </w:r>
          </w:p>
        </w:tc>
        <w:tc>
          <w:tcPr>
            <w:tcW w:w="475"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项</w:t>
            </w:r>
          </w:p>
        </w:tc>
        <w:tc>
          <w:tcPr>
            <w:tcW w:w="475"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rPr>
              <w:t>1</w:t>
            </w:r>
          </w:p>
        </w:tc>
        <w:tc>
          <w:tcPr>
            <w:tcW w:w="2166" w:type="dxa"/>
            <w:vAlign w:val="center"/>
          </w:tcPr>
          <w:p>
            <w:pPr>
              <w:widowControl/>
              <w:tabs>
                <w:tab w:val="left" w:pos="360"/>
              </w:tabs>
              <w:spacing w:line="240" w:lineRule="auto"/>
              <w:ind w:left="0" w:leftChars="0" w:firstLine="0" w:firstLineChars="0"/>
              <w:jc w:val="center"/>
              <w:rPr>
                <w:rFonts w:ascii="宋体" w:hAnsi="宋体" w:cs="宋体"/>
                <w:color w:val="auto"/>
                <w:sz w:val="24"/>
                <w:highlight w:val="none"/>
              </w:rPr>
            </w:pPr>
            <w:r>
              <w:rPr>
                <w:rFonts w:hint="eastAsia" w:ascii="宋体" w:hAnsi="宋体" w:cs="宋体"/>
                <w:color w:val="auto"/>
                <w:sz w:val="24"/>
                <w:highlight w:val="none"/>
                <w:lang w:val="en-US" w:eastAsia="zh-CN"/>
              </w:rPr>
              <w:t>360000.00</w:t>
            </w:r>
          </w:p>
        </w:tc>
        <w:tc>
          <w:tcPr>
            <w:tcW w:w="523" w:type="dxa"/>
            <w:vAlign w:val="center"/>
          </w:tcPr>
          <w:p>
            <w:pPr>
              <w:widowControl/>
              <w:tabs>
                <w:tab w:val="left" w:pos="360"/>
              </w:tabs>
              <w:spacing w:line="24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927" w:type="dxa"/>
            <w:gridSpan w:val="7"/>
            <w:vAlign w:val="center"/>
          </w:tcPr>
          <w:p>
            <w:pPr>
              <w:widowControl/>
              <w:tabs>
                <w:tab w:val="left" w:pos="360"/>
              </w:tabs>
              <w:jc w:val="both"/>
              <w:rPr>
                <w:rFonts w:ascii="宋体" w:hAnsi="宋体" w:cs="宋体"/>
                <w:b/>
                <w:bCs/>
                <w:color w:val="auto"/>
                <w:kern w:val="0"/>
                <w:sz w:val="24"/>
                <w:highlight w:val="none"/>
                <w:u w:val="single"/>
              </w:rPr>
            </w:pPr>
            <w:r>
              <w:rPr>
                <w:rFonts w:hint="eastAsia" w:ascii="宋体" w:hAnsi="宋体" w:cs="宋体"/>
                <w:b/>
                <w:bCs/>
                <w:color w:val="auto"/>
                <w:kern w:val="0"/>
                <w:sz w:val="24"/>
                <w:highlight w:val="none"/>
              </w:rPr>
              <w:t>预算总价：人民币（大写）</w:t>
            </w:r>
            <w:r>
              <w:rPr>
                <w:rFonts w:hint="eastAsia" w:ascii="宋体" w:hAnsi="宋体" w:cs="宋体"/>
                <w:b/>
                <w:bCs/>
                <w:color w:val="auto"/>
                <w:kern w:val="0"/>
                <w:sz w:val="24"/>
                <w:highlight w:val="none"/>
                <w:u w:val="single"/>
                <w:lang w:val="en-US" w:eastAsia="zh-CN"/>
              </w:rPr>
              <w:t>叁拾陆万</w:t>
            </w:r>
            <w:r>
              <w:rPr>
                <w:rFonts w:hint="eastAsia" w:ascii="宋体" w:hAnsi="宋体" w:cs="宋体"/>
                <w:b/>
                <w:bCs/>
                <w:color w:val="auto"/>
                <w:kern w:val="0"/>
                <w:sz w:val="24"/>
                <w:highlight w:val="none"/>
                <w:u w:val="single"/>
              </w:rPr>
              <w:fldChar w:fldCharType="begin"/>
            </w:r>
            <w:r>
              <w:rPr>
                <w:rFonts w:hint="eastAsia" w:ascii="宋体" w:hAnsi="宋体" w:cs="宋体"/>
                <w:b/>
                <w:bCs/>
                <w:color w:val="auto"/>
                <w:kern w:val="0"/>
                <w:sz w:val="24"/>
                <w:highlight w:val="none"/>
                <w:u w:val="single"/>
              </w:rPr>
              <w:instrText xml:space="preserve"> = 460000 \* CHINESENUM4 \* MERGEFORMAT </w:instrText>
            </w:r>
            <w:r>
              <w:rPr>
                <w:rFonts w:hint="eastAsia" w:ascii="宋体" w:hAnsi="宋体" w:cs="宋体"/>
                <w:b/>
                <w:bCs/>
                <w:color w:val="auto"/>
                <w:kern w:val="0"/>
                <w:sz w:val="24"/>
                <w:highlight w:val="none"/>
                <w:u w:val="single"/>
              </w:rPr>
              <w:fldChar w:fldCharType="separate"/>
            </w:r>
            <w:r>
              <w:rPr>
                <w:rFonts w:hint="eastAsia" w:ascii="宋体" w:hAnsi="宋体" w:cs="宋体"/>
                <w:b/>
                <w:bCs/>
                <w:color w:val="auto"/>
                <w:kern w:val="0"/>
                <w:sz w:val="24"/>
                <w:highlight w:val="none"/>
                <w:u w:val="single"/>
              </w:rPr>
              <w:t>元整</w:t>
            </w:r>
            <w:r>
              <w:rPr>
                <w:rFonts w:hint="eastAsia" w:ascii="宋体" w:hAnsi="宋体" w:cs="宋体"/>
                <w:b/>
                <w:bCs/>
                <w:color w:val="auto"/>
                <w:kern w:val="0"/>
                <w:sz w:val="24"/>
                <w:highlight w:val="none"/>
                <w:u w:val="single"/>
              </w:rPr>
              <w:fldChar w:fldCharType="end"/>
            </w:r>
            <w:r>
              <w:rPr>
                <w:rFonts w:hint="eastAsia" w:ascii="宋体" w:hAnsi="宋体" w:cs="宋体"/>
                <w:b/>
                <w:bCs/>
                <w:color w:val="auto"/>
                <w:kern w:val="0"/>
                <w:sz w:val="24"/>
                <w:highlight w:val="none"/>
                <w:u w:val="single"/>
              </w:rPr>
              <w:t>（￥</w:t>
            </w:r>
            <w:r>
              <w:rPr>
                <w:rFonts w:hint="eastAsia" w:ascii="宋体" w:hAnsi="宋体" w:cs="宋体"/>
                <w:b/>
                <w:bCs/>
                <w:color w:val="auto"/>
                <w:kern w:val="0"/>
                <w:sz w:val="24"/>
                <w:highlight w:val="none"/>
                <w:u w:val="single"/>
                <w:lang w:val="en-US" w:eastAsia="zh-CN"/>
              </w:rPr>
              <w:t>360000.00</w:t>
            </w:r>
            <w:r>
              <w:rPr>
                <w:rFonts w:hint="eastAsia" w:ascii="宋体" w:hAnsi="宋体" w:cs="宋体"/>
                <w:b/>
                <w:bCs/>
                <w:color w:val="auto"/>
                <w:kern w:val="0"/>
                <w:sz w:val="24"/>
                <w:highlight w:val="none"/>
                <w:u w:val="single"/>
              </w:rPr>
              <w:t>元）</w:t>
            </w:r>
          </w:p>
        </w:tc>
      </w:tr>
    </w:tbl>
    <w:p>
      <w:pPr>
        <w:ind w:left="0" w:leftChars="0" w:firstLine="0" w:firstLineChars="0"/>
        <w:rPr>
          <w:rFonts w:ascii="宋体" w:hAnsi="宋体" w:cs="宋体"/>
          <w:b/>
          <w:color w:val="auto"/>
          <w:sz w:val="28"/>
          <w:szCs w:val="28"/>
          <w:highlight w:val="none"/>
        </w:rPr>
      </w:pPr>
      <w:r>
        <w:rPr>
          <w:rFonts w:hint="eastAsia" w:ascii="宋体" w:hAnsi="宋体" w:cs="宋体"/>
          <w:bCs/>
          <w:color w:val="auto"/>
          <w:szCs w:val="21"/>
          <w:highlight w:val="none"/>
        </w:rPr>
        <w:t>注：以上金额包括设备的设计、</w:t>
      </w:r>
      <w:r>
        <w:rPr>
          <w:rFonts w:hint="eastAsia" w:ascii="宋体" w:hAnsi="宋体" w:cs="宋体"/>
          <w:color w:val="auto"/>
          <w:szCs w:val="21"/>
          <w:highlight w:val="none"/>
        </w:rPr>
        <w:t>出场测试、</w:t>
      </w:r>
      <w:r>
        <w:rPr>
          <w:rFonts w:hint="eastAsia" w:ascii="宋体" w:hAnsi="宋体" w:cs="宋体"/>
          <w:bCs/>
          <w:color w:val="auto"/>
          <w:szCs w:val="21"/>
          <w:highlight w:val="none"/>
        </w:rPr>
        <w:t>装卸运输</w:t>
      </w:r>
      <w:r>
        <w:rPr>
          <w:rFonts w:hint="eastAsia" w:ascii="宋体" w:hAnsi="宋体" w:cs="宋体"/>
          <w:color w:val="auto"/>
          <w:szCs w:val="21"/>
          <w:highlight w:val="none"/>
        </w:rPr>
        <w:t>、安装调试、现场测试、</w:t>
      </w:r>
      <w:r>
        <w:rPr>
          <w:rFonts w:hint="eastAsia" w:ascii="宋体" w:hAnsi="宋体" w:cs="宋体"/>
          <w:bCs/>
          <w:color w:val="auto"/>
          <w:szCs w:val="21"/>
          <w:highlight w:val="none"/>
        </w:rPr>
        <w:t>维护、备品备件、培训、税金、</w:t>
      </w:r>
      <w:r>
        <w:rPr>
          <w:rFonts w:hint="eastAsia" w:ascii="宋体" w:hAnsi="宋体" w:cs="宋体"/>
          <w:color w:val="auto"/>
          <w:szCs w:val="21"/>
          <w:highlight w:val="none"/>
        </w:rPr>
        <w:t>验收</w:t>
      </w:r>
      <w:r>
        <w:rPr>
          <w:rFonts w:hint="eastAsia" w:ascii="宋体" w:hAnsi="宋体" w:cs="宋体"/>
          <w:bCs/>
          <w:color w:val="auto"/>
          <w:szCs w:val="21"/>
          <w:highlight w:val="none"/>
        </w:rPr>
        <w:t>、辅助工作及售后服务等完成该项目的所有费用。</w:t>
      </w:r>
    </w:p>
    <w:p>
      <w:pPr>
        <w:ind w:firstLine="480"/>
        <w:rPr>
          <w:rFonts w:hint="eastAsia"/>
          <w:color w:val="auto"/>
          <w:highlight w:val="none"/>
        </w:rPr>
      </w:pPr>
    </w:p>
    <w:p>
      <w:pPr>
        <w:widowControl/>
        <w:shd w:val="clear"/>
        <w:tabs>
          <w:tab w:val="left" w:pos="425"/>
          <w:tab w:val="left" w:pos="747"/>
        </w:tabs>
        <w:spacing w:line="360" w:lineRule="auto"/>
        <w:ind w:left="0" w:leftChars="0" w:firstLine="0" w:firstLineChars="0"/>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&lt;二&gt;</w:t>
      </w:r>
      <w:r>
        <w:rPr>
          <w:rFonts w:hint="eastAsia" w:ascii="宋体" w:hAnsi="宋体" w:eastAsia="宋体" w:cs="宋体"/>
          <w:b/>
          <w:color w:val="auto"/>
          <w:sz w:val="28"/>
          <w:szCs w:val="28"/>
          <w:highlight w:val="none"/>
          <w:lang w:val="en-US" w:eastAsia="zh-CN"/>
        </w:rPr>
        <w:t>采购需求</w:t>
      </w:r>
    </w:p>
    <w:p>
      <w:pPr>
        <w:numPr>
          <w:ilvl w:val="0"/>
          <w:numId w:val="0"/>
        </w:numPr>
        <w:spacing w:line="360" w:lineRule="auto"/>
        <w:jc w:val="left"/>
        <w:rPr>
          <w:rFonts w:hint="eastAsia" w:ascii="宋体" w:hAnsi="宋体" w:cs="仿宋_GB2312"/>
          <w:color w:val="auto"/>
          <w:sz w:val="24"/>
          <w:highlight w:val="none"/>
          <w:lang w:eastAsia="zh-CN"/>
        </w:rPr>
      </w:pPr>
      <w:r>
        <w:rPr>
          <w:rFonts w:hint="eastAsia" w:ascii="宋体" w:hAnsi="宋体" w:cs="仿宋_GB2312"/>
          <w:color w:val="auto"/>
          <w:sz w:val="24"/>
          <w:highlight w:val="none"/>
          <w:lang w:eastAsia="zh-CN"/>
        </w:rPr>
        <w:t>一、采购清单</w:t>
      </w:r>
    </w:p>
    <w:p>
      <w:pPr>
        <w:spacing w:line="360" w:lineRule="auto"/>
        <w:ind w:firstLine="480" w:firstLineChars="200"/>
        <w:jc w:val="left"/>
        <w:rPr>
          <w:rFonts w:hint="eastAsia" w:ascii="宋体" w:hAnsi="宋体"/>
          <w:iCs/>
          <w:color w:val="auto"/>
          <w:sz w:val="24"/>
          <w:highlight w:val="none"/>
        </w:rPr>
      </w:pPr>
      <w:r>
        <w:rPr>
          <w:rFonts w:hint="eastAsia" w:ascii="宋体" w:hAnsi="宋体" w:cs="仿宋_GB2312"/>
          <w:color w:val="auto"/>
          <w:sz w:val="24"/>
          <w:highlight w:val="none"/>
        </w:rPr>
        <w:t>采购标的（1）</w:t>
      </w:r>
    </w:p>
    <w:tbl>
      <w:tblPr>
        <w:tblStyle w:val="72"/>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left"/>
              <w:rPr>
                <w:rFonts w:hint="eastAsia" w:ascii="宋体" w:hAnsi="宋体"/>
                <w:iCs/>
                <w:color w:val="auto"/>
                <w:sz w:val="24"/>
                <w:highlight w:val="none"/>
              </w:rPr>
            </w:pPr>
            <w:r>
              <w:rPr>
                <w:rFonts w:hint="eastAsia" w:ascii="宋体" w:hAnsi="宋体"/>
                <w:iCs/>
                <w:color w:val="auto"/>
                <w:sz w:val="24"/>
                <w:highlight w:val="none"/>
              </w:rPr>
              <w:t>标的内容</w:t>
            </w:r>
          </w:p>
        </w:tc>
        <w:tc>
          <w:tcPr>
            <w:tcW w:w="6804" w:type="dxa"/>
            <w:gridSpan w:val="3"/>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只读接口</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left"/>
              <w:rPr>
                <w:rFonts w:hint="eastAsia" w:ascii="宋体" w:hAnsi="宋体"/>
                <w:iCs/>
                <w:color w:val="auto"/>
                <w:sz w:val="24"/>
                <w:highlight w:val="none"/>
              </w:rPr>
            </w:pPr>
            <w:r>
              <w:rPr>
                <w:rFonts w:hint="eastAsia" w:ascii="宋体" w:hAnsi="宋体"/>
                <w:iCs/>
                <w:color w:val="auto"/>
                <w:sz w:val="24"/>
                <w:highlight w:val="none"/>
              </w:rPr>
              <w:t>数量</w:t>
            </w:r>
          </w:p>
        </w:tc>
        <w:tc>
          <w:tcPr>
            <w:tcW w:w="2409" w:type="dxa"/>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w:t>
            </w:r>
          </w:p>
        </w:tc>
        <w:tc>
          <w:tcPr>
            <w:tcW w:w="1360" w:type="dxa"/>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单位</w:t>
            </w:r>
          </w:p>
        </w:tc>
        <w:tc>
          <w:tcPr>
            <w:tcW w:w="3035" w:type="dxa"/>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458" w:type="dxa"/>
            <w:shd w:val="clear" w:color="auto" w:fill="auto"/>
          </w:tcPr>
          <w:p>
            <w:pPr>
              <w:spacing w:line="360" w:lineRule="auto"/>
              <w:jc w:val="left"/>
              <w:rPr>
                <w:rFonts w:hint="eastAsia" w:ascii="宋体" w:hAnsi="宋体"/>
                <w:iCs/>
                <w:color w:val="auto"/>
                <w:sz w:val="24"/>
                <w:highlight w:val="none"/>
              </w:rPr>
            </w:pPr>
            <w:r>
              <w:rPr>
                <w:rFonts w:hint="eastAsia" w:ascii="宋体" w:hAnsi="宋体"/>
                <w:iCs/>
                <w:color w:val="auto"/>
                <w:sz w:val="24"/>
                <w:highlight w:val="none"/>
              </w:rPr>
              <w:t>功能和质量</w:t>
            </w:r>
          </w:p>
          <w:p>
            <w:pPr>
              <w:spacing w:line="360" w:lineRule="auto"/>
              <w:jc w:val="left"/>
              <w:rPr>
                <w:rFonts w:hint="eastAsia" w:ascii="宋体" w:hAnsi="宋体"/>
                <w:iCs/>
                <w:color w:val="auto"/>
                <w:sz w:val="24"/>
                <w:highlight w:val="none"/>
              </w:rPr>
            </w:pPr>
            <w:r>
              <w:rPr>
                <w:rFonts w:hint="eastAsia" w:ascii="宋体" w:hAnsi="宋体"/>
                <w:iCs/>
                <w:color w:val="auto"/>
                <w:sz w:val="24"/>
                <w:highlight w:val="none"/>
              </w:rPr>
              <w:t>要求</w:t>
            </w:r>
          </w:p>
        </w:tc>
        <w:tc>
          <w:tcPr>
            <w:tcW w:w="6804" w:type="dxa"/>
            <w:gridSpan w:val="3"/>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 设备体积小巧，方便携带，可放入取证桌或者塔内使用；</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2. 系统采用多种基于硬件底层的只读接口,可以有效保证各种存储介质内的数据在接入后以及在分析过程中不被修改,要求符合电子物证数据的司法公正性规范要求；</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3. 设备CPU采用国产芯片；</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4. 设备提供的接口，包括但不限于1个SATA只读接口、1个USB-A只读接口、1个USB-C只读接口、1个U.2只读接口、1个多功能读卡器只读接口；</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5. 需要支持2.5寸SATA硬盘直接接入，无需转接线；</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6. 需要支持U.2硬盘直接接入设备，无需转接线；</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7. 配套各类硬盘转接配件，可实现SATA、IDE、M.2 NVMe、M.2 NGFF、mSATA、U.2、U盘、TF卡、SD卡、CF卡等各类接口硬盘进行只读接入；</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8. 支持使用Type-C接口的氮化镓电源供电。</w:t>
            </w:r>
          </w:p>
        </w:tc>
      </w:tr>
    </w:tbl>
    <w:p>
      <w:pPr>
        <w:spacing w:line="360" w:lineRule="auto"/>
        <w:ind w:firstLine="480" w:firstLineChars="200"/>
        <w:jc w:val="left"/>
        <w:rPr>
          <w:rFonts w:hint="eastAsia" w:ascii="宋体" w:hAnsi="宋体"/>
          <w:iCs/>
          <w:color w:val="auto"/>
          <w:sz w:val="24"/>
          <w:highlight w:val="none"/>
        </w:rPr>
      </w:pPr>
    </w:p>
    <w:p>
      <w:pPr>
        <w:spacing w:line="360" w:lineRule="auto"/>
        <w:ind w:firstLine="480" w:firstLineChars="200"/>
        <w:jc w:val="left"/>
        <w:rPr>
          <w:rFonts w:hint="eastAsia" w:ascii="宋体" w:hAnsi="宋体"/>
          <w:iCs/>
          <w:color w:val="auto"/>
          <w:sz w:val="24"/>
          <w:highlight w:val="none"/>
        </w:rPr>
      </w:pPr>
    </w:p>
    <w:p>
      <w:pPr>
        <w:spacing w:line="360" w:lineRule="auto"/>
        <w:jc w:val="left"/>
        <w:rPr>
          <w:rFonts w:hint="eastAsia" w:ascii="宋体" w:hAnsi="宋体"/>
          <w:iCs/>
          <w:color w:val="auto"/>
          <w:sz w:val="24"/>
          <w:highlight w:val="none"/>
        </w:rPr>
      </w:pPr>
      <w:r>
        <w:rPr>
          <w:rFonts w:hint="eastAsia" w:ascii="宋体" w:hAnsi="宋体" w:cs="仿宋_GB2312"/>
          <w:color w:val="auto"/>
          <w:sz w:val="24"/>
          <w:highlight w:val="none"/>
        </w:rPr>
        <w:t>采购</w:t>
      </w:r>
      <w:r>
        <w:rPr>
          <w:rFonts w:hint="eastAsia" w:ascii="宋体" w:hAnsi="宋体"/>
          <w:iCs/>
          <w:color w:val="auto"/>
          <w:sz w:val="24"/>
          <w:highlight w:val="none"/>
        </w:rPr>
        <w:t>标的（2）</w:t>
      </w:r>
    </w:p>
    <w:tbl>
      <w:tblPr>
        <w:tblStyle w:val="72"/>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left"/>
              <w:rPr>
                <w:rFonts w:hint="eastAsia" w:ascii="宋体" w:hAnsi="宋体"/>
                <w:iCs/>
                <w:color w:val="auto"/>
                <w:sz w:val="24"/>
                <w:highlight w:val="none"/>
              </w:rPr>
            </w:pPr>
            <w:r>
              <w:rPr>
                <w:rFonts w:hint="eastAsia" w:ascii="宋体" w:hAnsi="宋体"/>
                <w:iCs/>
                <w:color w:val="auto"/>
                <w:sz w:val="24"/>
                <w:highlight w:val="none"/>
              </w:rPr>
              <w:t>标的内容</w:t>
            </w:r>
          </w:p>
        </w:tc>
        <w:tc>
          <w:tcPr>
            <w:tcW w:w="6804" w:type="dxa"/>
            <w:gridSpan w:val="3"/>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现场勘验系统套装</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left"/>
              <w:rPr>
                <w:rFonts w:hint="eastAsia" w:ascii="宋体" w:hAnsi="宋体"/>
                <w:iCs/>
                <w:color w:val="auto"/>
                <w:sz w:val="24"/>
                <w:highlight w:val="none"/>
              </w:rPr>
            </w:pPr>
            <w:r>
              <w:rPr>
                <w:rFonts w:hint="eastAsia" w:ascii="宋体" w:hAnsi="宋体"/>
                <w:iCs/>
                <w:color w:val="auto"/>
                <w:sz w:val="24"/>
                <w:highlight w:val="none"/>
              </w:rPr>
              <w:t>数量</w:t>
            </w:r>
          </w:p>
        </w:tc>
        <w:tc>
          <w:tcPr>
            <w:tcW w:w="2409" w:type="dxa"/>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w:t>
            </w:r>
          </w:p>
        </w:tc>
        <w:tc>
          <w:tcPr>
            <w:tcW w:w="1360" w:type="dxa"/>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单位</w:t>
            </w:r>
          </w:p>
        </w:tc>
        <w:tc>
          <w:tcPr>
            <w:tcW w:w="3035" w:type="dxa"/>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458" w:type="dxa"/>
            <w:shd w:val="clear" w:color="auto" w:fill="auto"/>
          </w:tcPr>
          <w:p>
            <w:pPr>
              <w:spacing w:line="360" w:lineRule="auto"/>
              <w:jc w:val="left"/>
              <w:rPr>
                <w:rFonts w:hint="eastAsia" w:ascii="宋体" w:hAnsi="宋体"/>
                <w:iCs/>
                <w:color w:val="auto"/>
                <w:sz w:val="24"/>
                <w:highlight w:val="none"/>
              </w:rPr>
            </w:pPr>
            <w:r>
              <w:rPr>
                <w:rFonts w:hint="eastAsia" w:ascii="宋体" w:hAnsi="宋体"/>
                <w:iCs/>
                <w:color w:val="auto"/>
                <w:sz w:val="24"/>
                <w:highlight w:val="none"/>
              </w:rPr>
              <w:t>功能和质量</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要求</w:t>
            </w:r>
          </w:p>
        </w:tc>
        <w:tc>
          <w:tcPr>
            <w:tcW w:w="6804" w:type="dxa"/>
            <w:gridSpan w:val="3"/>
            <w:shd w:val="clear" w:color="auto" w:fill="auto"/>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一、硬件参数要求：</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1）硬件设备小巧，设备不大于146mm*98mm*17mm</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2）设备内置不少于2块2TB M.2高速SSD固态硬盘，使用硬RAID技术，可以充当大容量移动硬盘使用，拷贝完成可直接进行数据查看；</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3）支持双通道不拆机磁盘取证，不拆机极速取证，最快拷贝速度不低于54GB/min ；</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4）设备采用USB3.1 Type-C接口，兼容雷电4、雷电3、USB4、USB3.2、USB3.1、USB3.0和USB2.0接口的电脑，且普通电脑和Type-C接口电脑都可使用，无需转接头。</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二、软件参数要求：</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1）支持在多种语言的目标电脑环境下取证，且在非中文语言下界面中文显示；</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 xml:space="preserve">2）支持T2/M1/M2/M3芯片的苹果电脑的明文数据获取； </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3）支持Windows、Mac OS X和Linux系统关机状态下拷贝；（投标人需提供软件截图证明）</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4）开机状态设备使用痕迹自动清理，无痕办案；</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▲5）即拷即看，拷贝完成即可直接查看数据，无需重组；</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6） 支持对ARM平台的Windows电脑关机引导取证（针对Surface Pro X、Huawei MateBook E系列等ARM平台的电脑）；</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7）支持不少于三种镜像格式，包括“DD”、“DMG”和“E01”；</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▲8）内置法证PE，取证过程中不改变目标硬盘MD5值；（投标人须提供现场功能演示）</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9）支持不少于3种哈希计算方式，包括“MD5”、“SHA-1”和“SHA-256”；</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10）内置不少于8款PE系统，提高PE启动成功率；</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11）支持目标硬盘基本信息自动获取，包括容量、已使用大小等；</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12）内置法证PE，取证过程中不改变磁盘镜像的MD5值。</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13)支持对硬盘和完整的硬盘镜像文件和启动卷镜像进行仿真，仿真过程中不改变硬盘和镜像文件的原始状态；</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14)支持E01、DD、DMG、QCOW2、VMDK等不少于5种镜像格式的镜像文件仿真；</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15)支持网络驱动器中的镜像仿真；</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16)支持Windows、Mac和Linux系列常见发行版本操作系统的仿真；</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17)支持麒麟、红旗等主流国产操作系统的仿真；</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18)支持Vmware ESXi操作系统的仿真；</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19)支持自动提取仿真系统内的系统信息包括系统版本、用户信息、登录次数等信息；</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20)支持自定义选择指定操作系统进行仿真；</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21)支持对多个硬盘的目标电脑的硬盘或镜像进行仿真；</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 xml:space="preserve">22)支持Windows、Mac和Linux系列常见发行版本操作系统的登录密码重置功能； </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 xml:space="preserve">23)支持Windows操作系统的登录密码常规跳密和内存跳密两种方式； </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24)支持Windows操作系统的登录Hash提取，且支持生成破密Hash二维码；</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25)支持获取Windows操作系统的登录明文密码；</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 xml:space="preserve">26)支持检测Bitlocker加密分区，并支持使用恢复密钥和密码进行解锁仿真； </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27)支持对仿真过程中的疑难问题进行诊断，有效解决系统蓝屏、操作系统不识别和Windows、Mac OS X双系统无法识别等问题；</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28)支持自动修复Linux系统启动的故障，一键修复快速仿真；</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29)支持在目标系统中检测并提取EFS加密文件；</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30)支持CPU虚拟化引擎设置；</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31)支持对虚拟机的网卡模式进行设置；</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32)支持对虚拟机硬盘类型设置，包括IDE、SCSI、SATA和NVME至少四种设置方式；</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33)支持仿真案例管理功能，对仿真案例进行修改和删除；</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34)支持GHO镜像文件转换成VMDK镜像文件；</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35）支持多厂商云备份数据的获取、解析和查看，包括iCloud云、小米云、华为云、OPPO云、VIVO云等；</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36）支持华为手机恢复出厂设置后，通过华为云备份进行第三方应用的数据提取；</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3</w:t>
            </w:r>
            <w:r>
              <w:rPr>
                <w:rFonts w:hint="eastAsia" w:ascii="宋体" w:hAnsi="宋体"/>
                <w:iCs/>
                <w:color w:val="auto"/>
                <w:sz w:val="24"/>
                <w:highlight w:val="none"/>
                <w:lang w:val="en-US" w:eastAsia="zh-CN"/>
              </w:rPr>
              <w:t>7</w:t>
            </w:r>
            <w:r>
              <w:rPr>
                <w:rFonts w:hint="eastAsia" w:ascii="宋体" w:hAnsi="宋体"/>
                <w:iCs/>
                <w:color w:val="auto"/>
                <w:sz w:val="24"/>
                <w:highlight w:val="none"/>
              </w:rPr>
              <w:t>）支持获取微信、支付宝的账单数据，包括红包、转账、消费、回收站订单等交易记录；</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38）支持获取Telegram聊天记录、聊天附件、好友列表、群组列表等数据；支持Telegram已退出群聊的数据提取；支持telegram保留登录状态，登录有效期内可多次免密登录；</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39）支持获取微信、Skype、QQ、TIM、钉钉、飞书、陌陌、Discord等社交类应用存储在云端的数据，包括账号名、聊天附件、聊天记录等；</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40）支持获取Twitter、Facebook、Instagram、微博、天涯、今日头条、豆瓣、百度贴吧等互动类应用存储在云端的数据，包括账号信息、聊天记录、发布内容等；</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41)支持获取百度网盘、阿里云盘、和彩云、WPS等云盘类应用存储在云端的数据，包括用户信息、云盘文件等等;</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42）支持获取QQ邮箱、网易邮箱、谷歌邮箱、139邮箱、189邮箱、新浪邮箱、Outlook、YahooMail、ProtonMail等邮箱类应用存储在云端的邮件数据，包括账号信息、联系人信息、邮件内容，邮件附件等；</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43）支持通过邮箱协议获取邮件数据，包括账号信息、邮件内容、邮件附件等；</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44）支持获取淘宝、京东、拼多多、美团、饿了么、天猫、小米商城、千牛等购物类应用存储在云端的订单数据，包括订单时间、消费金额、订单内容等详细信息；</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45）支持获取携程、去哪儿、滴滴、高德地图、同程、艺龙旅行、华住会、飞猪、首旅如家等出行类应用存储在云端的订票数据，包括订单时间、用户信息、出发地和到达地等详细信息；</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46）支持获取有道云笔记、语雀等笔记类应用存储在云端的数据，包括用户信息、笔记等。</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47)支持获取抖音、快手、Tik Tok等视频类应用存储在云端的数据，包括用户信息、关注、发布内容等。</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48)支持获取顺丰、圆通、中通、申通、韵达等快递类应用存储在云端的数据，包括用户信息、地址、收发记录等。</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49)支持获取中国移动、电信、联通、大众点评、闪送等生活服务类应用存储在云端的数据，包括用户信息、交易记录等</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50)支持ToDesk、向日葵等远程类应用存储在云端的数据，包括用户信息、设备列表等。</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51)支持二次云取证，多次获取存储在云端的数据，并展示最新数据。</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52)支持通过手机号码对APP的注册情况进行探测。</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53)支持获取已注册但卸载或删除的应用的云端数据。</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53)支持通过配置动作元素，实现批量自助取证：</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55）支持取证过程自动化，无需用户手动填充验证码，自动登录与提取；</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56）提供词云分析功能，支持全局词云与好友词云分析，直观显示数据词条数量；</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57）提供经济行为分析功能，支持对微信及支付宝账单进行解析展示，并将交易金额信息进行多种方式排序，如转账金额大小、次数排序和转账记录时间轴方式展示等；</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58）支持经济行为流向分析功能，对取得的微信及支付宝账单数据加以分析，再以图形化界面清晰展示资金来源及流向；</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59）提供文件溯源功能，通过分析收发的文件及图片等附件，将其具体来源及流向进行图形化展示，清晰展示文件收发关系；</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60）提供时间轴分析功能，并有两种分类方式：按时间粒度展示、按应用使用频率展示，支持细化到应用的联系人，并支持对应用进行过滤；</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61）支持地理位置分析，可将社交聊天应用中包含的地理位置在地图中标记并进行频率统计；</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62）提供免安装版且无硬件绑定的案例查看器，便于查看案例并支持数据过滤、关键字搜索、导出报告及BCP包功能；</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63）支持对案例所有数据进行全局关键字搜索，自动按照账号、聊天记录、媒体文件类别对结果进行分类展示，并支持搜索结果上下文关联查看;</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64）支持数据过滤，快速定位重要数据，提高工作效率;</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65）提供虚拟聊天室功能，可自行将聊天记录中的敏感信息导入其中，便于筛选信息交流中的关键数据;</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66）提供检查笔录功能，可以对检查笔录模板自行进行编辑或者修改;</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67）支持取证结束后一键导出完整案例报告，也支持自定义导出（如：只导出单个联系人）数据报告，支持HTML、PDF、Doc三种报告格式;</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68）支持图片分析，可以进行图片分类识别与图片OCR文字识别。</w:t>
            </w:r>
          </w:p>
        </w:tc>
      </w:tr>
    </w:tbl>
    <w:p>
      <w:pPr>
        <w:spacing w:line="360" w:lineRule="auto"/>
        <w:ind w:firstLine="480" w:firstLineChars="200"/>
        <w:jc w:val="left"/>
        <w:rPr>
          <w:rFonts w:hint="eastAsia" w:ascii="宋体" w:hAnsi="宋体"/>
          <w:iCs/>
          <w:color w:val="auto"/>
          <w:sz w:val="24"/>
          <w:highlight w:val="none"/>
        </w:rPr>
      </w:pPr>
      <w:r>
        <w:rPr>
          <w:rFonts w:hint="eastAsia" w:ascii="宋体" w:hAnsi="宋体" w:cs="仿宋_GB2312"/>
          <w:color w:val="auto"/>
          <w:sz w:val="24"/>
          <w:highlight w:val="none"/>
        </w:rPr>
        <w:t>采购</w:t>
      </w:r>
      <w:r>
        <w:rPr>
          <w:rFonts w:hint="eastAsia" w:ascii="宋体" w:hAnsi="宋体"/>
          <w:iCs/>
          <w:color w:val="auto"/>
          <w:sz w:val="24"/>
          <w:highlight w:val="none"/>
        </w:rPr>
        <w:t>标的（3）</w:t>
      </w:r>
    </w:p>
    <w:tbl>
      <w:tblPr>
        <w:tblStyle w:val="72"/>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left"/>
              <w:rPr>
                <w:rFonts w:hint="eastAsia" w:ascii="宋体" w:hAnsi="宋体"/>
                <w:iCs/>
                <w:color w:val="auto"/>
                <w:sz w:val="24"/>
                <w:highlight w:val="none"/>
              </w:rPr>
            </w:pPr>
            <w:r>
              <w:rPr>
                <w:rFonts w:hint="eastAsia" w:ascii="宋体" w:hAnsi="宋体"/>
                <w:iCs/>
                <w:color w:val="auto"/>
                <w:sz w:val="24"/>
                <w:highlight w:val="none"/>
              </w:rPr>
              <w:t>标的内容</w:t>
            </w:r>
          </w:p>
        </w:tc>
        <w:tc>
          <w:tcPr>
            <w:tcW w:w="6804" w:type="dxa"/>
            <w:gridSpan w:val="3"/>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耗材</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left"/>
              <w:rPr>
                <w:rFonts w:hint="eastAsia" w:ascii="宋体" w:hAnsi="宋体"/>
                <w:iCs/>
                <w:color w:val="auto"/>
                <w:sz w:val="24"/>
                <w:highlight w:val="none"/>
              </w:rPr>
            </w:pPr>
            <w:r>
              <w:rPr>
                <w:rFonts w:hint="eastAsia" w:ascii="宋体" w:hAnsi="宋体"/>
                <w:iCs/>
                <w:color w:val="auto"/>
                <w:sz w:val="24"/>
                <w:highlight w:val="none"/>
              </w:rPr>
              <w:t>数量</w:t>
            </w:r>
          </w:p>
        </w:tc>
        <w:tc>
          <w:tcPr>
            <w:tcW w:w="2409" w:type="dxa"/>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3</w:t>
            </w:r>
          </w:p>
        </w:tc>
        <w:tc>
          <w:tcPr>
            <w:tcW w:w="1360" w:type="dxa"/>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单位</w:t>
            </w:r>
          </w:p>
        </w:tc>
        <w:tc>
          <w:tcPr>
            <w:tcW w:w="3035" w:type="dxa"/>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458" w:type="dxa"/>
            <w:shd w:val="clear" w:color="auto" w:fill="auto"/>
          </w:tcPr>
          <w:p>
            <w:pPr>
              <w:spacing w:line="360" w:lineRule="auto"/>
              <w:jc w:val="left"/>
              <w:rPr>
                <w:rFonts w:hint="eastAsia" w:ascii="宋体" w:hAnsi="宋体"/>
                <w:iCs/>
                <w:color w:val="auto"/>
                <w:sz w:val="24"/>
                <w:highlight w:val="none"/>
              </w:rPr>
            </w:pPr>
            <w:r>
              <w:rPr>
                <w:rFonts w:hint="eastAsia" w:ascii="宋体" w:hAnsi="宋体"/>
                <w:iCs/>
                <w:color w:val="auto"/>
                <w:sz w:val="24"/>
                <w:highlight w:val="none"/>
              </w:rPr>
              <w:t>功能和质量</w:t>
            </w:r>
          </w:p>
          <w:p>
            <w:pPr>
              <w:spacing w:line="360" w:lineRule="auto"/>
              <w:jc w:val="left"/>
              <w:rPr>
                <w:rFonts w:hint="eastAsia" w:ascii="宋体" w:hAnsi="宋体"/>
                <w:iCs/>
                <w:color w:val="auto"/>
                <w:sz w:val="24"/>
                <w:highlight w:val="none"/>
              </w:rPr>
            </w:pPr>
            <w:r>
              <w:rPr>
                <w:rFonts w:hint="eastAsia" w:ascii="宋体" w:hAnsi="宋体"/>
                <w:iCs/>
                <w:color w:val="auto"/>
                <w:sz w:val="24"/>
                <w:highlight w:val="none"/>
              </w:rPr>
              <w:t>要求</w:t>
            </w:r>
          </w:p>
        </w:tc>
        <w:tc>
          <w:tcPr>
            <w:tcW w:w="6804" w:type="dxa"/>
            <w:gridSpan w:val="3"/>
            <w:shd w:val="clear" w:color="auto" w:fill="auto"/>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耗材要求:</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1、提供可打印刻录盘700MB100片</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 xml:space="preserve">2、提供可打印刻录盘 4.7G200片 </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3、提供可打印刻录盘 8.5G100 片</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4、64G 以上U盘 30个</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5、128G 以上U盘 20个</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6、物证封存袋 300个:尺寸大小不低于 210*340*0.8mm;300*500*0.8mm</w:t>
            </w:r>
          </w:p>
        </w:tc>
      </w:tr>
    </w:tbl>
    <w:p>
      <w:pPr>
        <w:spacing w:line="360" w:lineRule="auto"/>
        <w:ind w:firstLine="480" w:firstLineChars="200"/>
        <w:jc w:val="left"/>
        <w:rPr>
          <w:rFonts w:hint="eastAsia" w:ascii="宋体" w:hAnsi="宋体"/>
          <w:iCs/>
          <w:color w:val="auto"/>
          <w:sz w:val="24"/>
          <w:highlight w:val="none"/>
        </w:rPr>
      </w:pPr>
      <w:r>
        <w:rPr>
          <w:rFonts w:hint="eastAsia" w:ascii="宋体" w:hAnsi="宋体" w:cs="仿宋_GB2312"/>
          <w:color w:val="auto"/>
          <w:sz w:val="24"/>
          <w:highlight w:val="none"/>
        </w:rPr>
        <w:t>采购</w:t>
      </w:r>
      <w:r>
        <w:rPr>
          <w:rFonts w:hint="eastAsia" w:ascii="宋体" w:hAnsi="宋体"/>
          <w:iCs/>
          <w:color w:val="auto"/>
          <w:sz w:val="24"/>
          <w:highlight w:val="none"/>
        </w:rPr>
        <w:t>标的（4）</w:t>
      </w:r>
    </w:p>
    <w:tbl>
      <w:tblPr>
        <w:tblStyle w:val="72"/>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left"/>
              <w:rPr>
                <w:rFonts w:hint="eastAsia" w:ascii="宋体" w:hAnsi="宋体"/>
                <w:iCs/>
                <w:color w:val="auto"/>
                <w:sz w:val="24"/>
                <w:highlight w:val="none"/>
              </w:rPr>
            </w:pPr>
            <w:r>
              <w:rPr>
                <w:rFonts w:hint="eastAsia" w:ascii="宋体" w:hAnsi="宋体"/>
                <w:iCs/>
                <w:color w:val="auto"/>
                <w:sz w:val="24"/>
                <w:highlight w:val="none"/>
              </w:rPr>
              <w:t>标的内容</w:t>
            </w:r>
          </w:p>
        </w:tc>
        <w:tc>
          <w:tcPr>
            <w:tcW w:w="6804" w:type="dxa"/>
            <w:gridSpan w:val="3"/>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硬盘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数量</w:t>
            </w:r>
          </w:p>
        </w:tc>
        <w:tc>
          <w:tcPr>
            <w:tcW w:w="2409" w:type="dxa"/>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20</w:t>
            </w:r>
          </w:p>
        </w:tc>
        <w:tc>
          <w:tcPr>
            <w:tcW w:w="1360" w:type="dxa"/>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单位</w:t>
            </w:r>
          </w:p>
        </w:tc>
        <w:tc>
          <w:tcPr>
            <w:tcW w:w="3035" w:type="dxa"/>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458" w:type="dxa"/>
            <w:shd w:val="clear" w:color="auto" w:fill="auto"/>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功能和质量</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要求</w:t>
            </w:r>
          </w:p>
        </w:tc>
        <w:tc>
          <w:tcPr>
            <w:tcW w:w="6804" w:type="dxa"/>
            <w:gridSpan w:val="3"/>
            <w:shd w:val="clear" w:color="auto" w:fill="auto"/>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硬盘要求:</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硬盘容量不低于 14T，6GB/S  256M 7200转</w:t>
            </w:r>
          </w:p>
        </w:tc>
      </w:tr>
    </w:tbl>
    <w:p>
      <w:pPr>
        <w:spacing w:line="360" w:lineRule="auto"/>
        <w:ind w:firstLine="480" w:firstLineChars="200"/>
        <w:jc w:val="left"/>
        <w:rPr>
          <w:rFonts w:hint="eastAsia" w:ascii="宋体" w:hAnsi="宋体"/>
          <w:iCs/>
          <w:color w:val="auto"/>
          <w:sz w:val="24"/>
          <w:highlight w:val="none"/>
        </w:rPr>
      </w:pPr>
      <w:r>
        <w:rPr>
          <w:rFonts w:hint="eastAsia" w:ascii="宋体" w:hAnsi="宋体" w:cs="仿宋_GB2312"/>
          <w:color w:val="auto"/>
          <w:sz w:val="24"/>
          <w:highlight w:val="none"/>
        </w:rPr>
        <w:t>采购</w:t>
      </w:r>
      <w:r>
        <w:rPr>
          <w:rFonts w:hint="eastAsia" w:ascii="宋体" w:hAnsi="宋体"/>
          <w:iCs/>
          <w:color w:val="auto"/>
          <w:sz w:val="24"/>
          <w:highlight w:val="none"/>
        </w:rPr>
        <w:t>标的（5）</w:t>
      </w:r>
    </w:p>
    <w:tbl>
      <w:tblPr>
        <w:tblStyle w:val="72"/>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left"/>
              <w:rPr>
                <w:rFonts w:hint="eastAsia" w:ascii="宋体" w:hAnsi="宋体"/>
                <w:iCs/>
                <w:color w:val="auto"/>
                <w:sz w:val="24"/>
                <w:highlight w:val="none"/>
              </w:rPr>
            </w:pPr>
            <w:r>
              <w:rPr>
                <w:rFonts w:hint="eastAsia" w:ascii="宋体" w:hAnsi="宋体"/>
                <w:iCs/>
                <w:color w:val="auto"/>
                <w:sz w:val="24"/>
                <w:highlight w:val="none"/>
              </w:rPr>
              <w:t>标的内容</w:t>
            </w:r>
          </w:p>
        </w:tc>
        <w:tc>
          <w:tcPr>
            <w:tcW w:w="6804" w:type="dxa"/>
            <w:gridSpan w:val="3"/>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视频会议终端</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left"/>
              <w:rPr>
                <w:rFonts w:hint="eastAsia" w:ascii="宋体" w:hAnsi="宋体"/>
                <w:iCs/>
                <w:color w:val="auto"/>
                <w:sz w:val="24"/>
                <w:highlight w:val="none"/>
              </w:rPr>
            </w:pPr>
            <w:r>
              <w:rPr>
                <w:rFonts w:hint="eastAsia" w:ascii="宋体" w:hAnsi="宋体"/>
                <w:iCs/>
                <w:color w:val="auto"/>
                <w:sz w:val="24"/>
                <w:highlight w:val="none"/>
              </w:rPr>
              <w:t>数量</w:t>
            </w:r>
          </w:p>
        </w:tc>
        <w:tc>
          <w:tcPr>
            <w:tcW w:w="2409" w:type="dxa"/>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w:t>
            </w:r>
          </w:p>
        </w:tc>
        <w:tc>
          <w:tcPr>
            <w:tcW w:w="1360" w:type="dxa"/>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单位</w:t>
            </w:r>
          </w:p>
        </w:tc>
        <w:tc>
          <w:tcPr>
            <w:tcW w:w="3035" w:type="dxa"/>
            <w:shd w:val="clear" w:color="auto" w:fill="auto"/>
            <w:vAlign w:val="center"/>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套</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458" w:type="dxa"/>
            <w:shd w:val="clear" w:color="auto" w:fill="auto"/>
          </w:tcPr>
          <w:p>
            <w:pPr>
              <w:spacing w:line="360" w:lineRule="auto"/>
              <w:jc w:val="left"/>
              <w:rPr>
                <w:rFonts w:hint="eastAsia" w:ascii="宋体" w:hAnsi="宋体"/>
                <w:iCs/>
                <w:color w:val="auto"/>
                <w:sz w:val="24"/>
                <w:highlight w:val="none"/>
              </w:rPr>
            </w:pPr>
            <w:r>
              <w:rPr>
                <w:rFonts w:hint="eastAsia" w:ascii="宋体" w:hAnsi="宋体"/>
                <w:iCs/>
                <w:color w:val="auto"/>
                <w:sz w:val="24"/>
                <w:highlight w:val="none"/>
              </w:rPr>
              <w:t>功能和质量</w:t>
            </w:r>
          </w:p>
          <w:p>
            <w:pPr>
              <w:spacing w:line="360" w:lineRule="auto"/>
              <w:jc w:val="left"/>
              <w:rPr>
                <w:rFonts w:hint="eastAsia" w:ascii="宋体" w:hAnsi="宋体"/>
                <w:iCs/>
                <w:color w:val="auto"/>
                <w:sz w:val="24"/>
                <w:highlight w:val="none"/>
              </w:rPr>
            </w:pPr>
            <w:r>
              <w:rPr>
                <w:rFonts w:hint="eastAsia" w:ascii="宋体" w:hAnsi="宋体"/>
                <w:iCs/>
                <w:color w:val="auto"/>
                <w:sz w:val="24"/>
                <w:highlight w:val="none"/>
              </w:rPr>
              <w:t>要求</w:t>
            </w:r>
          </w:p>
        </w:tc>
        <w:tc>
          <w:tcPr>
            <w:tcW w:w="6804" w:type="dxa"/>
            <w:gridSpan w:val="3"/>
            <w:shd w:val="clear" w:color="auto" w:fill="auto"/>
          </w:tcPr>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视频会议终端要求：</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1.视频会议终端需与杭州市公安局网警分局MCU实现无缝数字对接，互联互通。不得采用模拟背靠背的方式对接MCU，需提供设备制造厂商出具的无缝对接承诺文件。</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▲2．采用嵌入式硬件一体化结构，内置高清双摄像头、编解码器、数字麦克等，部署便捷。</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3．终端需采用国产嵌入式操作系统。</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4．终端核心元器件采用国产化设计，包括内置摄像机镜头、电机驱动控制芯片、视音频编解码单元、CPU处理单元、电源芯片、电源开关芯片、时钟芯片、存储芯片等。（投标人需提供检测报告证明）</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5．支持ITU-T H.323和IETF SIP、RTC通信标准。（投标人需提供检测报告证明）</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6．支持H.264、H.264 High Profile、H.265视频编解码协议，具备较强的兼容性。</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7．支持G.711、G.722、G.728、G.722.1AnnexC、G.719、MPEG4-AAC LC/LD、Opus等音频协议，可达到20KHz以上的宽频效果。</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8．除内置摄像机外，还需独立提供不少于1路高清视频输入、2路高清视频输出接口、1路10/100M/1000M以太网接口，不得采用私有非标接口或转接线缆实现。（投标人需提供检测报告证明）</w:t>
            </w:r>
          </w:p>
          <w:p>
            <w:pPr>
              <w:spacing w:line="360" w:lineRule="auto"/>
              <w:ind w:firstLine="480" w:firstLineChars="200"/>
              <w:jc w:val="left"/>
              <w:rPr>
                <w:rFonts w:hint="eastAsia" w:ascii="宋体" w:hAnsi="宋体"/>
                <w:iCs/>
                <w:color w:val="auto"/>
                <w:sz w:val="24"/>
                <w:highlight w:val="none"/>
              </w:rPr>
            </w:pPr>
            <w:r>
              <w:rPr>
                <w:rFonts w:hint="eastAsia" w:ascii="宋体" w:hAnsi="宋体"/>
                <w:iCs/>
                <w:color w:val="auto"/>
                <w:sz w:val="24"/>
                <w:highlight w:val="none"/>
              </w:rPr>
              <w:t>9．支持国家密码局认定的国产密码算法，支持SM1、SM2、SM3、SM4加密算法。（投标人需提供检测报告证明）</w:t>
            </w:r>
          </w:p>
        </w:tc>
      </w:tr>
    </w:tbl>
    <w:p>
      <w:pPr>
        <w:widowControl/>
        <w:snapToGrid w:val="0"/>
        <w:spacing w:line="360" w:lineRule="auto"/>
        <w:ind w:firstLine="480" w:firstLineChars="200"/>
        <w:rPr>
          <w:rFonts w:hint="eastAsia" w:ascii="宋体" w:hAnsi="宋体" w:eastAsia="宋体" w:cs="宋体"/>
          <w:color w:val="auto"/>
          <w:kern w:val="0"/>
          <w:sz w:val="24"/>
          <w:highlight w:val="none"/>
          <w:lang w:val="en-US" w:eastAsia="zh-CN"/>
        </w:rPr>
      </w:pPr>
    </w:p>
    <w:p>
      <w:pPr>
        <w:widowControl/>
        <w:shd w:val="clear"/>
        <w:tabs>
          <w:tab w:val="left" w:pos="425"/>
          <w:tab w:val="left" w:pos="747"/>
        </w:tabs>
        <w:spacing w:line="360" w:lineRule="auto"/>
        <w:ind w:left="0" w:leftChars="0" w:firstLine="0" w:firstLineChars="0"/>
        <w:jc w:val="lef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&lt;</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&gt;</w:t>
      </w:r>
      <w:r>
        <w:rPr>
          <w:rFonts w:hint="eastAsia" w:ascii="宋体" w:hAnsi="宋体" w:eastAsia="宋体" w:cs="宋体"/>
          <w:b/>
          <w:color w:val="auto"/>
          <w:sz w:val="28"/>
          <w:szCs w:val="28"/>
          <w:highlight w:val="none"/>
          <w:lang w:val="en-US" w:eastAsia="zh-CN"/>
        </w:rPr>
        <w:t>商务条款</w:t>
      </w:r>
    </w:p>
    <w:p>
      <w:pPr>
        <w:autoSpaceDE w:val="0"/>
        <w:autoSpaceDN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1、采购的总体要求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1）必须符合招标文件(包括补充更正，如有)的技术要求和配置；必须是国内相应制造厂商生产并提供的原装合格产品；必须是202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1月1日</w:t>
      </w:r>
      <w:r>
        <w:rPr>
          <w:rFonts w:hint="eastAsia" w:ascii="宋体" w:hAnsi="宋体" w:eastAsia="宋体" w:cs="宋体"/>
          <w:color w:val="auto"/>
          <w:sz w:val="24"/>
          <w:highlight w:val="none"/>
        </w:rPr>
        <w:t>以后生产的、符合国家质量技术标准的设备。</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2）售后服务按国家市场监督管理总局和国家其他有关规定执行，国家没有规定的按厂商规定执行。国家规定标准低于厂商标准的按厂商标准执行，但最低免费原厂质保服务期不得少于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p>
    <w:p>
      <w:pPr>
        <w:shd w:val="clear" w:color="auto" w:fill="auto"/>
        <w:autoSpaceDE w:val="0"/>
        <w:autoSpaceDN w:val="0"/>
        <w:adjustRightInd w:val="0"/>
        <w:snapToGrid w:val="0"/>
        <w:spacing w:line="360" w:lineRule="auto"/>
        <w:ind w:right="-178" w:rightChars="-85"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付款方式</w:t>
      </w:r>
    </w:p>
    <w:p>
      <w:pPr>
        <w:autoSpaceDE w:val="0"/>
        <w:autoSpaceDN w:val="0"/>
        <w:snapToGrid w:val="0"/>
        <w:spacing w:line="360" w:lineRule="auto"/>
        <w:ind w:firstLine="480" w:firstLineChars="200"/>
        <w:textAlignment w:val="bottom"/>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按财务结算要求，通过银行划帐方式结算。</w:t>
      </w:r>
    </w:p>
    <w:p>
      <w:pPr>
        <w:autoSpaceDE w:val="0"/>
        <w:autoSpaceDN w:val="0"/>
        <w:snapToGrid w:val="0"/>
        <w:spacing w:line="360" w:lineRule="auto"/>
        <w:ind w:firstLine="482" w:firstLineChars="200"/>
        <w:textAlignment w:val="bottom"/>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、售后服务</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本项目提供≥3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r>
        <w:rPr>
          <w:rFonts w:hint="eastAsia" w:ascii="宋体" w:hAnsi="宋体" w:eastAsia="宋体" w:cs="宋体"/>
          <w:color w:val="auto"/>
          <w:sz w:val="24"/>
          <w:highlight w:val="none"/>
        </w:rPr>
        <w:t>。</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在设备（或系统）整个使用期内，供应商应确保正常使用，在接到用户维修要求后在1小时内响应并提出解决方案，4小时内到达现场对故障进行处理，维修过程中所需材料供应商在接到通知后应及时提供，最长不超过48小时必须送达。若48小时内无法修复的，应及时提供相应备用设备并负责安装调试，为此，供应商应提供相应承诺书</w:t>
      </w:r>
      <w:r>
        <w:rPr>
          <w:rFonts w:hint="eastAsia" w:ascii="宋体" w:hAnsi="宋体" w:eastAsia="宋体" w:cs="宋体"/>
          <w:color w:val="auto"/>
          <w:sz w:val="24"/>
          <w:highlight w:val="none"/>
          <w:lang w:val="en-US" w:eastAsia="zh-CN"/>
        </w:rPr>
        <w:t>。</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）在质保期内，中标供应商应负责对其提供的设备进行现场维修、损坏件更换，不收取额外费用，响应时间必须满足采购人工作正常运行的要求</w:t>
      </w:r>
      <w:r>
        <w:rPr>
          <w:rFonts w:hint="eastAsia" w:ascii="宋体" w:hAnsi="宋体" w:eastAsia="宋体" w:cs="宋体"/>
          <w:color w:val="auto"/>
          <w:sz w:val="24"/>
          <w:highlight w:val="none"/>
          <w:lang w:val="en-US" w:eastAsia="zh-CN"/>
        </w:rPr>
        <w:t>。</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供应商在投标文件中须说明保修期内提供的服务计划。</w:t>
      </w:r>
    </w:p>
    <w:p>
      <w:pPr>
        <w:autoSpaceDE w:val="0"/>
        <w:autoSpaceDN w:val="0"/>
        <w:snapToGrid w:val="0"/>
        <w:spacing w:line="360" w:lineRule="auto"/>
        <w:ind w:right="-178" w:rightChars="-85" w:firstLine="482" w:firstLineChars="200"/>
        <w:textAlignment w:val="bottom"/>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培训</w:t>
      </w:r>
    </w:p>
    <w:p>
      <w:pPr>
        <w:autoSpaceDE w:val="0"/>
        <w:autoSpaceDN w:val="0"/>
        <w:snapToGrid w:val="0"/>
        <w:spacing w:line="360" w:lineRule="auto"/>
        <w:ind w:right="-178" w:rightChars="-85"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投标单位应提供相应的培训计划，详细说明培训的方式、地点、人数、时间等实质性内容。</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完成时间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交付期限：合同签订生效之日起</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日历天内送达、安装调试完成并通过验收。如在规定的时间内由于中标人的原因不能送达货物并安装调试完成通过验收的，中标人应承担由此给</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造成的损失。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交付地点：</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lang w:val="en-US"/>
        </w:rPr>
        <w:t>指定地点</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交付方式：中标人提供中标货物的安装、培训和技术指导。</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、验收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1）中标人应提供设备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的有效检验材料，经采购人认可后，与合同的技术指标一起作为验收标准。采购人对设备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验收合格后，出具验收报告并在《建德市政府采购物品验收反馈表》上签署意见并加盖单位公章。验收中发现设备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达不到验收标准或合同规定的技术指标，中标人必须更换，并负担由此给采购人造成的损失，直到验收合格为止。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2）投标人应于投标书中提供设备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系统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的验收标准和检测办法，并在验收中提供采购人认可的相应检测手段，验收标准应符合中国有关的国家、地方、行业的标准，如若中标，经采购人确认后作为验收的依据。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3）验收费用由中标人承担。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货</w:t>
      </w:r>
      <w:r>
        <w:rPr>
          <w:rFonts w:hint="eastAsia" w:ascii="宋体" w:hAnsi="宋体" w:eastAsia="宋体" w:cs="宋体"/>
          <w:b/>
          <w:bCs/>
          <w:color w:val="auto"/>
          <w:sz w:val="24"/>
          <w:highlight w:val="none"/>
          <w:lang w:val="en-US" w:eastAsia="zh-CN"/>
        </w:rPr>
        <w:t>款的结算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采购人根据合同、投标文件等资料进行验收。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项目款结算分期支付。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合同生效以及具备实施条件后5个工作日内</w:t>
      </w:r>
      <w:r>
        <w:rPr>
          <w:rFonts w:hint="eastAsia" w:ascii="宋体" w:hAnsi="宋体" w:eastAsia="宋体" w:cs="宋体"/>
          <w:color w:val="auto"/>
          <w:sz w:val="24"/>
          <w:highlight w:val="none"/>
          <w:lang w:eastAsia="zh-CN"/>
        </w:rPr>
        <w:t>，由</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rPr>
        <w:t>支付合同价的60%预付款；项目验收合格后，采购人向</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rPr>
        <w:t>支付剩余40%货款。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结算时中标人将结款申请1份、发票原件及复印件1份、合同复印件1份和经采购人验收确认的《建德市政府采购验收反馈表》（还需提供验收报告）提交采购人，采购人应自收到发票后5个工作日内支付相应款项。</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6、履约保证金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无。</w:t>
      </w:r>
    </w:p>
    <w:p>
      <w:pPr>
        <w:spacing w:line="360" w:lineRule="auto"/>
        <w:rPr>
          <w:rFonts w:hint="eastAsia" w:ascii="宋体" w:hAnsi="宋体" w:eastAsia="宋体" w:cs="宋体"/>
          <w:color w:val="auto"/>
          <w:sz w:val="24"/>
          <w:highlight w:val="none"/>
        </w:rPr>
      </w:pPr>
    </w:p>
    <w:p>
      <w:pPr>
        <w:widowControl/>
        <w:ind w:firstLine="720" w:firstLineChars="300"/>
        <w:jc w:val="left"/>
        <w:rPr>
          <w:rFonts w:hint="eastAsia" w:ascii="宋体" w:hAnsi="宋体" w:eastAsia="宋体" w:cs="宋体"/>
          <w:bCs/>
          <w:color w:val="auto"/>
          <w:sz w:val="24"/>
          <w:highlight w:val="none"/>
        </w:rPr>
      </w:pPr>
    </w:p>
    <w:p>
      <w:pPr>
        <w:rPr>
          <w:rFonts w:hint="eastAsia" w:ascii="宋体" w:hAnsi="宋体" w:eastAsia="宋体" w:cs="宋体"/>
          <w:snapToGrid w:val="0"/>
          <w:color w:val="auto"/>
          <w:kern w:val="0"/>
          <w:sz w:val="24"/>
          <w:highlight w:val="none"/>
        </w:r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2" w:name="_Toc184312114"/>
      <w:bookmarkEnd w:id="32"/>
      <w:bookmarkStart w:id="33" w:name="_Toc184310285"/>
      <w:bookmarkEnd w:id="33"/>
      <w:bookmarkStart w:id="34" w:name="_Toc184312084"/>
      <w:bookmarkEnd w:id="34"/>
      <w:bookmarkStart w:id="35" w:name="_Toc184313254"/>
      <w:bookmarkEnd w:id="35"/>
      <w:bookmarkStart w:id="36" w:name="_Toc184313256"/>
      <w:bookmarkEnd w:id="36"/>
      <w:bookmarkStart w:id="37" w:name="_Toc184314436"/>
      <w:bookmarkEnd w:id="37"/>
      <w:bookmarkStart w:id="38" w:name="_Toc184313291"/>
      <w:bookmarkEnd w:id="38"/>
      <w:bookmarkStart w:id="39" w:name="_Toc184308074"/>
      <w:bookmarkEnd w:id="39"/>
      <w:bookmarkStart w:id="40" w:name="_Toc184310337"/>
      <w:bookmarkEnd w:id="40"/>
      <w:bookmarkStart w:id="41" w:name="_Toc184308083"/>
      <w:bookmarkEnd w:id="41"/>
      <w:bookmarkStart w:id="42" w:name="_Toc184310305"/>
      <w:bookmarkEnd w:id="42"/>
      <w:bookmarkStart w:id="43" w:name="_Toc184310308"/>
      <w:bookmarkEnd w:id="43"/>
      <w:bookmarkStart w:id="44" w:name="_Toc184310336"/>
      <w:bookmarkEnd w:id="44"/>
      <w:bookmarkStart w:id="45" w:name="_Toc184314456"/>
      <w:bookmarkEnd w:id="45"/>
      <w:bookmarkStart w:id="46" w:name="_Toc184308052"/>
      <w:bookmarkEnd w:id="46"/>
      <w:bookmarkStart w:id="47" w:name="_Toc184310343"/>
      <w:bookmarkEnd w:id="47"/>
      <w:bookmarkStart w:id="48" w:name="_Toc184310332"/>
      <w:bookmarkEnd w:id="48"/>
      <w:bookmarkStart w:id="49" w:name="_Toc184310274"/>
      <w:bookmarkEnd w:id="49"/>
      <w:bookmarkStart w:id="50" w:name="_Toc184313292"/>
      <w:bookmarkEnd w:id="50"/>
      <w:bookmarkStart w:id="51" w:name="_Toc184308089"/>
      <w:bookmarkEnd w:id="51"/>
      <w:bookmarkStart w:id="52" w:name="_Toc184313301"/>
      <w:bookmarkEnd w:id="52"/>
      <w:bookmarkStart w:id="53" w:name="_Toc184308057"/>
      <w:bookmarkEnd w:id="53"/>
      <w:bookmarkStart w:id="54" w:name="_Toc184312081"/>
      <w:bookmarkEnd w:id="54"/>
      <w:bookmarkStart w:id="55" w:name="_Toc184314470"/>
      <w:bookmarkEnd w:id="55"/>
      <w:bookmarkStart w:id="56" w:name="_Toc184310288"/>
      <w:bookmarkEnd w:id="56"/>
      <w:bookmarkStart w:id="57" w:name="_Toc184308091"/>
      <w:bookmarkEnd w:id="57"/>
      <w:bookmarkStart w:id="58" w:name="_Toc184310284"/>
      <w:bookmarkEnd w:id="58"/>
      <w:bookmarkStart w:id="59" w:name="_Toc184310278"/>
      <w:bookmarkEnd w:id="59"/>
      <w:bookmarkStart w:id="60" w:name="_Toc184310292"/>
      <w:bookmarkEnd w:id="60"/>
      <w:bookmarkStart w:id="61" w:name="_Toc184308046"/>
      <w:bookmarkEnd w:id="61"/>
      <w:bookmarkStart w:id="62" w:name="_Toc184312092"/>
      <w:bookmarkEnd w:id="62"/>
      <w:bookmarkStart w:id="63" w:name="_Toc184312116"/>
      <w:bookmarkEnd w:id="63"/>
      <w:bookmarkStart w:id="64" w:name="_Toc184310273"/>
      <w:bookmarkEnd w:id="64"/>
      <w:bookmarkStart w:id="65" w:name="_Toc184308081"/>
      <w:bookmarkEnd w:id="65"/>
      <w:bookmarkStart w:id="66" w:name="_Toc184308039"/>
      <w:bookmarkEnd w:id="66"/>
      <w:bookmarkStart w:id="67" w:name="_Toc184308066"/>
      <w:bookmarkEnd w:id="67"/>
      <w:bookmarkStart w:id="68" w:name="_Toc184310294"/>
      <w:bookmarkEnd w:id="68"/>
      <w:bookmarkStart w:id="69" w:name="_Toc184313245"/>
      <w:bookmarkEnd w:id="69"/>
      <w:bookmarkStart w:id="70" w:name="_Toc184314452"/>
      <w:bookmarkEnd w:id="70"/>
      <w:bookmarkStart w:id="71" w:name="_Toc184308045"/>
      <w:bookmarkEnd w:id="71"/>
      <w:bookmarkStart w:id="72" w:name="_Toc184313300"/>
      <w:bookmarkEnd w:id="72"/>
      <w:bookmarkStart w:id="73" w:name="_Toc184310338"/>
      <w:bookmarkEnd w:id="73"/>
      <w:bookmarkStart w:id="74" w:name="_Toc184310323"/>
      <w:bookmarkEnd w:id="74"/>
      <w:bookmarkStart w:id="75" w:name="_Toc184314412"/>
      <w:bookmarkEnd w:id="75"/>
      <w:bookmarkStart w:id="76" w:name="_Toc184312130"/>
      <w:bookmarkEnd w:id="76"/>
      <w:bookmarkStart w:id="77" w:name="_Toc184308084"/>
      <w:bookmarkEnd w:id="77"/>
      <w:bookmarkStart w:id="78" w:name="_Toc184308094"/>
      <w:bookmarkEnd w:id="78"/>
      <w:bookmarkStart w:id="79" w:name="_Toc184310342"/>
      <w:bookmarkEnd w:id="79"/>
      <w:bookmarkStart w:id="80" w:name="_Toc184312138"/>
      <w:bookmarkEnd w:id="80"/>
      <w:bookmarkStart w:id="81" w:name="_Toc184313238"/>
      <w:bookmarkEnd w:id="81"/>
      <w:bookmarkStart w:id="82" w:name="_Toc184313272"/>
      <w:bookmarkEnd w:id="82"/>
      <w:bookmarkStart w:id="83" w:name="_Toc184308044"/>
      <w:bookmarkEnd w:id="83"/>
      <w:bookmarkStart w:id="84" w:name="_Toc184308087"/>
      <w:bookmarkEnd w:id="84"/>
      <w:bookmarkStart w:id="85" w:name="_Toc184314438"/>
      <w:bookmarkEnd w:id="85"/>
      <w:bookmarkStart w:id="86" w:name="_Toc184312133"/>
      <w:bookmarkEnd w:id="86"/>
      <w:bookmarkStart w:id="87" w:name="_Toc184312067"/>
      <w:bookmarkEnd w:id="87"/>
      <w:bookmarkStart w:id="88" w:name="_Toc184312071"/>
      <w:bookmarkEnd w:id="88"/>
      <w:bookmarkStart w:id="89" w:name="_Toc184312128"/>
      <w:bookmarkEnd w:id="89"/>
      <w:bookmarkStart w:id="90" w:name="_Toc184310283"/>
      <w:bookmarkEnd w:id="90"/>
      <w:bookmarkStart w:id="91" w:name="_Toc184310277"/>
      <w:bookmarkEnd w:id="91"/>
      <w:bookmarkStart w:id="92" w:name="_Toc184312077"/>
      <w:bookmarkEnd w:id="92"/>
      <w:bookmarkStart w:id="93" w:name="_Toc184314475"/>
      <w:bookmarkEnd w:id="93"/>
      <w:bookmarkStart w:id="94" w:name="_Toc184308105"/>
      <w:bookmarkEnd w:id="94"/>
      <w:bookmarkStart w:id="95" w:name="_Toc184314442"/>
      <w:bookmarkEnd w:id="95"/>
      <w:bookmarkStart w:id="96" w:name="_Toc184314458"/>
      <w:bookmarkEnd w:id="96"/>
      <w:bookmarkStart w:id="97" w:name="_Toc184308051"/>
      <w:bookmarkEnd w:id="97"/>
      <w:bookmarkStart w:id="98" w:name="_Toc184314453"/>
      <w:bookmarkEnd w:id="98"/>
      <w:bookmarkStart w:id="99" w:name="_Toc184312102"/>
      <w:bookmarkEnd w:id="99"/>
      <w:bookmarkStart w:id="100" w:name="_Toc184313308"/>
      <w:bookmarkEnd w:id="100"/>
      <w:bookmarkStart w:id="101" w:name="_Toc184310297"/>
      <w:bookmarkEnd w:id="101"/>
      <w:bookmarkStart w:id="102" w:name="_Toc184308043"/>
      <w:bookmarkEnd w:id="102"/>
      <w:bookmarkStart w:id="103" w:name="_Toc184314463"/>
      <w:bookmarkEnd w:id="103"/>
      <w:bookmarkStart w:id="104" w:name="_Toc184313273"/>
      <w:bookmarkEnd w:id="104"/>
      <w:bookmarkStart w:id="105" w:name="_Toc184312126"/>
      <w:bookmarkEnd w:id="105"/>
      <w:bookmarkStart w:id="106" w:name="_Toc184310325"/>
      <w:bookmarkEnd w:id="106"/>
      <w:bookmarkStart w:id="107" w:name="_Toc184310282"/>
      <w:bookmarkEnd w:id="107"/>
      <w:bookmarkStart w:id="108" w:name="_Toc184308077"/>
      <w:bookmarkEnd w:id="108"/>
      <w:bookmarkStart w:id="109" w:name="_Toc184310312"/>
      <w:bookmarkEnd w:id="109"/>
      <w:bookmarkStart w:id="110" w:name="_Toc184312129"/>
      <w:bookmarkEnd w:id="110"/>
      <w:bookmarkStart w:id="111" w:name="_Toc184314429"/>
      <w:bookmarkEnd w:id="111"/>
      <w:bookmarkStart w:id="112" w:name="_Toc184308050"/>
      <w:bookmarkEnd w:id="112"/>
      <w:bookmarkStart w:id="113" w:name="_Toc184313243"/>
      <w:bookmarkEnd w:id="113"/>
      <w:bookmarkStart w:id="114" w:name="_Toc184313259"/>
      <w:bookmarkEnd w:id="114"/>
      <w:bookmarkStart w:id="115" w:name="_Toc184313248"/>
      <w:bookmarkEnd w:id="115"/>
      <w:bookmarkStart w:id="116" w:name="_Toc184312075"/>
      <w:bookmarkEnd w:id="116"/>
      <w:bookmarkStart w:id="117" w:name="_Toc184313258"/>
      <w:bookmarkEnd w:id="117"/>
      <w:bookmarkStart w:id="118" w:name="_Toc184312118"/>
      <w:bookmarkEnd w:id="118"/>
      <w:bookmarkStart w:id="119" w:name="_Toc184313242"/>
      <w:bookmarkEnd w:id="119"/>
      <w:bookmarkStart w:id="120" w:name="_Toc184310304"/>
      <w:bookmarkEnd w:id="120"/>
      <w:bookmarkStart w:id="121" w:name="_Toc184310321"/>
      <w:bookmarkEnd w:id="121"/>
      <w:bookmarkStart w:id="122" w:name="_Toc184314462"/>
      <w:bookmarkEnd w:id="122"/>
      <w:bookmarkStart w:id="123" w:name="_Toc184308099"/>
      <w:bookmarkEnd w:id="123"/>
      <w:bookmarkStart w:id="124" w:name="_Toc184310280"/>
      <w:bookmarkEnd w:id="124"/>
      <w:bookmarkStart w:id="125" w:name="_Toc184308047"/>
      <w:bookmarkEnd w:id="125"/>
      <w:bookmarkStart w:id="126" w:name="_Toc184308080"/>
      <w:bookmarkEnd w:id="126"/>
      <w:bookmarkStart w:id="127" w:name="_Toc184312097"/>
      <w:bookmarkEnd w:id="127"/>
      <w:bookmarkStart w:id="128" w:name="_Toc184313268"/>
      <w:bookmarkEnd w:id="128"/>
      <w:bookmarkStart w:id="129" w:name="_Toc184308092"/>
      <w:bookmarkEnd w:id="129"/>
      <w:bookmarkStart w:id="130" w:name="_Toc184313263"/>
      <w:bookmarkEnd w:id="130"/>
      <w:bookmarkStart w:id="131" w:name="_Toc184313296"/>
      <w:bookmarkEnd w:id="131"/>
      <w:bookmarkStart w:id="132" w:name="_Toc184314454"/>
      <w:bookmarkEnd w:id="132"/>
      <w:bookmarkStart w:id="133" w:name="_Toc184314476"/>
      <w:bookmarkEnd w:id="133"/>
      <w:bookmarkStart w:id="134" w:name="_Toc184314467"/>
      <w:bookmarkEnd w:id="134"/>
      <w:bookmarkStart w:id="135" w:name="_Toc184308056"/>
      <w:bookmarkEnd w:id="135"/>
      <w:bookmarkStart w:id="136" w:name="_Toc184310331"/>
      <w:bookmarkEnd w:id="136"/>
      <w:bookmarkStart w:id="137" w:name="_Toc184312139"/>
      <w:bookmarkEnd w:id="137"/>
      <w:bookmarkStart w:id="138" w:name="_Toc184310302"/>
      <w:bookmarkEnd w:id="138"/>
      <w:bookmarkStart w:id="139" w:name="_Toc184313306"/>
      <w:bookmarkEnd w:id="139"/>
      <w:bookmarkStart w:id="140" w:name="_Toc184312072"/>
      <w:bookmarkEnd w:id="140"/>
      <w:bookmarkStart w:id="141" w:name="_Toc184314427"/>
      <w:bookmarkEnd w:id="141"/>
      <w:bookmarkStart w:id="142" w:name="_Toc184314478"/>
      <w:bookmarkEnd w:id="142"/>
      <w:bookmarkStart w:id="143" w:name="_Toc184310310"/>
      <w:bookmarkEnd w:id="143"/>
      <w:bookmarkStart w:id="144" w:name="_Toc184310330"/>
      <w:bookmarkEnd w:id="144"/>
      <w:bookmarkStart w:id="145" w:name="_Toc184310329"/>
      <w:bookmarkEnd w:id="145"/>
      <w:bookmarkStart w:id="146" w:name="_Toc184310317"/>
      <w:bookmarkEnd w:id="146"/>
      <w:bookmarkStart w:id="147" w:name="_Toc184308037"/>
      <w:bookmarkEnd w:id="147"/>
      <w:bookmarkStart w:id="148" w:name="_Toc184313275"/>
      <w:bookmarkEnd w:id="148"/>
      <w:bookmarkStart w:id="149" w:name="_Toc184310299"/>
      <w:bookmarkEnd w:id="149"/>
      <w:bookmarkStart w:id="150" w:name="_Toc184313264"/>
      <w:bookmarkEnd w:id="150"/>
      <w:bookmarkStart w:id="151" w:name="_Toc184314447"/>
      <w:bookmarkEnd w:id="151"/>
      <w:bookmarkStart w:id="152" w:name="_Toc184310290"/>
      <w:bookmarkEnd w:id="152"/>
      <w:bookmarkStart w:id="153" w:name="_Toc184312074"/>
      <w:bookmarkEnd w:id="153"/>
      <w:bookmarkStart w:id="154" w:name="_Toc184312136"/>
      <w:bookmarkEnd w:id="154"/>
      <w:bookmarkStart w:id="155" w:name="_Toc184308036"/>
      <w:bookmarkEnd w:id="155"/>
      <w:bookmarkStart w:id="156" w:name="_Toc184308082"/>
      <w:bookmarkEnd w:id="156"/>
      <w:bookmarkStart w:id="157" w:name="_Toc184312094"/>
      <w:bookmarkEnd w:id="157"/>
      <w:bookmarkStart w:id="158" w:name="_Toc184313274"/>
      <w:bookmarkEnd w:id="158"/>
      <w:bookmarkStart w:id="159" w:name="_Toc184314444"/>
      <w:bookmarkEnd w:id="159"/>
      <w:bookmarkStart w:id="160" w:name="_Toc184310324"/>
      <w:bookmarkEnd w:id="160"/>
      <w:bookmarkStart w:id="161" w:name="_Toc184314421"/>
      <w:bookmarkEnd w:id="161"/>
      <w:bookmarkStart w:id="162" w:name="_Toc184312096"/>
      <w:bookmarkEnd w:id="162"/>
      <w:bookmarkStart w:id="163" w:name="_Toc184312105"/>
      <w:bookmarkEnd w:id="163"/>
      <w:bookmarkStart w:id="164" w:name="_Toc184314433"/>
      <w:bookmarkEnd w:id="164"/>
      <w:bookmarkStart w:id="165" w:name="_Toc184313289"/>
      <w:bookmarkEnd w:id="165"/>
      <w:bookmarkStart w:id="166" w:name="_Toc184313265"/>
      <w:bookmarkEnd w:id="166"/>
      <w:bookmarkStart w:id="167" w:name="_Toc184308097"/>
      <w:bookmarkEnd w:id="167"/>
      <w:bookmarkStart w:id="168" w:name="_Toc184312095"/>
      <w:bookmarkEnd w:id="168"/>
      <w:bookmarkStart w:id="169" w:name="_Toc184314461"/>
      <w:bookmarkEnd w:id="169"/>
      <w:bookmarkStart w:id="170" w:name="_Toc184310320"/>
      <w:bookmarkEnd w:id="170"/>
      <w:bookmarkStart w:id="171" w:name="_Toc184312080"/>
      <w:bookmarkEnd w:id="171"/>
      <w:bookmarkStart w:id="172" w:name="_Toc184314415"/>
      <w:bookmarkEnd w:id="172"/>
      <w:bookmarkStart w:id="173" w:name="_Toc184312089"/>
      <w:bookmarkEnd w:id="173"/>
      <w:bookmarkStart w:id="174" w:name="_Toc184310326"/>
      <w:bookmarkEnd w:id="174"/>
      <w:bookmarkStart w:id="175" w:name="_Toc184314440"/>
      <w:bookmarkEnd w:id="175"/>
      <w:bookmarkStart w:id="176" w:name="_Toc184312124"/>
      <w:bookmarkEnd w:id="176"/>
      <w:bookmarkStart w:id="177" w:name="_Toc184314471"/>
      <w:bookmarkEnd w:id="177"/>
      <w:bookmarkStart w:id="178" w:name="_Toc184308067"/>
      <w:bookmarkEnd w:id="178"/>
      <w:bookmarkStart w:id="179" w:name="_Toc184310276"/>
      <w:bookmarkEnd w:id="179"/>
      <w:bookmarkStart w:id="180" w:name="_Toc184312069"/>
      <w:bookmarkEnd w:id="180"/>
      <w:bookmarkStart w:id="181" w:name="_Toc184314410"/>
      <w:bookmarkEnd w:id="181"/>
      <w:bookmarkStart w:id="182" w:name="_Toc184312117"/>
      <w:bookmarkEnd w:id="182"/>
      <w:bookmarkStart w:id="183" w:name="_Toc184310327"/>
      <w:bookmarkEnd w:id="183"/>
      <w:bookmarkStart w:id="184" w:name="_Toc184308096"/>
      <w:bookmarkEnd w:id="184"/>
      <w:bookmarkStart w:id="185" w:name="_Toc184313310"/>
      <w:bookmarkEnd w:id="185"/>
      <w:bookmarkStart w:id="186" w:name="_Toc184310344"/>
      <w:bookmarkEnd w:id="186"/>
      <w:bookmarkStart w:id="187" w:name="_Toc184314451"/>
      <w:bookmarkEnd w:id="187"/>
      <w:bookmarkStart w:id="188" w:name="_Toc184313241"/>
      <w:bookmarkEnd w:id="188"/>
      <w:bookmarkStart w:id="189" w:name="_Toc184312083"/>
      <w:bookmarkEnd w:id="189"/>
      <w:bookmarkStart w:id="190" w:name="_Toc184314416"/>
      <w:bookmarkEnd w:id="190"/>
      <w:bookmarkStart w:id="191" w:name="_Toc184310335"/>
      <w:bookmarkEnd w:id="191"/>
      <w:bookmarkStart w:id="192" w:name="_Toc184308042"/>
      <w:bookmarkEnd w:id="192"/>
      <w:bookmarkStart w:id="193" w:name="_Toc184310315"/>
      <w:bookmarkEnd w:id="193"/>
      <w:bookmarkStart w:id="194" w:name="_Toc184313277"/>
      <w:bookmarkEnd w:id="194"/>
      <w:bookmarkStart w:id="195" w:name="_Toc184313251"/>
      <w:bookmarkEnd w:id="195"/>
      <w:bookmarkStart w:id="196" w:name="_Toc184313298"/>
      <w:bookmarkEnd w:id="196"/>
      <w:bookmarkStart w:id="197" w:name="_Toc184312076"/>
      <w:bookmarkEnd w:id="197"/>
      <w:bookmarkStart w:id="198" w:name="_Toc184313283"/>
      <w:bookmarkEnd w:id="198"/>
      <w:bookmarkStart w:id="199" w:name="_Toc184314422"/>
      <w:bookmarkEnd w:id="199"/>
      <w:bookmarkStart w:id="200" w:name="_Toc184314425"/>
      <w:bookmarkEnd w:id="200"/>
      <w:bookmarkStart w:id="201" w:name="_Toc184312104"/>
      <w:bookmarkEnd w:id="201"/>
      <w:bookmarkStart w:id="202" w:name="_Toc184310295"/>
      <w:bookmarkEnd w:id="202"/>
      <w:bookmarkStart w:id="203" w:name="_Toc184308059"/>
      <w:bookmarkEnd w:id="203"/>
      <w:bookmarkStart w:id="204" w:name="_Toc184313309"/>
      <w:bookmarkEnd w:id="204"/>
      <w:bookmarkStart w:id="205" w:name="_Toc184313239"/>
      <w:bookmarkEnd w:id="205"/>
      <w:bookmarkStart w:id="206" w:name="_Toc184314472"/>
      <w:bookmarkEnd w:id="206"/>
      <w:bookmarkStart w:id="207" w:name="_Toc184308063"/>
      <w:bookmarkEnd w:id="207"/>
      <w:bookmarkStart w:id="208" w:name="_Toc184314460"/>
      <w:bookmarkEnd w:id="208"/>
      <w:bookmarkStart w:id="209" w:name="_Toc184312073"/>
      <w:bookmarkEnd w:id="209"/>
      <w:bookmarkStart w:id="210" w:name="_Toc184313297"/>
      <w:bookmarkEnd w:id="210"/>
      <w:bookmarkStart w:id="211" w:name="_Toc184308100"/>
      <w:bookmarkEnd w:id="211"/>
      <w:bookmarkStart w:id="212" w:name="_Toc184313307"/>
      <w:bookmarkEnd w:id="212"/>
      <w:bookmarkStart w:id="213" w:name="_Toc184310306"/>
      <w:bookmarkEnd w:id="213"/>
      <w:bookmarkStart w:id="214" w:name="_Toc184308068"/>
      <w:bookmarkEnd w:id="214"/>
      <w:bookmarkStart w:id="215" w:name="_Toc184310281"/>
      <w:bookmarkEnd w:id="215"/>
      <w:bookmarkStart w:id="216" w:name="_Toc184308060"/>
      <w:bookmarkEnd w:id="216"/>
      <w:bookmarkStart w:id="217" w:name="_Toc184313302"/>
      <w:bookmarkEnd w:id="217"/>
      <w:bookmarkStart w:id="218" w:name="_Toc184312101"/>
      <w:bookmarkEnd w:id="218"/>
      <w:bookmarkStart w:id="219" w:name="_Toc184314446"/>
      <w:bookmarkEnd w:id="219"/>
      <w:bookmarkStart w:id="220" w:name="_Toc184313280"/>
      <w:bookmarkEnd w:id="220"/>
      <w:bookmarkStart w:id="221" w:name="_Toc184308073"/>
      <w:bookmarkEnd w:id="221"/>
      <w:bookmarkStart w:id="222" w:name="_Toc184312087"/>
      <w:bookmarkEnd w:id="222"/>
      <w:bookmarkStart w:id="223" w:name="_Toc184314448"/>
      <w:bookmarkEnd w:id="223"/>
      <w:bookmarkStart w:id="224" w:name="_Toc184312112"/>
      <w:bookmarkEnd w:id="224"/>
      <w:bookmarkStart w:id="225" w:name="_Toc184312098"/>
      <w:bookmarkEnd w:id="225"/>
      <w:bookmarkStart w:id="226" w:name="_Toc184312090"/>
      <w:bookmarkEnd w:id="226"/>
      <w:bookmarkStart w:id="227" w:name="_Toc184312079"/>
      <w:bookmarkEnd w:id="227"/>
      <w:bookmarkStart w:id="228" w:name="_Toc184312100"/>
      <w:bookmarkEnd w:id="228"/>
      <w:bookmarkStart w:id="229" w:name="_Toc184312122"/>
      <w:bookmarkEnd w:id="229"/>
      <w:bookmarkStart w:id="230" w:name="_Toc184314437"/>
      <w:bookmarkEnd w:id="230"/>
      <w:bookmarkStart w:id="231" w:name="_Toc184308095"/>
      <w:bookmarkEnd w:id="231"/>
      <w:bookmarkStart w:id="232" w:name="_Toc184314434"/>
      <w:bookmarkEnd w:id="232"/>
      <w:bookmarkStart w:id="233" w:name="_Toc184313252"/>
      <w:bookmarkEnd w:id="233"/>
      <w:bookmarkStart w:id="234" w:name="_Toc184310275"/>
      <w:bookmarkEnd w:id="234"/>
      <w:bookmarkStart w:id="235" w:name="_Toc184310328"/>
      <w:bookmarkEnd w:id="235"/>
      <w:bookmarkStart w:id="236" w:name="_Toc184308106"/>
      <w:bookmarkEnd w:id="236"/>
      <w:bookmarkStart w:id="237" w:name="_Toc184314439"/>
      <w:bookmarkEnd w:id="237"/>
      <w:bookmarkStart w:id="238" w:name="_Toc184314419"/>
      <w:bookmarkEnd w:id="238"/>
      <w:bookmarkStart w:id="239" w:name="_Toc184310298"/>
      <w:bookmarkEnd w:id="239"/>
      <w:bookmarkStart w:id="240" w:name="_Toc184313267"/>
      <w:bookmarkEnd w:id="240"/>
      <w:bookmarkStart w:id="241" w:name="_Toc184312088"/>
      <w:bookmarkEnd w:id="241"/>
      <w:bookmarkStart w:id="242" w:name="_Toc184313290"/>
      <w:bookmarkEnd w:id="242"/>
      <w:bookmarkStart w:id="243" w:name="_Toc184314473"/>
      <w:bookmarkEnd w:id="243"/>
      <w:bookmarkStart w:id="244" w:name="_Toc184310301"/>
      <w:bookmarkEnd w:id="244"/>
      <w:bookmarkStart w:id="245" w:name="_Toc184312131"/>
      <w:bookmarkEnd w:id="245"/>
      <w:bookmarkStart w:id="246" w:name="_Toc184313279"/>
      <w:bookmarkEnd w:id="246"/>
      <w:bookmarkStart w:id="247" w:name="_Toc184314413"/>
      <w:bookmarkEnd w:id="247"/>
      <w:bookmarkStart w:id="248" w:name="_Toc184314479"/>
      <w:bookmarkEnd w:id="248"/>
      <w:bookmarkStart w:id="249" w:name="_Toc184312068"/>
      <w:bookmarkEnd w:id="249"/>
      <w:bookmarkStart w:id="250" w:name="_Toc184313299"/>
      <w:bookmarkEnd w:id="250"/>
      <w:bookmarkStart w:id="251" w:name="_Toc184313244"/>
      <w:bookmarkEnd w:id="251"/>
      <w:bookmarkStart w:id="252" w:name="_Toc184308065"/>
      <w:bookmarkEnd w:id="252"/>
      <w:bookmarkStart w:id="253" w:name="_Toc184312106"/>
      <w:bookmarkEnd w:id="253"/>
      <w:bookmarkStart w:id="254" w:name="_Toc184313253"/>
      <w:bookmarkEnd w:id="254"/>
      <w:bookmarkStart w:id="255" w:name="_Toc184310291"/>
      <w:bookmarkEnd w:id="255"/>
      <w:bookmarkStart w:id="256" w:name="_Toc184314464"/>
      <w:bookmarkEnd w:id="256"/>
      <w:bookmarkStart w:id="257" w:name="_Toc184312134"/>
      <w:bookmarkEnd w:id="257"/>
      <w:bookmarkStart w:id="258" w:name="_Toc184308088"/>
      <w:bookmarkEnd w:id="258"/>
      <w:bookmarkStart w:id="259" w:name="_Toc184310319"/>
      <w:bookmarkEnd w:id="259"/>
      <w:bookmarkStart w:id="260" w:name="_Toc184313260"/>
      <w:bookmarkEnd w:id="260"/>
      <w:bookmarkStart w:id="261" w:name="_Toc184308101"/>
      <w:bookmarkEnd w:id="261"/>
      <w:bookmarkStart w:id="262" w:name="_Toc184310286"/>
      <w:bookmarkEnd w:id="262"/>
      <w:bookmarkStart w:id="263" w:name="_Toc184313286"/>
      <w:bookmarkEnd w:id="263"/>
      <w:bookmarkStart w:id="264" w:name="_Toc184314468"/>
      <w:bookmarkEnd w:id="264"/>
      <w:bookmarkStart w:id="265" w:name="_Toc184314428"/>
      <w:bookmarkEnd w:id="265"/>
      <w:bookmarkStart w:id="266" w:name="_Toc184310313"/>
      <w:bookmarkEnd w:id="266"/>
      <w:bookmarkStart w:id="267" w:name="_Toc184313303"/>
      <w:bookmarkEnd w:id="267"/>
      <w:bookmarkStart w:id="268" w:name="_Toc184314482"/>
      <w:bookmarkEnd w:id="268"/>
      <w:bookmarkStart w:id="269" w:name="_Toc184314481"/>
      <w:bookmarkEnd w:id="269"/>
      <w:bookmarkStart w:id="270" w:name="_Toc184314474"/>
      <w:bookmarkEnd w:id="270"/>
      <w:bookmarkStart w:id="271" w:name="_Toc184313271"/>
      <w:bookmarkEnd w:id="271"/>
      <w:bookmarkStart w:id="272" w:name="_Toc184313285"/>
      <w:bookmarkEnd w:id="272"/>
      <w:bookmarkStart w:id="273" w:name="_Toc184308085"/>
      <w:bookmarkEnd w:id="273"/>
      <w:bookmarkStart w:id="274" w:name="_Toc184314418"/>
      <w:bookmarkEnd w:id="274"/>
      <w:bookmarkStart w:id="275" w:name="_Toc184312119"/>
      <w:bookmarkEnd w:id="275"/>
      <w:bookmarkStart w:id="276" w:name="_Toc184314469"/>
      <w:bookmarkEnd w:id="276"/>
      <w:bookmarkStart w:id="277" w:name="_Toc184313288"/>
      <w:bookmarkEnd w:id="277"/>
      <w:bookmarkStart w:id="278" w:name="_Toc184308049"/>
      <w:bookmarkEnd w:id="278"/>
      <w:bookmarkStart w:id="279" w:name="_Toc184313257"/>
      <w:bookmarkEnd w:id="279"/>
      <w:bookmarkStart w:id="280" w:name="_Toc184313276"/>
      <w:bookmarkEnd w:id="280"/>
      <w:bookmarkStart w:id="281" w:name="_Toc184310334"/>
      <w:bookmarkEnd w:id="281"/>
      <w:bookmarkStart w:id="282" w:name="_Toc184312107"/>
      <w:bookmarkEnd w:id="282"/>
      <w:bookmarkStart w:id="283" w:name="_Toc184314420"/>
      <w:bookmarkEnd w:id="283"/>
      <w:bookmarkStart w:id="284" w:name="_Toc184313255"/>
      <w:bookmarkEnd w:id="284"/>
      <w:bookmarkStart w:id="285" w:name="_Toc184312091"/>
      <w:bookmarkEnd w:id="285"/>
      <w:bookmarkStart w:id="286" w:name="_Toc184312086"/>
      <w:bookmarkEnd w:id="286"/>
      <w:bookmarkStart w:id="287" w:name="_Toc184313281"/>
      <w:bookmarkEnd w:id="287"/>
      <w:bookmarkStart w:id="288" w:name="_Toc184310289"/>
      <w:bookmarkEnd w:id="288"/>
      <w:bookmarkStart w:id="289" w:name="_Toc184312099"/>
      <w:bookmarkEnd w:id="289"/>
      <w:bookmarkStart w:id="290" w:name="_Toc184308102"/>
      <w:bookmarkEnd w:id="290"/>
      <w:bookmarkStart w:id="291" w:name="_Toc184313282"/>
      <w:bookmarkEnd w:id="291"/>
      <w:bookmarkStart w:id="292" w:name="_Toc184312115"/>
      <w:bookmarkEnd w:id="292"/>
      <w:bookmarkStart w:id="293" w:name="_Toc184308058"/>
      <w:bookmarkEnd w:id="293"/>
      <w:bookmarkStart w:id="294" w:name="_Toc184308070"/>
      <w:bookmarkEnd w:id="294"/>
      <w:bookmarkStart w:id="295" w:name="_Toc184308064"/>
      <w:bookmarkEnd w:id="295"/>
      <w:bookmarkStart w:id="296" w:name="_Toc184308038"/>
      <w:bookmarkEnd w:id="296"/>
      <w:bookmarkStart w:id="297" w:name="_Toc184313295"/>
      <w:bookmarkEnd w:id="297"/>
      <w:bookmarkStart w:id="298" w:name="_Toc184308090"/>
      <w:bookmarkEnd w:id="298"/>
      <w:bookmarkStart w:id="299" w:name="_Toc184308093"/>
      <w:bookmarkEnd w:id="299"/>
      <w:bookmarkStart w:id="300" w:name="_Toc184310333"/>
      <w:bookmarkEnd w:id="300"/>
      <w:bookmarkStart w:id="301" w:name="_Toc184310272"/>
      <w:bookmarkEnd w:id="301"/>
      <w:bookmarkStart w:id="302" w:name="_Toc184310340"/>
      <w:bookmarkEnd w:id="302"/>
      <w:bookmarkStart w:id="303" w:name="_Toc184314432"/>
      <w:bookmarkEnd w:id="303"/>
      <w:bookmarkStart w:id="304" w:name="_Toc184312123"/>
      <w:bookmarkEnd w:id="304"/>
      <w:bookmarkStart w:id="305" w:name="_Toc184312125"/>
      <w:bookmarkEnd w:id="305"/>
      <w:bookmarkStart w:id="306" w:name="_Toc184312113"/>
      <w:bookmarkEnd w:id="306"/>
      <w:bookmarkStart w:id="307" w:name="_Toc184310339"/>
      <w:bookmarkEnd w:id="307"/>
      <w:bookmarkStart w:id="308" w:name="_Toc184312121"/>
      <w:bookmarkEnd w:id="308"/>
      <w:bookmarkStart w:id="309" w:name="_Toc184313249"/>
      <w:bookmarkEnd w:id="309"/>
      <w:bookmarkStart w:id="310" w:name="_Toc184308078"/>
      <w:bookmarkEnd w:id="310"/>
      <w:bookmarkStart w:id="311" w:name="_Toc184313287"/>
      <w:bookmarkEnd w:id="311"/>
      <w:bookmarkStart w:id="312" w:name="_Toc184313305"/>
      <w:bookmarkEnd w:id="312"/>
      <w:bookmarkStart w:id="313" w:name="_Toc184308048"/>
      <w:bookmarkEnd w:id="313"/>
      <w:bookmarkStart w:id="314" w:name="_Toc184313246"/>
      <w:bookmarkEnd w:id="314"/>
      <w:bookmarkStart w:id="315" w:name="_Toc184310279"/>
      <w:bookmarkEnd w:id="315"/>
      <w:bookmarkStart w:id="316" w:name="_Toc184313269"/>
      <w:bookmarkEnd w:id="316"/>
      <w:bookmarkStart w:id="317" w:name="_Toc184312120"/>
      <w:bookmarkEnd w:id="317"/>
      <w:bookmarkStart w:id="318" w:name="_Toc184313284"/>
      <w:bookmarkEnd w:id="318"/>
      <w:bookmarkStart w:id="319" w:name="_Toc184314435"/>
      <w:bookmarkEnd w:id="319"/>
      <w:bookmarkStart w:id="320" w:name="_Toc184308055"/>
      <w:bookmarkEnd w:id="320"/>
      <w:bookmarkStart w:id="321" w:name="_Toc184314459"/>
      <w:bookmarkEnd w:id="321"/>
      <w:bookmarkStart w:id="322" w:name="_Toc184314414"/>
      <w:bookmarkEnd w:id="322"/>
      <w:bookmarkStart w:id="323" w:name="_Toc184308098"/>
      <w:bookmarkEnd w:id="323"/>
      <w:bookmarkStart w:id="324" w:name="_Toc184312135"/>
      <w:bookmarkEnd w:id="324"/>
      <w:bookmarkStart w:id="325" w:name="_Toc184308076"/>
      <w:bookmarkEnd w:id="325"/>
      <w:bookmarkStart w:id="326" w:name="_Toc184310296"/>
      <w:bookmarkEnd w:id="326"/>
      <w:bookmarkStart w:id="327" w:name="_Toc184308079"/>
      <w:bookmarkEnd w:id="327"/>
      <w:bookmarkStart w:id="328" w:name="_Toc184312109"/>
      <w:bookmarkEnd w:id="328"/>
      <w:bookmarkStart w:id="329" w:name="_Toc184308053"/>
      <w:bookmarkEnd w:id="329"/>
      <w:bookmarkStart w:id="330" w:name="_Toc184314450"/>
      <w:bookmarkEnd w:id="330"/>
      <w:bookmarkStart w:id="331" w:name="_Toc184312132"/>
      <w:bookmarkEnd w:id="331"/>
      <w:bookmarkStart w:id="332" w:name="_Toc184312110"/>
      <w:bookmarkEnd w:id="332"/>
      <w:bookmarkStart w:id="333" w:name="_Toc184308054"/>
      <w:bookmarkEnd w:id="333"/>
      <w:bookmarkStart w:id="334" w:name="_Toc184314455"/>
      <w:bookmarkEnd w:id="334"/>
      <w:bookmarkStart w:id="335" w:name="_Toc184310322"/>
      <w:bookmarkEnd w:id="335"/>
      <w:bookmarkStart w:id="336" w:name="_Toc184313240"/>
      <w:bookmarkEnd w:id="336"/>
      <w:bookmarkStart w:id="337" w:name="_Toc184312085"/>
      <w:bookmarkEnd w:id="337"/>
      <w:bookmarkStart w:id="338" w:name="_Toc184308062"/>
      <w:bookmarkEnd w:id="338"/>
      <w:bookmarkStart w:id="339" w:name="_Toc184314443"/>
      <w:bookmarkEnd w:id="339"/>
      <w:bookmarkStart w:id="340" w:name="_Toc184313262"/>
      <w:bookmarkEnd w:id="340"/>
      <w:bookmarkStart w:id="341" w:name="_Toc184310341"/>
      <w:bookmarkEnd w:id="341"/>
      <w:bookmarkStart w:id="342" w:name="_Toc184308069"/>
      <w:bookmarkEnd w:id="342"/>
      <w:bookmarkStart w:id="343" w:name="_Toc184314411"/>
      <w:bookmarkEnd w:id="343"/>
      <w:bookmarkStart w:id="344" w:name="_Toc184308086"/>
      <w:bookmarkEnd w:id="344"/>
      <w:bookmarkStart w:id="345" w:name="_Toc184313250"/>
      <w:bookmarkEnd w:id="345"/>
      <w:bookmarkStart w:id="346" w:name="_Toc184312082"/>
      <w:bookmarkEnd w:id="346"/>
      <w:bookmarkStart w:id="347" w:name="_Toc184308040"/>
      <w:bookmarkEnd w:id="347"/>
      <w:bookmarkStart w:id="348" w:name="_Toc184314424"/>
      <w:bookmarkEnd w:id="348"/>
      <w:bookmarkStart w:id="349" w:name="_Toc184314465"/>
      <w:bookmarkEnd w:id="349"/>
      <w:bookmarkStart w:id="350" w:name="_Toc184314430"/>
      <w:bookmarkEnd w:id="350"/>
      <w:bookmarkStart w:id="351" w:name="_Toc184308041"/>
      <w:bookmarkEnd w:id="351"/>
      <w:bookmarkStart w:id="352" w:name="_Toc184310309"/>
      <w:bookmarkEnd w:id="352"/>
      <w:bookmarkStart w:id="353" w:name="_Toc184308061"/>
      <w:bookmarkEnd w:id="353"/>
      <w:bookmarkStart w:id="354" w:name="_Toc184313294"/>
      <w:bookmarkEnd w:id="354"/>
      <w:bookmarkStart w:id="355" w:name="_Toc184308103"/>
      <w:bookmarkEnd w:id="355"/>
      <w:bookmarkStart w:id="356" w:name="_Toc184312103"/>
      <w:bookmarkEnd w:id="356"/>
      <w:bookmarkStart w:id="357" w:name="_Toc184313247"/>
      <w:bookmarkEnd w:id="357"/>
      <w:bookmarkStart w:id="358" w:name="_Toc184313304"/>
      <w:bookmarkEnd w:id="358"/>
      <w:bookmarkStart w:id="359" w:name="_Toc184314477"/>
      <w:bookmarkEnd w:id="359"/>
      <w:bookmarkStart w:id="360" w:name="_Toc184308107"/>
      <w:bookmarkEnd w:id="360"/>
      <w:bookmarkStart w:id="361" w:name="_Toc184312108"/>
      <w:bookmarkEnd w:id="361"/>
      <w:bookmarkStart w:id="362" w:name="_Toc184310307"/>
      <w:bookmarkEnd w:id="362"/>
      <w:bookmarkStart w:id="363" w:name="_Toc184308108"/>
      <w:bookmarkEnd w:id="363"/>
      <w:bookmarkStart w:id="364" w:name="_Toc184314426"/>
      <w:bookmarkEnd w:id="364"/>
      <w:bookmarkStart w:id="365" w:name="_Toc184312093"/>
      <w:bookmarkEnd w:id="365"/>
      <w:bookmarkStart w:id="366" w:name="_Toc184313261"/>
      <w:bookmarkEnd w:id="366"/>
      <w:bookmarkStart w:id="367" w:name="_Toc184314431"/>
      <w:bookmarkEnd w:id="367"/>
      <w:bookmarkStart w:id="368" w:name="_Toc184313278"/>
      <w:bookmarkEnd w:id="368"/>
      <w:bookmarkStart w:id="369" w:name="_Toc184310300"/>
      <w:bookmarkEnd w:id="369"/>
      <w:bookmarkStart w:id="370" w:name="_Toc184310293"/>
      <w:bookmarkEnd w:id="370"/>
      <w:bookmarkStart w:id="371" w:name="_Toc184314445"/>
      <w:bookmarkEnd w:id="371"/>
      <w:bookmarkStart w:id="372" w:name="_Toc184314441"/>
      <w:bookmarkEnd w:id="372"/>
      <w:bookmarkStart w:id="373" w:name="_Toc184314449"/>
      <w:bookmarkEnd w:id="373"/>
      <w:bookmarkStart w:id="374" w:name="_Toc184308072"/>
      <w:bookmarkEnd w:id="374"/>
      <w:bookmarkStart w:id="375" w:name="_Toc184314417"/>
      <w:bookmarkEnd w:id="375"/>
      <w:bookmarkStart w:id="376" w:name="_Toc184313270"/>
      <w:bookmarkEnd w:id="376"/>
      <w:bookmarkStart w:id="377" w:name="_Toc184314466"/>
      <w:bookmarkEnd w:id="377"/>
      <w:bookmarkStart w:id="378" w:name="_Toc184314457"/>
      <w:bookmarkEnd w:id="378"/>
      <w:bookmarkStart w:id="379" w:name="_Toc184310311"/>
      <w:bookmarkEnd w:id="379"/>
      <w:bookmarkStart w:id="380" w:name="_Toc184314423"/>
      <w:bookmarkEnd w:id="380"/>
      <w:bookmarkStart w:id="381" w:name="_Toc184312137"/>
      <w:bookmarkEnd w:id="381"/>
      <w:bookmarkStart w:id="382" w:name="_Toc184310318"/>
      <w:bookmarkEnd w:id="382"/>
      <w:bookmarkStart w:id="383" w:name="_Toc184313266"/>
      <w:bookmarkEnd w:id="383"/>
      <w:bookmarkStart w:id="384" w:name="_Toc184308075"/>
      <w:bookmarkEnd w:id="384"/>
      <w:bookmarkStart w:id="385" w:name="_Toc184310287"/>
      <w:bookmarkEnd w:id="385"/>
      <w:bookmarkStart w:id="386" w:name="_Toc184310316"/>
      <w:bookmarkEnd w:id="386"/>
      <w:bookmarkStart w:id="387" w:name="_Toc184312127"/>
      <w:bookmarkEnd w:id="387"/>
      <w:bookmarkStart w:id="388" w:name="_Toc184314480"/>
      <w:bookmarkEnd w:id="388"/>
      <w:bookmarkStart w:id="389" w:name="_Toc184310303"/>
      <w:bookmarkEnd w:id="389"/>
      <w:bookmarkStart w:id="390" w:name="_Toc184308071"/>
      <w:bookmarkEnd w:id="390"/>
      <w:bookmarkStart w:id="391" w:name="_Toc184310314"/>
      <w:bookmarkEnd w:id="391"/>
      <w:bookmarkStart w:id="392" w:name="_Toc184312070"/>
      <w:bookmarkEnd w:id="392"/>
      <w:bookmarkStart w:id="393" w:name="_Toc184308104"/>
      <w:bookmarkEnd w:id="393"/>
      <w:bookmarkStart w:id="394" w:name="_Toc184312078"/>
      <w:bookmarkEnd w:id="394"/>
      <w:bookmarkStart w:id="395" w:name="_Toc184312111"/>
      <w:bookmarkEnd w:id="395"/>
      <w:bookmarkStart w:id="396" w:name="_Toc184313293"/>
      <w:bookmarkEnd w:id="396"/>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73"/>
        <w:tblW w:w="9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5327"/>
        <w:gridCol w:w="729"/>
        <w:gridCol w:w="1224"/>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884" w:type="dxa"/>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327" w:type="dxa"/>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729" w:type="dxa"/>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224" w:type="dxa"/>
            <w:vAlign w:val="center"/>
          </w:tcPr>
          <w:p>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493" w:type="dxa"/>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884" w:type="dxa"/>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327" w:type="dxa"/>
          </w:tcPr>
          <w:p>
            <w:pPr>
              <w:pStyle w:val="2"/>
              <w:spacing w:line="24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投标产品技术规格与采购需求的符合性评价：投标产品技术规格完全符合招标文件技术参数要求的，此项得满分36分。技术参数负偏离的每项扣1分,扣完为止；技术参数要求提供证明材料的，投标人需按照要求提供，否则视为不满足，对应项每项扣1分，扣完为止。实质性技术参数条款以“▲”号标注，不满足者将被视为无效标。</w:t>
            </w:r>
          </w:p>
        </w:tc>
        <w:tc>
          <w:tcPr>
            <w:tcW w:w="729"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36</w:t>
            </w:r>
          </w:p>
        </w:tc>
        <w:tc>
          <w:tcPr>
            <w:tcW w:w="1224"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客观分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884"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5327" w:type="dxa"/>
          </w:tcPr>
          <w:p>
            <w:pPr>
              <w:pStyle w:val="2"/>
              <w:spacing w:line="24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对性能指标、技术参数属正偏或高配的正偏离每项加1分，本项最高分为2分，无实质性意义的正偏离不加分。</w:t>
            </w:r>
          </w:p>
        </w:tc>
        <w:tc>
          <w:tcPr>
            <w:tcW w:w="729"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224" w:type="dxa"/>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客观分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8" w:hRule="atLeast"/>
          <w:jc w:val="center"/>
        </w:trPr>
        <w:tc>
          <w:tcPr>
            <w:tcW w:w="884" w:type="dxa"/>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5327" w:type="dxa"/>
          </w:tcPr>
          <w:p>
            <w:pPr>
              <w:snapToGrid w:val="0"/>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提供的产品运输方案，包括运输安排、货物完整的保障措施等内容的全面性、合理性、可行性</w:t>
            </w:r>
            <w:r>
              <w:rPr>
                <w:rFonts w:hint="eastAsia" w:ascii="宋体" w:hAnsi="宋体" w:eastAsia="宋体" w:cs="宋体"/>
                <w:color w:val="auto"/>
                <w:sz w:val="24"/>
                <w:highlight w:val="none"/>
                <w:lang w:val="en-US" w:eastAsia="zh-CN"/>
              </w:rPr>
              <w:t>进行</w:t>
            </w:r>
            <w:r>
              <w:rPr>
                <w:rFonts w:hint="eastAsia" w:ascii="宋体" w:hAnsi="宋体" w:eastAsia="宋体" w:cs="宋体"/>
                <w:color w:val="auto"/>
                <w:sz w:val="24"/>
                <w:highlight w:val="none"/>
              </w:rPr>
              <w:t>打分。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方案全面性、合理性、可行性较高的得4-5分；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方案较全面、合理性、可行性一般的得2-3分；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方案欠缺、合理性、可行性较低的得0-1分；</w:t>
            </w:r>
          </w:p>
          <w:p>
            <w:pPr>
              <w:snapToGrid w:val="0"/>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未提供方案不得分。</w:t>
            </w:r>
          </w:p>
        </w:tc>
        <w:tc>
          <w:tcPr>
            <w:tcW w:w="729"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224"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CN"/>
              </w:rPr>
              <w:t>主观分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3" w:hRule="atLeast"/>
          <w:jc w:val="center"/>
        </w:trPr>
        <w:tc>
          <w:tcPr>
            <w:tcW w:w="884"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5327" w:type="dxa"/>
          </w:tcPr>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根据投标人针对本项目制定的安装调试方案的全面性、合理性、可行性进行打分。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方案全面性、合理性、可行性高的得4-5分；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方案较全面、合理性、可行性一般的得2-3分；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方案欠缺、合理性、可行性低的得0-1分；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未提供方案不得分。</w:t>
            </w:r>
          </w:p>
        </w:tc>
        <w:tc>
          <w:tcPr>
            <w:tcW w:w="729"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224" w:type="dxa"/>
            <w:vAlign w:val="center"/>
          </w:tcPr>
          <w:p>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主观分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3" w:hRule="atLeast"/>
          <w:jc w:val="center"/>
        </w:trPr>
        <w:tc>
          <w:tcPr>
            <w:tcW w:w="884"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5327" w:type="dxa"/>
          </w:tcPr>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根据投标人针对本项目的培训方案全面性、合理性、可行性进行打分。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方案全面性、合理性、可行性高的得2.5-3分；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方案较全面、合理性、可行性一般的得1.5-2分；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方案欠缺、合理性、可行性低的得0.5-1分；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未提供方案不得分。</w:t>
            </w:r>
          </w:p>
        </w:tc>
        <w:tc>
          <w:tcPr>
            <w:tcW w:w="729"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224" w:type="dxa"/>
            <w:vAlign w:val="center"/>
          </w:tcPr>
          <w:p>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主观分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4"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5327" w:type="dxa"/>
          </w:tcPr>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对本项目采购需求提出项目进度计划方案（包括项目实施进度计划及工期保证措施的合理性、可行性，进度计划分布合理，时间节点把控明确，控制措施针对性及可行性）进行打分。方案完整、合理性、可行性较高的得4-5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方案较完整、合理性一般、可行性一般的得2-3分；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方案欠缺、合理性、可行性较低的得0-1分；</w:t>
            </w:r>
          </w:p>
          <w:p>
            <w:pPr>
              <w:snapToGrid w:val="0"/>
              <w:spacing w:line="24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未提供方案不得分。</w:t>
            </w:r>
          </w:p>
        </w:tc>
        <w:tc>
          <w:tcPr>
            <w:tcW w:w="729"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224" w:type="dxa"/>
            <w:vAlign w:val="center"/>
          </w:tcPr>
          <w:p>
            <w:pPr>
              <w:snapToGrid w:val="0"/>
              <w:spacing w:line="360" w:lineRule="auto"/>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主观分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884" w:type="dxa"/>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5327" w:type="dxa"/>
            <w:vAlign w:val="center"/>
          </w:tcPr>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根据投标人提供的售后服务方案（包括响应承诺时间、维保服务方案、维护人员安排、技术支持、应急保障措施、排除故障及时性、备品备件，售后服务的便捷性及整体方案的完善性、详细性）进行打分。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方案完善性、详细性较高的得1.5-2分；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方案完善性、详细性一般的得1-1.4分；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方案完善性、详细性较低的得0.5-0.9分；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未提供方案的不得分。</w:t>
            </w:r>
          </w:p>
        </w:tc>
        <w:tc>
          <w:tcPr>
            <w:tcW w:w="729" w:type="dxa"/>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1224" w:type="dxa"/>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884"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5327" w:type="dxa"/>
            <w:vAlign w:val="center"/>
          </w:tcPr>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根据投标人的对内置法证PE，取证过程中不改变目标硬盘MD5的演示进行打分。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演示内容完整，能充分满足采购需求的得4-5分；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演示内容一般，基本能满足采购需求的得2-3分；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演示内容差，不能满足采购需求的得0-1分；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未提供不得分。</w:t>
            </w:r>
          </w:p>
        </w:tc>
        <w:tc>
          <w:tcPr>
            <w:tcW w:w="729" w:type="dxa"/>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224" w:type="dxa"/>
            <w:vAlign w:val="center"/>
          </w:tcPr>
          <w:p>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84" w:type="dxa"/>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5327" w:type="dxa"/>
            <w:vAlign w:val="center"/>
          </w:tcPr>
          <w:p>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备品备件储备情况：</w:t>
            </w:r>
          </w:p>
          <w:p>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储备充足，能充分满足售后服务要求得</w:t>
            </w:r>
            <w:r>
              <w:rPr>
                <w:rFonts w:hint="eastAsia" w:ascii="宋体" w:hAnsi="宋体" w:eastAsia="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zh-CN" w:eastAsia="zh-CN" w:bidi="ar-SA"/>
              </w:rPr>
              <w:t>.5-</w:t>
            </w:r>
            <w:r>
              <w:rPr>
                <w:rFonts w:hint="eastAsia" w:ascii="宋体" w:hAnsi="宋体" w:eastAsia="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储备一般，基本能满足售后服务要求得1-</w:t>
            </w:r>
            <w:r>
              <w:rPr>
                <w:rFonts w:hint="eastAsia" w:ascii="宋体" w:hAnsi="宋体" w:eastAsia="宋体" w:cs="宋体"/>
                <w:b w:val="0"/>
                <w:bCs w:val="0"/>
                <w:color w:val="auto"/>
                <w:spacing w:val="-2"/>
                <w:kern w:val="2"/>
                <w:sz w:val="24"/>
                <w:szCs w:val="24"/>
                <w:highlight w:val="none"/>
                <w:lang w:val="en-US" w:eastAsia="zh-CN" w:bidi="ar-SA"/>
              </w:rPr>
              <w:t>1.4</w:t>
            </w:r>
            <w:r>
              <w:rPr>
                <w:rFonts w:hint="eastAsia" w:ascii="宋体" w:hAnsi="宋体" w:eastAsia="宋体" w:cs="宋体"/>
                <w:b w:val="0"/>
                <w:bCs w:val="0"/>
                <w:color w:val="auto"/>
                <w:spacing w:val="-2"/>
                <w:kern w:val="2"/>
                <w:sz w:val="24"/>
                <w:szCs w:val="24"/>
                <w:highlight w:val="none"/>
                <w:lang w:val="zh-CN" w:eastAsia="zh-CN" w:bidi="ar-SA"/>
              </w:rPr>
              <w:t>分；</w:t>
            </w:r>
          </w:p>
          <w:p>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储备情况差，多项不能满足售后服务要求得0.5-</w:t>
            </w:r>
            <w:r>
              <w:rPr>
                <w:rFonts w:hint="eastAsia" w:ascii="宋体" w:hAnsi="宋体" w:eastAsia="宋体" w:cs="宋体"/>
                <w:b w:val="0"/>
                <w:bCs w:val="0"/>
                <w:color w:val="auto"/>
                <w:spacing w:val="-2"/>
                <w:kern w:val="2"/>
                <w:sz w:val="24"/>
                <w:szCs w:val="24"/>
                <w:highlight w:val="none"/>
                <w:lang w:val="en-US" w:eastAsia="zh-CN" w:bidi="ar-SA"/>
              </w:rPr>
              <w:t>0.9</w:t>
            </w:r>
            <w:r>
              <w:rPr>
                <w:rFonts w:hint="eastAsia" w:ascii="宋体" w:hAnsi="宋体" w:eastAsia="宋体" w:cs="宋体"/>
                <w:b w:val="0"/>
                <w:bCs w:val="0"/>
                <w:color w:val="auto"/>
                <w:spacing w:val="-2"/>
                <w:kern w:val="2"/>
                <w:sz w:val="24"/>
                <w:szCs w:val="24"/>
                <w:highlight w:val="none"/>
                <w:lang w:val="zh-CN" w:eastAsia="zh-CN" w:bidi="ar-SA"/>
              </w:rPr>
              <w:t>分；</w:t>
            </w:r>
          </w:p>
          <w:p>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无备品备件储备的不得分。</w:t>
            </w:r>
          </w:p>
        </w:tc>
        <w:tc>
          <w:tcPr>
            <w:tcW w:w="729" w:type="dxa"/>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1224"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主观分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84"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5327" w:type="dxa"/>
            <w:vAlign w:val="center"/>
          </w:tcPr>
          <w:p>
            <w:pPr>
              <w:widowControl/>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根据投标人诚信、履约能力等情况进行打分</w:t>
            </w:r>
            <w:r>
              <w:rPr>
                <w:rFonts w:hint="eastAsia" w:ascii="宋体" w:hAnsi="宋体" w:eastAsia="宋体" w:cs="宋体"/>
                <w:color w:val="auto"/>
                <w:sz w:val="24"/>
                <w:szCs w:val="24"/>
                <w:highlight w:val="none"/>
                <w:lang w:eastAsia="zh-CN"/>
              </w:rPr>
              <w:t>。</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诚信、履约能力较高的得1.5-2分；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诚信、履约能力一般的得1-1.4分；</w:t>
            </w:r>
          </w:p>
          <w:p>
            <w:pPr>
              <w:widowControl/>
              <w:spacing w:line="240" w:lineRule="auto"/>
              <w:jc w:val="left"/>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诚信、履约能力较低的得0.5-0.9分。</w:t>
            </w:r>
          </w:p>
        </w:tc>
        <w:tc>
          <w:tcPr>
            <w:tcW w:w="729"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2</w:t>
            </w:r>
          </w:p>
        </w:tc>
        <w:tc>
          <w:tcPr>
            <w:tcW w:w="1224" w:type="dxa"/>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主观分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884"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5327" w:type="dxa"/>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投标人自2021年1月1日以来（以合同签约时间为准）同类项目业绩，每提供1个得1分，最高得3分。（投标文件中须提供合同复印件，不提供不得分。）</w:t>
            </w:r>
          </w:p>
        </w:tc>
        <w:tc>
          <w:tcPr>
            <w:tcW w:w="729"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1224"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lang w:eastAsia="zh-CN"/>
              </w:rPr>
              <w:t>客</w:t>
            </w:r>
            <w:r>
              <w:rPr>
                <w:rFonts w:hint="eastAsia" w:ascii="宋体" w:hAnsi="宋体" w:eastAsia="宋体" w:cs="宋体"/>
                <w:bCs/>
                <w:color w:val="auto"/>
                <w:sz w:val="24"/>
                <w:highlight w:val="none"/>
              </w:rPr>
              <w:t>观分</w:t>
            </w:r>
          </w:p>
        </w:tc>
        <w:tc>
          <w:tcPr>
            <w:tcW w:w="1493" w:type="dxa"/>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84" w:type="dxa"/>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532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］的计算公式计算。</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w:t>
            </w:r>
          </w:p>
        </w:tc>
        <w:tc>
          <w:tcPr>
            <w:tcW w:w="729"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w:t>
            </w:r>
          </w:p>
        </w:tc>
        <w:tc>
          <w:tcPr>
            <w:tcW w:w="1224" w:type="dxa"/>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highlight w:val="none"/>
              </w:rPr>
              <w:t>客观分</w:t>
            </w:r>
          </w:p>
        </w:tc>
        <w:tc>
          <w:tcPr>
            <w:tcW w:w="1493"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pPr>
        <w:rPr>
          <w:rFonts w:hint="eastAsia" w:ascii="宋体" w:hAnsi="宋体" w:eastAsia="宋体" w:cs="宋体"/>
          <w:color w:val="auto"/>
          <w:highlight w:val="none"/>
        </w:rPr>
      </w:pP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2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28"/>
        <w:shd w:val="clear"/>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7"/>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pPr>
        <w:pStyle w:val="27"/>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7"/>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pPr>
        <w:spacing w:line="360" w:lineRule="auto"/>
        <w:outlineLvl w:val="0"/>
        <w:rPr>
          <w:rFonts w:hint="eastAsia" w:ascii="宋体" w:hAnsi="宋体" w:eastAsia="宋体" w:cs="宋体"/>
          <w:b/>
          <w:color w:val="auto"/>
          <w:sz w:val="36"/>
          <w:szCs w:val="36"/>
          <w:highlight w:val="none"/>
        </w:rPr>
      </w:pPr>
      <w:bookmarkStart w:id="397" w:name="第五部分"/>
      <w:bookmarkStart w:id="398" w:name="_Toc86217003"/>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pPr>
        <w:pStyle w:val="699"/>
        <w:rPr>
          <w:rFonts w:hint="eastAsia" w:ascii="宋体" w:hAnsi="宋体" w:eastAsia="宋体" w:cs="宋体"/>
          <w:color w:val="auto"/>
          <w:szCs w:val="24"/>
          <w:highlight w:val="none"/>
        </w:rPr>
      </w:pPr>
    </w:p>
    <w:p>
      <w:pPr>
        <w:pStyle w:val="699"/>
        <w:rPr>
          <w:rFonts w:hint="eastAsia" w:ascii="宋体" w:hAnsi="宋体" w:eastAsia="宋体" w:cs="宋体"/>
          <w:color w:val="auto"/>
          <w:szCs w:val="24"/>
          <w:highlight w:val="none"/>
        </w:rPr>
      </w:pPr>
    </w:p>
    <w:p>
      <w:pPr>
        <w:pStyle w:val="699"/>
        <w:jc w:val="center"/>
        <w:rPr>
          <w:rFonts w:hint="eastAsia" w:ascii="宋体" w:hAnsi="宋体" w:eastAsia="宋体" w:cs="宋体"/>
          <w:color w:val="auto"/>
          <w:szCs w:val="24"/>
          <w:highlight w:val="none"/>
        </w:rPr>
      </w:pPr>
    </w:p>
    <w:p>
      <w:pPr>
        <w:pStyle w:val="699"/>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pStyle w:val="699"/>
        <w:rPr>
          <w:rFonts w:hint="eastAsia" w:ascii="宋体" w:hAnsi="宋体" w:eastAsia="宋体" w:cs="宋体"/>
          <w:color w:val="auto"/>
          <w:szCs w:val="24"/>
          <w:highlight w:val="none"/>
        </w:rPr>
      </w:pPr>
    </w:p>
    <w:p>
      <w:pPr>
        <w:pStyle w:val="699"/>
        <w:rPr>
          <w:rFonts w:hint="eastAsia" w:ascii="宋体" w:hAnsi="宋体" w:eastAsia="宋体" w:cs="宋体"/>
          <w:color w:val="auto"/>
          <w:szCs w:val="24"/>
          <w:highlight w:val="none"/>
        </w:rPr>
      </w:pP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596"/>
        <w:spacing w:before="120" w:line="22" w:lineRule="atLeast"/>
        <w:rPr>
          <w:rFonts w:hint="eastAsia" w:ascii="宋体" w:hAnsi="宋体" w:eastAsia="宋体" w:cs="宋体"/>
          <w:color w:val="auto"/>
          <w:szCs w:val="24"/>
          <w:highlight w:val="none"/>
        </w:rPr>
      </w:pPr>
    </w:p>
    <w:p>
      <w:pPr>
        <w:pStyle w:val="596"/>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headerReference r:id="rId8" w:type="default"/>
          <w:pgSz w:w="11907" w:h="16840"/>
          <w:pgMar w:top="1474" w:right="1814" w:bottom="1474" w:left="1814" w:header="851" w:footer="851" w:gutter="0"/>
          <w:cols w:space="720" w:num="1"/>
        </w:sect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建德市公安局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（项目名称、编号）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w:t>
      </w:r>
      <w:r>
        <w:rPr>
          <w:rFonts w:hint="eastAsia" w:ascii="宋体" w:hAnsi="宋体" w:eastAsia="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建德市公安局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b/>
          <w:color w:val="auto"/>
          <w:sz w:val="24"/>
          <w:highlight w:val="none"/>
        </w:rPr>
      </w:pPr>
      <w:bookmarkStart w:id="399" w:name="_Toc2232"/>
      <w:bookmarkStart w:id="400" w:name="_Toc24059"/>
      <w:bookmarkStart w:id="401" w:name="_Toc3029"/>
      <w:r>
        <w:rPr>
          <w:rFonts w:hint="eastAsia" w:ascii="宋体" w:hAnsi="宋体" w:eastAsia="宋体" w:cs="宋体"/>
          <w:b/>
          <w:color w:val="auto"/>
          <w:sz w:val="24"/>
          <w:highlight w:val="none"/>
        </w:rPr>
        <w:t>1.1 合同组成部分</w:t>
      </w:r>
      <w:bookmarkEnd w:id="399"/>
      <w:bookmarkEnd w:id="400"/>
      <w:bookmarkEnd w:id="40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02" w:name="_Toc21295"/>
      <w:bookmarkStart w:id="403" w:name="_Toc24300"/>
      <w:bookmarkStart w:id="404" w:name="_Toc27126"/>
      <w:r>
        <w:rPr>
          <w:rFonts w:hint="eastAsia" w:ascii="宋体" w:hAnsi="宋体" w:eastAsia="宋体" w:cs="宋体"/>
          <w:b/>
          <w:color w:val="auto"/>
          <w:sz w:val="24"/>
          <w:highlight w:val="none"/>
        </w:rPr>
        <w:t>1.2 货物</w:t>
      </w:r>
      <w:bookmarkEnd w:id="402"/>
      <w:bookmarkEnd w:id="403"/>
      <w:bookmarkEnd w:id="404"/>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货物质量：</w:t>
      </w:r>
      <w:r>
        <w:rPr>
          <w:rFonts w:hint="eastAsia" w:ascii="宋体" w:hAnsi="宋体" w:eastAsia="宋体" w:cs="宋体"/>
          <w:color w:val="auto"/>
          <w:sz w:val="24"/>
          <w:highlight w:val="none"/>
          <w:u w:val="single"/>
        </w:rPr>
        <w:t>　　　　　　　　　                      　      ；</w:t>
      </w:r>
    </w:p>
    <w:p>
      <w:pPr>
        <w:spacing w:line="560" w:lineRule="exact"/>
        <w:ind w:firstLine="482" w:firstLineChars="200"/>
        <w:outlineLvl w:val="0"/>
        <w:rPr>
          <w:rFonts w:hint="eastAsia" w:ascii="宋体" w:hAnsi="宋体" w:eastAsia="宋体" w:cs="宋体"/>
          <w:b/>
          <w:color w:val="auto"/>
          <w:sz w:val="24"/>
          <w:highlight w:val="none"/>
        </w:rPr>
      </w:pPr>
      <w:bookmarkStart w:id="405" w:name="_Toc21551"/>
      <w:bookmarkStart w:id="406" w:name="_Toc23292"/>
      <w:bookmarkStart w:id="407" w:name="_Toc21631"/>
      <w:r>
        <w:rPr>
          <w:rFonts w:hint="eastAsia" w:ascii="宋体" w:hAnsi="宋体" w:eastAsia="宋体" w:cs="宋体"/>
          <w:b/>
          <w:color w:val="auto"/>
          <w:sz w:val="24"/>
          <w:highlight w:val="none"/>
        </w:rPr>
        <w:t>1.3 价款</w:t>
      </w:r>
      <w:bookmarkEnd w:id="405"/>
      <w:bookmarkEnd w:id="406"/>
      <w:bookmarkEnd w:id="40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72"/>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宋体" w:hAnsi="宋体" w:eastAsia="宋体" w:cs="宋体"/>
                <w:color w:val="auto"/>
                <w:sz w:val="24"/>
                <w:szCs w:val="24"/>
                <w:highlight w:val="none"/>
              </w:rPr>
            </w:pPr>
          </w:p>
        </w:tc>
      </w:tr>
    </w:tbl>
    <w:p>
      <w:pPr>
        <w:pStyle w:val="957"/>
        <w:spacing w:before="0" w:beforeAutospacing="0" w:after="0" w:afterAutospacing="0" w:line="360" w:lineRule="auto"/>
        <w:ind w:firstLine="480"/>
        <w:rPr>
          <w:rFonts w:hint="eastAsia" w:ascii="宋体" w:hAnsi="宋体" w:eastAsia="宋体" w:cs="宋体"/>
          <w:b/>
          <w:color w:val="auto"/>
          <w:highlight w:val="none"/>
        </w:rPr>
      </w:pPr>
      <w:bookmarkStart w:id="408" w:name="_Toc10340"/>
      <w:bookmarkStart w:id="409" w:name="_Toc22618"/>
      <w:bookmarkStart w:id="410" w:name="_Toc1814"/>
      <w:r>
        <w:rPr>
          <w:rFonts w:hint="eastAsia" w:ascii="宋体" w:hAnsi="宋体" w:eastAsia="宋体" w:cs="宋体"/>
          <w:b/>
          <w:color w:val="auto"/>
          <w:highlight w:val="none"/>
        </w:rPr>
        <w:t>1.4履约保证金</w:t>
      </w:r>
    </w:p>
    <w:p>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2"/>
        <w:tabs>
          <w:tab w:val="left" w:pos="0"/>
          <w:tab w:val="clear" w:pos="432"/>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kern w:val="0"/>
          <w:sz w:val="24"/>
          <w:highlight w:val="none"/>
        </w:rPr>
        <w:t>1.4.4 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08"/>
      <w:bookmarkEnd w:id="409"/>
      <w:bookmarkEnd w:id="410"/>
      <w:r>
        <w:rPr>
          <w:rFonts w:hint="eastAsia" w:ascii="宋体" w:hAnsi="宋体" w:eastAsia="宋体" w:cs="宋体"/>
          <w:b/>
          <w:color w:val="auto"/>
          <w:sz w:val="24"/>
          <w:highlight w:val="none"/>
        </w:rPr>
        <w:t>预付款</w:t>
      </w:r>
    </w:p>
    <w:p>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7"/>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957"/>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11" w:name="_Toc32071"/>
      <w:bookmarkStart w:id="412" w:name="_Toc19304"/>
      <w:bookmarkStart w:id="413" w:name="_Toc2846"/>
      <w:r>
        <w:rPr>
          <w:rFonts w:hint="eastAsia" w:ascii="宋体" w:hAnsi="宋体" w:eastAsia="宋体" w:cs="宋体"/>
          <w:b/>
          <w:color w:val="auto"/>
          <w:sz w:val="24"/>
          <w:highlight w:val="none"/>
        </w:rPr>
        <w:t>1.7货物交付期限、地点和方式</w:t>
      </w:r>
      <w:bookmarkEnd w:id="411"/>
      <w:bookmarkEnd w:id="412"/>
      <w:bookmarkEnd w:id="413"/>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14" w:name="_Toc19554"/>
      <w:bookmarkStart w:id="415" w:name="_Toc21423"/>
      <w:bookmarkStart w:id="416" w:name="_Toc27250"/>
      <w:r>
        <w:rPr>
          <w:rFonts w:hint="eastAsia" w:ascii="宋体" w:hAnsi="宋体" w:eastAsia="宋体" w:cs="宋体"/>
          <w:b/>
          <w:color w:val="auto"/>
          <w:sz w:val="24"/>
          <w:highlight w:val="none"/>
        </w:rPr>
        <w:t>1.8违约责任</w:t>
      </w:r>
      <w:bookmarkEnd w:id="414"/>
      <w:bookmarkEnd w:id="415"/>
      <w:bookmarkEnd w:id="41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1.8.6违约责任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pPr>
        <w:spacing w:line="560" w:lineRule="exact"/>
        <w:ind w:firstLine="482" w:firstLineChars="200"/>
        <w:outlineLvl w:val="0"/>
        <w:rPr>
          <w:rFonts w:hint="eastAsia" w:ascii="宋体" w:hAnsi="宋体" w:eastAsia="宋体" w:cs="宋体"/>
          <w:b/>
          <w:color w:val="auto"/>
          <w:sz w:val="24"/>
          <w:highlight w:val="none"/>
        </w:rPr>
      </w:pPr>
      <w:bookmarkStart w:id="417" w:name="_Toc16021"/>
      <w:bookmarkStart w:id="418" w:name="_Toc28375"/>
      <w:bookmarkStart w:id="419" w:name="_Toc15583"/>
      <w:r>
        <w:rPr>
          <w:rFonts w:hint="eastAsia" w:ascii="宋体" w:hAnsi="宋体" w:eastAsia="宋体" w:cs="宋体"/>
          <w:b/>
          <w:color w:val="auto"/>
          <w:sz w:val="24"/>
          <w:highlight w:val="none"/>
        </w:rPr>
        <w:t>1.9合同争议的解决</w:t>
      </w:r>
      <w:bookmarkEnd w:id="417"/>
      <w:bookmarkEnd w:id="418"/>
      <w:bookmarkEnd w:id="419"/>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20" w:name="_Toc11173"/>
      <w:bookmarkStart w:id="421" w:name="_Toc15322"/>
      <w:bookmarkStart w:id="422" w:name="_Toc7245"/>
      <w:r>
        <w:rPr>
          <w:rFonts w:hint="eastAsia" w:ascii="宋体" w:hAnsi="宋体" w:eastAsia="宋体" w:cs="宋体"/>
          <w:b/>
          <w:color w:val="auto"/>
          <w:sz w:val="24"/>
          <w:highlight w:val="none"/>
        </w:rPr>
        <w:t>2.0 合同生效</w:t>
      </w:r>
      <w:bookmarkEnd w:id="420"/>
      <w:bookmarkEnd w:id="421"/>
      <w:bookmarkEnd w:id="422"/>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pStyle w:val="2"/>
        <w:rPr>
          <w:rFonts w:hint="eastAsia" w:ascii="宋体" w:hAnsi="宋体" w:eastAsia="宋体" w:cs="宋体"/>
          <w:color w:val="auto"/>
          <w:sz w:val="24"/>
          <w:highlight w:val="none"/>
          <w:lang w:val="zh-CN"/>
        </w:rPr>
      </w:pPr>
    </w:p>
    <w:p>
      <w:pPr>
        <w:rPr>
          <w:rFonts w:hint="eastAsia" w:ascii="宋体" w:hAnsi="宋体" w:eastAsia="宋体" w:cs="宋体"/>
          <w:color w:val="auto"/>
          <w:sz w:val="24"/>
          <w:highlight w:val="none"/>
          <w:lang w:val="zh-CN"/>
        </w:rPr>
      </w:pPr>
    </w:p>
    <w:p>
      <w:pPr>
        <w:pStyle w:val="2"/>
        <w:rPr>
          <w:rFonts w:hint="eastAsia" w:ascii="宋体" w:hAnsi="宋体" w:eastAsia="宋体" w:cs="宋体"/>
          <w:color w:val="auto"/>
          <w:sz w:val="24"/>
          <w:highlight w:val="none"/>
          <w:lang w:val="zh-CN"/>
        </w:rPr>
      </w:pPr>
    </w:p>
    <w:p>
      <w:pPr>
        <w:rPr>
          <w:rFonts w:hint="eastAsia" w:ascii="宋体" w:hAnsi="宋体" w:eastAsia="宋体" w:cs="宋体"/>
          <w:color w:val="auto"/>
          <w:sz w:val="24"/>
          <w:highlight w:val="none"/>
          <w:lang w:val="zh-CN"/>
        </w:rPr>
      </w:pPr>
    </w:p>
    <w:p>
      <w:pPr>
        <w:pStyle w:val="2"/>
        <w:rPr>
          <w:rFonts w:hint="eastAsia" w:ascii="宋体" w:hAnsi="宋体" w:eastAsia="宋体" w:cs="宋体"/>
          <w:color w:val="auto"/>
          <w:sz w:val="24"/>
          <w:highlight w:val="none"/>
          <w:lang w:val="zh-CN"/>
        </w:rPr>
      </w:pPr>
    </w:p>
    <w:p>
      <w:pPr>
        <w:rPr>
          <w:rFonts w:hint="eastAsia" w:ascii="宋体" w:hAnsi="宋体" w:eastAsia="宋体" w:cs="宋体"/>
          <w:color w:val="auto"/>
          <w:sz w:val="24"/>
          <w:highlight w:val="none"/>
          <w:lang w:val="zh-CN"/>
        </w:rPr>
      </w:pPr>
    </w:p>
    <w:p>
      <w:pPr>
        <w:pStyle w:val="2"/>
        <w:rPr>
          <w:rFonts w:hint="eastAsia" w:ascii="宋体" w:hAnsi="宋体" w:eastAsia="宋体" w:cs="宋体"/>
          <w:color w:val="auto"/>
          <w:sz w:val="24"/>
          <w:highlight w:val="none"/>
          <w:lang w:val="zh-CN"/>
        </w:rPr>
      </w:pPr>
    </w:p>
    <w:p>
      <w:pPr>
        <w:rPr>
          <w:rFonts w:hint="eastAsia" w:ascii="宋体" w:hAnsi="宋体" w:eastAsia="宋体" w:cs="宋体"/>
          <w:color w:val="auto"/>
          <w:sz w:val="24"/>
          <w:highlight w:val="none"/>
          <w:lang w:val="zh-CN"/>
        </w:rPr>
      </w:pPr>
    </w:p>
    <w:p>
      <w:pPr>
        <w:pStyle w:val="2"/>
        <w:rPr>
          <w:rFonts w:hint="eastAsia" w:ascii="宋体" w:hAnsi="宋体" w:eastAsia="宋体" w:cs="宋体"/>
          <w:color w:val="auto"/>
          <w:sz w:val="24"/>
          <w:highlight w:val="none"/>
          <w:lang w:val="zh-CN"/>
        </w:rPr>
      </w:pPr>
    </w:p>
    <w:p>
      <w:pPr>
        <w:rPr>
          <w:rFonts w:hint="eastAsia" w:ascii="宋体" w:hAnsi="宋体" w:eastAsia="宋体" w:cs="宋体"/>
          <w:color w:val="auto"/>
          <w:sz w:val="24"/>
          <w:highlight w:val="none"/>
          <w:lang w:val="zh-CN"/>
        </w:rPr>
      </w:pPr>
    </w:p>
    <w:p>
      <w:pPr>
        <w:pStyle w:val="2"/>
        <w:rPr>
          <w:rFonts w:hint="eastAsia" w:ascii="宋体" w:hAnsi="宋体" w:eastAsia="宋体" w:cs="宋体"/>
          <w:color w:val="auto"/>
          <w:sz w:val="24"/>
          <w:highlight w:val="none"/>
          <w:lang w:val="zh-CN"/>
        </w:rPr>
      </w:pPr>
    </w:p>
    <w:p>
      <w:pPr>
        <w:rPr>
          <w:rFonts w:hint="eastAsia" w:ascii="宋体" w:hAnsi="宋体" w:eastAsia="宋体" w:cs="宋体"/>
          <w:color w:val="auto"/>
          <w:sz w:val="24"/>
          <w:highlight w:val="none"/>
          <w:lang w:val="zh-CN"/>
        </w:rPr>
      </w:pPr>
    </w:p>
    <w:p>
      <w:pPr>
        <w:pStyle w:val="2"/>
        <w:rPr>
          <w:rFonts w:hint="eastAsia" w:ascii="宋体" w:hAnsi="宋体" w:eastAsia="宋体" w:cs="宋体"/>
          <w:color w:val="auto"/>
          <w:sz w:val="24"/>
          <w:highlight w:val="none"/>
          <w:lang w:val="zh-CN"/>
        </w:rPr>
      </w:pPr>
    </w:p>
    <w:p>
      <w:pPr>
        <w:rPr>
          <w:rFonts w:hint="eastAsia" w:ascii="宋体" w:hAnsi="宋体" w:eastAsia="宋体" w:cs="宋体"/>
          <w:color w:val="auto"/>
          <w:sz w:val="24"/>
          <w:highlight w:val="none"/>
          <w:lang w:val="zh-CN"/>
        </w:rPr>
      </w:pPr>
    </w:p>
    <w:p>
      <w:pPr>
        <w:pStyle w:val="2"/>
        <w:rPr>
          <w:rFonts w:hint="eastAsia" w:ascii="宋体" w:hAnsi="宋体" w:eastAsia="宋体" w:cs="宋体"/>
          <w:color w:val="auto"/>
          <w:sz w:val="24"/>
          <w:highlight w:val="none"/>
          <w:lang w:val="zh-CN"/>
        </w:rPr>
      </w:pPr>
    </w:p>
    <w:p>
      <w:pPr>
        <w:rPr>
          <w:rFonts w:hint="eastAsia" w:ascii="宋体" w:hAnsi="宋体" w:eastAsia="宋体" w:cs="宋体"/>
          <w:color w:val="auto"/>
          <w:sz w:val="24"/>
          <w:highlight w:val="none"/>
          <w:lang w:val="zh-CN"/>
        </w:rPr>
      </w:pPr>
    </w:p>
    <w:p>
      <w:pPr>
        <w:pStyle w:val="2"/>
        <w:rPr>
          <w:rFonts w:hint="eastAsia"/>
          <w:color w:val="auto"/>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p>
    <w:p>
      <w:pPr>
        <w:pStyle w:val="699"/>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23" w:name="_Ref467379195"/>
      <w:bookmarkStart w:id="424" w:name="_Ref467378463"/>
      <w:bookmarkStart w:id="425" w:name="_Ref467379205"/>
      <w:bookmarkStart w:id="426" w:name="_Ref467379094"/>
      <w:bookmarkStart w:id="427" w:name="_Toc16917"/>
      <w:bookmarkStart w:id="428" w:name="_Toc19614"/>
      <w:bookmarkStart w:id="429" w:name="_Ref467378404"/>
      <w:bookmarkStart w:id="430" w:name="_Toc259093669"/>
      <w:bookmarkStart w:id="431" w:name="_Toc28763"/>
      <w:bookmarkStart w:id="432" w:name="_Ref467379109"/>
      <w:bookmarkStart w:id="433" w:name="_Toc487900349"/>
      <w:bookmarkStart w:id="434" w:name="_Ref467378499"/>
      <w:bookmarkStart w:id="435" w:name="_Toc279701240"/>
      <w:bookmarkStart w:id="436" w:name="_Ref467379214"/>
      <w:bookmarkStart w:id="437" w:name="_Ref467379101"/>
      <w:bookmarkStart w:id="438" w:name="_Ref467379225"/>
      <w:r>
        <w:rPr>
          <w:rFonts w:hint="eastAsia" w:ascii="宋体" w:hAnsi="宋体" w:eastAsia="宋体" w:cs="宋体"/>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宋体" w:hAnsi="宋体" w:eastAsia="宋体" w:cs="宋体"/>
          <w:color w:val="auto"/>
          <w:sz w:val="24"/>
          <w:highlight w:val="none"/>
        </w:rPr>
      </w:pPr>
      <w:bookmarkStart w:id="439" w:name="_Ref467378840"/>
      <w:r>
        <w:rPr>
          <w:rFonts w:hint="eastAsia" w:ascii="宋体" w:hAnsi="宋体" w:eastAsia="宋体" w:cs="宋体"/>
          <w:color w:val="auto"/>
          <w:sz w:val="24"/>
          <w:highlight w:val="none"/>
        </w:rPr>
        <w:t>2.1.4 “甲方”系指与中标或成交供应商签署合同的采购人</w:t>
      </w:r>
      <w:bookmarkEnd w:id="439"/>
      <w:r>
        <w:rPr>
          <w:rFonts w:hint="eastAsia" w:ascii="宋体" w:hAnsi="宋体" w:eastAsia="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bookmarkStart w:id="440" w:name="_Ref467379400"/>
      <w:r>
        <w:rPr>
          <w:rFonts w:hint="eastAsia" w:ascii="宋体" w:hAnsi="宋体" w:eastAsia="宋体" w:cs="宋体"/>
          <w:color w:val="auto"/>
          <w:sz w:val="24"/>
          <w:highlight w:val="none"/>
        </w:rPr>
        <w:t>2.1.5 “乙方”系指根据合同约定交付货物的中标或成交供应商</w:t>
      </w:r>
      <w:bookmarkEnd w:id="440"/>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bookmarkStart w:id="441" w:name="_Ref467379436"/>
      <w:r>
        <w:rPr>
          <w:rFonts w:hint="eastAsia" w:ascii="宋体" w:hAnsi="宋体" w:eastAsia="宋体" w:cs="宋体"/>
          <w:color w:val="auto"/>
          <w:sz w:val="24"/>
          <w:highlight w:val="none"/>
        </w:rPr>
        <w:t>2.1.6 “现场”系指合同约定货物将要运至或者安装的地点。</w:t>
      </w:r>
      <w:bookmarkEnd w:id="441"/>
    </w:p>
    <w:p>
      <w:pPr>
        <w:spacing w:line="560" w:lineRule="exact"/>
        <w:ind w:firstLine="482" w:firstLineChars="200"/>
        <w:outlineLvl w:val="0"/>
        <w:rPr>
          <w:rFonts w:hint="eastAsia" w:ascii="宋体" w:hAnsi="宋体" w:eastAsia="宋体" w:cs="宋体"/>
          <w:b/>
          <w:color w:val="auto"/>
          <w:sz w:val="24"/>
          <w:highlight w:val="none"/>
        </w:rPr>
      </w:pPr>
      <w:bookmarkStart w:id="442" w:name="_Toc259093670"/>
      <w:bookmarkStart w:id="443" w:name="_Toc487900350"/>
      <w:bookmarkStart w:id="444" w:name="_Toc27635"/>
      <w:bookmarkStart w:id="445" w:name="_Toc13336"/>
      <w:bookmarkStart w:id="446" w:name="_Toc32504"/>
      <w:bookmarkStart w:id="447" w:name="_Toc279701241"/>
      <w:r>
        <w:rPr>
          <w:rFonts w:hint="eastAsia" w:ascii="宋体" w:hAnsi="宋体" w:eastAsia="宋体" w:cs="宋体"/>
          <w:b/>
          <w:color w:val="auto"/>
          <w:sz w:val="24"/>
          <w:highlight w:val="none"/>
        </w:rPr>
        <w:t>2.2 技术规范</w:t>
      </w:r>
      <w:bookmarkEnd w:id="442"/>
      <w:bookmarkEnd w:id="443"/>
      <w:bookmarkEnd w:id="444"/>
      <w:bookmarkEnd w:id="445"/>
      <w:bookmarkEnd w:id="446"/>
      <w:bookmarkEnd w:id="44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48" w:name="_Toc27853"/>
      <w:bookmarkStart w:id="449" w:name="_Toc259093671"/>
      <w:bookmarkStart w:id="450" w:name="_Toc487900351"/>
      <w:bookmarkStart w:id="451" w:name="_Toc31634"/>
      <w:bookmarkStart w:id="452" w:name="_Toc279701242"/>
      <w:bookmarkStart w:id="453" w:name="_Toc9829"/>
      <w:r>
        <w:rPr>
          <w:rFonts w:hint="eastAsia" w:ascii="宋体" w:hAnsi="宋体" w:eastAsia="宋体" w:cs="宋体"/>
          <w:b/>
          <w:color w:val="auto"/>
          <w:sz w:val="24"/>
          <w:highlight w:val="none"/>
        </w:rPr>
        <w:t>2.3 知识产权</w:t>
      </w:r>
      <w:bookmarkEnd w:id="448"/>
      <w:bookmarkEnd w:id="449"/>
      <w:bookmarkEnd w:id="450"/>
      <w:bookmarkEnd w:id="451"/>
      <w:bookmarkEnd w:id="452"/>
      <w:bookmarkEnd w:id="45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54" w:name="_Toc29149"/>
      <w:bookmarkStart w:id="455" w:name="_Toc11932"/>
      <w:bookmarkStart w:id="456" w:name="_Toc4194"/>
      <w:r>
        <w:rPr>
          <w:rFonts w:hint="eastAsia" w:ascii="宋体" w:hAnsi="宋体" w:eastAsia="宋体" w:cs="宋体"/>
          <w:b/>
          <w:color w:val="auto"/>
          <w:sz w:val="24"/>
          <w:highlight w:val="none"/>
        </w:rPr>
        <w:t>2.4 包装和装运</w:t>
      </w:r>
      <w:bookmarkEnd w:id="454"/>
      <w:bookmarkEnd w:id="455"/>
      <w:bookmarkEnd w:id="45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2.4.3 装运货物的要求和通知，详见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57" w:name="_Ref467379536"/>
      <w:bookmarkStart w:id="458" w:name="_Ref467379542"/>
      <w:bookmarkStart w:id="459" w:name="_Ref467378591"/>
      <w:bookmarkStart w:id="460" w:name="_Toc279701245"/>
      <w:bookmarkStart w:id="461" w:name="_Ref467379527"/>
      <w:bookmarkStart w:id="462" w:name="_Toc259093674"/>
      <w:bookmarkStart w:id="463" w:name="_Ref467378541"/>
      <w:bookmarkStart w:id="464" w:name="_Toc487900354"/>
      <w:bookmarkStart w:id="465" w:name="_Toc26182"/>
      <w:bookmarkStart w:id="466" w:name="_Toc30272"/>
      <w:bookmarkStart w:id="467" w:name="_Toc19074"/>
      <w:r>
        <w:rPr>
          <w:rFonts w:hint="eastAsia" w:ascii="宋体" w:hAnsi="宋体" w:eastAsia="宋体" w:cs="宋体"/>
          <w:b/>
          <w:color w:val="auto"/>
          <w:sz w:val="24"/>
          <w:highlight w:val="none"/>
        </w:rPr>
        <w:t>2.</w:t>
      </w:r>
      <w:bookmarkEnd w:id="457"/>
      <w:bookmarkEnd w:id="458"/>
      <w:bookmarkEnd w:id="459"/>
      <w:bookmarkEnd w:id="460"/>
      <w:bookmarkEnd w:id="461"/>
      <w:bookmarkEnd w:id="462"/>
      <w:bookmarkEnd w:id="463"/>
      <w:bookmarkEnd w:id="464"/>
      <w:r>
        <w:rPr>
          <w:rFonts w:hint="eastAsia" w:ascii="宋体" w:hAnsi="宋体" w:eastAsia="宋体" w:cs="宋体"/>
          <w:b/>
          <w:color w:val="auto"/>
          <w:sz w:val="24"/>
          <w:highlight w:val="none"/>
        </w:rPr>
        <w:t>5 履约检查和问题反馈</w:t>
      </w:r>
      <w:bookmarkEnd w:id="465"/>
      <w:bookmarkEnd w:id="466"/>
      <w:bookmarkEnd w:id="467"/>
    </w:p>
    <w:p>
      <w:pPr>
        <w:spacing w:line="560" w:lineRule="exact"/>
        <w:ind w:firstLine="480" w:firstLineChars="200"/>
        <w:rPr>
          <w:rFonts w:hint="eastAsia" w:ascii="宋体" w:hAnsi="宋体" w:eastAsia="宋体" w:cs="宋体"/>
          <w:color w:val="auto"/>
          <w:sz w:val="24"/>
          <w:highlight w:val="none"/>
        </w:rPr>
      </w:pPr>
      <w:bookmarkStart w:id="468" w:name="_Ref467379657"/>
      <w:r>
        <w:rPr>
          <w:rFonts w:hint="eastAsia" w:ascii="宋体" w:hAnsi="宋体" w:eastAsia="宋体" w:cs="宋体"/>
          <w:color w:val="auto"/>
          <w:sz w:val="24"/>
          <w:highlight w:val="none"/>
        </w:rPr>
        <w:t>2.5.1</w:t>
      </w:r>
      <w:bookmarkEnd w:id="468"/>
      <w:bookmarkStart w:id="469" w:name="_Toc186431854"/>
      <w:bookmarkStart w:id="470" w:name="_Toc279701247"/>
      <w:bookmarkStart w:id="471" w:name="_Ref467379793"/>
      <w:bookmarkStart w:id="472" w:name="_Toc259093676"/>
      <w:bookmarkStart w:id="473" w:name="_Toc487900357"/>
      <w:bookmarkStart w:id="474" w:name="_Ref467379807"/>
      <w:r>
        <w:rPr>
          <w:rFonts w:hint="eastAsia" w:ascii="宋体" w:hAnsi="宋体" w:eastAsia="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eastAsia="宋体" w:cs="宋体"/>
          <w:color w:val="auto"/>
          <w:sz w:val="24"/>
          <w:highlight w:val="none"/>
        </w:rPr>
        <w:t>。</w:t>
      </w:r>
    </w:p>
    <w:bookmarkEnd w:id="470"/>
    <w:bookmarkEnd w:id="471"/>
    <w:bookmarkEnd w:id="472"/>
    <w:bookmarkEnd w:id="473"/>
    <w:bookmarkEnd w:id="474"/>
    <w:bookmarkEnd w:id="475"/>
    <w:p>
      <w:pPr>
        <w:spacing w:line="560" w:lineRule="exact"/>
        <w:ind w:firstLine="482" w:firstLineChars="200"/>
        <w:outlineLvl w:val="0"/>
        <w:rPr>
          <w:rFonts w:hint="eastAsia" w:ascii="宋体" w:hAnsi="宋体" w:eastAsia="宋体" w:cs="宋体"/>
          <w:b/>
          <w:color w:val="auto"/>
          <w:sz w:val="24"/>
          <w:highlight w:val="none"/>
        </w:rPr>
      </w:pPr>
      <w:bookmarkStart w:id="476" w:name="_Ref467379863"/>
      <w:bookmarkStart w:id="477" w:name="_Ref467379852"/>
      <w:bookmarkStart w:id="478" w:name="_Toc259093677"/>
      <w:bookmarkStart w:id="479" w:name="_Ref467379923"/>
      <w:bookmarkStart w:id="480" w:name="_Toc487900358"/>
      <w:bookmarkStart w:id="481" w:name="_Toc279701248"/>
      <w:bookmarkStart w:id="482" w:name="_Toc3225"/>
      <w:bookmarkStart w:id="483" w:name="_Toc16110"/>
      <w:bookmarkStart w:id="484" w:name="_Toc774"/>
      <w:r>
        <w:rPr>
          <w:rFonts w:hint="eastAsia" w:ascii="宋体" w:hAnsi="宋体" w:eastAsia="宋体" w:cs="宋体"/>
          <w:b/>
          <w:color w:val="auto"/>
          <w:sz w:val="24"/>
          <w:highlight w:val="none"/>
        </w:rPr>
        <w:t>2.6 技术资料</w:t>
      </w:r>
      <w:bookmarkEnd w:id="476"/>
      <w:bookmarkEnd w:id="477"/>
      <w:bookmarkEnd w:id="478"/>
      <w:bookmarkEnd w:id="479"/>
      <w:bookmarkEnd w:id="480"/>
      <w:bookmarkEnd w:id="481"/>
      <w:r>
        <w:rPr>
          <w:rFonts w:hint="eastAsia" w:ascii="宋体" w:hAnsi="宋体" w:eastAsia="宋体" w:cs="宋体"/>
          <w:b/>
          <w:color w:val="auto"/>
          <w:sz w:val="24"/>
          <w:highlight w:val="none"/>
        </w:rPr>
        <w:t>和保密义务</w:t>
      </w:r>
      <w:bookmarkEnd w:id="482"/>
      <w:bookmarkEnd w:id="483"/>
      <w:bookmarkEnd w:id="48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85" w:name="_Toc7860"/>
      <w:r>
        <w:rPr>
          <w:rFonts w:hint="eastAsia" w:ascii="宋体" w:hAnsi="宋体" w:eastAsia="宋体" w:cs="宋体"/>
          <w:b/>
          <w:color w:val="auto"/>
          <w:sz w:val="24"/>
          <w:highlight w:val="none"/>
        </w:rPr>
        <w:t>2.7 质量保证</w:t>
      </w:r>
      <w:bookmarkEnd w:id="48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86" w:name="_Toc17244"/>
      <w:bookmarkStart w:id="487" w:name="_Toc259093681"/>
      <w:bookmarkStart w:id="488" w:name="_Toc487900362"/>
      <w:bookmarkStart w:id="489" w:name="_Toc279701252"/>
      <w:r>
        <w:rPr>
          <w:rFonts w:hint="eastAsia" w:ascii="宋体" w:hAnsi="宋体" w:eastAsia="宋体" w:cs="宋体"/>
          <w:b/>
          <w:color w:val="auto"/>
          <w:sz w:val="24"/>
          <w:highlight w:val="none"/>
        </w:rPr>
        <w:t>2.8 货物的风险负担</w:t>
      </w:r>
      <w:bookmarkEnd w:id="486"/>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货物或者在途货物或者交付给第一承运人后的货物毁损、灭失的风险负担详见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90" w:name="_Toc14055"/>
      <w:r>
        <w:rPr>
          <w:rFonts w:hint="eastAsia" w:ascii="宋体" w:hAnsi="宋体" w:eastAsia="宋体" w:cs="宋体"/>
          <w:b/>
          <w:color w:val="auto"/>
          <w:sz w:val="24"/>
          <w:highlight w:val="none"/>
        </w:rPr>
        <w:t>2.9 延迟交货</w:t>
      </w:r>
      <w:bookmarkEnd w:id="487"/>
      <w:bookmarkEnd w:id="488"/>
      <w:bookmarkEnd w:id="489"/>
      <w:bookmarkEnd w:id="49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宋体" w:hAnsi="宋体" w:eastAsia="宋体" w:cs="宋体"/>
          <w:b/>
          <w:color w:val="auto"/>
          <w:sz w:val="24"/>
          <w:highlight w:val="none"/>
        </w:rPr>
      </w:pPr>
      <w:bookmarkStart w:id="491" w:name="_Toc7502"/>
      <w:bookmarkStart w:id="492" w:name="_Toc279701254"/>
      <w:bookmarkStart w:id="493" w:name="_Toc487900364"/>
      <w:bookmarkStart w:id="494" w:name="_Toc259093683"/>
      <w:bookmarkStart w:id="495" w:name="_Ref467378121"/>
      <w:r>
        <w:rPr>
          <w:rFonts w:hint="eastAsia" w:ascii="宋体" w:hAnsi="宋体" w:eastAsia="宋体" w:cs="宋体"/>
          <w:b/>
          <w:color w:val="auto"/>
          <w:sz w:val="24"/>
          <w:highlight w:val="none"/>
        </w:rPr>
        <w:t>2.10 合同变更</w:t>
      </w:r>
      <w:bookmarkEnd w:id="49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59093688"/>
      <w:bookmarkStart w:id="498" w:name="_Toc279701259"/>
    </w:p>
    <w:p>
      <w:pPr>
        <w:spacing w:line="560" w:lineRule="exact"/>
        <w:ind w:firstLine="482" w:firstLineChars="200"/>
        <w:outlineLvl w:val="0"/>
        <w:rPr>
          <w:rFonts w:hint="eastAsia" w:ascii="宋体" w:hAnsi="宋体" w:eastAsia="宋体" w:cs="宋体"/>
          <w:b/>
          <w:color w:val="auto"/>
          <w:sz w:val="24"/>
          <w:highlight w:val="none"/>
        </w:rPr>
      </w:pPr>
      <w:bookmarkStart w:id="499" w:name="_Toc10366"/>
      <w:bookmarkStart w:id="500" w:name="_Toc22955"/>
      <w:bookmarkStart w:id="501" w:name="_Toc15237"/>
      <w:r>
        <w:rPr>
          <w:rFonts w:hint="eastAsia" w:ascii="宋体" w:hAnsi="宋体" w:eastAsia="宋体" w:cs="宋体"/>
          <w:b/>
          <w:color w:val="auto"/>
          <w:sz w:val="24"/>
          <w:highlight w:val="none"/>
        </w:rPr>
        <w:t>2.11 合同转让</w:t>
      </w:r>
      <w:bookmarkEnd w:id="496"/>
      <w:bookmarkEnd w:id="497"/>
      <w:bookmarkEnd w:id="498"/>
      <w:r>
        <w:rPr>
          <w:rFonts w:hint="eastAsia" w:ascii="宋体" w:hAnsi="宋体" w:eastAsia="宋体" w:cs="宋体"/>
          <w:b/>
          <w:color w:val="auto"/>
          <w:sz w:val="24"/>
          <w:highlight w:val="none"/>
        </w:rPr>
        <w:t>和分包</w:t>
      </w:r>
      <w:bookmarkEnd w:id="499"/>
      <w:bookmarkEnd w:id="500"/>
      <w:bookmarkEnd w:id="50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2.11.2乙方采取分包方式履行合同的，甲方可直接向分包供应商支付款项。</w:t>
      </w:r>
    </w:p>
    <w:p>
      <w:pPr>
        <w:spacing w:line="560" w:lineRule="exact"/>
        <w:ind w:firstLine="482" w:firstLineChars="200"/>
        <w:outlineLvl w:val="0"/>
        <w:rPr>
          <w:rFonts w:hint="eastAsia" w:ascii="宋体" w:hAnsi="宋体" w:eastAsia="宋体" w:cs="宋体"/>
          <w:b/>
          <w:color w:val="auto"/>
          <w:sz w:val="24"/>
          <w:highlight w:val="none"/>
        </w:rPr>
      </w:pPr>
      <w:bookmarkStart w:id="502" w:name="_Toc13566"/>
      <w:bookmarkStart w:id="503" w:name="_Toc16508"/>
      <w:bookmarkStart w:id="504" w:name="_Toc14066"/>
      <w:r>
        <w:rPr>
          <w:rFonts w:hint="eastAsia" w:ascii="宋体" w:hAnsi="宋体" w:eastAsia="宋体" w:cs="宋体"/>
          <w:b/>
          <w:color w:val="auto"/>
          <w:sz w:val="24"/>
          <w:highlight w:val="none"/>
        </w:rPr>
        <w:t>2.12 不可抗力</w:t>
      </w:r>
      <w:bookmarkEnd w:id="502"/>
      <w:bookmarkEnd w:id="503"/>
      <w:bookmarkEnd w:id="50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505" w:name="_Toc689"/>
      <w:bookmarkStart w:id="506" w:name="_Toc259093684"/>
      <w:bookmarkStart w:id="507" w:name="_Toc6969"/>
      <w:bookmarkStart w:id="508" w:name="_Toc487900365"/>
      <w:bookmarkStart w:id="509" w:name="_Toc30676"/>
      <w:bookmarkStart w:id="510" w:name="_Toc279701255"/>
      <w:r>
        <w:rPr>
          <w:rFonts w:hint="eastAsia" w:ascii="宋体" w:hAnsi="宋体" w:eastAsia="宋体" w:cs="宋体"/>
          <w:b/>
          <w:color w:val="auto"/>
          <w:sz w:val="24"/>
          <w:highlight w:val="none"/>
        </w:rPr>
        <w:t>2.13 税费</w:t>
      </w:r>
      <w:bookmarkEnd w:id="505"/>
      <w:bookmarkEnd w:id="506"/>
      <w:bookmarkEnd w:id="507"/>
      <w:bookmarkEnd w:id="508"/>
      <w:bookmarkEnd w:id="509"/>
      <w:bookmarkEnd w:id="51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pPr>
        <w:spacing w:line="560" w:lineRule="exact"/>
        <w:ind w:firstLine="482" w:firstLineChars="200"/>
        <w:outlineLvl w:val="0"/>
        <w:rPr>
          <w:rFonts w:hint="eastAsia" w:ascii="宋体" w:hAnsi="宋体" w:eastAsia="宋体" w:cs="宋体"/>
          <w:b/>
          <w:color w:val="auto"/>
          <w:sz w:val="24"/>
          <w:highlight w:val="none"/>
        </w:rPr>
      </w:pPr>
      <w:bookmarkStart w:id="511" w:name="_Toc7102"/>
      <w:bookmarkStart w:id="512" w:name="_Toc279701258"/>
      <w:bookmarkStart w:id="513" w:name="_Toc8298"/>
      <w:bookmarkStart w:id="514" w:name="_Toc487900368"/>
      <w:bookmarkStart w:id="515" w:name="_Toc259093687"/>
      <w:bookmarkStart w:id="516" w:name="_Toc16959"/>
      <w:r>
        <w:rPr>
          <w:rFonts w:hint="eastAsia" w:ascii="宋体" w:hAnsi="宋体" w:eastAsia="宋体" w:cs="宋体"/>
          <w:b/>
          <w:color w:val="auto"/>
          <w:sz w:val="24"/>
          <w:highlight w:val="none"/>
        </w:rPr>
        <w:t>2.14乙方破产</w:t>
      </w:r>
      <w:bookmarkEnd w:id="511"/>
      <w:bookmarkEnd w:id="512"/>
      <w:bookmarkEnd w:id="513"/>
      <w:bookmarkEnd w:id="514"/>
      <w:bookmarkEnd w:id="515"/>
      <w:bookmarkEnd w:id="51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517" w:name="_Toc6134"/>
      <w:bookmarkStart w:id="518" w:name="_Toc29333"/>
      <w:bookmarkStart w:id="519" w:name="_Toc15387"/>
      <w:r>
        <w:rPr>
          <w:rFonts w:hint="eastAsia" w:ascii="宋体" w:hAnsi="宋体" w:eastAsia="宋体" w:cs="宋体"/>
          <w:b/>
          <w:color w:val="auto"/>
          <w:sz w:val="24"/>
          <w:highlight w:val="none"/>
        </w:rPr>
        <w:t>2.15 合同中止、终止</w:t>
      </w:r>
      <w:bookmarkEnd w:id="517"/>
      <w:bookmarkEnd w:id="518"/>
      <w:bookmarkEnd w:id="51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520" w:name="_Toc1125"/>
      <w:bookmarkStart w:id="521" w:name="_Toc6596"/>
      <w:bookmarkStart w:id="522" w:name="_Toc14563"/>
      <w:r>
        <w:rPr>
          <w:rFonts w:hint="eastAsia" w:ascii="宋体" w:hAnsi="宋体" w:eastAsia="宋体" w:cs="宋体"/>
          <w:b/>
          <w:color w:val="auto"/>
          <w:sz w:val="24"/>
          <w:highlight w:val="none"/>
        </w:rPr>
        <w:t>2.16检验和验收</w:t>
      </w:r>
      <w:bookmarkEnd w:id="520"/>
      <w:bookmarkEnd w:id="521"/>
      <w:bookmarkEnd w:id="522"/>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492"/>
    <w:bookmarkEnd w:id="493"/>
    <w:bookmarkEnd w:id="494"/>
    <w:bookmarkEnd w:id="495"/>
    <w:p>
      <w:pPr>
        <w:spacing w:line="560" w:lineRule="exact"/>
        <w:ind w:firstLine="482" w:firstLineChars="200"/>
        <w:outlineLvl w:val="0"/>
        <w:rPr>
          <w:rFonts w:hint="eastAsia" w:ascii="宋体" w:hAnsi="宋体" w:eastAsia="宋体" w:cs="宋体"/>
          <w:b/>
          <w:color w:val="auto"/>
          <w:sz w:val="24"/>
          <w:highlight w:val="none"/>
        </w:rPr>
      </w:pPr>
      <w:bookmarkStart w:id="523" w:name="_Toc279701261"/>
      <w:bookmarkStart w:id="524" w:name="_Toc487900371"/>
      <w:bookmarkStart w:id="525" w:name="_Toc259093690"/>
      <w:bookmarkStart w:id="526" w:name="_Toc11284"/>
      <w:bookmarkStart w:id="527" w:name="_Toc25182"/>
      <w:bookmarkStart w:id="528" w:name="_Toc19604"/>
      <w:r>
        <w:rPr>
          <w:rFonts w:hint="eastAsia" w:ascii="宋体" w:hAnsi="宋体" w:eastAsia="宋体" w:cs="宋体"/>
          <w:b/>
          <w:color w:val="auto"/>
          <w:sz w:val="24"/>
          <w:highlight w:val="none"/>
        </w:rPr>
        <w:t>2.17 通知</w:t>
      </w:r>
      <w:bookmarkEnd w:id="523"/>
      <w:bookmarkEnd w:id="524"/>
      <w:bookmarkEnd w:id="525"/>
      <w:r>
        <w:rPr>
          <w:rFonts w:hint="eastAsia" w:ascii="宋体" w:hAnsi="宋体" w:eastAsia="宋体" w:cs="宋体"/>
          <w:b/>
          <w:color w:val="auto"/>
          <w:sz w:val="24"/>
          <w:highlight w:val="none"/>
        </w:rPr>
        <w:t>和送达</w:t>
      </w:r>
      <w:bookmarkEnd w:id="526"/>
      <w:bookmarkEnd w:id="527"/>
      <w:bookmarkEnd w:id="528"/>
    </w:p>
    <w:p>
      <w:pPr>
        <w:spacing w:line="560" w:lineRule="exact"/>
        <w:ind w:firstLine="480" w:firstLineChars="200"/>
        <w:rPr>
          <w:rFonts w:hint="eastAsia" w:ascii="宋体" w:hAnsi="宋体" w:eastAsia="宋体" w:cs="宋体"/>
          <w:color w:val="auto"/>
          <w:sz w:val="24"/>
          <w:highlight w:val="none"/>
        </w:rPr>
      </w:pPr>
      <w:bookmarkStart w:id="529" w:name="_Toc3135"/>
      <w:bookmarkStart w:id="530" w:name="_Toc6698"/>
      <w:bookmarkStart w:id="531" w:name="_Toc279701262"/>
      <w:bookmarkStart w:id="532" w:name="_Toc487900372"/>
      <w:bookmarkStart w:id="533" w:name="_Toc25909369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hint="eastAsia" w:ascii="宋体" w:hAnsi="宋体" w:eastAsia="宋体" w:cs="宋体"/>
          <w:color w:val="auto"/>
          <w:sz w:val="24"/>
          <w:highlight w:val="none"/>
        </w:rPr>
      </w:pPr>
      <w:bookmarkStart w:id="534" w:name="_Toc23294"/>
      <w:bookmarkStart w:id="535" w:name="_Toc23128"/>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hint="eastAsia" w:ascii="宋体" w:hAnsi="宋体" w:eastAsia="宋体" w:cs="宋体"/>
          <w:b/>
          <w:color w:val="auto"/>
          <w:sz w:val="24"/>
          <w:highlight w:val="none"/>
        </w:rPr>
      </w:pPr>
      <w:bookmarkStart w:id="536" w:name="_Toc18540"/>
      <w:bookmarkStart w:id="537" w:name="_Toc4355"/>
      <w:bookmarkStart w:id="538" w:name="_Toc30599"/>
      <w:r>
        <w:rPr>
          <w:rFonts w:hint="eastAsia" w:ascii="宋体" w:hAnsi="宋体" w:eastAsia="宋体" w:cs="宋体"/>
          <w:b/>
          <w:color w:val="auto"/>
          <w:sz w:val="24"/>
          <w:highlight w:val="none"/>
        </w:rPr>
        <w:t>2.18 计量单位</w:t>
      </w:r>
      <w:bookmarkEnd w:id="531"/>
      <w:bookmarkEnd w:id="532"/>
      <w:bookmarkEnd w:id="533"/>
      <w:bookmarkEnd w:id="536"/>
      <w:bookmarkEnd w:id="537"/>
      <w:bookmarkEnd w:id="53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outlineLvl w:val="0"/>
        <w:rPr>
          <w:rFonts w:hint="eastAsia" w:ascii="宋体" w:hAnsi="宋体" w:eastAsia="宋体" w:cs="宋体"/>
          <w:b/>
          <w:color w:val="auto"/>
          <w:sz w:val="24"/>
          <w:highlight w:val="none"/>
        </w:rPr>
      </w:pPr>
      <w:bookmarkStart w:id="539" w:name="_Toc12773"/>
      <w:bookmarkStart w:id="540" w:name="_Toc259093692"/>
      <w:bookmarkStart w:id="541" w:name="_Toc18567"/>
      <w:bookmarkStart w:id="542" w:name="_Toc10330"/>
      <w:bookmarkStart w:id="543" w:name="_Toc279701263"/>
      <w:bookmarkStart w:id="544" w:name="_Toc487900373"/>
      <w:r>
        <w:rPr>
          <w:rFonts w:hint="eastAsia" w:ascii="宋体" w:hAnsi="宋体" w:eastAsia="宋体" w:cs="宋体"/>
          <w:b/>
          <w:color w:val="auto"/>
          <w:sz w:val="24"/>
          <w:highlight w:val="none"/>
        </w:rPr>
        <w:t>2.19 合同使用的文字和适用的法律</w:t>
      </w:r>
      <w:bookmarkEnd w:id="539"/>
      <w:bookmarkEnd w:id="540"/>
      <w:bookmarkEnd w:id="541"/>
      <w:bookmarkEnd w:id="542"/>
      <w:bookmarkEnd w:id="543"/>
      <w:bookmarkEnd w:id="54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45" w:name="_Toc14001"/>
      <w:bookmarkStart w:id="546" w:name="_Toc6885"/>
      <w:bookmarkStart w:id="547" w:name="_Toc19890"/>
      <w:r>
        <w:rPr>
          <w:rFonts w:hint="eastAsia" w:ascii="宋体" w:hAnsi="宋体" w:eastAsia="宋体" w:cs="宋体"/>
          <w:b/>
          <w:color w:val="auto"/>
          <w:sz w:val="24"/>
          <w:highlight w:val="none"/>
        </w:rPr>
        <w:t>2.20 合同份数</w:t>
      </w:r>
      <w:bookmarkEnd w:id="545"/>
      <w:bookmarkEnd w:id="546"/>
      <w:bookmarkEnd w:id="54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numPr>
          <w:ilvl w:val="0"/>
          <w:numId w:val="1"/>
        </w:numPr>
        <w:adjustRightInd/>
        <w:spacing w:line="360" w:lineRule="auto"/>
        <w:ind w:left="2674" w:leftChars="0" w:firstLine="0" w:firstLineChars="0"/>
        <w:outlineLvl w:val="0"/>
        <w:rPr>
          <w:rFonts w:hint="eastAsia" w:ascii="宋体" w:hAnsi="宋体" w:eastAsia="宋体" w:cs="宋体"/>
          <w:b/>
          <w:color w:val="auto"/>
          <w:sz w:val="32"/>
          <w:szCs w:val="20"/>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32"/>
          <w:szCs w:val="20"/>
          <w:highlight w:val="none"/>
        </w:rPr>
        <w:t xml:space="preserve"> 合同专用条款</w:t>
      </w:r>
    </w:p>
    <w:p>
      <w:pPr>
        <w:numPr>
          <w:ilvl w:val="0"/>
          <w:numId w:val="0"/>
        </w:numPr>
        <w:adjustRightInd/>
        <w:spacing w:line="360" w:lineRule="auto"/>
        <w:ind w:firstLine="480" w:firstLineChars="200"/>
        <w:outlineLvl w:val="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1.4.2</w:t>
            </w:r>
          </w:p>
        </w:tc>
        <w:tc>
          <w:tcPr>
            <w:tcW w:w="8277" w:type="dxa"/>
            <w:vAlign w:val="center"/>
          </w:tcPr>
          <w:p>
            <w:pPr>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履约保证金：</w:t>
            </w:r>
            <w:r>
              <w:rPr>
                <w:rFonts w:hint="eastAsia" w:ascii="宋体" w:hAnsi="宋体" w:cs="宋体"/>
                <w:color w:val="auto"/>
                <w:sz w:val="24"/>
                <w:highlight w:val="none"/>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1.5.1</w:t>
            </w:r>
          </w:p>
        </w:tc>
        <w:tc>
          <w:tcPr>
            <w:tcW w:w="8277" w:type="dxa"/>
            <w:vAlign w:val="center"/>
          </w:tcPr>
          <w:p>
            <w:pPr>
              <w:spacing w:line="240" w:lineRule="auto"/>
              <w:rPr>
                <w:rFonts w:ascii="宋体" w:hAnsi="宋体" w:cs="宋体"/>
                <w:color w:val="auto"/>
                <w:sz w:val="24"/>
                <w:highlight w:val="none"/>
              </w:rPr>
            </w:pPr>
            <w:r>
              <w:rPr>
                <w:rFonts w:hint="eastAsia" w:ascii="宋体" w:hAnsi="宋体" w:cs="宋体"/>
                <w:color w:val="auto"/>
                <w:kern w:val="0"/>
                <w:sz w:val="24"/>
                <w:highlight w:val="none"/>
              </w:rPr>
              <w:t>预付款比例、支付方式、时间</w:t>
            </w:r>
            <w:r>
              <w:rPr>
                <w:rFonts w:hint="eastAsia" w:ascii="宋体" w:hAnsi="宋体" w:cs="宋体"/>
                <w:color w:val="auto"/>
                <w:kern w:val="0"/>
                <w:sz w:val="24"/>
                <w:highlight w:val="none"/>
                <w:lang w:eastAsia="zh-CN"/>
              </w:rPr>
              <w:t>：</w:t>
            </w:r>
            <w:r>
              <w:rPr>
                <w:rFonts w:hint="eastAsia" w:ascii="宋体" w:hAnsi="宋体" w:eastAsia="宋体" w:cs="宋体"/>
                <w:b w:val="0"/>
                <w:bCs w:val="0"/>
                <w:color w:val="auto"/>
                <w:sz w:val="24"/>
                <w:highlight w:val="none"/>
                <w:lang w:val="zh-CN" w:eastAsia="zh-CN"/>
              </w:rPr>
              <w:t>合同生效以及具备实施条件后</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zh-CN" w:eastAsia="zh-CN"/>
              </w:rPr>
              <w:t>个工作日内支付合同价的</w:t>
            </w: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val="zh-CN" w:eastAsia="zh-CN"/>
              </w:rPr>
              <w:t>0%预付款</w:t>
            </w:r>
            <w:r>
              <w:rPr>
                <w:rFonts w:hint="eastAsia" w:ascii="宋体" w:hAnsi="宋体" w:eastAsia="宋体" w:cs="宋体"/>
                <w:b w:val="0"/>
                <w:bCs w:val="0"/>
                <w:color w:val="auto"/>
                <w:sz w:val="24"/>
                <w:highlight w:val="none"/>
                <w:lang w:val="zh-CN"/>
              </w:rPr>
              <w:t>（供应商需提供相应金额的预付款保函至采购单位</w:t>
            </w:r>
            <w:r>
              <w:rPr>
                <w:rFonts w:hint="eastAsia" w:ascii="宋体" w:hAnsi="宋体" w:eastAsia="宋体" w:cs="宋体"/>
                <w:b w:val="0"/>
                <w:bCs w:val="0"/>
                <w:color w:val="auto"/>
                <w:sz w:val="24"/>
                <w:highlight w:val="none"/>
                <w:lang w:eastAsia="zh-CN"/>
              </w:rPr>
              <w:t>）</w:t>
            </w: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8277" w:type="dxa"/>
            <w:vAlign w:val="center"/>
          </w:tcPr>
          <w:p>
            <w:pP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预付款的扣回方式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抵扣项目款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1.5.3</w:t>
            </w:r>
          </w:p>
        </w:tc>
        <w:tc>
          <w:tcPr>
            <w:tcW w:w="8277" w:type="dxa"/>
            <w:vAlign w:val="center"/>
          </w:tcPr>
          <w:p>
            <w:pP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预付款的担保措施</w:t>
            </w:r>
            <w:r>
              <w:rPr>
                <w:rFonts w:hint="eastAsia" w:ascii="宋体" w:hAnsi="宋体" w:eastAsia="宋体" w:cs="宋体"/>
                <w:color w:val="auto"/>
                <w:sz w:val="24"/>
                <w:szCs w:val="24"/>
                <w:highlight w:val="none"/>
                <w:lang w:eastAsia="zh-CN"/>
              </w:rPr>
              <w:t>：</w:t>
            </w:r>
            <w:r>
              <w:rPr>
                <w:rStyle w:val="352"/>
                <w:rFonts w:hint="eastAsia" w:ascii="宋体" w:hAnsi="宋体" w:eastAsia="宋体" w:cs="宋体"/>
                <w:b w:val="0"/>
                <w:bCs w:val="0"/>
                <w:color w:val="auto"/>
                <w:highlight w:val="none"/>
              </w:rPr>
              <w:t>乙方需提供相应金额的预付款保函至甲方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1.6.2</w:t>
            </w:r>
          </w:p>
        </w:tc>
        <w:tc>
          <w:tcPr>
            <w:tcW w:w="8277" w:type="dxa"/>
            <w:vAlign w:val="center"/>
          </w:tcPr>
          <w:p>
            <w:pPr>
              <w:spacing w:line="24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资金支付的方式、时间和条件</w:t>
            </w:r>
            <w:r>
              <w:rPr>
                <w:rFonts w:hint="eastAsia" w:ascii="宋体" w:hAnsi="宋体" w:cs="宋体"/>
                <w:color w:val="auto"/>
                <w:sz w:val="24"/>
                <w:highlight w:val="none"/>
                <w:lang w:val="en-US" w:eastAsia="zh-CN"/>
              </w:rPr>
              <w:t>:</w:t>
            </w:r>
          </w:p>
          <w:p>
            <w:pPr>
              <w:spacing w:line="240" w:lineRule="auto"/>
              <w:rPr>
                <w:rFonts w:hint="eastAsia" w:ascii="宋体" w:hAnsi="宋体" w:cs="宋体"/>
                <w:color w:val="auto"/>
                <w:sz w:val="24"/>
                <w:highlight w:val="none"/>
              </w:rPr>
            </w:pPr>
            <w:r>
              <w:rPr>
                <w:rFonts w:hint="eastAsia" w:ascii="宋体" w:hAnsi="宋体" w:cs="宋体"/>
                <w:color w:val="auto"/>
                <w:sz w:val="24"/>
                <w:highlight w:val="none"/>
                <w:lang w:eastAsia="zh-CN"/>
              </w:rPr>
              <w:t>甲方</w:t>
            </w:r>
            <w:r>
              <w:rPr>
                <w:rFonts w:hint="eastAsia" w:ascii="宋体" w:hAnsi="宋体" w:cs="宋体"/>
                <w:color w:val="auto"/>
                <w:sz w:val="24"/>
                <w:highlight w:val="none"/>
              </w:rPr>
              <w:t>根据合同、投标文件等资料进行验收。</w:t>
            </w:r>
          </w:p>
          <w:p>
            <w:pPr>
              <w:spacing w:line="240" w:lineRule="auto"/>
              <w:rPr>
                <w:rFonts w:hint="eastAsia" w:ascii="宋体" w:hAnsi="宋体" w:cs="宋体"/>
                <w:color w:val="auto"/>
                <w:sz w:val="24"/>
                <w:highlight w:val="none"/>
              </w:rPr>
            </w:pPr>
            <w:r>
              <w:rPr>
                <w:rFonts w:hint="eastAsia" w:ascii="宋体" w:hAnsi="宋体" w:cs="宋体"/>
                <w:color w:val="auto"/>
                <w:sz w:val="24"/>
                <w:highlight w:val="none"/>
              </w:rPr>
              <w:t>项目款结算分期支付。</w:t>
            </w:r>
          </w:p>
          <w:p>
            <w:pPr>
              <w:spacing w:line="240" w:lineRule="auto"/>
              <w:rPr>
                <w:rFonts w:hint="eastAsia"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，由甲方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支付合同价的60%预付款；项目验收合格后，</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支付剩余40%货款。</w:t>
            </w:r>
          </w:p>
          <w:p>
            <w:pPr>
              <w:spacing w:line="240" w:lineRule="auto"/>
              <w:rPr>
                <w:rFonts w:ascii="宋体" w:hAnsi="宋体" w:cs="宋体"/>
                <w:color w:val="auto"/>
                <w:sz w:val="24"/>
                <w:highlight w:val="none"/>
              </w:rPr>
            </w:pPr>
            <w:r>
              <w:rPr>
                <w:rFonts w:hint="eastAsia" w:ascii="宋体" w:hAnsi="宋体" w:cs="宋体"/>
                <w:color w:val="auto"/>
                <w:sz w:val="24"/>
                <w:highlight w:val="none"/>
              </w:rPr>
              <w:t>结算时</w:t>
            </w:r>
            <w:r>
              <w:rPr>
                <w:rFonts w:hint="eastAsia" w:ascii="宋体" w:hAnsi="宋体" w:cs="宋体"/>
                <w:color w:val="auto"/>
                <w:sz w:val="24"/>
                <w:highlight w:val="none"/>
                <w:lang w:eastAsia="zh-CN"/>
              </w:rPr>
              <w:t>乙方</w:t>
            </w:r>
            <w:r>
              <w:rPr>
                <w:rFonts w:hint="eastAsia" w:ascii="宋体" w:hAnsi="宋体" w:cs="宋体"/>
                <w:color w:val="auto"/>
                <w:sz w:val="24"/>
                <w:highlight w:val="none"/>
              </w:rPr>
              <w:t>将结款申请1份、发票原件及复印件1份、合同复印件1份和经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验收确认的《建德市政府采购验收反馈表》（还需提供验收报告）提交</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r>
              <w:rPr>
                <w:rFonts w:hint="eastAsia" w:ascii="宋体" w:hAnsi="宋体" w:cs="宋体"/>
                <w:color w:val="auto"/>
                <w:sz w:val="24"/>
                <w:highlight w:val="none"/>
                <w:lang w:eastAsia="zh-CN"/>
              </w:rPr>
              <w:t>甲方</w:t>
            </w:r>
            <w:r>
              <w:rPr>
                <w:rFonts w:hint="eastAsia" w:ascii="宋体" w:hAnsi="宋体" w:cs="宋体"/>
                <w:color w:val="auto"/>
                <w:sz w:val="24"/>
                <w:highlight w:val="none"/>
              </w:rPr>
              <w:t>应自收到发票后5个工作日内支付相应款项。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vAlign w:val="center"/>
          </w:tcPr>
          <w:p>
            <w:pPr>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交付期限：合同签订生效之日起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日历天内送达、安装调试完成并通过验收。如在规定的时间内由于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的原因不能完成交货的，</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应承担由此给</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造成的损失</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1.7.2</w:t>
            </w:r>
          </w:p>
        </w:tc>
        <w:tc>
          <w:tcPr>
            <w:tcW w:w="8277" w:type="dxa"/>
            <w:vAlign w:val="center"/>
          </w:tcPr>
          <w:p>
            <w:pPr>
              <w:spacing w:line="240" w:lineRule="auto"/>
              <w:rPr>
                <w:rFonts w:ascii="宋体" w:hAnsi="宋体" w:cs="宋体"/>
                <w:color w:val="auto"/>
                <w:sz w:val="24"/>
                <w:highlight w:val="none"/>
              </w:rPr>
            </w:pPr>
            <w:r>
              <w:rPr>
                <w:rFonts w:hint="eastAsia" w:ascii="宋体" w:hAnsi="宋体" w:eastAsia="宋体" w:cs="宋体"/>
                <w:color w:val="auto"/>
                <w:sz w:val="24"/>
                <w:szCs w:val="24"/>
                <w:highlight w:val="none"/>
              </w:rPr>
              <w:t>交付地点：</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1.7.3</w:t>
            </w:r>
          </w:p>
        </w:tc>
        <w:tc>
          <w:tcPr>
            <w:tcW w:w="8277" w:type="dxa"/>
            <w:vAlign w:val="center"/>
          </w:tcPr>
          <w:p>
            <w:pPr>
              <w:spacing w:line="240" w:lineRule="auto"/>
              <w:rPr>
                <w:rFonts w:ascii="宋体" w:hAnsi="宋体" w:cs="宋体"/>
                <w:color w:val="auto"/>
                <w:sz w:val="24"/>
                <w:highlight w:val="none"/>
              </w:rPr>
            </w:pPr>
            <w:r>
              <w:rPr>
                <w:rFonts w:hint="eastAsia" w:ascii="宋体" w:hAnsi="宋体" w:eastAsia="宋体" w:cs="宋体"/>
                <w:color w:val="auto"/>
                <w:sz w:val="24"/>
                <w:szCs w:val="24"/>
                <w:highlight w:val="none"/>
              </w:rPr>
              <w:t>交付方式：乙方提供中标货物的安装、培训和技术指导。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1.8.6</w:t>
            </w:r>
          </w:p>
        </w:tc>
        <w:tc>
          <w:tcPr>
            <w:tcW w:w="8277" w:type="dxa"/>
            <w:vAlign w:val="center"/>
          </w:tcPr>
          <w:p>
            <w:pPr>
              <w:spacing w:line="240" w:lineRule="auto"/>
              <w:rPr>
                <w:rFonts w:hint="eastAsia" w:ascii="宋体" w:hAnsi="宋体" w:cs="宋体"/>
                <w:color w:val="auto"/>
                <w:sz w:val="24"/>
                <w:highlight w:val="none"/>
              </w:rPr>
            </w:pPr>
            <w:r>
              <w:rPr>
                <w:rFonts w:hint="eastAsia" w:ascii="宋体" w:hAnsi="宋体" w:eastAsia="宋体" w:cs="宋体"/>
                <w:color w:val="auto"/>
                <w:sz w:val="24"/>
                <w:szCs w:val="24"/>
                <w:highlight w:val="none"/>
              </w:rPr>
              <w:t>违约责任：</w:t>
            </w:r>
            <w:r>
              <w:rPr>
                <w:rFonts w:hint="eastAsia" w:ascii="宋体" w:hAnsi="宋体" w:cs="宋体"/>
                <w:color w:val="auto"/>
                <w:sz w:val="24"/>
                <w:highlight w:val="none"/>
              </w:rPr>
              <w:t>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原因(除不可抗力外)不能按期交付合同标的，对超出交付期的每一天，</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应按合同总价款的万分之五承担违约金，在合同款支付时一次性扣除。若超出交付期十天(含十天)以上的，</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有权终止合同</w:t>
            </w:r>
            <w:r>
              <w:rPr>
                <w:rFonts w:hint="eastAsia" w:ascii="宋体" w:hAnsi="宋体" w:eastAsia="宋体" w:cs="宋体"/>
                <w:color w:val="auto"/>
                <w:sz w:val="24"/>
                <w:szCs w:val="24"/>
                <w:highlight w:val="none"/>
              </w:rPr>
              <w:t>，履约保证金不予退还。</w:t>
            </w:r>
          </w:p>
          <w:p>
            <w:pPr>
              <w:spacing w:line="24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按合同要求将</w:t>
            </w:r>
            <w:r>
              <w:rPr>
                <w:rFonts w:hint="eastAsia" w:ascii="宋体" w:hAnsi="宋体" w:cs="宋体"/>
                <w:color w:val="auto"/>
                <w:sz w:val="24"/>
                <w:highlight w:val="none"/>
                <w:lang w:eastAsia="zh-CN"/>
              </w:rPr>
              <w:t>货物</w:t>
            </w:r>
            <w:r>
              <w:rPr>
                <w:rFonts w:hint="eastAsia" w:ascii="宋体" w:hAnsi="宋体" w:cs="宋体"/>
                <w:color w:val="auto"/>
                <w:sz w:val="24"/>
                <w:highlight w:val="none"/>
              </w:rPr>
              <w:t>送达</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后，经验收合格后，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超出付款期支付项目款的，每逾一天，</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支付合同金额的万分之五的滞纳金。</w:t>
            </w:r>
            <w:r>
              <w:rPr>
                <w:rFonts w:hint="eastAsia" w:ascii="宋体" w:hAnsi="宋体" w:eastAsia="宋体" w:cs="宋体"/>
                <w:color w:val="auto"/>
                <w:sz w:val="24"/>
                <w:szCs w:val="24"/>
                <w:highlight w:val="none"/>
              </w:rPr>
              <w:t>如遇特殊情况甲方要求推迟供货或验收的，必须事先征得乙方的同意，否则应承担由此给乙方造成的损失。</w:t>
            </w:r>
          </w:p>
          <w:p>
            <w:pPr>
              <w:widowControl/>
              <w:autoSpaceDE w:val="0"/>
              <w:autoSpaceDN w:val="0"/>
              <w:spacing w:line="240" w:lineRule="auto"/>
              <w:textAlignment w:val="bottom"/>
              <w:rPr>
                <w:rFonts w:ascii="宋体" w:hAnsi="宋体" w:cs="宋体"/>
                <w:color w:val="auto"/>
                <w:sz w:val="24"/>
                <w:highlight w:val="none"/>
              </w:rPr>
            </w:pPr>
            <w:r>
              <w:rPr>
                <w:rFonts w:hint="eastAsia" w:ascii="宋体" w:hAnsi="宋体" w:cs="宋体"/>
                <w:color w:val="auto"/>
                <w:sz w:val="24"/>
                <w:highlight w:val="none"/>
              </w:rPr>
              <w:t>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原因导致</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有重大损失的，责任由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承担，并依法追究其经济责任和法律责任。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277" w:type="dxa"/>
            <w:vAlign w:val="center"/>
          </w:tcPr>
          <w:p>
            <w:pP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本合同履行过程中发生的任何争议，双方当事人均可通过和解或者调解解决；不愿和解、调解或者和解、调解不成的，可以选择以下第</w:t>
            </w:r>
            <w:r>
              <w:rPr>
                <w:rFonts w:hint="eastAsia" w:ascii="宋体" w:hAnsi="宋体" w:eastAsia="宋体" w:cs="宋体"/>
                <w:color w:val="auto"/>
                <w:sz w:val="24"/>
                <w:highlight w:val="none"/>
                <w:u w:val="single"/>
                <w:lang w:val="en-US" w:eastAsia="zh-CN"/>
              </w:rPr>
              <w:t xml:space="preserve"> 1.9.2 </w:t>
            </w:r>
            <w:r>
              <w:rPr>
                <w:rFonts w:hint="eastAsia" w:ascii="宋体" w:hAnsi="宋体" w:eastAsia="宋体" w:cs="宋体"/>
                <w:color w:val="auto"/>
                <w:sz w:val="24"/>
                <w:highlight w:val="none"/>
                <w:lang w:val="en-US" w:eastAsia="zh-CN"/>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8277" w:type="dxa"/>
            <w:vAlign w:val="center"/>
          </w:tcPr>
          <w:p>
            <w:pP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.2</w:t>
            </w:r>
          </w:p>
        </w:tc>
        <w:tc>
          <w:tcPr>
            <w:tcW w:w="8277" w:type="dxa"/>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color w:val="auto"/>
                <w:sz w:val="24"/>
                <w:highlight w:val="none"/>
              </w:rPr>
              <w:t>建德市人民法院</w:t>
            </w:r>
            <w:r>
              <w:rPr>
                <w:rFonts w:hint="eastAsia" w:ascii="宋体" w:hAnsi="宋体" w:cs="宋体"/>
                <w:color w:val="auto"/>
                <w:sz w:val="24"/>
                <w:highlight w:val="none"/>
              </w:rPr>
              <w:t>提出诉讼。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vAlign w:val="center"/>
          </w:tcPr>
          <w:p>
            <w:pPr>
              <w:spacing w:line="240" w:lineRule="auto"/>
              <w:ind w:left="-420" w:leftChars="-200" w:right="-420" w:rightChars="-200" w:firstLine="480" w:firstLineChars="200"/>
              <w:rPr>
                <w:rFonts w:ascii="宋体" w:hAnsi="宋体" w:cs="宋体"/>
                <w:color w:val="auto"/>
                <w:sz w:val="24"/>
                <w:highlight w:val="none"/>
              </w:rPr>
            </w:pPr>
            <w:r>
              <w:rPr>
                <w:rFonts w:hint="eastAsia" w:ascii="宋体" w:hAnsi="宋体" w:eastAsia="宋体" w:cs="宋体"/>
                <w:color w:val="auto"/>
                <w:sz w:val="24"/>
                <w:szCs w:val="24"/>
                <w:highlight w:val="none"/>
              </w:rPr>
              <w:t>具有知识产权的计算机软件等货物的知识产权归属：</w:t>
            </w:r>
            <w:r>
              <w:rPr>
                <w:rFonts w:hint="eastAsia" w:ascii="宋体" w:hAnsi="宋体" w:eastAsia="宋体" w:cs="宋体"/>
                <w:b/>
                <w:bCs/>
                <w:color w:val="auto"/>
                <w:sz w:val="24"/>
                <w:szCs w:val="24"/>
                <w:highlight w:val="none"/>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vAlign w:val="center"/>
          </w:tcPr>
          <w:p>
            <w:pPr>
              <w:spacing w:line="24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vAlign w:val="center"/>
          </w:tcPr>
          <w:p>
            <w:pPr>
              <w:spacing w:line="240" w:lineRule="auto"/>
              <w:rPr>
                <w:rFonts w:ascii="宋体" w:hAnsi="宋体" w:cs="宋体"/>
                <w:color w:val="auto"/>
                <w:sz w:val="24"/>
                <w:highlight w:val="none"/>
              </w:rPr>
            </w:pPr>
            <w:r>
              <w:rPr>
                <w:rFonts w:hint="eastAsia" w:ascii="宋体" w:hAnsi="宋体" w:eastAsia="宋体" w:cs="宋体"/>
                <w:color w:val="auto"/>
                <w:sz w:val="24"/>
                <w:szCs w:val="24"/>
                <w:highlight w:val="none"/>
              </w:rPr>
              <w:t>装运货物的要求和通知：</w:t>
            </w:r>
            <w:r>
              <w:rPr>
                <w:rFonts w:hint="eastAsia" w:ascii="宋体" w:hAnsi="宋体" w:eastAsia="宋体" w:cs="宋体"/>
                <w:b/>
                <w:bCs/>
                <w:color w:val="auto"/>
                <w:sz w:val="24"/>
                <w:szCs w:val="24"/>
                <w:highlight w:val="none"/>
              </w:rPr>
              <w:t>按乙方投标方案中进度要求。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tcPr>
          <w:p>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277" w:type="dxa"/>
          </w:tcPr>
          <w:p>
            <w:pPr>
              <w:spacing w:line="240" w:lineRule="auto"/>
              <w:rPr>
                <w:rFonts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w:t>
            </w:r>
            <w:r>
              <w:rPr>
                <w:rFonts w:hint="eastAsia" w:ascii="宋体" w:hAnsi="宋体" w:cs="宋体"/>
                <w:b/>
                <w:bCs/>
                <w:color w:val="auto"/>
                <w:sz w:val="24"/>
                <w:highlight w:val="none"/>
              </w:rPr>
              <w:t>由乙方自行负责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vAlign w:val="center"/>
          </w:tcPr>
          <w:p>
            <w:pPr>
              <w:spacing w:line="240" w:lineRule="auto"/>
              <w:rPr>
                <w:rFonts w:ascii="宋体" w:hAnsi="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2.12.4</w:t>
            </w:r>
          </w:p>
        </w:tc>
        <w:tc>
          <w:tcPr>
            <w:tcW w:w="8277" w:type="dxa"/>
            <w:vAlign w:val="center"/>
          </w:tcPr>
          <w:p>
            <w:pPr>
              <w:spacing w:line="240" w:lineRule="auto"/>
              <w:rPr>
                <w:rFonts w:ascii="宋体" w:hAnsi="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vAlign w:val="center"/>
          </w:tcPr>
          <w:p>
            <w:pPr>
              <w:spacing w:line="240" w:lineRule="auto"/>
              <w:rPr>
                <w:rFonts w:ascii="宋体" w:hAnsi="宋体" w:cs="宋体"/>
                <w:color w:val="auto"/>
                <w:sz w:val="24"/>
                <w:highlight w:val="none"/>
              </w:rPr>
            </w:pPr>
            <w:r>
              <w:rPr>
                <w:rFonts w:hint="eastAsia" w:ascii="宋体" w:hAnsi="宋体" w:eastAsia="宋体" w:cs="宋体"/>
                <w:color w:val="auto"/>
                <w:sz w:val="24"/>
                <w:szCs w:val="24"/>
                <w:highlight w:val="none"/>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rPr>
              <w:t>货物安装调试完成3日内</w:t>
            </w:r>
            <w:r>
              <w:rPr>
                <w:rFonts w:hint="eastAsia" w:ascii="宋体" w:hAnsi="宋体" w:eastAsia="宋体" w:cs="宋体"/>
                <w:color w:val="auto"/>
                <w:sz w:val="24"/>
                <w:szCs w:val="24"/>
                <w:highlight w:val="none"/>
              </w:rPr>
              <w:t>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2.16.3</w:t>
            </w:r>
          </w:p>
        </w:tc>
        <w:tc>
          <w:tcPr>
            <w:tcW w:w="8277" w:type="dxa"/>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检验和验收标准、程序等具体内容：</w:t>
            </w:r>
          </w:p>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1、乙方应提供</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的有效检验材料，经采购人认可后，与合同的技术指标一起作为验收标准。甲方对</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验收合格后，出具验收报告并在《建德市政府采购物品验收反馈表》上签署意见并加盖单位公章。验收中发现</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达不到验收标准或合同规定的技术指标，乙方必须更换，并负担由此给甲方造成的损失，直到验收合格为止。</w:t>
            </w:r>
          </w:p>
          <w:p>
            <w:pPr>
              <w:spacing w:line="24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乙方应于投标书中提供</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的验收标准和检测办法，并在验收中提供甲方认可的相应检测手段，验收标准应符合中国有关的国家、地方、行业的标准，如若中标，经甲方确认后作为验收的依据。</w:t>
            </w:r>
          </w:p>
          <w:p>
            <w:pPr>
              <w:spacing w:line="240" w:lineRule="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3、验收费用由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trPr>
        <w:tc>
          <w:tcPr>
            <w:tcW w:w="849" w:type="dxa"/>
            <w:tcBorders>
              <w:left w:val="single" w:color="auto" w:sz="4" w:space="0"/>
            </w:tcBorders>
            <w:vAlign w:val="center"/>
          </w:tcPr>
          <w:p>
            <w:pPr>
              <w:spacing w:line="24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8277" w:type="dxa"/>
            <w:vAlign w:val="center"/>
          </w:tcPr>
          <w:p>
            <w:pPr>
              <w:spacing w:line="240" w:lineRule="auto"/>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rPr>
          <w:rFonts w:hint="eastAsia" w:ascii="宋体" w:hAnsi="宋体" w:eastAsia="宋体" w:cs="宋体"/>
          <w:color w:val="auto"/>
          <w:sz w:val="24"/>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建德市公安局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建德市公安局2024年电子数据勘验取证实验室设备更新升级项目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JD2024BF-152-001</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line="360" w:lineRule="auto"/>
        <w:ind w:firstLine="643" w:firstLineChars="200"/>
        <w:jc w:val="center"/>
        <w:rPr>
          <w:rFonts w:hint="eastAsia" w:ascii="宋体" w:hAnsi="宋体" w:eastAsia="宋体" w:cs="宋体"/>
          <w:b/>
          <w:color w:val="auto"/>
          <w:kern w:val="0"/>
          <w:sz w:val="32"/>
          <w:szCs w:val="32"/>
          <w:highlight w:val="none"/>
        </w:rPr>
      </w:pP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pStyle w:val="2"/>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建德市公安局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建德市公安局2024年电子数据勘验取证实验室设备更新升级项目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JD2024BF-152-001</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建德市公安局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建德市公安局2024年电子数据勘验取证实验室设备更新升级项目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JD2024BF-152-001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建德市公安局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建德市公安局2024年电子数据勘验取证实验室设备更新升级项目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JD2024BF-152-001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72"/>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6"/>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bookmarkStart w:id="548"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548"/>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p>
    <w:p>
      <w:pPr>
        <w:pStyle w:val="2"/>
        <w:rPr>
          <w:rFonts w:hint="eastAsia" w:ascii="宋体" w:hAnsi="宋体" w:eastAsia="宋体" w:cs="宋体"/>
          <w:color w:val="auto"/>
          <w:highlight w:val="none"/>
          <w:lang w:val="en-US"/>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7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72"/>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7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建德市公安局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建德市公安局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杭州博望建设工程招标投标代理有限公司</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建德市公安局2024年电子数据勘验取证实验室设备更新升级项目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JD2024BF-152-001</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7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auto"/>
                <w:sz w:val="24"/>
                <w:highlight w:val="none"/>
              </w:rPr>
            </w:pPr>
          </w:p>
        </w:tc>
        <w:tc>
          <w:tcPr>
            <w:tcW w:w="1417" w:type="dxa"/>
            <w:vAlign w:val="center"/>
          </w:tcPr>
          <w:p>
            <w:pPr>
              <w:snapToGrid w:val="0"/>
              <w:spacing w:line="360" w:lineRule="auto"/>
              <w:jc w:val="center"/>
              <w:rPr>
                <w:rFonts w:hint="eastAsia" w:ascii="宋体" w:hAnsi="宋体" w:eastAsia="宋体" w:cs="宋体"/>
                <w:color w:val="auto"/>
                <w:sz w:val="24"/>
                <w:highlight w:val="none"/>
              </w:rPr>
            </w:pPr>
          </w:p>
        </w:tc>
        <w:tc>
          <w:tcPr>
            <w:tcW w:w="1843" w:type="dxa"/>
            <w:vAlign w:val="center"/>
          </w:tcPr>
          <w:p>
            <w:pPr>
              <w:snapToGrid w:val="0"/>
              <w:spacing w:line="360" w:lineRule="auto"/>
              <w:jc w:val="center"/>
              <w:rPr>
                <w:rFonts w:hint="eastAsia" w:ascii="宋体" w:hAnsi="宋体" w:eastAsia="宋体" w:cs="宋体"/>
                <w:color w:val="auto"/>
                <w:sz w:val="24"/>
                <w:highlight w:val="none"/>
              </w:rPr>
            </w:pPr>
          </w:p>
        </w:tc>
        <w:tc>
          <w:tcPr>
            <w:tcW w:w="3118" w:type="dxa"/>
            <w:vAlign w:val="center"/>
          </w:tcPr>
          <w:p>
            <w:pPr>
              <w:snapToGrid w:val="0"/>
              <w:spacing w:line="360" w:lineRule="auto"/>
              <w:jc w:val="center"/>
              <w:rPr>
                <w:rFonts w:hint="eastAsia" w:ascii="宋体" w:hAnsi="宋体" w:eastAsia="宋体" w:cs="宋体"/>
                <w:color w:val="auto"/>
                <w:sz w:val="24"/>
                <w:highlight w:val="none"/>
              </w:rPr>
            </w:pPr>
          </w:p>
        </w:tc>
        <w:tc>
          <w:tcPr>
            <w:tcW w:w="993" w:type="dxa"/>
            <w:vAlign w:val="center"/>
          </w:tcPr>
          <w:p>
            <w:pPr>
              <w:snapToGrid w:val="0"/>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984" w:type="dxa"/>
            <w:vAlign w:val="center"/>
          </w:tcPr>
          <w:p>
            <w:pPr>
              <w:spacing w:line="360" w:lineRule="auto"/>
              <w:jc w:val="center"/>
              <w:rPr>
                <w:rFonts w:hint="eastAsia" w:ascii="宋体" w:hAnsi="宋体" w:eastAsia="宋体" w:cs="宋体"/>
                <w:color w:val="auto"/>
                <w:sz w:val="24"/>
                <w:highlight w:val="none"/>
              </w:rPr>
            </w:pPr>
          </w:p>
        </w:tc>
        <w:tc>
          <w:tcPr>
            <w:tcW w:w="311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9" w:name="_Hlk101259491"/>
      <w:r>
        <w:rPr>
          <w:rFonts w:hint="eastAsia" w:ascii="宋体" w:hAnsi="宋体" w:eastAsia="宋体" w:cs="宋体"/>
          <w:color w:val="auto"/>
          <w:sz w:val="32"/>
          <w:szCs w:val="32"/>
          <w:highlight w:val="none"/>
        </w:rPr>
        <w:t>（如果有）</w:t>
      </w:r>
      <w:bookmarkEnd w:id="549"/>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550" w:name="_Toc465665161"/>
      <w:r>
        <w:rPr>
          <w:rFonts w:hint="eastAsia" w:ascii="宋体" w:hAnsi="宋体" w:eastAsia="宋体" w:cs="宋体"/>
          <w:color w:val="auto"/>
          <w:highlight w:val="none"/>
        </w:rPr>
        <w:t>附件</w:t>
      </w:r>
      <w:bookmarkEnd w:id="550"/>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51" w:name="OLE_LINK13"/>
      <w:bookmarkStart w:id="552" w:name="OLE_LINK14"/>
      <w:r>
        <w:rPr>
          <w:rFonts w:hint="eastAsia" w:ascii="宋体" w:hAnsi="宋体" w:eastAsia="宋体" w:cs="宋体"/>
          <w:b/>
          <w:color w:val="auto"/>
          <w:spacing w:val="6"/>
          <w:sz w:val="32"/>
          <w:szCs w:val="32"/>
          <w:highlight w:val="none"/>
        </w:rPr>
        <w:t>残疾人福利性单位声明函</w:t>
      </w:r>
    </w:p>
    <w:bookmarkEnd w:id="551"/>
    <w:bookmarkEnd w:id="552"/>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建德市公安局</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建德市公安局2024年电子数据勘验取证实验室设备更新升级项目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建德市公安局</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杭州博望建设工程招标投标代理有限公司</w:t>
      </w:r>
      <w:r>
        <w:rPr>
          <w:rFonts w:hint="eastAsia" w:ascii="宋体" w:hAnsi="宋体" w:eastAsia="宋体" w:cs="宋体"/>
          <w:color w:val="auto"/>
          <w:sz w:val="24"/>
          <w:highlight w:val="none"/>
          <w:u w:val="singl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建德市公安局2024年电子数据勘验取证实验室设备更新升级项目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JD2024BF-152-001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ZAPP9gAAAAKAQAADwAAAAAA&#10;AAABACAAAAAiAAAAZHJzL2Rvd25yZXYueG1sUEsBAhQAFAAAAAgAh07iQDmnnTMTAgAANAQAAA4A&#10;AAAAAAAAAQAgAAAAJwEAAGRycy9lMm9Eb2MueG1sUEsFBgAAAAAGAAYAWQEAAKwFA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ZjEem2AAAAAoBAAAPAAAAAAAA&#10;AAEAIAAAACIAAABkcnMvZG93bnJldi54bWxQSwECFAAUAAAACACHTuJAqL6wixICAAA0BAAADgAA&#10;AAAAAAABACAAAAAnAQAAZHJzL2Uyb0RvYy54bWxQSwUGAAAAAAYABgBZAQAAq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建德市公安局2024年电子数据勘验取证实验室设备更新升级项目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JD2024BF-152-001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bookmarkStart w:id="553"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53"/>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建德市公安局2024年电子数据勘验取证实验室设备更新升级项目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JD2024BF-152-001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5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54"/>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建德市公安局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的 </w:t>
      </w:r>
      <w:r>
        <w:rPr>
          <w:rFonts w:hint="eastAsia" w:ascii="宋体" w:hAnsi="宋体" w:cs="宋体"/>
          <w:color w:val="auto"/>
          <w:sz w:val="24"/>
          <w:highlight w:val="none"/>
          <w:u w:val="single"/>
          <w:lang w:eastAsia="zh-CN"/>
        </w:rPr>
        <w:t>建德市公安局2024年电子数据勘验取证实验室设备更新升级项目</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rPr>
          <w:rFonts w:hint="eastAsia" w:ascii="宋体" w:hAnsi="宋体" w:eastAsia="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NumberOnly">
    <w:panose1 w:val="020B0500000000000000"/>
    <w:charset w:val="00"/>
    <w:family w:val="auto"/>
    <w:pitch w:val="default"/>
    <w:sig w:usb0="8000002F" w:usb1="10000048" w:usb2="00000000" w:usb3="00000000" w:csb0="00000111" w:csb1="40000000"/>
  </w:font>
  <w:font w:name="方正小标宋简体">
    <w:altName w:val="微软雅黑"/>
    <w:panose1 w:val="03000509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AmdtSymbols">
    <w:altName w:val="NumberOnly"/>
    <w:panose1 w:val="02000500000000020004"/>
    <w:charset w:val="00"/>
    <w:family w:val="auto"/>
    <w:pitch w:val="default"/>
    <w:sig w:usb0="00000000" w:usb1="00000000" w:usb2="00000000" w:usb3="00000000" w:csb0="00000001"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仿宋_GB2312">
    <w:altName w:val="仿宋"/>
    <w:panose1 w:val="02010609030101010101"/>
    <w:charset w:val="00"/>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00"/>
    <w:family w:val="script"/>
    <w:pitch w:val="default"/>
    <w:sig w:usb0="00000000" w:usb1="00000000" w:usb2="00000000" w:usb3="00000000" w:csb0="00040000" w:csb1="00000000"/>
  </w:font>
  <w:font w:name="Wingdings 2">
    <w:altName w:val="Wingdings"/>
    <w:panose1 w:val="05020102010507070707"/>
    <w:charset w:val="00"/>
    <w:family w:val="roman"/>
    <w:pitch w:val="default"/>
    <w:sig w:usb0="00000000" w:usb1="00000000" w:usb2="00000000" w:usb3="00000000" w:csb0="80000000" w:csb1="00000000"/>
  </w:font>
  <w:font w:name="方正兰亭超细黑简体">
    <w:altName w:val="黑体"/>
    <w:panose1 w:val="02000000000000000000"/>
    <w:charset w:val="86"/>
    <w:family w:val="auto"/>
    <w:pitch w:val="default"/>
    <w:sig w:usb0="00000000" w:usb1="0000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PingFangHK">
    <w:altName w:val="Segoe Print"/>
    <w:panose1 w:val="00000000000000000000"/>
    <w:charset w:val="00"/>
    <w:family w:val="auto"/>
    <w:pitch w:val="default"/>
    <w:sig w:usb0="00000000" w:usb1="00000000" w:usb2="00000000" w:usb3="00000000" w:csb0="00000000" w:csb1="00000000"/>
  </w:font>
  <w:font w:name="汉仪旗黑">
    <w:altName w:val="黑体"/>
    <w:panose1 w:val="00020600040101010101"/>
    <w:charset w:val="86"/>
    <w:family w:val="auto"/>
    <w:pitch w:val="default"/>
    <w:sig w:usb0="00000000" w:usb1="00000000" w:usb2="00000016" w:usb3="00000000" w:csb0="0004009F" w:csb1="DFD70000"/>
  </w:font>
  <w:font w:name="汉仪楷体KW">
    <w:altName w:val="宋体"/>
    <w:panose1 w:val="00020600040101010101"/>
    <w:charset w:val="86"/>
    <w:family w:val="auto"/>
    <w:pitch w:val="default"/>
    <w:sig w:usb0="00000000" w:usb1="00000000" w:usb2="00000016" w:usb3="00000000" w:csb0="00040000" w:csb1="00000000"/>
  </w:font>
  <w:font w:name="MS PGothic">
    <w:panose1 w:val="020B0600070205080204"/>
    <w:charset w:val="80"/>
    <w:family w:val="swiss"/>
    <w:pitch w:val="default"/>
    <w:sig w:usb0="E00002FF" w:usb1="6AC7FDFB" w:usb2="00000012" w:usb3="00000000" w:csb0="4002009F" w:csb1="DFD70000"/>
  </w:font>
  <w:font w:name="Kingsoft Sign">
    <w:altName w:val="Segoe Print"/>
    <w:panose1 w:val="05050102010706020507"/>
    <w:charset w:val="00"/>
    <w:family w:val="auto"/>
    <w:pitch w:val="default"/>
    <w:sig w:usb0="00000000" w:usb1="00000000" w:usb2="00000000" w:usb3="00000000" w:csb0="00000001" w:csb1="00000000"/>
  </w:font>
  <w:font w:name="冬青黑体简体中文">
    <w:altName w:val="黑体"/>
    <w:panose1 w:val="020B0300000000000000"/>
    <w:charset w:val="86"/>
    <w:family w:val="auto"/>
    <w:pitch w:val="default"/>
    <w:sig w:usb0="00000000" w:usb1="00000000" w:usb2="00000016" w:usb3="00000000" w:csb0="00060007" w:csb1="00000000"/>
  </w:font>
  <w:font w:name="Hiragino Sans">
    <w:altName w:val="MS UI Gothic"/>
    <w:panose1 w:val="020B0300000000000000"/>
    <w:charset w:val="80"/>
    <w:family w:val="auto"/>
    <w:pitch w:val="default"/>
    <w:sig w:usb0="00000000" w:usb1="00000000" w:usb2="00000012" w:usb3="00000000" w:csb0="0002000D" w:csb1="00000000"/>
  </w:font>
  <w:font w:name="???|CS?o｡ﾀ?">
    <w:altName w:val="Segoe Print"/>
    <w:panose1 w:val="00000000000000000000"/>
    <w:charset w:val="00"/>
    <w:family w:val="modern"/>
    <w:pitch w:val="default"/>
    <w:sig w:usb0="00000000" w:usb1="00000000" w:usb2="00000010" w:usb3="00000000" w:csb0="00020000" w:csb1="00000000"/>
  </w:font>
  <w:font w:name="长城仿宋">
    <w:altName w:val="仿宋"/>
    <w:panose1 w:val="00000000000000000000"/>
    <w:charset w:val="00"/>
    <w:family w:val="modern"/>
    <w:pitch w:val="default"/>
    <w:sig w:usb0="00000000" w:usb1="00000000" w:usb2="0000001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Baskerville">
    <w:altName w:val="PMingLiU-ExtB"/>
    <w:panose1 w:val="02020502070401020303"/>
    <w:charset w:val="00"/>
    <w:family w:val="roman"/>
    <w:pitch w:val="default"/>
    <w:sig w:usb0="00000000" w:usb1="00000000" w:usb2="00000000" w:usb3="00000000" w:csb0="2000019F" w:csb1="00000000"/>
  </w:font>
  <w:font w:name="Times">
    <w:altName w:val="Times New Roman"/>
    <w:panose1 w:val="00000500000000020000"/>
    <w:charset w:val="00"/>
    <w:family w:val="roman"/>
    <w:pitch w:val="default"/>
    <w:sig w:usb0="00000000" w:usb1="00000000" w:usb2="00000000" w:usb3="00000000" w:csb0="2000019F" w:csb1="4F010000"/>
  </w:font>
  <w:font w:name="等线">
    <w:altName w:val="SJQY"/>
    <w:panose1 w:val="02010600030101010101"/>
    <w:charset w:val="00"/>
    <w:family w:val="roman"/>
    <w:pitch w:val="default"/>
    <w:sig w:usb0="00000000" w:usb1="00000000" w:usb2="00000016" w:usb3="00000000" w:csb0="0004000F" w:csb1="00000000"/>
  </w:font>
  <w:font w:name="ƨ">
    <w:altName w:val="微软雅黑"/>
    <w:panose1 w:val="00000000000000000000"/>
    <w:charset w:val="00"/>
    <w:family w:val="roman"/>
    <w:pitch w:val="default"/>
    <w:sig w:usb0="00000000" w:usb1="00000000" w:usb2="00000000"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汉仪楷体简">
    <w:altName w:val="宋体"/>
    <w:panose1 w:val="02010600000101010101"/>
    <w:charset w:val="86"/>
    <w:family w:val="auto"/>
    <w:pitch w:val="default"/>
    <w:sig w:usb0="00000000" w:usb1="00000000" w:usb2="00000002" w:usb3="00000000" w:csb0="00040000" w:csb1="00000000"/>
  </w:font>
  <w:font w:name="宋体-简">
    <w:altName w:val="宋体"/>
    <w:panose1 w:val="02010800040101010101"/>
    <w:charset w:val="86"/>
    <w:family w:val="auto"/>
    <w:pitch w:val="default"/>
    <w:sig w:usb0="00000000" w:usb1="00000000" w:usb2="00000000" w:usb3="00000000" w:csb0="00040000" w:csb1="00000000"/>
  </w:font>
  <w:font w:name="汉仪中等线KW">
    <w:altName w:val="宋体"/>
    <w:panose1 w:val="01010104010101010101"/>
    <w:charset w:val="86"/>
    <w:family w:val="auto"/>
    <w:pitch w:val="default"/>
    <w:sig w:usb0="00000000" w:usb1="00000000" w:usb2="00000000" w:usb3="00000000" w:csb0="00040001" w:csb1="00000000"/>
  </w:font>
  <w:font w:name="Kingsoft Math">
    <w:altName w:val="Cambria Math"/>
    <w:panose1 w:val="02040503050406030204"/>
    <w:charset w:val="00"/>
    <w:family w:val="auto"/>
    <w:pitch w:val="default"/>
    <w:sig w:usb0="00000000" w:usb1="00000000" w:usb2="00000000" w:usb3="00000000" w:csb0="2000019F" w:csb1="00000000"/>
  </w:font>
  <w:font w:name="隶书">
    <w:altName w:val="微软雅黑"/>
    <w:panose1 w:val="02010509060101010101"/>
    <w:charset w:val="00"/>
    <w:family w:val="modern"/>
    <w:pitch w:val="default"/>
    <w:sig w:usb0="00000000" w:usb1="00000000" w:usb2="00000010" w:usb3="00000000" w:csb0="00040000" w:csb1="00000000"/>
  </w:font>
  <w:font w:name="报隶-简">
    <w:altName w:val="宋体"/>
    <w:panose1 w:val="02010600040101010101"/>
    <w:charset w:val="86"/>
    <w:family w:val="auto"/>
    <w:pitch w:val="default"/>
    <w:sig w:usb0="00000000" w:usb1="00000000"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JQY">
    <w:panose1 w:val="02010600030101010101"/>
    <w:charset w:val="86"/>
    <w:family w:val="auto"/>
    <w:pitch w:val="default"/>
    <w:sig w:usb0="00000003" w:usb1="080E0000" w:usb2="00000000" w:usb3="00000000" w:csb0="00040001" w:csb1="00000000"/>
  </w:font>
  <w:font w:name="Century">
    <w:altName w:val="Nyala"/>
    <w:panose1 w:val="02040604050505020304"/>
    <w:charset w:val="00"/>
    <w:family w:val="auto"/>
    <w:pitch w:val="default"/>
    <w:sig w:usb0="00000000" w:usb1="00000000" w:usb2="00000000" w:usb3="00000000" w:csb0="2000009F" w:csb1="DFD70000"/>
  </w:font>
  <w:font w:name="Vrinda">
    <w:panose1 w:val="020B0502040204020203"/>
    <w:charset w:val="00"/>
    <w:family w:val="auto"/>
    <w:pitch w:val="default"/>
    <w:sig w:usb0="00010003" w:usb1="00000000" w:usb2="00000000" w:usb3="00000000" w:csb0="00000001" w:csb1="00000000"/>
  </w:font>
  <w:font w:name="NanumGothic">
    <w:altName w:val="Malgun Gothic"/>
    <w:panose1 w:val="020D0604000000000000"/>
    <w:charset w:val="81"/>
    <w:family w:val="auto"/>
    <w:pitch w:val="default"/>
    <w:sig w:usb0="00000000" w:usb1="00000000" w:usb2="00000010" w:usb3="00000000" w:csb0="00080001" w:csb1="00000000"/>
  </w:font>
  <w:font w:name="Arial Unicode MS">
    <w:altName w:val="Arial"/>
    <w:panose1 w:val="020B0604020202020204"/>
    <w:charset w:val="00"/>
    <w:family w:val="roman"/>
    <w:pitch w:val="default"/>
    <w:sig w:usb0="00000000" w:usb1="00000000" w:usb2="00000000" w:usb3="00000000" w:csb0="00000001" w:csb1="00000000"/>
  </w:font>
  <w:font w:name="Latha">
    <w:panose1 w:val="020B0604020202020204"/>
    <w:charset w:val="00"/>
    <w:family w:val="roman"/>
    <w:pitch w:val="default"/>
    <w:sig w:usb0="00100003"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PingFang SC">
    <w:altName w:val="宋体"/>
    <w:panose1 w:val="00000000000000000000"/>
    <w:charset w:val="86"/>
    <w:family w:val="modern"/>
    <w:pitch w:val="default"/>
    <w:sig w:usb0="00000000" w:usb1="00000000" w:usb2="00000000" w:usb3="00000000" w:csb0="00040001" w:csb1="00000000"/>
  </w:font>
  <w:font w:name="Nyala">
    <w:panose1 w:val="02000504070300020003"/>
    <w:charset w:val="00"/>
    <w:family w:val="auto"/>
    <w:pitch w:val="default"/>
    <w:sig w:usb0="A000006F" w:usb1="00000000" w:usb2="000008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STZhongsong">
    <w:altName w:val="宋体"/>
    <w:panose1 w:val="00000000000000000000"/>
    <w:charset w:val="86"/>
    <w:family w:val="auto"/>
    <w:pitch w:val="default"/>
    <w:sig w:usb0="00000000" w:usb1="00000000" w:usb2="00000010" w:usb3="00000000" w:csb0="0004009F" w:csb1="00000000"/>
  </w:font>
  <w:font w:name="Segoe UI Symbol">
    <w:panose1 w:val="020B0502040204020203"/>
    <w:charset w:val="00"/>
    <w:family w:val="auto"/>
    <w:pitch w:val="default"/>
    <w:sig w:usb0="8000006F" w:usb1="1200FBEF" w:usb2="0064C000" w:usb3="00000002" w:csb0="00000001" w:csb1="40000000"/>
  </w:font>
  <w:font w:name="Consolas">
    <w:panose1 w:val="020B0609020204030204"/>
    <w:charset w:val="00"/>
    <w:family w:val="auto"/>
    <w:pitch w:val="default"/>
    <w:sig w:usb0="E10002FF" w:usb1="4000FCFF" w:usb2="00000009" w:usb3="00000000" w:csb0="6000019F" w:csb1="DFD7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Myriad Pro">
    <w:altName w:val="Corbel"/>
    <w:panose1 w:val="020B0503030403020204"/>
    <w:charset w:val="00"/>
    <w:family w:val="swiss"/>
    <w:pitch w:val="default"/>
    <w:sig w:usb0="00000000" w:usb1="00000000"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CS?o｡ﾀ?">
    <w:altName w:val="MS Mincho"/>
    <w:panose1 w:val="00000000000000000000"/>
    <w:charset w:val="80"/>
    <w:family w:val="auto"/>
    <w:pitch w:val="default"/>
    <w:sig w:usb0="00000000" w:usb1="00000000" w:usb2="00000010" w:usb3="00000000" w:csb0="00020000" w:csb1="00000000"/>
  </w:font>
  <w:font w:name="方正细黑一体2.">
    <w:altName w:val="黑体"/>
    <w:panose1 w:val="00000000000000000000"/>
    <w:charset w:val="86"/>
    <w:family w:val="swiss"/>
    <w:pitch w:val="default"/>
    <w:sig w:usb0="00000000" w:usb1="00000000" w:usb2="00000010" w:usb3="00000000" w:csb0="00040000" w:csb1="00000000"/>
  </w:font>
  <w:font w:name="Sitka Text">
    <w:altName w:val="NumberOnly"/>
    <w:panose1 w:val="02000505000000020004"/>
    <w:charset w:val="00"/>
    <w:family w:val="auto"/>
    <w:pitch w:val="default"/>
    <w:sig w:usb0="00000000" w:usb1="00000000" w:usb2="00000000" w:usb3="00000000" w:csb0="2000019F" w:csb1="00000000"/>
  </w:font>
  <w:font w:name="文鼎中宋">
    <w:altName w:val="宋体"/>
    <w:panose1 w:val="020208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Segoe UI Light">
    <w:panose1 w:val="020B0502040204020203"/>
    <w:charset w:val="00"/>
    <w:family w:val="auto"/>
    <w:pitch w:val="default"/>
    <w:sig w:usb0="E00002FF" w:usb1="4000A47B" w:usb2="00000001"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FHLHE E+ Futura Bk">
    <w:altName w:val="宋体"/>
    <w:panose1 w:val="00000000000000000000"/>
    <w:charset w:val="00"/>
    <w:family w:val="swiss"/>
    <w:pitch w:val="default"/>
    <w:sig w:usb0="00000000" w:usb1="00000000" w:usb2="00000010" w:usb3="00000000" w:csb0="00040000" w:csb1="00000000"/>
  </w:font>
  <w:font w:name="MS Sans Serif">
    <w:altName w:val="Segoe Print"/>
    <w:panose1 w:val="00000000000000000000"/>
    <w:charset w:val="4D"/>
    <w:family w:val="swiss"/>
    <w:pitch w:val="default"/>
    <w:sig w:usb0="00000000" w:usb1="00000000" w:usb2="00000000" w:usb3="00000000" w:csb0="00000001" w:csb1="00000000"/>
  </w:font>
  <w:font w:name="FZXH1JW--GB1-0">
    <w:altName w:val="微软雅黑"/>
    <w:panose1 w:val="00000000000000000000"/>
    <w:charset w:val="86"/>
    <w:family w:val="auto"/>
    <w:pitch w:val="default"/>
    <w:sig w:usb0="00000000" w:usb1="00000000" w:usb2="00000010" w:usb3="00000000" w:csb0="00040000" w:csb1="00000000"/>
  </w:font>
  <w:font w:name="宋体..璂..">
    <w:altName w:val="宋体"/>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DejaVu Math TeX Gyre">
    <w:altName w:val="NumberOnly"/>
    <w:panose1 w:val="02000503000000000000"/>
    <w:charset w:val="00"/>
    <w:family w:val="auto"/>
    <w:pitch w:val="default"/>
    <w:sig w:usb0="00000000" w:usb1="00000000" w:usb2="02000000" w:usb3="00000000" w:csb0="60000193" w:csb1="0DD40000"/>
  </w:font>
  <w:font w:name="Calibri Light">
    <w:panose1 w:val="020F0302020204030204"/>
    <w:charset w:val="00"/>
    <w:family w:val="swiss"/>
    <w:pitch w:val="default"/>
    <w:sig w:usb0="A00002EF" w:usb1="4000207B" w:usb2="00000000" w:usb3="00000000" w:csb0="2000019F" w:csb1="00000000"/>
  </w:font>
  <w:font w:name="文鼎CS仿宋体">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FuturaA Bk BT">
    <w:altName w:val="Segoe Print"/>
    <w:panose1 w:val="00000000000000000000"/>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Century Schoolbook">
    <w:altName w:val="Segoe Print"/>
    <w:panose1 w:val="02040604050505020304"/>
    <w:charset w:val="00"/>
    <w:family w:val="roman"/>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Syntax">
    <w:altName w:val="Segoe Print"/>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Garamond">
    <w:altName w:val="PMingLiU-ExtB"/>
    <w:panose1 w:val="02020404030301010803"/>
    <w:charset w:val="00"/>
    <w:family w:val="roman"/>
    <w:pitch w:val="default"/>
    <w:sig w:usb0="00000000" w:usb1="00000000" w:usb2="00000000" w:usb3="00000000" w:csb0="0000009F" w:csb1="DFD70000"/>
  </w:font>
  <w:font w:name="Dutch801 XBd BT">
    <w:altName w:val="Segoe Print"/>
    <w:panose1 w:val="02020903060505020304"/>
    <w:charset w:val="00"/>
    <w:family w:val="roman"/>
    <w:pitch w:val="default"/>
    <w:sig w:usb0="00000000" w:usb1="00000000" w:usb2="00000000" w:usb3="00000000" w:csb0="00000000" w:csb1="00000000"/>
  </w:font>
  <w:font w:name="Angsana New">
    <w:panose1 w:val="02020603050405020304"/>
    <w:charset w:val="DE"/>
    <w:family w:val="roman"/>
    <w:pitch w:val="default"/>
    <w:sig w:usb0="81000003" w:usb1="00000000" w:usb2="00000000" w:usb3="00000000" w:csb0="00010001" w:csb1="00000000"/>
  </w:font>
  <w:font w:name="微软大黑体">
    <w:altName w:val="黑体"/>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Sans Serif">
    <w:panose1 w:val="020B0604020202020204"/>
    <w:charset w:val="00"/>
    <w:family w:val="auto"/>
    <w:pitch w:val="default"/>
    <w:sig w:usb0="E1002AFF" w:usb1="C0000002" w:usb2="00000008" w:usb3="00000000" w:csb0="200101FF" w:csb1="20280000"/>
  </w:font>
  <w:font w:name="Microsoft JhengHei">
    <w:panose1 w:val="020B0604030504040204"/>
    <w:charset w:val="88"/>
    <w:family w:val="auto"/>
    <w:pitch w:val="default"/>
    <w:sig w:usb0="00000087" w:usb1="28AF4000" w:usb2="00000016" w:usb3="00000000" w:csb0="00100009" w:csb1="00000000"/>
  </w:font>
  <w:font w:name="..ì.">
    <w:altName w:val="宋体"/>
    <w:panose1 w:val="00000000000000000000"/>
    <w:charset w:val="86"/>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长城仿宋">
    <w:altName w:val="黑体"/>
    <w:panose1 w:val="00000000000000000000"/>
    <w:charset w:val="86"/>
    <w:family w:val="modern"/>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Lucida Console">
    <w:panose1 w:val="020B0609040504020204"/>
    <w:charset w:val="00"/>
    <w:family w:val="auto"/>
    <w:pitch w:val="default"/>
    <w:sig w:usb0="8000028F" w:usb1="00001800" w:usb2="00000000" w:usb3="00000000" w:csb0="0000001F" w:csb1="D7D70000"/>
  </w:font>
  <w:font w:name="汉仪书宋二简">
    <w:altName w:val="宋体"/>
    <w:panose1 w:val="02010600000101010101"/>
    <w:charset w:val="86"/>
    <w:family w:val="auto"/>
    <w:pitch w:val="default"/>
    <w:sig w:usb0="00000000" w:usb1="00000000" w:usb2="00000002" w:usb3="00000000" w:csb0="00040000" w:csb1="00000000"/>
  </w:font>
  <w:font w:name="MT Extra">
    <w:panose1 w:val="05050102010205020202"/>
    <w:charset w:val="00"/>
    <w:family w:val="auto"/>
    <w:pitch w:val="default"/>
    <w:sig w:usb0="8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65"/>
      </w:rPr>
    </w:pPr>
    <w:r>
      <w:fldChar w:fldCharType="begin"/>
    </w:r>
    <w:r>
      <w:rPr>
        <w:rStyle w:val="65"/>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55" w:name="_Toc36110187"/>
    <w:bookmarkStart w:id="556" w:name="_Toc91899912"/>
    <w:bookmarkStart w:id="557" w:name="_Toc164085800"/>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65"/>
      </w:rPr>
    </w:pPr>
    <w:r>
      <w:fldChar w:fldCharType="begin"/>
    </w:r>
    <w:r>
      <w:rPr>
        <w:rStyle w:val="65"/>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pPr>
    <w:r>
      <w:pict>
        <v:shape id="_x0000_s2049" o:spid="_x0000_s2049" o:spt="136" type="#_x0000_t136" style="position:absolute;left:0pt;height:34.45pt;width:587.3pt;mso-position-horizontal:center;mso-position-horizontal-relative:margin;mso-position-vertical:center;mso-position-vertical-relative:margin;rotation:20643840f;z-index:251661312;mso-width-relative:page;mso-height-relative:page;" fillcolor="#808080" filled="t" stroked="f" coordsize="21600,21600">
          <v:path/>
          <v:fill on="t" opacity="3932f" focussize="0,0"/>
          <v:stroke on="f"/>
          <v:imagedata o:title=""/>
          <o:lock v:ext="edit" aspectratio="t"/>
          <v:textpath on="t" fitshape="t" fitpath="t" trim="t" xscale="f" string="17523  da hua  2023-07-31"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4C2A9"/>
    <w:multiLevelType w:val="singleLevel"/>
    <w:tmpl w:val="77F4C2A9"/>
    <w:lvl w:ilvl="0" w:tentative="0">
      <w:start w:val="3"/>
      <w:numFmt w:val="chineseCounting"/>
      <w:suff w:val="space"/>
      <w:lvlText w:val="第%1部分"/>
      <w:lvlJc w:val="left"/>
      <w:pPr>
        <w:ind w:left="2674"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jgzNmUxYjA3YmYwM2M3MTRkMmM1N2Y0YjNhM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424"/>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53372"/>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01D92"/>
    <w:rsid w:val="047F0FEB"/>
    <w:rsid w:val="048F763B"/>
    <w:rsid w:val="049F330E"/>
    <w:rsid w:val="04AA775C"/>
    <w:rsid w:val="04AF1889"/>
    <w:rsid w:val="04F66F48"/>
    <w:rsid w:val="05251E14"/>
    <w:rsid w:val="05A16594"/>
    <w:rsid w:val="05A7762D"/>
    <w:rsid w:val="05E032C9"/>
    <w:rsid w:val="060E5941"/>
    <w:rsid w:val="06110FAF"/>
    <w:rsid w:val="06493CA7"/>
    <w:rsid w:val="065A6178"/>
    <w:rsid w:val="066F1CF3"/>
    <w:rsid w:val="06930BB8"/>
    <w:rsid w:val="07245D42"/>
    <w:rsid w:val="07264C62"/>
    <w:rsid w:val="074E27CF"/>
    <w:rsid w:val="0779354C"/>
    <w:rsid w:val="08061376"/>
    <w:rsid w:val="08452D77"/>
    <w:rsid w:val="085B3B1D"/>
    <w:rsid w:val="086401F8"/>
    <w:rsid w:val="08751CAA"/>
    <w:rsid w:val="087E4C40"/>
    <w:rsid w:val="08A871D0"/>
    <w:rsid w:val="08D66AD6"/>
    <w:rsid w:val="08DA33A3"/>
    <w:rsid w:val="08E80F13"/>
    <w:rsid w:val="09335624"/>
    <w:rsid w:val="0944690F"/>
    <w:rsid w:val="09535675"/>
    <w:rsid w:val="09570789"/>
    <w:rsid w:val="095F057D"/>
    <w:rsid w:val="09642282"/>
    <w:rsid w:val="09733572"/>
    <w:rsid w:val="09772C16"/>
    <w:rsid w:val="098353B5"/>
    <w:rsid w:val="09A92330"/>
    <w:rsid w:val="09B06B87"/>
    <w:rsid w:val="09C13146"/>
    <w:rsid w:val="09CE03B2"/>
    <w:rsid w:val="09E04166"/>
    <w:rsid w:val="0A1C0718"/>
    <w:rsid w:val="0A3E7710"/>
    <w:rsid w:val="0A5B7E63"/>
    <w:rsid w:val="0A800499"/>
    <w:rsid w:val="0AA374A5"/>
    <w:rsid w:val="0AAB7649"/>
    <w:rsid w:val="0AB15E90"/>
    <w:rsid w:val="0ABC5606"/>
    <w:rsid w:val="0B30404E"/>
    <w:rsid w:val="0B4C6C14"/>
    <w:rsid w:val="0B547599"/>
    <w:rsid w:val="0B631A88"/>
    <w:rsid w:val="0B683D45"/>
    <w:rsid w:val="0B7F3F11"/>
    <w:rsid w:val="0B884417"/>
    <w:rsid w:val="0BBA6DAD"/>
    <w:rsid w:val="0BF6188C"/>
    <w:rsid w:val="0BF73C91"/>
    <w:rsid w:val="0C170175"/>
    <w:rsid w:val="0C571A41"/>
    <w:rsid w:val="0C5C1171"/>
    <w:rsid w:val="0C5E1CBC"/>
    <w:rsid w:val="0C615B50"/>
    <w:rsid w:val="0C7B653C"/>
    <w:rsid w:val="0C8445DA"/>
    <w:rsid w:val="0C87121B"/>
    <w:rsid w:val="0CC007F7"/>
    <w:rsid w:val="0CC617AC"/>
    <w:rsid w:val="0CE618DF"/>
    <w:rsid w:val="0CFE707A"/>
    <w:rsid w:val="0D063BDA"/>
    <w:rsid w:val="0D08375F"/>
    <w:rsid w:val="0D097FEC"/>
    <w:rsid w:val="0D184CFB"/>
    <w:rsid w:val="0D4A7419"/>
    <w:rsid w:val="0D616980"/>
    <w:rsid w:val="0D827401"/>
    <w:rsid w:val="0D84094E"/>
    <w:rsid w:val="0D8A00E9"/>
    <w:rsid w:val="0D8D589E"/>
    <w:rsid w:val="0D9E7C8C"/>
    <w:rsid w:val="0DA01C73"/>
    <w:rsid w:val="0DA11CCE"/>
    <w:rsid w:val="0DD63300"/>
    <w:rsid w:val="0DF50604"/>
    <w:rsid w:val="0DF702FE"/>
    <w:rsid w:val="0E060E51"/>
    <w:rsid w:val="0E5604B2"/>
    <w:rsid w:val="0E6D5D79"/>
    <w:rsid w:val="0E9D0089"/>
    <w:rsid w:val="0EB803EE"/>
    <w:rsid w:val="0EBB5316"/>
    <w:rsid w:val="0ECC3437"/>
    <w:rsid w:val="0EF94D4B"/>
    <w:rsid w:val="0F4958DC"/>
    <w:rsid w:val="0F515DF7"/>
    <w:rsid w:val="0F596BA8"/>
    <w:rsid w:val="0F6248D2"/>
    <w:rsid w:val="0F693536"/>
    <w:rsid w:val="0F7B0511"/>
    <w:rsid w:val="0F7B76D9"/>
    <w:rsid w:val="0F816ACD"/>
    <w:rsid w:val="0F9832DB"/>
    <w:rsid w:val="0FBF3FD2"/>
    <w:rsid w:val="0FBF7857"/>
    <w:rsid w:val="0FBF7FF3"/>
    <w:rsid w:val="0FEB5787"/>
    <w:rsid w:val="10646583"/>
    <w:rsid w:val="107D4B15"/>
    <w:rsid w:val="107E5EAF"/>
    <w:rsid w:val="108A3C80"/>
    <w:rsid w:val="10C26171"/>
    <w:rsid w:val="10F33360"/>
    <w:rsid w:val="10FC16EA"/>
    <w:rsid w:val="110F1D40"/>
    <w:rsid w:val="11266F33"/>
    <w:rsid w:val="118963A1"/>
    <w:rsid w:val="11C6522A"/>
    <w:rsid w:val="11E104CC"/>
    <w:rsid w:val="11E20309"/>
    <w:rsid w:val="12042B30"/>
    <w:rsid w:val="12255233"/>
    <w:rsid w:val="12530213"/>
    <w:rsid w:val="127723A9"/>
    <w:rsid w:val="12862074"/>
    <w:rsid w:val="12883966"/>
    <w:rsid w:val="129E45B4"/>
    <w:rsid w:val="12D81596"/>
    <w:rsid w:val="13072A44"/>
    <w:rsid w:val="131B45D5"/>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61D8B"/>
    <w:rsid w:val="1A1F16AE"/>
    <w:rsid w:val="1A3B5C77"/>
    <w:rsid w:val="1A57186F"/>
    <w:rsid w:val="1A984BAD"/>
    <w:rsid w:val="1AB8220E"/>
    <w:rsid w:val="1AE4166C"/>
    <w:rsid w:val="1AF06CFB"/>
    <w:rsid w:val="1AF11B8D"/>
    <w:rsid w:val="1B11359C"/>
    <w:rsid w:val="1B2A271F"/>
    <w:rsid w:val="1B5164A0"/>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4D4965"/>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6F5FDB"/>
    <w:rsid w:val="21D56769"/>
    <w:rsid w:val="21E52EF3"/>
    <w:rsid w:val="21F91AAE"/>
    <w:rsid w:val="21FB5D7B"/>
    <w:rsid w:val="22015E94"/>
    <w:rsid w:val="220B1C3D"/>
    <w:rsid w:val="221D1D20"/>
    <w:rsid w:val="22334A87"/>
    <w:rsid w:val="2278196B"/>
    <w:rsid w:val="22BE6801"/>
    <w:rsid w:val="233500BF"/>
    <w:rsid w:val="23377FF7"/>
    <w:rsid w:val="236B425F"/>
    <w:rsid w:val="23836192"/>
    <w:rsid w:val="23901F29"/>
    <w:rsid w:val="239C0061"/>
    <w:rsid w:val="239C412F"/>
    <w:rsid w:val="23B908A4"/>
    <w:rsid w:val="23E95BEF"/>
    <w:rsid w:val="23FD0064"/>
    <w:rsid w:val="245375B0"/>
    <w:rsid w:val="24642C0A"/>
    <w:rsid w:val="24863878"/>
    <w:rsid w:val="24B22173"/>
    <w:rsid w:val="24B95AD9"/>
    <w:rsid w:val="24BE24DA"/>
    <w:rsid w:val="24CF5825"/>
    <w:rsid w:val="24D663E6"/>
    <w:rsid w:val="24D77F2B"/>
    <w:rsid w:val="258B00E2"/>
    <w:rsid w:val="25A917A6"/>
    <w:rsid w:val="25BE27CC"/>
    <w:rsid w:val="25F74A5C"/>
    <w:rsid w:val="261C0F13"/>
    <w:rsid w:val="2628662C"/>
    <w:rsid w:val="262D45DE"/>
    <w:rsid w:val="26315635"/>
    <w:rsid w:val="267836D7"/>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007BB"/>
    <w:rsid w:val="294C65AD"/>
    <w:rsid w:val="29806583"/>
    <w:rsid w:val="298B3C4C"/>
    <w:rsid w:val="29F26D24"/>
    <w:rsid w:val="2A15033F"/>
    <w:rsid w:val="2A1662C1"/>
    <w:rsid w:val="2A1C7367"/>
    <w:rsid w:val="2A2815FA"/>
    <w:rsid w:val="2A34653C"/>
    <w:rsid w:val="2A6D6092"/>
    <w:rsid w:val="2A7D76B4"/>
    <w:rsid w:val="2B437463"/>
    <w:rsid w:val="2B4F70BA"/>
    <w:rsid w:val="2B7807EE"/>
    <w:rsid w:val="2BA50BF7"/>
    <w:rsid w:val="2BBF00EC"/>
    <w:rsid w:val="2BC37CFD"/>
    <w:rsid w:val="2BD5237F"/>
    <w:rsid w:val="2BE536CE"/>
    <w:rsid w:val="2BE758D9"/>
    <w:rsid w:val="2BF346BB"/>
    <w:rsid w:val="2C09049E"/>
    <w:rsid w:val="2C0A653C"/>
    <w:rsid w:val="2C191F85"/>
    <w:rsid w:val="2CE82D6F"/>
    <w:rsid w:val="2D173441"/>
    <w:rsid w:val="2D343236"/>
    <w:rsid w:val="2D575011"/>
    <w:rsid w:val="2DD15014"/>
    <w:rsid w:val="2DF72DE4"/>
    <w:rsid w:val="2E0220AF"/>
    <w:rsid w:val="2E4B082A"/>
    <w:rsid w:val="2E5D4E86"/>
    <w:rsid w:val="2E5D790B"/>
    <w:rsid w:val="2E9A3C18"/>
    <w:rsid w:val="2EBB0FEE"/>
    <w:rsid w:val="2EC63002"/>
    <w:rsid w:val="2F0A6B38"/>
    <w:rsid w:val="2F946CCB"/>
    <w:rsid w:val="2F9E23BE"/>
    <w:rsid w:val="2FD25781"/>
    <w:rsid w:val="2FDC745C"/>
    <w:rsid w:val="2FFD7934"/>
    <w:rsid w:val="303E08D4"/>
    <w:rsid w:val="306A7304"/>
    <w:rsid w:val="30733ACD"/>
    <w:rsid w:val="308C3862"/>
    <w:rsid w:val="309379D8"/>
    <w:rsid w:val="30A270F7"/>
    <w:rsid w:val="30DF1478"/>
    <w:rsid w:val="30EC586F"/>
    <w:rsid w:val="319C6071"/>
    <w:rsid w:val="31AC537E"/>
    <w:rsid w:val="31E3679B"/>
    <w:rsid w:val="31E732FD"/>
    <w:rsid w:val="321646E6"/>
    <w:rsid w:val="32285F6F"/>
    <w:rsid w:val="323D6149"/>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15200"/>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5E6B8E"/>
    <w:rsid w:val="38BC0149"/>
    <w:rsid w:val="38D87D1C"/>
    <w:rsid w:val="39326269"/>
    <w:rsid w:val="39636459"/>
    <w:rsid w:val="396B7F6C"/>
    <w:rsid w:val="39B417A9"/>
    <w:rsid w:val="39FC5695"/>
    <w:rsid w:val="3A006D8E"/>
    <w:rsid w:val="3A0D261A"/>
    <w:rsid w:val="3A3651E5"/>
    <w:rsid w:val="3A744481"/>
    <w:rsid w:val="3A8C7BEF"/>
    <w:rsid w:val="3A906246"/>
    <w:rsid w:val="3B2349B7"/>
    <w:rsid w:val="3B616CFF"/>
    <w:rsid w:val="3B6259F6"/>
    <w:rsid w:val="3B976654"/>
    <w:rsid w:val="3BC01EFC"/>
    <w:rsid w:val="3BCA786A"/>
    <w:rsid w:val="3BD31E2F"/>
    <w:rsid w:val="3BF15831"/>
    <w:rsid w:val="3BF770DE"/>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022D9"/>
    <w:rsid w:val="4019356B"/>
    <w:rsid w:val="40592157"/>
    <w:rsid w:val="406E1CAE"/>
    <w:rsid w:val="40A0133A"/>
    <w:rsid w:val="40C31A53"/>
    <w:rsid w:val="40FF545D"/>
    <w:rsid w:val="410067C8"/>
    <w:rsid w:val="418F0D2A"/>
    <w:rsid w:val="419B2274"/>
    <w:rsid w:val="41D01505"/>
    <w:rsid w:val="420267DC"/>
    <w:rsid w:val="42461D07"/>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B66E3"/>
    <w:rsid w:val="460E7DA5"/>
    <w:rsid w:val="46422483"/>
    <w:rsid w:val="46547170"/>
    <w:rsid w:val="4659254A"/>
    <w:rsid w:val="465B0637"/>
    <w:rsid w:val="465E3F0D"/>
    <w:rsid w:val="466A16E6"/>
    <w:rsid w:val="46893F2B"/>
    <w:rsid w:val="46C4686E"/>
    <w:rsid w:val="471A1ED2"/>
    <w:rsid w:val="477B778F"/>
    <w:rsid w:val="478203EC"/>
    <w:rsid w:val="47B025FA"/>
    <w:rsid w:val="4809698F"/>
    <w:rsid w:val="4811697D"/>
    <w:rsid w:val="483328B9"/>
    <w:rsid w:val="487A3E25"/>
    <w:rsid w:val="488B5503"/>
    <w:rsid w:val="48937E21"/>
    <w:rsid w:val="489A0361"/>
    <w:rsid w:val="48B94FF3"/>
    <w:rsid w:val="48E37AAB"/>
    <w:rsid w:val="48FD4B4C"/>
    <w:rsid w:val="490A68E0"/>
    <w:rsid w:val="491055FE"/>
    <w:rsid w:val="495F5B3E"/>
    <w:rsid w:val="496F77D7"/>
    <w:rsid w:val="497654FD"/>
    <w:rsid w:val="498A4BEA"/>
    <w:rsid w:val="49B64211"/>
    <w:rsid w:val="49E52C6C"/>
    <w:rsid w:val="49F6167F"/>
    <w:rsid w:val="4A064FA0"/>
    <w:rsid w:val="4A16615C"/>
    <w:rsid w:val="4A4424D7"/>
    <w:rsid w:val="4AB82D0F"/>
    <w:rsid w:val="4AEB7664"/>
    <w:rsid w:val="4AFD7C19"/>
    <w:rsid w:val="4B0567D1"/>
    <w:rsid w:val="4B236AAE"/>
    <w:rsid w:val="4B707271"/>
    <w:rsid w:val="4B9620D7"/>
    <w:rsid w:val="4B9739F7"/>
    <w:rsid w:val="4BEE2503"/>
    <w:rsid w:val="4C237A7B"/>
    <w:rsid w:val="4C245A30"/>
    <w:rsid w:val="4CB6685F"/>
    <w:rsid w:val="4CC367FE"/>
    <w:rsid w:val="4D0173EB"/>
    <w:rsid w:val="4D077F3C"/>
    <w:rsid w:val="4D123355"/>
    <w:rsid w:val="4D2A3B31"/>
    <w:rsid w:val="4D312C52"/>
    <w:rsid w:val="4D905305"/>
    <w:rsid w:val="4D964A72"/>
    <w:rsid w:val="4D9C1254"/>
    <w:rsid w:val="4D9D385D"/>
    <w:rsid w:val="4E793892"/>
    <w:rsid w:val="4E800872"/>
    <w:rsid w:val="4EC569ED"/>
    <w:rsid w:val="4ED50EA1"/>
    <w:rsid w:val="4EEC050C"/>
    <w:rsid w:val="4F104EC3"/>
    <w:rsid w:val="4F47354A"/>
    <w:rsid w:val="4F5F0DCA"/>
    <w:rsid w:val="4F911C54"/>
    <w:rsid w:val="4FE625E0"/>
    <w:rsid w:val="5021480F"/>
    <w:rsid w:val="502457FB"/>
    <w:rsid w:val="50962ECB"/>
    <w:rsid w:val="50A42E38"/>
    <w:rsid w:val="50A4577F"/>
    <w:rsid w:val="50B73D1F"/>
    <w:rsid w:val="50BD5BC9"/>
    <w:rsid w:val="50C11EEE"/>
    <w:rsid w:val="50D852D8"/>
    <w:rsid w:val="50E97CFC"/>
    <w:rsid w:val="50FA4028"/>
    <w:rsid w:val="510D65B7"/>
    <w:rsid w:val="511157AB"/>
    <w:rsid w:val="51142088"/>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F5E58"/>
    <w:rsid w:val="52D94AA4"/>
    <w:rsid w:val="52EA3A62"/>
    <w:rsid w:val="52F50BB8"/>
    <w:rsid w:val="53097272"/>
    <w:rsid w:val="53544462"/>
    <w:rsid w:val="5397158E"/>
    <w:rsid w:val="53FA37B7"/>
    <w:rsid w:val="54013861"/>
    <w:rsid w:val="54487265"/>
    <w:rsid w:val="544D6070"/>
    <w:rsid w:val="54605E1E"/>
    <w:rsid w:val="549B139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4370C"/>
    <w:rsid w:val="566B6D1E"/>
    <w:rsid w:val="569D3BD8"/>
    <w:rsid w:val="56D2458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02ADB"/>
    <w:rsid w:val="597E3DD8"/>
    <w:rsid w:val="59F80043"/>
    <w:rsid w:val="5A09252F"/>
    <w:rsid w:val="5A0B2778"/>
    <w:rsid w:val="5A160C1F"/>
    <w:rsid w:val="5A206ACF"/>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4B507A"/>
    <w:rsid w:val="5C80234E"/>
    <w:rsid w:val="5C8A680C"/>
    <w:rsid w:val="5D0C4701"/>
    <w:rsid w:val="5D0F0395"/>
    <w:rsid w:val="5D221076"/>
    <w:rsid w:val="5D397964"/>
    <w:rsid w:val="5D5A391C"/>
    <w:rsid w:val="5D5F10C0"/>
    <w:rsid w:val="5D891B7B"/>
    <w:rsid w:val="5DAD38EE"/>
    <w:rsid w:val="5DE352BC"/>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61293"/>
    <w:rsid w:val="60FA2EE8"/>
    <w:rsid w:val="61054A27"/>
    <w:rsid w:val="610A52BC"/>
    <w:rsid w:val="611D2366"/>
    <w:rsid w:val="61346AA9"/>
    <w:rsid w:val="61421856"/>
    <w:rsid w:val="615227C4"/>
    <w:rsid w:val="61654E3F"/>
    <w:rsid w:val="6182292A"/>
    <w:rsid w:val="619F7F92"/>
    <w:rsid w:val="61F94C26"/>
    <w:rsid w:val="62000E56"/>
    <w:rsid w:val="624F3E49"/>
    <w:rsid w:val="62632286"/>
    <w:rsid w:val="62885958"/>
    <w:rsid w:val="62F40B65"/>
    <w:rsid w:val="62FC2CFE"/>
    <w:rsid w:val="63024505"/>
    <w:rsid w:val="633345F0"/>
    <w:rsid w:val="634467FD"/>
    <w:rsid w:val="635600A5"/>
    <w:rsid w:val="635B1DB5"/>
    <w:rsid w:val="63711FED"/>
    <w:rsid w:val="63880DDC"/>
    <w:rsid w:val="638D750D"/>
    <w:rsid w:val="63AC6CC0"/>
    <w:rsid w:val="63E07276"/>
    <w:rsid w:val="64055776"/>
    <w:rsid w:val="64240056"/>
    <w:rsid w:val="642D765D"/>
    <w:rsid w:val="643E143A"/>
    <w:rsid w:val="64491666"/>
    <w:rsid w:val="648B6EEF"/>
    <w:rsid w:val="64C158BF"/>
    <w:rsid w:val="64CE2EAA"/>
    <w:rsid w:val="653C3090"/>
    <w:rsid w:val="656323F0"/>
    <w:rsid w:val="65854376"/>
    <w:rsid w:val="658767BE"/>
    <w:rsid w:val="65892531"/>
    <w:rsid w:val="659375C8"/>
    <w:rsid w:val="66195831"/>
    <w:rsid w:val="662E75B1"/>
    <w:rsid w:val="66342C2E"/>
    <w:rsid w:val="663E784C"/>
    <w:rsid w:val="668B6A45"/>
    <w:rsid w:val="669322FE"/>
    <w:rsid w:val="66E81A87"/>
    <w:rsid w:val="67242BCD"/>
    <w:rsid w:val="672F3F24"/>
    <w:rsid w:val="673E055F"/>
    <w:rsid w:val="67551CE3"/>
    <w:rsid w:val="67A22552"/>
    <w:rsid w:val="67B22DCC"/>
    <w:rsid w:val="67BE71AA"/>
    <w:rsid w:val="67D90273"/>
    <w:rsid w:val="67DE5875"/>
    <w:rsid w:val="67E55852"/>
    <w:rsid w:val="67EB1AB4"/>
    <w:rsid w:val="67FA1285"/>
    <w:rsid w:val="68434E03"/>
    <w:rsid w:val="68551F4F"/>
    <w:rsid w:val="687C10C9"/>
    <w:rsid w:val="68840C16"/>
    <w:rsid w:val="68876EFB"/>
    <w:rsid w:val="68884654"/>
    <w:rsid w:val="689F444F"/>
    <w:rsid w:val="68B96DBB"/>
    <w:rsid w:val="68BB1B83"/>
    <w:rsid w:val="68CA2805"/>
    <w:rsid w:val="68E937A3"/>
    <w:rsid w:val="693E15D3"/>
    <w:rsid w:val="693E3CEF"/>
    <w:rsid w:val="69627681"/>
    <w:rsid w:val="6977531D"/>
    <w:rsid w:val="69C5598F"/>
    <w:rsid w:val="69CC2BFF"/>
    <w:rsid w:val="69FD55B8"/>
    <w:rsid w:val="6A0B1C62"/>
    <w:rsid w:val="6A2406C8"/>
    <w:rsid w:val="6ADE0BD1"/>
    <w:rsid w:val="6AE96859"/>
    <w:rsid w:val="6B147746"/>
    <w:rsid w:val="6B24787C"/>
    <w:rsid w:val="6B573233"/>
    <w:rsid w:val="6B5B6274"/>
    <w:rsid w:val="6B6D6E92"/>
    <w:rsid w:val="6B935D53"/>
    <w:rsid w:val="6C196F71"/>
    <w:rsid w:val="6C226FCB"/>
    <w:rsid w:val="6C31226F"/>
    <w:rsid w:val="6C552F0B"/>
    <w:rsid w:val="6C8C67B7"/>
    <w:rsid w:val="6C9D744C"/>
    <w:rsid w:val="6D167928"/>
    <w:rsid w:val="6D26299B"/>
    <w:rsid w:val="6D4772EC"/>
    <w:rsid w:val="6D8343C6"/>
    <w:rsid w:val="6D9078AF"/>
    <w:rsid w:val="6DAA3FEF"/>
    <w:rsid w:val="6DC0172B"/>
    <w:rsid w:val="6DCB690C"/>
    <w:rsid w:val="6DD41A5B"/>
    <w:rsid w:val="6DF43C2E"/>
    <w:rsid w:val="6DF51CA3"/>
    <w:rsid w:val="6E8335BD"/>
    <w:rsid w:val="6E8E12EF"/>
    <w:rsid w:val="6E972936"/>
    <w:rsid w:val="6ED446C5"/>
    <w:rsid w:val="6EF352FD"/>
    <w:rsid w:val="6EF74724"/>
    <w:rsid w:val="6F2A07DA"/>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A92964"/>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86C29"/>
    <w:rsid w:val="777F31F2"/>
    <w:rsid w:val="77D1700D"/>
    <w:rsid w:val="77EC04CC"/>
    <w:rsid w:val="7863107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CE75E67"/>
    <w:rsid w:val="7D0C32F1"/>
    <w:rsid w:val="7D0F408D"/>
    <w:rsid w:val="7D491C6C"/>
    <w:rsid w:val="7D5429C0"/>
    <w:rsid w:val="7D6E6D43"/>
    <w:rsid w:val="7D9A5540"/>
    <w:rsid w:val="7DB57A34"/>
    <w:rsid w:val="7DE60973"/>
    <w:rsid w:val="7DEF0916"/>
    <w:rsid w:val="7E1E5218"/>
    <w:rsid w:val="7E9A4E1F"/>
    <w:rsid w:val="7EA7723A"/>
    <w:rsid w:val="7EDA0543"/>
    <w:rsid w:val="7EEF3669"/>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annotation subject"/>
    <w:basedOn w:val="13"/>
    <w:next w:val="13"/>
    <w:link w:val="93"/>
    <w:qFormat/>
    <w:uiPriority w:val="0"/>
    <w:rPr>
      <w:b/>
      <w:bCs/>
    </w:rPr>
  </w:style>
  <w:style w:type="paragraph" w:styleId="13">
    <w:name w:val="annotation text"/>
    <w:basedOn w:val="1"/>
    <w:link w:val="341"/>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7"/>
    <w:link w:val="318"/>
    <w:qFormat/>
    <w:uiPriority w:val="0"/>
    <w:pPr>
      <w:ind w:firstLine="420"/>
    </w:pPr>
    <w:rPr>
      <w:rFonts w:hAnsi="Calibri" w:cs="Times New Roman"/>
      <w:snapToGrid/>
      <w:szCs w:val="20"/>
    </w:rPr>
  </w:style>
  <w:style w:type="paragraph" w:styleId="16">
    <w:name w:val="Body Text"/>
    <w:basedOn w:val="1"/>
    <w:next w:val="15"/>
    <w:link w:val="427"/>
    <w:qFormat/>
    <w:uiPriority w:val="0"/>
    <w:pPr>
      <w:autoSpaceDE w:val="0"/>
      <w:autoSpaceDN w:val="0"/>
      <w:spacing w:line="360" w:lineRule="auto"/>
    </w:pPr>
    <w:rPr>
      <w:rFonts w:ascii="宋体" w:hAnsi="Arial" w:cs="Arial"/>
      <w:snapToGrid w:val="0"/>
      <w:sz w:val="24"/>
      <w:szCs w:val="21"/>
      <w:lang w:val="zh-CN"/>
    </w:rPr>
  </w:style>
  <w:style w:type="paragraph" w:styleId="17">
    <w:name w:val="toc 6"/>
    <w:basedOn w:val="1"/>
    <w:next w:val="1"/>
    <w:qFormat/>
    <w:uiPriority w:val="0"/>
    <w:pPr>
      <w:ind w:left="2100" w:leftChars="1000"/>
    </w:pPr>
  </w:style>
  <w:style w:type="paragraph" w:styleId="18">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caption"/>
    <w:basedOn w:val="1"/>
    <w:next w:val="1"/>
    <w:link w:val="226"/>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199"/>
    <w:qFormat/>
    <w:uiPriority w:val="0"/>
    <w:pPr>
      <w:shd w:val="clear" w:color="auto" w:fill="000080"/>
    </w:pPr>
  </w:style>
  <w:style w:type="paragraph" w:styleId="24">
    <w:name w:val="Salutation"/>
    <w:basedOn w:val="1"/>
    <w:next w:val="1"/>
    <w:link w:val="295"/>
    <w:qFormat/>
    <w:uiPriority w:val="0"/>
    <w:rPr>
      <w:rFonts w:ascii="仿宋_GB2312" w:eastAsia="仿宋_GB2312"/>
      <w:sz w:val="28"/>
      <w:szCs w:val="20"/>
    </w:rPr>
  </w:style>
  <w:style w:type="paragraph" w:styleId="25">
    <w:name w:val="Body Text 3"/>
    <w:basedOn w:val="1"/>
    <w:link w:val="327"/>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link w:val="262"/>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Body Text First Indent 2"/>
    <w:basedOn w:val="27"/>
    <w:link w:val="118"/>
    <w:qFormat/>
    <w:uiPriority w:val="0"/>
    <w:pPr>
      <w:adjustRightInd/>
      <w:spacing w:after="120" w:line="240" w:lineRule="auto"/>
      <w:ind w:left="420" w:leftChars="200" w:firstLine="210"/>
    </w:pPr>
    <w:rPr>
      <w:sz w:val="21"/>
    </w:rPr>
  </w:style>
  <w:style w:type="paragraph" w:styleId="44">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299"/>
    <w:qFormat/>
    <w:uiPriority w:val="0"/>
    <w:pPr>
      <w:spacing w:after="120" w:line="480" w:lineRule="auto"/>
    </w:pPr>
  </w:style>
  <w:style w:type="paragraph" w:styleId="59">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rPr>
      <w:rFonts w:ascii="Arial" w:hAnsi="Arial" w:eastAsia="黑体" w:cs="Arial"/>
      <w:snapToGrid w:val="0"/>
      <w:kern w:val="0"/>
      <w:szCs w:val="21"/>
    </w:rPr>
  </w:style>
  <w:style w:type="character" w:styleId="66">
    <w:name w:val="FollowedHyperlink"/>
    <w:qFormat/>
    <w:uiPriority w:val="99"/>
    <w:rPr>
      <w:rFonts w:ascii="Arial" w:hAnsi="Arial" w:eastAsia="黑体" w:cs="Arial"/>
      <w:snapToGrid w:val="0"/>
      <w:color w:val="000000"/>
      <w:kern w:val="0"/>
      <w:sz w:val="18"/>
      <w:szCs w:val="18"/>
      <w:u w:val="none"/>
    </w:rPr>
  </w:style>
  <w:style w:type="character" w:styleId="67">
    <w:name w:val="Emphasis"/>
    <w:qFormat/>
    <w:uiPriority w:val="20"/>
    <w:rPr>
      <w:color w:val="CC0033"/>
    </w:rPr>
  </w:style>
  <w:style w:type="character" w:styleId="68">
    <w:name w:val="line number"/>
    <w:basedOn w:val="62"/>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4">
    <w:name w:val="Table Theme"/>
    <w:basedOn w:val="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Elegant"/>
    <w:basedOn w:val="7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6">
    <w:name w:val="Table Grid 5"/>
    <w:basedOn w:val="7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7">
    <w:name w:val="Table Grid 8"/>
    <w:basedOn w:val="7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8">
    <w:name w:val="Table Professional"/>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12"/>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43"/>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2"/>
    <w:qFormat/>
    <w:uiPriority w:val="0"/>
    <w:rPr>
      <w:rFonts w:ascii="Arial" w:hAnsi="Arial" w:eastAsia="黑体" w:cs="Arial"/>
      <w:snapToGrid w:val="0"/>
      <w:kern w:val="0"/>
      <w:szCs w:val="21"/>
    </w:rPr>
  </w:style>
  <w:style w:type="character" w:customStyle="1" w:styleId="122">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50"/>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8"/>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3"/>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2"/>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21"/>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7"/>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1"/>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4"/>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9"/>
    <w:qFormat/>
    <w:uiPriority w:val="0"/>
    <w:rPr>
      <w:rFonts w:ascii="黑体" w:hAnsi="Courier New" w:eastAsia="黑体"/>
    </w:rPr>
  </w:style>
  <w:style w:type="character" w:customStyle="1" w:styleId="299">
    <w:name w:val="正文文本 2 Char1"/>
    <w:link w:val="58"/>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3"/>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15"/>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5"/>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3"/>
    <w:qFormat/>
    <w:uiPriority w:val="0"/>
    <w:rPr>
      <w:kern w:val="2"/>
      <w:sz w:val="21"/>
      <w:szCs w:val="24"/>
    </w:rPr>
  </w:style>
  <w:style w:type="character" w:customStyle="1" w:styleId="342">
    <w:name w:val="签名 Char"/>
    <w:link w:val="45"/>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basedOn w:val="62"/>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5"/>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4"/>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2"/>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428">
    <w:name w:val="gray6"/>
    <w:basedOn w:val="62"/>
    <w:qFormat/>
    <w:uiPriority w:val="0"/>
    <w:rPr>
      <w:rFonts w:ascii="Arial" w:hAnsi="Arial" w:eastAsia="黑体" w:cs="Arial"/>
      <w:snapToGrid w:val="0"/>
      <w:kern w:val="0"/>
      <w:szCs w:val="21"/>
    </w:rPr>
  </w:style>
  <w:style w:type="character" w:customStyle="1" w:styleId="429">
    <w:name w:val="hui"/>
    <w:basedOn w:val="62"/>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8"/>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20"/>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3"/>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19">
    <w:name w:val="网格型1"/>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0">
    <w:name w:val="网格型6"/>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1">
    <w:name w:val="网格型3"/>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2">
    <w:name w:val="网格型4"/>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5"/>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2"/>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38120</Words>
  <Characters>40340</Characters>
  <Lines>279</Lines>
  <Paragraphs>78</Paragraphs>
  <TotalTime>3</TotalTime>
  <ScaleCrop>false</ScaleCrop>
  <LinksUpToDate>false</LinksUpToDate>
  <CharactersWithSpaces>45594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2024-11-13T08:09:22Z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CCE60F4085A24699AAA5871EF72CBE23_13</vt:lpwstr>
  </property>
</Properties>
</file>