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C59F">
      <w:pPr>
        <w:spacing w:line="360" w:lineRule="auto"/>
        <w:jc w:val="center"/>
        <w:rPr>
          <w:rFonts w:ascii="宋体" w:hAnsi="宋体" w:cs="宋体"/>
          <w:b/>
          <w:color w:val="000000" w:themeColor="text1"/>
          <w:sz w:val="24"/>
          <w:highlight w:val="none"/>
          <w14:textFill>
            <w14:solidFill>
              <w14:schemeClr w14:val="tx1"/>
            </w14:solidFill>
          </w14:textFill>
        </w:rPr>
      </w:pPr>
    </w:p>
    <w:p w14:paraId="4F432004">
      <w:pPr>
        <w:spacing w:line="360" w:lineRule="auto"/>
        <w:jc w:val="center"/>
        <w:rPr>
          <w:rFonts w:ascii="宋体" w:hAnsi="宋体" w:cs="宋体"/>
          <w:b/>
          <w:color w:val="000000" w:themeColor="text1"/>
          <w:sz w:val="24"/>
          <w:highlight w:val="none"/>
          <w14:textFill>
            <w14:solidFill>
              <w14:schemeClr w14:val="tx1"/>
            </w14:solidFill>
          </w14:textFill>
        </w:rPr>
      </w:pPr>
    </w:p>
    <w:p w14:paraId="2164E84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14194780">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3B4BC654">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4F425722">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中国美术学院象山校区民艺馆会议室屋面修漏工程项目</w:t>
      </w:r>
    </w:p>
    <w:p w14:paraId="57D574C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p>
    <w:p w14:paraId="74C7261E">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5A0539E2">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ZGMY-LD-202401</w:t>
      </w:r>
      <w:r>
        <w:rPr>
          <w:rFonts w:hint="eastAsia" w:ascii="宋体" w:hAnsi="宋体" w:cs="宋体"/>
          <w:color w:val="000000" w:themeColor="text1"/>
          <w:sz w:val="30"/>
          <w:szCs w:val="30"/>
          <w:highlight w:val="none"/>
          <w:lang w:val="en-US" w:eastAsia="zh-CN"/>
          <w14:textFill>
            <w14:solidFill>
              <w14:schemeClr w14:val="tx1"/>
            </w14:solidFill>
          </w14:textFill>
        </w:rPr>
        <w:t>8</w:t>
      </w:r>
      <w:r>
        <w:rPr>
          <w:rFonts w:hint="eastAsia" w:ascii="宋体" w:hAnsi="宋体" w:cs="宋体"/>
          <w:color w:val="000000" w:themeColor="text1"/>
          <w:sz w:val="30"/>
          <w:szCs w:val="30"/>
          <w:highlight w:val="none"/>
          <w14:textFill>
            <w14:solidFill>
              <w14:schemeClr w14:val="tx1"/>
            </w14:solidFill>
          </w14:textFill>
        </w:rPr>
        <w:t>）</w:t>
      </w:r>
    </w:p>
    <w:p w14:paraId="7B806555">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1C0E5C62">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43BFE3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14711FA">
      <w:pPr>
        <w:spacing w:line="360" w:lineRule="auto"/>
        <w:jc w:val="center"/>
        <w:rPr>
          <w:rFonts w:ascii="宋体" w:hAnsi="宋体" w:cs="宋体"/>
          <w:color w:val="000000" w:themeColor="text1"/>
          <w:sz w:val="24"/>
          <w:highlight w:val="none"/>
          <w14:textFill>
            <w14:solidFill>
              <w14:schemeClr w14:val="tx1"/>
            </w14:solidFill>
          </w14:textFill>
        </w:rPr>
      </w:pPr>
    </w:p>
    <w:p w14:paraId="2435685C">
      <w:pPr>
        <w:spacing w:line="360" w:lineRule="auto"/>
        <w:jc w:val="center"/>
        <w:rPr>
          <w:rFonts w:ascii="宋体" w:hAnsi="宋体" w:cs="宋体"/>
          <w:color w:val="000000" w:themeColor="text1"/>
          <w:sz w:val="24"/>
          <w:highlight w:val="none"/>
          <w14:textFill>
            <w14:solidFill>
              <w14:schemeClr w14:val="tx1"/>
            </w14:solidFill>
          </w14:textFill>
        </w:rPr>
      </w:pPr>
    </w:p>
    <w:p w14:paraId="28E53BC9">
      <w:pPr>
        <w:spacing w:line="360" w:lineRule="auto"/>
        <w:rPr>
          <w:rFonts w:ascii="宋体" w:hAnsi="宋体" w:cs="宋体"/>
          <w:color w:val="000000" w:themeColor="text1"/>
          <w:sz w:val="32"/>
          <w:szCs w:val="32"/>
          <w:highlight w:val="none"/>
          <w14:textFill>
            <w14:solidFill>
              <w14:schemeClr w14:val="tx1"/>
            </w14:solidFill>
          </w14:textFill>
        </w:rPr>
      </w:pPr>
    </w:p>
    <w:p w14:paraId="394FCABB">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中国美术学院</w:t>
      </w:r>
    </w:p>
    <w:p w14:paraId="543372E6">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浙江力德工程顾问有限公司</w:t>
      </w:r>
    </w:p>
    <w:p w14:paraId="2D280313">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十一</w:t>
      </w:r>
      <w:r>
        <w:rPr>
          <w:rFonts w:hint="eastAsia" w:ascii="宋体" w:hAnsi="宋体" w:cs="宋体"/>
          <w:bCs/>
          <w:color w:val="000000" w:themeColor="text1"/>
          <w:sz w:val="32"/>
          <w:szCs w:val="32"/>
          <w:highlight w:val="none"/>
          <w14:textFill>
            <w14:solidFill>
              <w14:schemeClr w14:val="tx1"/>
            </w14:solidFill>
          </w14:textFill>
        </w:rPr>
        <w:t xml:space="preserve"> </w:t>
      </w:r>
      <w:r>
        <w:rPr>
          <w:rFonts w:hint="eastAsia" w:ascii="宋体" w:hAnsi="宋体" w:cs="宋体"/>
          <w:bCs/>
          <w:color w:val="000000" w:themeColor="text1"/>
          <w:sz w:val="32"/>
          <w:szCs w:val="32"/>
          <w:highlight w:val="none"/>
          <w14:textFill>
            <w14:solidFill>
              <w14:schemeClr w14:val="tx1"/>
            </w14:solidFill>
          </w14:textFill>
        </w:rPr>
        <w:t>月</w:t>
      </w:r>
    </w:p>
    <w:p w14:paraId="549F0FF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F518007">
      <w:pPr>
        <w:spacing w:line="360" w:lineRule="auto"/>
        <w:jc w:val="center"/>
        <w:rPr>
          <w:rFonts w:ascii="宋体" w:hAnsi="宋体" w:cs="宋体"/>
          <w:color w:val="000000" w:themeColor="text1"/>
          <w:sz w:val="24"/>
          <w:highlight w:val="none"/>
          <w14:textFill>
            <w14:solidFill>
              <w14:schemeClr w14:val="tx1"/>
            </w14:solidFill>
          </w14:textFill>
        </w:rPr>
      </w:pPr>
    </w:p>
    <w:p w14:paraId="20F46381">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4D7E8D7">
      <w:pPr>
        <w:spacing w:line="360" w:lineRule="auto"/>
        <w:rPr>
          <w:rFonts w:ascii="宋体" w:hAnsi="宋体" w:cs="宋体"/>
          <w:color w:val="000000" w:themeColor="text1"/>
          <w:sz w:val="32"/>
          <w:szCs w:val="32"/>
          <w:highlight w:val="none"/>
          <w14:textFill>
            <w14:solidFill>
              <w14:schemeClr w14:val="tx1"/>
            </w14:solidFill>
          </w14:textFill>
        </w:rPr>
      </w:pPr>
    </w:p>
    <w:p w14:paraId="069A8736">
      <w:pPr>
        <w:spacing w:line="360" w:lineRule="auto"/>
        <w:rPr>
          <w:rFonts w:ascii="宋体" w:hAnsi="宋体" w:cs="宋体"/>
          <w:color w:val="000000" w:themeColor="text1"/>
          <w:sz w:val="32"/>
          <w:szCs w:val="32"/>
          <w:highlight w:val="none"/>
          <w14:textFill>
            <w14:solidFill>
              <w14:schemeClr w14:val="tx1"/>
            </w14:solidFill>
          </w14:textFill>
        </w:rPr>
      </w:pPr>
    </w:p>
    <w:p w14:paraId="3466F22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竞争性磋商公告</w:t>
      </w:r>
    </w:p>
    <w:p w14:paraId="01B15F1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2B0BEA2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FAD0A2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评审办法</w:t>
      </w:r>
    </w:p>
    <w:p w14:paraId="2DD8951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41EFBD3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A63855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14:paraId="6EE4A617">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4895D1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3186E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A7B5B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E2400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867F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612ACB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7AAAE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3D7E2C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7F6AC8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0E828D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0CD061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5909BB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EFEE283">
      <w:pPr>
        <w:spacing w:line="360" w:lineRule="auto"/>
        <w:rPr>
          <w:rFonts w:ascii="宋体" w:hAnsi="宋体" w:cs="宋体"/>
          <w:color w:val="000000" w:themeColor="text1"/>
          <w:sz w:val="24"/>
          <w:highlight w:val="none"/>
          <w14:textFill>
            <w14:solidFill>
              <w14:schemeClr w14:val="tx1"/>
            </w14:solidFill>
          </w14:textFill>
        </w:rPr>
      </w:pPr>
    </w:p>
    <w:p w14:paraId="61D77E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竞争性磋商公告</w:t>
      </w:r>
    </w:p>
    <w:p w14:paraId="1DCA12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550FD5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中国美术学院象山校区民艺馆会议室屋面修漏工程项目</w:t>
      </w:r>
      <w:r>
        <w:rPr>
          <w:rFonts w:hint="eastAsia" w:ascii="宋体" w:hAnsi="宋体" w:cs="宋体"/>
          <w:color w:val="000000" w:themeColor="text1"/>
          <w:sz w:val="24"/>
          <w:highlight w:val="none"/>
          <w14:textFill>
            <w14:solidFill>
              <w14:schemeClr w14:val="tx1"/>
            </w14:solidFill>
          </w14:textFill>
        </w:rPr>
        <w:t>采购项目的潜在供应商应在政采云平台（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 点</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提交（上传）响应文件。</w:t>
      </w:r>
    </w:p>
    <w:p w14:paraId="2DFEF7D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7900C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ZGMY-LD-2024018</w:t>
      </w:r>
    </w:p>
    <w:p w14:paraId="49D19900">
      <w:pPr>
        <w:snapToGrid w:val="0"/>
        <w:spacing w:line="360" w:lineRule="auto"/>
        <w:ind w:firstLine="480" w:firstLineChars="200"/>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val="0"/>
          <w:bCs/>
          <w:color w:val="000000" w:themeColor="text1"/>
          <w:sz w:val="24"/>
          <w:highlight w:val="none"/>
          <w14:textFill>
            <w14:solidFill>
              <w14:schemeClr w14:val="tx1"/>
            </w14:solidFill>
          </w14:textFill>
        </w:rPr>
        <w:t>中国美术学院象山校区民艺馆会议室屋面修漏工程项目</w:t>
      </w:r>
    </w:p>
    <w:p w14:paraId="0D76DD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val="0"/>
          <w:bCs/>
          <w:color w:val="000000" w:themeColor="text1"/>
          <w:sz w:val="24"/>
          <w:highlight w:val="none"/>
          <w:lang w:val="en-US" w:eastAsia="zh-CN"/>
          <w14:textFill>
            <w14:solidFill>
              <w14:schemeClr w14:val="tx1"/>
            </w14:solidFill>
          </w14:textFill>
        </w:rPr>
        <w:t>498700</w:t>
      </w:r>
      <w:r>
        <w:rPr>
          <w:rFonts w:hint="eastAsia" w:ascii="宋体" w:hAnsi="宋体" w:cs="宋体"/>
          <w:color w:val="000000" w:themeColor="text1"/>
          <w:sz w:val="24"/>
          <w:highlight w:val="none"/>
          <w14:textFill>
            <w14:solidFill>
              <w14:schemeClr w14:val="tx1"/>
            </w14:solidFill>
          </w14:textFill>
        </w:rPr>
        <w:t xml:space="preserve">  </w:t>
      </w:r>
    </w:p>
    <w:p w14:paraId="40DA2BD6">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498700</w:t>
      </w:r>
    </w:p>
    <w:p w14:paraId="6CB35B37">
      <w:pPr>
        <w:snapToGrid w:val="0"/>
        <w:spacing w:line="360" w:lineRule="auto"/>
        <w:ind w:firstLine="480" w:firstLineChars="20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cs="宋体"/>
          <w:b w:val="0"/>
          <w:bCs/>
          <w:color w:val="000000" w:themeColor="text1"/>
          <w:sz w:val="24"/>
          <w:highlight w:val="none"/>
          <w14:textFill>
            <w14:solidFill>
              <w14:schemeClr w14:val="tx1"/>
            </w14:solidFill>
          </w14:textFill>
        </w:rPr>
        <w:t>中国美术学院象山校区民艺馆会议室屋面修漏工程项目</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hAnsi="宋体" w:cs="宋体"/>
          <w:bCs/>
          <w:snapToGrid/>
          <w:color w:val="000000" w:themeColor="text1"/>
          <w:kern w:val="2"/>
          <w:sz w:val="24"/>
          <w:szCs w:val="24"/>
          <w:highlight w:val="none"/>
          <w14:textFill>
            <w14:solidFill>
              <w14:schemeClr w14:val="tx1"/>
            </w14:solidFill>
          </w14:textFill>
        </w:rPr>
        <w:t>详见采购文件第三部分采购需求、图纸及工程量清单。</w:t>
      </w:r>
    </w:p>
    <w:p w14:paraId="0C1D92B5">
      <w:pPr>
        <w:pStyle w:val="133"/>
        <w:snapToGrid w:val="0"/>
        <w:spacing w:before="0"/>
        <w:ind w:firstLine="482"/>
        <w:outlineLvl w:val="2"/>
        <w:rPr>
          <w:rFonts w:hint="default"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color w:val="000000" w:themeColor="text1"/>
          <w:highlight w:val="none"/>
          <w:lang w:val="en-US" w:eastAsia="zh-CN"/>
          <w14:textFill>
            <w14:solidFill>
              <w14:schemeClr w14:val="tx1"/>
            </w14:solidFill>
          </w14:textFill>
        </w:rPr>
        <w:t>自合同签订后6</w:t>
      </w:r>
      <w:r>
        <w:rPr>
          <w:rFonts w:hint="eastAsia" w:ascii="宋体" w:hAnsi="宋体" w:cs="宋体"/>
          <w:b/>
          <w:color w:val="000000" w:themeColor="text1"/>
          <w:highlight w:val="none"/>
          <w:lang w:val="en-US" w:eastAsia="zh-CN"/>
          <w14:textFill>
            <w14:solidFill>
              <w14:schemeClr w14:val="tx1"/>
            </w14:solidFill>
          </w14:textFill>
        </w:rPr>
        <w:t>0日历天。</w:t>
      </w:r>
    </w:p>
    <w:p w14:paraId="531D7F2A">
      <w:pPr>
        <w:pStyle w:val="5"/>
        <w:spacing w:line="360" w:lineRule="auto"/>
        <w:ind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w:t>
      </w:r>
      <w:sdt>
        <w:sdtPr>
          <w:rPr>
            <w:rFonts w:hint="eastAsia" w:hAnsi="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t>☐</w:t>
          </w:r>
        </w:sdtContent>
      </w:sdt>
      <w:r>
        <w:rPr>
          <w:rFonts w:hint="eastAsia" w:hAnsi="宋体" w:cs="宋体"/>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34C3743C">
      <w:pPr>
        <w:pStyle w:val="133"/>
        <w:snapToGrid w:val="0"/>
        <w:spacing w:before="0"/>
        <w:ind w:firstLine="482"/>
        <w:outlineLvl w:val="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注：不得限制大中型企业与小微企业组成联合体参与。</w:t>
      </w:r>
    </w:p>
    <w:p w14:paraId="7E64E3C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27EEFB0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97FF88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以联合体形式参与的，提供联合协议(本项目不接受联合体或者供应商不以联合体形式参与的，则不需要提供) ；</w:t>
      </w:r>
    </w:p>
    <w:p w14:paraId="4A54D6F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646061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252971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A7DA4B9">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235978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工程全部由符合政策要求的中小企业承建，提供中小企业声明函；</w:t>
      </w:r>
    </w:p>
    <w:p w14:paraId="14A77A41">
      <w:pPr>
        <w:numPr>
          <w:ilvl w:val="0"/>
          <w:numId w:val="1"/>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p>
    <w:p w14:paraId="30DB17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（1）具备</w:t>
      </w:r>
      <w:r>
        <w:rPr>
          <w:rFonts w:hint="eastAsia" w:ascii="宋体" w:hAnsi="宋体" w:cs="宋体"/>
          <w:color w:val="000000" w:themeColor="text1"/>
          <w:sz w:val="24"/>
          <w:highlight w:val="none"/>
          <w:lang w:val="en-US" w:eastAsia="zh-CN"/>
          <w14:textFill>
            <w14:solidFill>
              <w14:schemeClr w14:val="tx1"/>
            </w14:solidFill>
          </w14:textFill>
        </w:rPr>
        <w:t>防水防腐保温工程专业承包二</w:t>
      </w:r>
      <w:r>
        <w:rPr>
          <w:rFonts w:hint="eastAsia" w:ascii="宋体" w:hAnsi="宋体" w:cs="宋体"/>
          <w:color w:val="000000" w:themeColor="text1"/>
          <w:sz w:val="24"/>
          <w:highlight w:val="none"/>
          <w14:textFill>
            <w14:solidFill>
              <w14:schemeClr w14:val="tx1"/>
            </w14:solidFill>
          </w14:textFill>
        </w:rPr>
        <w:t>级</w:t>
      </w:r>
      <w:r>
        <w:rPr>
          <w:rFonts w:hint="eastAsia" w:ascii="宋体" w:hAnsi="宋体" w:cs="宋体"/>
          <w:color w:val="000000" w:themeColor="text1"/>
          <w:sz w:val="24"/>
          <w:highlight w:val="none"/>
          <w:lang w:val="en-US" w:eastAsia="zh-CN"/>
          <w14:textFill>
            <w14:solidFill>
              <w14:schemeClr w14:val="tx1"/>
            </w14:solidFill>
          </w14:textFill>
        </w:rPr>
        <w:t>及</w:t>
      </w:r>
      <w:r>
        <w:rPr>
          <w:rFonts w:hint="eastAsia" w:ascii="宋体" w:hAnsi="宋体" w:cs="宋体"/>
          <w:color w:val="000000" w:themeColor="text1"/>
          <w:sz w:val="24"/>
          <w:highlight w:val="none"/>
          <w14:textFill>
            <w14:solidFill>
              <w14:schemeClr w14:val="tx1"/>
            </w14:solidFill>
          </w14:textFill>
        </w:rPr>
        <w:t>以上资质；</w:t>
      </w:r>
    </w:p>
    <w:p w14:paraId="21C3E60A">
      <w:pPr>
        <w:spacing w:line="360" w:lineRule="auto"/>
        <w:ind w:firstLine="480" w:firstLineChars="0"/>
        <w:outlineLvl w:val="1"/>
        <w:rPr>
          <w:rFonts w:ascii="宋体" w:hAnsi="宋体" w:cs="宋体"/>
          <w:color w:val="000000" w:themeColor="text1"/>
          <w:sz w:val="24"/>
          <w:highlight w:val="none"/>
          <w14:textFill>
            <w14:solidFill>
              <w14:schemeClr w14:val="tx1"/>
            </w14:solidFill>
          </w14:textFill>
        </w:rPr>
      </w:pPr>
      <w:bookmarkStart w:id="12" w:name="_Toc22476"/>
      <w:r>
        <w:rPr>
          <w:rFonts w:hint="eastAsia" w:ascii="宋体" w:hAnsi="宋体" w:cs="宋体"/>
          <w:color w:val="000000" w:themeColor="text1"/>
          <w:sz w:val="24"/>
          <w:highlight w:val="none"/>
          <w14:textFill>
            <w14:solidFill>
              <w14:schemeClr w14:val="tx1"/>
            </w14:solidFill>
          </w14:textFill>
        </w:rPr>
        <w:t>（2）具有有效的安全生产许可证；</w:t>
      </w:r>
      <w:bookmarkEnd w:id="12"/>
    </w:p>
    <w:p w14:paraId="44197B2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B8F22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14:paraId="13F850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864F9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2B5D3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4BDFC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827FA2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w:t>
      </w:r>
    </w:p>
    <w:p w14:paraId="3C12DF4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 </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cs="宋体"/>
          <w:color w:val="000000" w:themeColor="text1"/>
          <w:sz w:val="24"/>
          <w:highlight w:val="none"/>
          <w:u w:val="single"/>
          <w14:textFill>
            <w14:solidFill>
              <w14:schemeClr w14:val="tx1"/>
            </w14:solidFill>
          </w14:textFill>
        </w:rPr>
        <w:t xml:space="preserve"> 日 </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525FC6D">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EE532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五、响应文件开启 </w:t>
      </w:r>
    </w:p>
    <w:p w14:paraId="412AE708">
      <w:pPr>
        <w:spacing w:line="360" w:lineRule="auto"/>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15</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 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 xml:space="preserve"> 分</w:t>
      </w:r>
      <w:r>
        <w:rPr>
          <w:rFonts w:hint="eastAsia" w:ascii="宋体" w:hAnsi="宋体" w:cs="宋体"/>
          <w:bCs/>
          <w:color w:val="000000" w:themeColor="text1"/>
          <w:sz w:val="24"/>
          <w:highlight w:val="none"/>
          <w:u w:val="single"/>
          <w14:textFill>
            <w14:solidFill>
              <w14:schemeClr w14:val="tx1"/>
            </w14:solidFill>
          </w14:textFill>
        </w:rPr>
        <w:t xml:space="preserve"> </w:t>
      </w:r>
    </w:p>
    <w:p w14:paraId="2467C3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2E40E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7BBE6B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4291325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31130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000000" w:themeColor="text1"/>
          <w:sz w:val="24"/>
          <w:highlight w:val="none"/>
          <w14:textFill>
            <w14:solidFill>
              <w14:schemeClr w14:val="tx1"/>
            </w14:solidFill>
          </w14:textFill>
        </w:rPr>
        <w:t>《</w:t>
      </w:r>
      <w:r>
        <w:rPr>
          <w:rFonts w:ascii="华文中宋" w:hAnsi="华文中宋" w:eastAsia="华文中宋" w:cs="华文中宋"/>
          <w:color w:val="000000" w:themeColor="text1"/>
          <w:sz w:val="24"/>
          <w:highlight w:val="none"/>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highlight w:val="none"/>
          <w:shd w:val="clear" w:color="auto" w:fill="FFFFFF"/>
          <w14:textFill>
            <w14:solidFill>
              <w14:schemeClr w14:val="tx1"/>
            </w14:solidFill>
          </w14:textFill>
        </w:rPr>
        <w:t>》（浙财采监〔2022〕8号）</w:t>
      </w:r>
      <w:r>
        <w:rPr>
          <w:rFonts w:hint="eastAsia" w:ascii="宋体" w:hAnsi="宋体" w:cs="宋体"/>
          <w:color w:val="000000" w:themeColor="text1"/>
          <w:sz w:val="24"/>
          <w:highlight w:val="none"/>
          <w14:textFill>
            <w14:solidFill>
              <w14:schemeClr w14:val="tx1"/>
            </w14:solidFill>
          </w14:textFill>
        </w:rPr>
        <w:t>已分别于2022年1月29日、2022年2月1日</w:t>
      </w:r>
      <w:r>
        <w:rPr>
          <w:rFonts w:hint="eastAsia" w:ascii="宋体" w:hAnsi="宋体" w:cs="宋体"/>
          <w:color w:val="000000" w:themeColor="text1"/>
          <w:sz w:val="24"/>
          <w:highlight w:val="none"/>
          <w14:textFill>
            <w14:solidFill>
              <w14:schemeClr w14:val="tx1"/>
            </w14:solidFill>
          </w14:textFill>
        </w:rPr>
        <w:t>和2022年7月1日</w:t>
      </w:r>
      <w:r>
        <w:rPr>
          <w:rFonts w:hint="eastAsia" w:ascii="宋体" w:hAnsi="宋体" w:cs="宋体"/>
          <w:color w:val="000000" w:themeColor="text1"/>
          <w:sz w:val="24"/>
          <w:highlight w:val="none"/>
          <w14:textFill>
            <w14:solidFill>
              <w14:schemeClr w14:val="tx1"/>
            </w14:solidFill>
          </w14:textFill>
        </w:rPr>
        <w:t>开始实施，此前有关规定与上述文件内容不一致的，按上述文件要求执行。</w:t>
      </w:r>
    </w:p>
    <w:p w14:paraId="3EFD65A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56BC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A8C2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D1E7BE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2D1608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47CC49C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中国美术学院</w:t>
      </w:r>
    </w:p>
    <w:p w14:paraId="458BA6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址：杭州市上城区南山路218号          </w:t>
      </w:r>
    </w:p>
    <w:p w14:paraId="33B985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0A002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徐老师</w:t>
      </w:r>
      <w:r>
        <w:rPr>
          <w:rFonts w:hint="eastAsia" w:ascii="宋体" w:hAnsi="宋体" w:cs="宋体"/>
          <w:color w:val="000000" w:themeColor="text1"/>
          <w:sz w:val="24"/>
          <w:highlight w:val="none"/>
          <w14:textFill>
            <w14:solidFill>
              <w14:schemeClr w14:val="tx1"/>
            </w14:solidFill>
          </w14:textFill>
        </w:rPr>
        <w:t xml:space="preserve">  </w:t>
      </w:r>
    </w:p>
    <w:p w14:paraId="22667E52">
      <w:pPr>
        <w:snapToGrid w:val="0"/>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13634163858</w:t>
      </w:r>
    </w:p>
    <w:p w14:paraId="33206A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林老师</w:t>
      </w:r>
      <w:r>
        <w:rPr>
          <w:rFonts w:hint="eastAsia" w:ascii="宋体" w:hAnsi="宋体" w:cs="宋体"/>
          <w:color w:val="000000" w:themeColor="text1"/>
          <w:sz w:val="24"/>
          <w:highlight w:val="none"/>
          <w14:textFill>
            <w14:solidFill>
              <w14:schemeClr w14:val="tx1"/>
            </w14:solidFill>
          </w14:textFill>
        </w:rPr>
        <w:t xml:space="preserve"> </w:t>
      </w:r>
    </w:p>
    <w:p w14:paraId="5B77B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质疑联系方式：0571-87164774 </w:t>
      </w:r>
    </w:p>
    <w:p w14:paraId="44354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7DD3DDE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浙江力德工程顾问有限公司</w:t>
      </w:r>
    </w:p>
    <w:p w14:paraId="5380C3BF">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杭州市西湖国际科技大厦A座7楼</w:t>
      </w:r>
    </w:p>
    <w:p w14:paraId="03965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711B7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周工</w:t>
      </w:r>
      <w:r>
        <w:rPr>
          <w:rFonts w:hint="eastAsia" w:ascii="宋体" w:hAnsi="宋体" w:cs="宋体"/>
          <w:color w:val="000000" w:themeColor="text1"/>
          <w:sz w:val="24"/>
          <w:highlight w:val="none"/>
          <w14:textFill>
            <w14:solidFill>
              <w14:schemeClr w14:val="tx1"/>
            </w14:solidFill>
          </w14:textFill>
        </w:rPr>
        <w:t xml:space="preserve">          </w:t>
      </w:r>
    </w:p>
    <w:p w14:paraId="6EAAB509">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18679643619</w:t>
      </w:r>
    </w:p>
    <w:p w14:paraId="500778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质疑联系人：俞工                </w:t>
      </w:r>
    </w:p>
    <w:p w14:paraId="238C37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质疑联系方式：13396568169</w:t>
      </w:r>
    </w:p>
    <w:p w14:paraId="1B19D46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3.该项目由采购人处理采购争议。质疑环节，采购人委托采购代理机构处理的，可由采购代理机构答复。对质疑答复不满意的，向采购人内部设置的采购监督机构反映。     </w:t>
      </w:r>
    </w:p>
    <w:p w14:paraId="72F0528D">
      <w:pPr>
        <w:snapToGrid w:val="0"/>
        <w:spacing w:line="360" w:lineRule="auto"/>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highlight w:val="none"/>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获取热线服务帮助。</w:t>
      </w:r>
    </w:p>
    <w:p w14:paraId="4C9230C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CFC68F">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t>第二部分</w:t>
      </w:r>
      <w:bookmarkEnd w:id="8"/>
      <w:r>
        <w:rPr>
          <w:rFonts w:hint="eastAsia" w:hAnsi="宋体" w:cs="宋体"/>
          <w:b/>
          <w:snapToGrid/>
          <w:color w:val="000000" w:themeColor="text1"/>
          <w:sz w:val="36"/>
          <w:szCs w:val="20"/>
          <w:highlight w:val="none"/>
          <w14:textFill>
            <w14:solidFill>
              <w14:schemeClr w14:val="tx1"/>
            </w14:solidFill>
          </w14:textFill>
        </w:rPr>
        <w:t xml:space="preserve"> 供应商须知</w:t>
      </w:r>
      <w:bookmarkEnd w:id="9"/>
    </w:p>
    <w:p w14:paraId="1CFE8175">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EFE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tcPr>
          <w:p w14:paraId="6F114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93" w:type="dxa"/>
            <w:vAlign w:val="center"/>
          </w:tcPr>
          <w:p w14:paraId="7950210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927" w:type="dxa"/>
            <w:vAlign w:val="center"/>
          </w:tcPr>
          <w:p w14:paraId="75E93B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E1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04A6F59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93" w:type="dxa"/>
            <w:vAlign w:val="center"/>
          </w:tcPr>
          <w:p w14:paraId="6FD7CC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927" w:type="dxa"/>
            <w:vAlign w:val="center"/>
          </w:tcPr>
          <w:p w14:paraId="6553C6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类</w:t>
            </w:r>
          </w:p>
        </w:tc>
      </w:tr>
      <w:tr w14:paraId="505A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4B845E4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93" w:type="dxa"/>
            <w:vAlign w:val="center"/>
          </w:tcPr>
          <w:p w14:paraId="2463B40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927" w:type="dxa"/>
            <w:vAlign w:val="center"/>
          </w:tcPr>
          <w:p w14:paraId="1E637488">
            <w:pPr>
              <w:numPr>
                <w:ilvl w:val="0"/>
                <w:numId w:val="0"/>
              </w:num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b w:val="0"/>
                <w:bCs/>
                <w:color w:val="000000" w:themeColor="text1"/>
                <w:sz w:val="24"/>
                <w:highlight w:val="none"/>
                <w:u w:val="single"/>
                <w14:textFill>
                  <w14:solidFill>
                    <w14:schemeClr w14:val="tx1"/>
                  </w14:solidFill>
                </w14:textFill>
              </w:rPr>
              <w:t>中国美术学院象山校区民艺馆会议室屋面修漏工程项目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建筑业 </w:t>
            </w:r>
            <w:r>
              <w:rPr>
                <w:rFonts w:hint="eastAsia" w:ascii="宋体" w:hAnsi="宋体" w:cs="宋体"/>
                <w:color w:val="000000" w:themeColor="text1"/>
                <w:kern w:val="0"/>
                <w:sz w:val="24"/>
                <w:highlight w:val="none"/>
                <w14:textFill>
                  <w14:solidFill>
                    <w14:schemeClr w14:val="tx1"/>
                  </w14:solidFill>
                </w14:textFill>
              </w:rPr>
              <w:t>行业；</w:t>
            </w:r>
          </w:p>
          <w:p w14:paraId="2B147F0A">
            <w:pPr>
              <w:snapToGrid w:val="0"/>
              <w:rPr>
                <w:rFonts w:ascii="宋体" w:hAnsi="宋体" w:eastAsia="宋体" w:cs="宋体"/>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建筑业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9D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54C6089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93" w:type="dxa"/>
            <w:vAlign w:val="center"/>
          </w:tcPr>
          <w:p w14:paraId="0CA2C20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927" w:type="dxa"/>
            <w:vAlign w:val="center"/>
          </w:tcPr>
          <w:p w14:paraId="4FDCAE44">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406628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2C69CD54">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9688828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7B04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4ADC6DF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93" w:type="dxa"/>
            <w:vAlign w:val="center"/>
          </w:tcPr>
          <w:p w14:paraId="0EB4752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927" w:type="dxa"/>
            <w:vAlign w:val="center"/>
          </w:tcPr>
          <w:p w14:paraId="29743A9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074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380ED11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324510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不同意分包，具体理由：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7B11D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15D0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693FFD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93" w:type="dxa"/>
            <w:vAlign w:val="center"/>
          </w:tcPr>
          <w:p w14:paraId="087AE9A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磋商前答疑会或现场考察</w:t>
            </w:r>
          </w:p>
        </w:tc>
        <w:tc>
          <w:tcPr>
            <w:tcW w:w="6927" w:type="dxa"/>
            <w:vAlign w:val="center"/>
          </w:tcPr>
          <w:p w14:paraId="472EE11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7728541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7320BDC">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858565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74E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6AC1E24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93" w:type="dxa"/>
            <w:vAlign w:val="center"/>
          </w:tcPr>
          <w:p w14:paraId="3A5A7F8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927" w:type="dxa"/>
            <w:vAlign w:val="center"/>
          </w:tcPr>
          <w:p w14:paraId="2C7C5C18">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5125576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73823EF">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2393C46C">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BFA718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6F90A0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评审办法</w:t>
            </w:r>
            <w:r>
              <w:rPr>
                <w:rFonts w:hint="eastAsia" w:ascii="宋体" w:hAnsi="宋体" w:cs="宋体"/>
                <w:color w:val="000000" w:themeColor="text1"/>
                <w:kern w:val="0"/>
                <w:sz w:val="24"/>
                <w:highlight w:val="none"/>
                <w14:textFill>
                  <w14:solidFill>
                    <w14:schemeClr w14:val="tx1"/>
                  </w14:solidFill>
                </w14:textFill>
              </w:rPr>
              <w:t>；</w:t>
            </w:r>
          </w:p>
          <w:p w14:paraId="4D4B0DD4">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9A7C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798A10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(6)采购活动结束后，对于未成交供应商提供的样品，采购人、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将通知未成交供应商在规定的时间内取回，逾期未取回的，采购人、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不负保管义务；对于成交供应商提供的样品，采购人将进行保管、封存，并作为履约验收的参考。</w:t>
            </w:r>
          </w:p>
          <w:p w14:paraId="11EBD55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1BF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090154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93" w:type="dxa"/>
            <w:vAlign w:val="center"/>
          </w:tcPr>
          <w:p w14:paraId="6E7FD1DA">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927" w:type="dxa"/>
            <w:vAlign w:val="center"/>
          </w:tcPr>
          <w:p w14:paraId="31BC0DE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251419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F125B07">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41ED62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人。讲解演示结束后按要求解答磋商小组提问。</w:t>
            </w:r>
          </w:p>
          <w:p w14:paraId="5C89E5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4934798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4D67D0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159D0182">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C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Merge w:val="restart"/>
            <w:vAlign w:val="center"/>
          </w:tcPr>
          <w:p w14:paraId="1580E31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93" w:type="dxa"/>
            <w:vMerge w:val="restart"/>
            <w:vAlign w:val="center"/>
          </w:tcPr>
          <w:p w14:paraId="6EEBEB5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927" w:type="dxa"/>
            <w:vAlign w:val="center"/>
          </w:tcPr>
          <w:p w14:paraId="14378D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4D01FF3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供应商未提供有效的资格证明文件的，视为供应商不具备采购文件中规定的资格要求，响应文件无效。</w:t>
            </w:r>
          </w:p>
        </w:tc>
      </w:tr>
      <w:tr w14:paraId="3C1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Merge w:val="continue"/>
            <w:vAlign w:val="center"/>
          </w:tcPr>
          <w:p w14:paraId="31AD14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93" w:type="dxa"/>
            <w:vMerge w:val="continue"/>
            <w:vAlign w:val="center"/>
          </w:tcPr>
          <w:p w14:paraId="12ACF88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927" w:type="dxa"/>
            <w:vAlign w:val="center"/>
          </w:tcPr>
          <w:p w14:paraId="7C4826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（2）资信证明文件：根据采购文件第四部分评审标准提供。</w:t>
            </w:r>
          </w:p>
        </w:tc>
      </w:tr>
      <w:tr w14:paraId="188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67E99EE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93" w:type="dxa"/>
            <w:vAlign w:val="center"/>
          </w:tcPr>
          <w:p w14:paraId="5FDE2F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927" w:type="dxa"/>
            <w:vAlign w:val="center"/>
          </w:tcPr>
          <w:p w14:paraId="7860FED8">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2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2916C37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93" w:type="dxa"/>
            <w:vAlign w:val="center"/>
          </w:tcPr>
          <w:p w14:paraId="2B3DE81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927" w:type="dxa"/>
            <w:vAlign w:val="center"/>
          </w:tcPr>
          <w:p w14:paraId="7828E61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报价单是报价的唯一载体</w:t>
            </w:r>
            <w:r>
              <w:rPr>
                <w:rFonts w:hint="eastAsia" w:ascii="宋体" w:hAnsi="宋体" w:cs="宋体"/>
                <w:color w:val="000000" w:themeColor="text1"/>
                <w:kern w:val="0"/>
                <w:sz w:val="24"/>
                <w:highlight w:val="none"/>
                <w:lang w:val="zh-CN"/>
                <w14:textFill>
                  <w14:solidFill>
                    <w14:schemeClr w14:val="tx1"/>
                  </w14:solidFill>
                </w14:textFill>
              </w:rPr>
              <w:t>。响应文件中价格全部采用人民币报价。采购文件未列明，而供应商认为必需的费用也需列入报价。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提醒：验收时检测费用由采购人承担，不包含在总价中。</w:t>
            </w:r>
          </w:p>
          <w:p w14:paraId="17EEF1C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最后报价出现下列情形的，响应文件无效：</w:t>
            </w:r>
          </w:p>
          <w:p w14:paraId="29203C4F">
            <w:pPr>
              <w:snapToGrid w:val="0"/>
              <w:spacing w:line="360" w:lineRule="auto"/>
              <w:ind w:firstLine="240"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响应文件出现不是唯一的、有选择性最后报价的；</w:t>
            </w:r>
          </w:p>
          <w:p w14:paraId="6B907334">
            <w:pPr>
              <w:snapToGrid w:val="0"/>
              <w:spacing w:line="360" w:lineRule="auto"/>
              <w:ind w:firstLine="240" w:firstLineChars="100"/>
              <w:rPr>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最后报价超过采购文件中规定的预算金额或者最高限价的;</w:t>
            </w:r>
          </w:p>
          <w:p w14:paraId="51D6D4B2">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B88182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1E1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4" w:hRule="atLeast"/>
        </w:trPr>
        <w:tc>
          <w:tcPr>
            <w:tcW w:w="714" w:type="dxa"/>
            <w:vAlign w:val="center"/>
          </w:tcPr>
          <w:p w14:paraId="2070CC4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93" w:type="dxa"/>
            <w:vAlign w:val="center"/>
          </w:tcPr>
          <w:p w14:paraId="78B94C2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927" w:type="dxa"/>
            <w:vAlign w:val="center"/>
          </w:tcPr>
          <w:p w14:paraId="727250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12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54DDFEF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93" w:type="dxa"/>
            <w:vAlign w:val="center"/>
          </w:tcPr>
          <w:p w14:paraId="4323239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备份响应文件送达地点和签收人员</w:t>
            </w:r>
          </w:p>
        </w:tc>
        <w:tc>
          <w:tcPr>
            <w:tcW w:w="6927" w:type="dxa"/>
            <w:vAlign w:val="center"/>
          </w:tcPr>
          <w:p w14:paraId="64F08795">
            <w:pPr>
              <w:pStyle w:val="34"/>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备份响应文件送达地点：</w:t>
            </w:r>
            <w:r>
              <w:rPr>
                <w:rFonts w:hint="eastAsia" w:hAnsi="宋体" w:cs="宋体"/>
                <w:color w:val="000000" w:themeColor="text1"/>
                <w:kern w:val="28"/>
                <w:sz w:val="24"/>
                <w:szCs w:val="24"/>
                <w:highlight w:val="none"/>
                <w:lang w:val="en-US" w:eastAsia="zh-CN"/>
                <w14:textFill>
                  <w14:solidFill>
                    <w14:schemeClr w14:val="tx1"/>
                  </w14:solidFill>
                </w14:textFill>
              </w:rPr>
              <w:t>杭州市西湖国际科技大厦A座7楼</w:t>
            </w:r>
            <w:r>
              <w:rPr>
                <w:rFonts w:hint="eastAsia" w:hAnsi="宋体" w:cs="宋体"/>
                <w:color w:val="000000" w:themeColor="text1"/>
                <w:kern w:val="28"/>
                <w:sz w:val="24"/>
                <w:szCs w:val="24"/>
                <w:highlight w:val="none"/>
                <w14:textFill>
                  <w14:solidFill>
                    <w14:schemeClr w14:val="tx1"/>
                  </w14:solidFill>
                </w14:textFill>
              </w:rPr>
              <w:t>；</w:t>
            </w:r>
          </w:p>
          <w:p w14:paraId="5451FA01">
            <w:pPr>
              <w:pStyle w:val="34"/>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备份响应文件签收人员联系电话：</w:t>
            </w:r>
            <w:r>
              <w:rPr>
                <w:rFonts w:hint="eastAsia" w:hAnsi="宋体" w:cs="宋体"/>
                <w:color w:val="000000" w:themeColor="text1"/>
                <w:kern w:val="28"/>
                <w:sz w:val="24"/>
                <w:szCs w:val="24"/>
                <w:highlight w:val="none"/>
                <w:lang w:val="en-US" w:eastAsia="zh-CN"/>
                <w14:textFill>
                  <w14:solidFill>
                    <w14:schemeClr w14:val="tx1"/>
                  </w14:solidFill>
                </w14:textFill>
              </w:rPr>
              <w:t>周工、18679643619</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14:paraId="35687B2D">
            <w:pPr>
              <w:pStyle w:val="34"/>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tc>
      </w:tr>
      <w:tr w14:paraId="520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176316C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93" w:type="dxa"/>
            <w:vAlign w:val="center"/>
          </w:tcPr>
          <w:p w14:paraId="5BBB015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其它说明</w:t>
            </w:r>
          </w:p>
        </w:tc>
        <w:tc>
          <w:tcPr>
            <w:tcW w:w="6927" w:type="dxa"/>
            <w:vAlign w:val="center"/>
          </w:tcPr>
          <w:p w14:paraId="52A40315">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000000" w:themeColor="text1"/>
                <w:kern w:val="28"/>
                <w:sz w:val="24"/>
                <w:highlight w:val="none"/>
                <w14:textFill>
                  <w14:solidFill>
                    <w14:schemeClr w14:val="tx1"/>
                  </w14:solidFill>
                </w14:textFill>
              </w:rPr>
              <w:t>业绩数量以提供材料较少的一方为准</w:t>
            </w:r>
            <w:r>
              <w:rPr>
                <w:rFonts w:hint="eastAsia" w:ascii="宋体" w:hAnsi="宋体" w:cs="宋体"/>
                <w:b/>
                <w:color w:val="000000" w:themeColor="text1"/>
                <w:kern w:val="0"/>
                <w:sz w:val="24"/>
                <w:highlight w:val="none"/>
                <w14:textFill>
                  <w14:solidFill>
                    <w14:schemeClr w14:val="tx1"/>
                  </w14:solidFill>
                </w14:textFill>
              </w:rPr>
              <w:t>。</w:t>
            </w:r>
          </w:p>
        </w:tc>
      </w:tr>
      <w:tr w14:paraId="63C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14:paraId="33CC2E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93" w:type="dxa"/>
            <w:vAlign w:val="center"/>
          </w:tcPr>
          <w:p w14:paraId="4A7DFC5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927" w:type="dxa"/>
            <w:vAlign w:val="center"/>
          </w:tcPr>
          <w:p w14:paraId="4A5687C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7CDB35B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55516DC4">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41D5E6C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2F04161A">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1B9C286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258A4719">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608CD376">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bl>
    <w:p w14:paraId="4E2CDC4E">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0BEEB374">
      <w:pPr>
        <w:widowControl/>
        <w:adjustRightInd/>
        <w:jc w:val="left"/>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br w:type="page"/>
      </w:r>
    </w:p>
    <w:p w14:paraId="38993C92">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74E6D42">
      <w:pPr>
        <w:snapToGrid w:val="0"/>
        <w:spacing w:line="360" w:lineRule="auto"/>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5F7D01C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209A1AA">
      <w:pPr>
        <w:snapToGrid w:val="0"/>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5BABBA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“采购人”系指竞争性磋商公告中载明的本项目的采购人。</w:t>
      </w:r>
    </w:p>
    <w:p w14:paraId="27CB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”系指竞争性磋商公告中载明的本项目的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47D891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“供应商”系指是指提交响应文件和报价、参与竞争性磋商采购活动的法人、其他组织或者自然人。</w:t>
      </w:r>
    </w:p>
    <w:p w14:paraId="021788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32E0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3F774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F531AE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系指不适用本项目的要求，“※”系指磋商过程中可能实质性变动的内容。</w:t>
      </w:r>
    </w:p>
    <w:p w14:paraId="2BF21F65">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F476F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92AF5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2756715">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6D17CB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1D0F5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35CDEC49">
      <w:pPr>
        <w:pStyle w:val="3"/>
        <w:tabs>
          <w:tab w:val="left" w:pos="0"/>
          <w:tab w:val="clear" w:pos="432"/>
        </w:tabs>
        <w:ind w:left="0" w:firstLine="480" w:firstLineChars="200"/>
        <w:rPr>
          <w:color w:val="000000" w:themeColor="text1"/>
          <w:highlight w:val="none"/>
          <w:lang w:val="en-US"/>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 xml:space="preserve">3.2.4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47B6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CF12D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1C42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C5197E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highlight w:val="none"/>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highlight w:val="none"/>
          <w14:textFill>
            <w14:solidFill>
              <w14:schemeClr w14:val="tx1"/>
            </w14:solidFill>
          </w14:textFill>
        </w:rPr>
        <w:t>。</w:t>
      </w:r>
    </w:p>
    <w:p w14:paraId="69FCAE1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F14F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highlight w:val="none"/>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4186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D298C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22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0E813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DC81B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60189A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5A13834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4ADDBD4A">
      <w:pPr>
        <w:pStyle w:val="3"/>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796EF320">
      <w:pPr>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EA1D7F9">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3A3D2DE2">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4.1在线询问、质疑、投诉</w:t>
      </w:r>
    </w:p>
    <w:p w14:paraId="44096BF6">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BAE01">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9CB6B1B">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ABA980">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CDD9CCF">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7B5C6EE">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E35BBE7">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629EAB72">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1E48420A">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325386BB">
      <w:pPr>
        <w:pStyle w:val="34"/>
        <w:snapToGrid w:val="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67E02E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6A984CA2">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3FB89A4A">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0C4B1DC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0E322068">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4D7103B6">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A4F8D0A">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7A997C">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E495581">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12AE57D5">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765BE056">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FB74F01">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902950">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6A03CF1C">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098CB83">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03DBC44A">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6DF7B7A5">
      <w:pPr>
        <w:pStyle w:val="889"/>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2C6AA7D">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09E97E6">
      <w:pPr>
        <w:pStyle w:val="133"/>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3D732ED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二、采购文件的构成、澄清、修改</w:t>
      </w:r>
    </w:p>
    <w:p w14:paraId="3AE7C8CD">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1D23E79F">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737779BC">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5.1.1竞争性磋商公告；</w:t>
      </w:r>
    </w:p>
    <w:p w14:paraId="226FDDF7">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2D3CA2D4">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D2AFACE">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5.1.4评审办法；</w:t>
      </w:r>
    </w:p>
    <w:p w14:paraId="0A427BC8">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7B13CA55">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E76A3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39C3375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6F20DDFA">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6.1已获取采购文件的潜在供应商，若有问题需要澄清，应于响应文件提交（上传）截止时间前，以书面形式向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235A03B1">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60BAA28">
      <w:pPr>
        <w:pStyle w:val="23"/>
        <w:rPr>
          <w:rFonts w:hAnsi="宋体" w:cs="宋体"/>
          <w:color w:val="000000" w:themeColor="text1"/>
          <w:sz w:val="18"/>
          <w:szCs w:val="18"/>
          <w:highlight w:val="none"/>
          <w:lang w:val="en-US"/>
          <w14:textFill>
            <w14:solidFill>
              <w14:schemeClr w14:val="tx1"/>
            </w14:solidFill>
          </w14:textFill>
        </w:rPr>
      </w:pPr>
    </w:p>
    <w:p w14:paraId="0B4711A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三、提交响应文件</w:t>
      </w:r>
    </w:p>
    <w:p w14:paraId="2CBD28E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2E50B97D">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详见竞争性磋商公告中获取采购文件的时间期限、地点、方式及采购文件售价。</w:t>
      </w:r>
    </w:p>
    <w:p w14:paraId="37126CC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8.磋商前答疑会或现场考察</w:t>
      </w:r>
    </w:p>
    <w:p w14:paraId="316C9C6E">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0B084D1A">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9.磋商保证金</w:t>
      </w:r>
    </w:p>
    <w:p w14:paraId="02A9C025">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本项目不需缴纳磋商保证金。</w:t>
      </w:r>
    </w:p>
    <w:p w14:paraId="247450FF">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响应文件的语言</w:t>
      </w:r>
    </w:p>
    <w:p w14:paraId="01EE3F65">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响应文件及供应商与采购有关的来往通知、函件和文件均应使用中文。</w:t>
      </w:r>
    </w:p>
    <w:p w14:paraId="794CFA6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响应文件的组成</w:t>
      </w:r>
    </w:p>
    <w:p w14:paraId="2CCC2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9EA342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2DC52A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17" w:name="_Hlk101257010"/>
      <w:r>
        <w:rPr>
          <w:rFonts w:hint="eastAsia" w:ascii="宋体" w:hAnsi="宋体" w:cs="宋体"/>
          <w:snapToGrid w:val="0"/>
          <w:color w:val="000000" w:themeColor="text1"/>
          <w:kern w:val="28"/>
          <w:sz w:val="24"/>
          <w:szCs w:val="20"/>
          <w:highlight w:val="none"/>
          <w14:textFill>
            <w14:solidFill>
              <w14:schemeClr w14:val="tx1"/>
            </w14:solidFill>
          </w14:textFill>
        </w:rPr>
        <w:t>（如果有)</w:t>
      </w:r>
      <w:bookmarkEnd w:id="16"/>
      <w:bookmarkEnd w:id="17"/>
      <w:r>
        <w:rPr>
          <w:rFonts w:hint="eastAsia" w:ascii="宋体" w:hAnsi="宋体" w:cs="宋体"/>
          <w:snapToGrid w:val="0"/>
          <w:color w:val="000000" w:themeColor="text1"/>
          <w:kern w:val="28"/>
          <w:sz w:val="24"/>
          <w:szCs w:val="20"/>
          <w:highlight w:val="none"/>
          <w14:textFill>
            <w14:solidFill>
              <w14:schemeClr w14:val="tx1"/>
            </w14:solidFill>
          </w14:textFill>
        </w:rPr>
        <w:t>；</w:t>
      </w:r>
    </w:p>
    <w:p w14:paraId="183C033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F87916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FE42980">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884B5F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182ADB0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33DCFE2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2BB5D27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6E085E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11.2.5评审标准相应的商务技术资料；</w:t>
      </w:r>
    </w:p>
    <w:p w14:paraId="68C97CA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01B7AFBB">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B688FB7">
      <w:pPr>
        <w:pStyle w:val="3"/>
        <w:ind w:left="664" w:leftChars="316" w:firstLine="228" w:firstLineChars="95"/>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11.2.8</w:t>
      </w:r>
      <w:r>
        <w:rPr>
          <w:rFonts w:hint="eastAsia" w:ascii="宋体" w:hAnsi="宋体" w:eastAsia="宋体" w:cs="宋体"/>
          <w:b w:val="0"/>
          <w:bCs w:val="0"/>
          <w:color w:val="000000" w:themeColor="text1"/>
          <w:sz w:val="24"/>
          <w:szCs w:val="24"/>
          <w:highlight w:val="none"/>
          <w14:textFill>
            <w14:solidFill>
              <w14:schemeClr w14:val="tx1"/>
            </w14:solidFill>
          </w14:textFill>
        </w:rPr>
        <w:t>绿色建材承诺书</w:t>
      </w:r>
    </w:p>
    <w:p w14:paraId="6AA6DA3E">
      <w:pPr>
        <w:pStyle w:val="81"/>
        <w:rPr>
          <w:color w:val="000000" w:themeColor="text1"/>
          <w:highlight w:val="none"/>
          <w:lang w:val="zh-CN"/>
          <w14:textFill>
            <w14:solidFill>
              <w14:schemeClr w14:val="tx1"/>
            </w14:solidFill>
          </w14:textFill>
        </w:rPr>
      </w:pPr>
    </w:p>
    <w:p w14:paraId="53CF200E">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196EE9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11.3.1报价单；</w:t>
      </w:r>
    </w:p>
    <w:p w14:paraId="05DC254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11.3.2已标价工程量清单；</w:t>
      </w:r>
    </w:p>
    <w:p w14:paraId="3A99DD7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68B91E68">
      <w:pPr>
        <w:pStyle w:val="3"/>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43C1EE7E">
      <w:pPr>
        <w:spacing w:line="360" w:lineRule="auto"/>
        <w:ind w:firstLine="721"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819CA03">
      <w:pPr>
        <w:spacing w:line="360" w:lineRule="auto"/>
        <w:ind w:firstLine="721"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66F8DEAB">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供应商应对响应文件中材料的真实性、合法性负责。</w:t>
      </w:r>
    </w:p>
    <w:p w14:paraId="0E693E96">
      <w:pPr>
        <w:pStyle w:val="133"/>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响应文件的编制</w:t>
      </w:r>
    </w:p>
    <w:p w14:paraId="223B997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65A83E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6FFBDA3F">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5F96052">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13.响应文件的签署、盖章</w:t>
      </w:r>
    </w:p>
    <w:p w14:paraId="6C02A68D">
      <w:pPr>
        <w:pStyle w:val="133"/>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13.1响应文件按照采购文件第六部分格式要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highlight w:val="none"/>
          <w14:textFill>
            <w14:solidFill>
              <w14:schemeClr w14:val="tx1"/>
            </w14:solidFill>
          </w14:textFill>
        </w:rPr>
        <w:t>。</w:t>
      </w:r>
    </w:p>
    <w:p w14:paraId="2BBE3303">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3CC95E0B">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13.3采购文件对响应文件签署、盖章的要求适用于电子签名。</w:t>
      </w:r>
    </w:p>
    <w:p w14:paraId="2C3585D0">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p>
    <w:p w14:paraId="25573C17">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响应文件的提交、补充、修改、撤回</w:t>
      </w:r>
    </w:p>
    <w:p w14:paraId="748484C7">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CEFC0B3">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446D6474">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可以视情况延长响应文件提交的截止时间。在上述情况下，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与供应商以前在响应文件提交截止时间方面的全部权利、责任和义务，将适用于延长至新的响应文件提交截止时间。</w:t>
      </w:r>
    </w:p>
    <w:p w14:paraId="0502E31E">
      <w:pPr>
        <w:pStyle w:val="34"/>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15.备份响应文件</w:t>
      </w:r>
    </w:p>
    <w:p w14:paraId="27597207">
      <w:pPr>
        <w:pStyle w:val="34"/>
        <w:snapToGrid w:val="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p w14:paraId="7DBAB569">
      <w:pPr>
        <w:pStyle w:val="34"/>
        <w:snapToGrid w:val="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15.2备份响应文件须在“政采云投标客户端”制作生成，并储存在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存储、密封规定的备份响应文件将被视为无效或者被拒绝接收。</w:t>
      </w:r>
    </w:p>
    <w:p w14:paraId="1F01DA83">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w:t>
      </w:r>
    </w:p>
    <w:p w14:paraId="14F4F394">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21107BB5">
      <w:pPr>
        <w:pStyle w:val="34"/>
        <w:snapToGrid w:val="0"/>
        <w:spacing w:line="360" w:lineRule="auto"/>
        <w:ind w:firstLine="478"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15.5供应商仅提交备份响应文件，未在电子交易平台传输递交响应文件的，响应文件无效。</w:t>
      </w:r>
    </w:p>
    <w:p w14:paraId="46458E1F">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16.响应文件的无效处理</w:t>
      </w:r>
    </w:p>
    <w:p w14:paraId="635DAE2D">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的情形之一的，响应文件无效：</w:t>
      </w:r>
    </w:p>
    <w:p w14:paraId="66C8FCC9">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17.响应文件有效期</w:t>
      </w:r>
    </w:p>
    <w:p w14:paraId="6EA0EF0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诺的响应文件有效期少于采购文件中载明的响应文件有效期的，响应文件无效。</w:t>
      </w:r>
    </w:p>
    <w:p w14:paraId="1D6C79E9">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17.2响应文件合格投递后，自响应文件提交截止时间起，在响应文件有效期内有效。</w:t>
      </w:r>
    </w:p>
    <w:p w14:paraId="310B9ED7">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17.3在原定响应文件有效期满之前，如果出现特殊情况，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可以以书面形式通知供应商延长响应文件有效期。供应商同意延长的，不得要求或被允许修改其响应文件，供应商拒绝延长的，其响应文件无效。</w:t>
      </w:r>
    </w:p>
    <w:p w14:paraId="0BC6808A">
      <w:pPr>
        <w:pStyle w:val="133"/>
        <w:spacing w:before="0"/>
        <w:ind w:firstLine="643"/>
        <w:rPr>
          <w:rFonts w:ascii="宋体" w:hAnsi="宋体" w:cs="宋体"/>
          <w:b/>
          <w:color w:val="000000" w:themeColor="text1"/>
          <w:sz w:val="32"/>
          <w:highlight w:val="none"/>
          <w14:textFill>
            <w14:solidFill>
              <w14:schemeClr w14:val="tx1"/>
            </w14:solidFill>
          </w14:textFill>
        </w:rPr>
      </w:pPr>
    </w:p>
    <w:p w14:paraId="6392D80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四、响应文件开启、资格审查与信用信息查询</w:t>
      </w:r>
    </w:p>
    <w:p w14:paraId="0615CAC5">
      <w:pPr>
        <w:pStyle w:val="557"/>
        <w:spacing w:before="0" w:line="360" w:lineRule="auto"/>
        <w:ind w:left="0" w:firstLine="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18.响应文件开启</w:t>
      </w:r>
      <w:r>
        <w:rPr>
          <w:rFonts w:hint="eastAsia" w:ascii="宋体" w:hAnsi="宋体" w:cs="宋体"/>
          <w:color w:val="000000" w:themeColor="text1"/>
          <w:sz w:val="24"/>
          <w:highlight w:val="none"/>
          <w14:textFill>
            <w14:solidFill>
              <w14:schemeClr w14:val="tx1"/>
            </w14:solidFill>
          </w14:textFill>
        </w:rPr>
        <w:t xml:space="preserve"> </w:t>
      </w:r>
    </w:p>
    <w:p w14:paraId="3C3F784A">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按照采购文件规定的时间通过电子交易平台组织响应文件开启，所有供应商均应当准时在线参加。供应商不足3家的，不得开启。</w:t>
      </w:r>
    </w:p>
    <w:p w14:paraId="50E67084">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18.2响应文件开启时，电子交易平台按响应文件开启时间自动提取所有响应文件。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依托电子交易平台发起开始解密指令，供应商按照平台提示和采购文件的规定在半小时内完成在线解密。</w:t>
      </w:r>
    </w:p>
    <w:p w14:paraId="43AC38B9">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bCs/>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00E70F60">
      <w:pPr>
        <w:pStyle w:val="557"/>
        <w:spacing w:before="0" w:line="360" w:lineRule="auto"/>
        <w:ind w:left="0" w:firstLine="0"/>
        <w:contextualSpacing/>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02DFA9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或磋商小组依据法律法规和采购文件的规定，对供应商的资格进行审查。</w:t>
      </w:r>
    </w:p>
    <w:p w14:paraId="5F069F68">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供应商不具备采购文件中规定的资格要求，其响应文件无效。</w:t>
      </w:r>
    </w:p>
    <w:p w14:paraId="5370D3AC">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对未通过资格审查的供应商，采购人或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128EB5C7">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合格供应商不足3家的，不再评审。</w:t>
      </w:r>
    </w:p>
    <w:p w14:paraId="10A0DDE2">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72EBCF">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6799D903">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将在资格审查时通过“信用中国”网站(www.creditchina.gov.cn)、中国政府采购网(www.ccgp.gov.cn)渠道查询供应商接受资格审查时的信用记录。</w:t>
      </w:r>
    </w:p>
    <w:p w14:paraId="7A0971AD">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0A24FB56">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D666FC3">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64C3925">
      <w:pPr>
        <w:pStyle w:val="133"/>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8B52CE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五、评审</w:t>
      </w:r>
    </w:p>
    <w:p w14:paraId="0BB84C7F">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详见采购文件第四部分评审办法。</w:t>
      </w:r>
    </w:p>
    <w:p w14:paraId="3D718D44">
      <w:pPr>
        <w:spacing w:line="360" w:lineRule="auto"/>
        <w:rPr>
          <w:rFonts w:ascii="宋体" w:hAnsi="宋体" w:cs="宋体"/>
          <w:b/>
          <w:color w:val="000000" w:themeColor="text1"/>
          <w:sz w:val="24"/>
          <w:highlight w:val="none"/>
          <w14:textFill>
            <w14:solidFill>
              <w14:schemeClr w14:val="tx1"/>
            </w14:solidFill>
          </w14:textFill>
        </w:rPr>
      </w:pPr>
    </w:p>
    <w:p w14:paraId="10F01C6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六、成交供应商确定</w:t>
      </w:r>
    </w:p>
    <w:p w14:paraId="3CB4DB20">
      <w:pPr>
        <w:pStyle w:val="26"/>
        <w:spacing w:line="360" w:lineRule="auto"/>
        <w:ind w:left="479" w:hanging="478"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确定成交供应商</w:t>
      </w:r>
    </w:p>
    <w:p w14:paraId="320C6542">
      <w:pPr>
        <w:pStyle w:val="133"/>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000000" w:themeColor="text1"/>
          <w:szCs w:val="24"/>
          <w:highlight w:val="none"/>
          <w14:textFill>
            <w14:solidFill>
              <w14:schemeClr w14:val="tx1"/>
            </w14:solidFill>
          </w14:textFill>
        </w:rPr>
        <w:t>，为提高政府采购效率，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w:t>
      </w:r>
      <w:r>
        <w:rPr>
          <w:rFonts w:hint="eastAsia" w:ascii="宋体" w:hAnsi="宋体" w:cs="宋体"/>
          <w:color w:val="000000" w:themeColor="text1"/>
          <w:szCs w:val="24"/>
          <w:highlight w:val="none"/>
          <w14:textFill>
            <w14:solidFill>
              <w14:schemeClr w14:val="tx1"/>
            </w14:solidFill>
          </w14:textFill>
        </w:rPr>
        <w:t>。中标、成交通知书和中标、成交结果公告应当在规定时间内同时发出。</w:t>
      </w:r>
    </w:p>
    <w:p w14:paraId="338F0D23">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0E781BF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通过电子交易平台向成交供应商发出成交通知书，同时编制发布采购结果公告。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1BBB3E2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4B06699">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D5A6701">
      <w:pPr>
        <w:widowControl/>
        <w:shd w:val="clear" w:color="auto" w:fill="FFFFFF"/>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b w:val="0"/>
          <w:bCs/>
          <w:color w:val="000000" w:themeColor="text1"/>
          <w:sz w:val="24"/>
          <w:szCs w:val="24"/>
          <w:highlight w:val="none"/>
          <w14:textFill>
            <w14:solidFill>
              <w14:schemeClr w14:val="tx1"/>
            </w14:solidFill>
          </w14:textFill>
        </w:rPr>
        <w:t>由于</w:t>
      </w:r>
      <w:r>
        <w:rPr>
          <w:rFonts w:hint="eastAsia" w:ascii="宋体" w:hAnsi="宋体" w:eastAsia="宋体" w:cs="宋体"/>
          <w:bCs/>
          <w:color w:val="000000" w:themeColor="text1"/>
          <w:sz w:val="24"/>
          <w:szCs w:val="24"/>
          <w:highlight w:val="none"/>
          <w14:textFill>
            <w14:solidFill>
              <w14:schemeClr w14:val="tx1"/>
            </w14:solidFill>
          </w14:textFill>
        </w:rPr>
        <w:t>成交供应商原因导致重新采购的，应当承担支付代理费和专家评审费等费用在内的赔偿责任。</w:t>
      </w:r>
    </w:p>
    <w:p w14:paraId="60A05ADC">
      <w:pPr>
        <w:snapToGrid w:val="0"/>
        <w:spacing w:line="360" w:lineRule="auto"/>
        <w:ind w:left="120" w:leftChars="57" w:firstLine="480" w:firstLineChars="150"/>
        <w:jc w:val="center"/>
        <w:rPr>
          <w:rFonts w:ascii="宋体" w:hAnsi="宋体" w:cs="宋体"/>
          <w:b/>
          <w:color w:val="000000" w:themeColor="text1"/>
          <w:sz w:val="32"/>
          <w:highlight w:val="none"/>
          <w14:textFill>
            <w14:solidFill>
              <w14:schemeClr w14:val="tx1"/>
            </w14:solidFill>
          </w14:textFill>
        </w:rPr>
      </w:pPr>
    </w:p>
    <w:p w14:paraId="6DF9AC4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七、合同授予</w:t>
      </w:r>
    </w:p>
    <w:p w14:paraId="3380ADAB">
      <w:pPr>
        <w:pStyle w:val="26"/>
        <w:snapToGrid w:val="0"/>
        <w:spacing w:line="360" w:lineRule="auto"/>
        <w:ind w:left="479" w:hanging="478"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CA16ECC">
      <w:pPr>
        <w:pStyle w:val="26"/>
        <w:snapToGrid w:val="0"/>
        <w:spacing w:line="360" w:lineRule="auto"/>
        <w:ind w:left="479" w:hanging="478"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4826F496">
      <w:pPr>
        <w:widowControl/>
        <w:shd w:val="clear" w:color="auto" w:fill="FFFFFF"/>
        <w:snapToGrid w:val="0"/>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9555F87">
      <w:pPr>
        <w:pStyle w:val="133"/>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16C669B6">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74567C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59ABF32">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25.5采购合同由采购人与成交供应商根据采购文件、响应文件等内容通过政府采购电子交易平台在线签订，自动备案。</w:t>
      </w:r>
    </w:p>
    <w:p w14:paraId="27A56682">
      <w:pPr>
        <w:pStyle w:val="26"/>
        <w:snapToGrid w:val="0"/>
        <w:spacing w:line="360" w:lineRule="auto"/>
        <w:ind w:left="479" w:hanging="478"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105E050">
      <w:pPr>
        <w:tabs>
          <w:tab w:val="left" w:pos="0"/>
        </w:tabs>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7920EF3">
      <w:pPr>
        <w:pStyle w:val="3"/>
        <w:snapToGrid w:val="0"/>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C7CBC9">
      <w:pPr>
        <w:pStyle w:val="3"/>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09C08DF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ascii="宋体" w:hAnsi="宋体" w:cs="Times New Roman"/>
          <w:color w:val="000000" w:themeColor="text1"/>
          <w:kern w:val="2"/>
          <w:sz w:val="24"/>
          <w:highlight w:val="none"/>
          <w14:textFill>
            <w14:solidFill>
              <w14:schemeClr w14:val="tx1"/>
            </w14:solidFill>
          </w14:textFill>
        </w:rPr>
        <w:t>400-903-9583。</w:t>
      </w:r>
    </w:p>
    <w:p w14:paraId="704E457E">
      <w:pPr>
        <w:rPr>
          <w:color w:val="000000" w:themeColor="text1"/>
          <w:highlight w:val="none"/>
          <w14:textFill>
            <w14:solidFill>
              <w14:schemeClr w14:val="tx1"/>
            </w14:solidFill>
          </w14:textFill>
        </w:rPr>
      </w:pPr>
    </w:p>
    <w:p w14:paraId="35570677">
      <w:pPr>
        <w:snapToGrid w:val="0"/>
        <w:spacing w:line="360" w:lineRule="auto"/>
        <w:ind w:firstLine="3347" w:firstLineChars="1045"/>
        <w:rPr>
          <w:rFonts w:ascii="宋体" w:hAnsi="宋体" w:cs="宋体"/>
          <w:b/>
          <w:color w:val="000000" w:themeColor="text1"/>
          <w:sz w:val="32"/>
          <w:highlight w:val="none"/>
          <w14:textFill>
            <w14:solidFill>
              <w14:schemeClr w14:val="tx1"/>
            </w14:solidFill>
          </w14:textFill>
        </w:rPr>
      </w:pPr>
    </w:p>
    <w:p w14:paraId="06375EB4">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八、电子交易活动的中止</w:t>
      </w:r>
    </w:p>
    <w:p w14:paraId="1F03878A">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Cs w:val="20"/>
          <w:highlight w:val="none"/>
          <w14:textFill>
            <w14:solidFill>
              <w14:schemeClr w14:val="tx1"/>
            </w14:solidFill>
          </w14:textFill>
        </w:rPr>
        <w:t>2</w:t>
      </w:r>
      <w:r>
        <w:rPr>
          <w:rFonts w:ascii="宋体" w:hAnsi="宋体" w:cs="宋体"/>
          <w:b/>
          <w:bCs/>
          <w:color w:val="000000" w:themeColor="text1"/>
          <w:kern w:val="2"/>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719FD323">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0C7FA6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431DABF">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2415DFC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B7D0B89">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0EE6A01E">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B41624">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58F13AA0">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九、验收</w:t>
      </w:r>
    </w:p>
    <w:p w14:paraId="02E7D12D">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2780305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w:t>
      </w:r>
      <w:r>
        <w:rPr>
          <w:rFonts w:hint="eastAsia" w:ascii="宋体" w:hAnsi="宋体" w:cs="宋体"/>
          <w:color w:val="000000" w:themeColor="text1"/>
          <w:kern w:val="0"/>
          <w:sz w:val="24"/>
          <w:highlight w:val="none"/>
          <w14:textFill>
            <w14:solidFill>
              <w14:schemeClr w14:val="tx1"/>
            </w14:solidFill>
          </w14:textFill>
        </w:rPr>
        <w:t>采购人应当根据采购项目的具体情况，自行组织项目验收或者委托采购代理机构验收。</w:t>
      </w:r>
      <w:r>
        <w:rPr>
          <w:rFonts w:hint="eastAsia" w:ascii="宋体" w:hAnsi="宋体" w:cs="宋体"/>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F51A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9D7026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583DA">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6581287">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19" w:name="_Hlt75236290"/>
      <w:bookmarkEnd w:id="19"/>
      <w:bookmarkStart w:id="20" w:name="_Hlt68403820"/>
      <w:bookmarkEnd w:id="20"/>
      <w:bookmarkStart w:id="21" w:name="_Hlt68057669"/>
      <w:bookmarkEnd w:id="21"/>
      <w:bookmarkStart w:id="22" w:name="_Hlt68073093"/>
      <w:bookmarkEnd w:id="22"/>
      <w:bookmarkStart w:id="23" w:name="_Hlt74730295"/>
      <w:bookmarkEnd w:id="23"/>
      <w:bookmarkStart w:id="24" w:name="_Hlt68072990"/>
      <w:bookmarkEnd w:id="24"/>
      <w:bookmarkStart w:id="25" w:name="_Hlt74707468"/>
      <w:bookmarkEnd w:id="25"/>
      <w:bookmarkStart w:id="26" w:name="_Hlt75236101"/>
      <w:bookmarkEnd w:id="26"/>
      <w:bookmarkStart w:id="27" w:name="_Hlt74714665"/>
      <w:bookmarkEnd w:id="27"/>
      <w:bookmarkStart w:id="28" w:name="_Hlt74729768"/>
      <w:bookmarkEnd w:id="28"/>
      <w:bookmarkStart w:id="29" w:name="_Hlt75236011"/>
      <w:bookmarkEnd w:id="29"/>
      <w:bookmarkStart w:id="30" w:name="_Hlt68072998"/>
      <w:bookmarkEnd w:id="30"/>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18365CC4">
      <w:pPr>
        <w:pStyle w:val="83"/>
        <w:rPr>
          <w:color w:val="000000" w:themeColor="text1"/>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13"/>
    <w:bookmarkEnd w:id="14"/>
    <w:p w14:paraId="492E6FCB">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bookmarkStart w:id="31" w:name="第四部分"/>
      <w:r>
        <w:rPr>
          <w:rFonts w:hint="eastAsia" w:hAnsi="宋体" w:cs="宋体"/>
          <w:b/>
          <w:snapToGrid/>
          <w:color w:val="000000" w:themeColor="text1"/>
          <w:sz w:val="36"/>
          <w:szCs w:val="20"/>
          <w:highlight w:val="none"/>
          <w14:textFill>
            <w14:solidFill>
              <w14:schemeClr w14:val="tx1"/>
            </w14:solidFill>
          </w14:textFill>
        </w:rPr>
        <w:t>第三部分 采购需求</w:t>
      </w:r>
    </w:p>
    <w:p w14:paraId="58F23890">
      <w:pPr>
        <w:spacing w:line="360" w:lineRule="auto"/>
        <w:jc w:val="left"/>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一、工程概况</w:t>
      </w:r>
    </w:p>
    <w:p w14:paraId="5EB482F8">
      <w:pPr>
        <w:snapToGrid w:val="0"/>
        <w:spacing w:line="360" w:lineRule="auto"/>
        <w:ind w:firstLine="480" w:firstLineChars="200"/>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u w:val="none"/>
          <w:lang w:val="en-US" w:eastAsia="zh-CN"/>
          <w14:textFill>
            <w14:solidFill>
              <w14:schemeClr w14:val="tx1"/>
            </w14:solidFill>
          </w14:textFill>
        </w:rPr>
        <w:t>本工程</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hAnsi="宋体" w:cs="宋体"/>
          <w:bCs/>
          <w:snapToGrid/>
          <w:color w:val="000000" w:themeColor="text1"/>
          <w:kern w:val="2"/>
          <w:sz w:val="24"/>
          <w:szCs w:val="24"/>
          <w:highlight w:val="none"/>
          <w:lang w:val="en-US" w:eastAsia="zh-CN"/>
          <w14:textFill>
            <w14:solidFill>
              <w14:schemeClr w14:val="tx1"/>
            </w14:solidFill>
          </w14:textFill>
        </w:rPr>
        <w:t>为</w:t>
      </w:r>
      <w:r>
        <w:rPr>
          <w:rFonts w:hint="eastAsia" w:hAnsi="宋体" w:cs="宋体"/>
          <w:bCs/>
          <w:snapToGrid/>
          <w:color w:val="000000" w:themeColor="text1"/>
          <w:kern w:val="2"/>
          <w:sz w:val="24"/>
          <w:szCs w:val="24"/>
          <w:highlight w:val="non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中国美术学院象山校区民艺馆会议室屋面修漏工程</w:t>
      </w:r>
      <w:r>
        <w:rPr>
          <w:rFonts w:hint="eastAsia" w:hAnsi="宋体" w:cs="宋体"/>
          <w:bCs/>
          <w:snapToGrid/>
          <w:color w:val="000000" w:themeColor="text1"/>
          <w:kern w:val="2"/>
          <w:sz w:val="24"/>
          <w:szCs w:val="24"/>
          <w:highlight w:val="none"/>
          <w14:textFill>
            <w14:solidFill>
              <w14:schemeClr w14:val="tx1"/>
            </w14:solidFill>
          </w14:textFill>
        </w:rPr>
        <w:t>。详见</w:t>
      </w:r>
      <w:r>
        <w:rPr>
          <w:rFonts w:hint="eastAsia" w:ascii="宋体" w:hAnsi="宋体" w:eastAsia="宋体" w:cs="Times New Roman"/>
          <w:color w:val="000000" w:themeColor="text1"/>
          <w:sz w:val="24"/>
          <w:highlight w:val="none"/>
          <w14:textFill>
            <w14:solidFill>
              <w14:schemeClr w14:val="tx1"/>
            </w14:solidFill>
          </w14:textFill>
        </w:rPr>
        <w:t>采购文件、工程量清单、图纸，并结合现场实际情况进行施工。</w:t>
      </w:r>
    </w:p>
    <w:p w14:paraId="7E17BF73">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 xml:space="preserve">二、工程内容 </w:t>
      </w:r>
    </w:p>
    <w:p w14:paraId="2A7919DB">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1.工程名称</w:t>
      </w:r>
    </w:p>
    <w:p w14:paraId="4DCE040A">
      <w:pPr>
        <w:snapToGrid w:val="0"/>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u w:val="single"/>
          <w14:textFill>
            <w14:solidFill>
              <w14:schemeClr w14:val="tx1"/>
            </w14:solidFill>
          </w14:textFill>
        </w:rPr>
        <w:t>中国美术学院象山校区民艺馆会议室屋面修漏工程项目</w:t>
      </w:r>
    </w:p>
    <w:p w14:paraId="7D63AA9F">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2.现场条件</w:t>
      </w:r>
    </w:p>
    <w:p w14:paraId="2D436C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（1）已具备施工条件，但施工不能影响正常的教学工作。</w:t>
      </w:r>
    </w:p>
    <w:p w14:paraId="08E24D52">
      <w:pPr>
        <w:spacing w:line="360" w:lineRule="auto"/>
        <w:ind w:left="0" w:leftChars="0"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14:paraId="6A8E0E5C">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3.工程承包范围</w:t>
      </w:r>
    </w:p>
    <w:p w14:paraId="44634D7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承包范围内的工程由承包人包工包料、包检测、包质量、包安全防护、包文明施工、包工期、包验收。</w:t>
      </w:r>
      <w:r>
        <w:rPr>
          <w:rFonts w:hint="eastAsia" w:ascii="宋体" w:hAnsi="宋体" w:eastAsia="宋体" w:cs="Times New Roman"/>
          <w:color w:val="000000" w:themeColor="text1"/>
          <w:sz w:val="24"/>
          <w:highlight w:val="none"/>
          <w:u w:val="single"/>
          <w14:textFill>
            <w14:solidFill>
              <w14:schemeClr w14:val="tx1"/>
            </w14:solidFill>
          </w14:textFill>
        </w:rPr>
        <w:t>工程实施过程，采购人保留局部调整、变更及增减工程内容的权力。</w:t>
      </w:r>
    </w:p>
    <w:p w14:paraId="57670052">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4.工程质量标准</w:t>
      </w:r>
    </w:p>
    <w:p w14:paraId="4235509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依据设计施工图纸和技术文件要求，本工程项目的材料、设备、施工必须达到以下现行中华人民共和国及省、市、行业的一切有关法规、规范的要求，如下述标准及规范要求有出入则以较严格者为准。     </w:t>
      </w:r>
    </w:p>
    <w:p w14:paraId="61F98595">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5.工程施工要求</w:t>
      </w:r>
    </w:p>
    <w:p w14:paraId="6F2F2B6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5.1、本工程施工严格按照规范要求进行施工，达到各项拟定的设计指标。</w:t>
      </w:r>
    </w:p>
    <w:p w14:paraId="5C9946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5.2、在免费保修期内，成交供应商对有缺陷的部位必须无偿地给予修理与更换，并承担一切由此引起的对采购人或第三者的直接损失，除非该缺陷是由于人为破坏或合同规定的不可抗因素造成的损坏。</w:t>
      </w:r>
    </w:p>
    <w:p w14:paraId="132EFBA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5.3、成交供应商必须对所承包的工程的质量负全部责任，其责任不因其他材料生产商提供的保证书而减轻或更改。</w:t>
      </w:r>
    </w:p>
    <w:p w14:paraId="3B05E11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5.4、施工时注意做好必要的劳动保护工作。</w:t>
      </w:r>
    </w:p>
    <w:p w14:paraId="7904CAD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5.5、施工单位进场需遵守学校管理相关规定。 </w:t>
      </w:r>
    </w:p>
    <w:p w14:paraId="7F4BA697">
      <w:pPr>
        <w:spacing w:line="360" w:lineRule="auto"/>
        <w:ind w:left="210" w:leftChars="100" w:firstLine="240" w:firstLine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6.工程管理要求</w:t>
      </w:r>
    </w:p>
    <w:p w14:paraId="4A49A4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6.1、本工程发包范围内的工程项目，未经采购人同意一律不得分包。一经发现立即取消承包资格，作违约处理，并承担由此引起的一切经济损失。</w:t>
      </w:r>
    </w:p>
    <w:p w14:paraId="562E39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6.2、成交供应商应严格按已确认施工技术方案组织施工，并无条件地接受采购人代表、监理对施工质量的监督和管理。</w:t>
      </w:r>
    </w:p>
    <w:p w14:paraId="56241A7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6.3、成交供应商在工程施工全过程中要认真做好成品保护。因失窃或失火造成的损失均由承包方负责，凡由此而损及采购人利益时，采购人将向中标施工单位索赔。</w:t>
      </w:r>
    </w:p>
    <w:p w14:paraId="6C380535">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F34898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6.5、项目管理人员要求:</w:t>
      </w:r>
    </w:p>
    <w:p w14:paraId="288D7AA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①企业管理人员要求：</w:t>
      </w:r>
    </w:p>
    <w:p w14:paraId="4B04C0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企业主要负责人（法定代表人、企业经理、企业分管安全生产的副经理、企业技术负责人）具有“三类人员”A类证书，企业分管安全生产副经理具有企业任命书；</w:t>
      </w:r>
    </w:p>
    <w:p w14:paraId="100A2D50">
      <w:pPr>
        <w:spacing w:line="360" w:lineRule="auto"/>
        <w:ind w:firstLine="482"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②项目负责人要求：</w:t>
      </w:r>
    </w:p>
    <w:p w14:paraId="65DFF71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拟派项目负责人具有注册在投标人单位的建筑工程二级及以上建造师执业资格，同时具有有效的专职安全生产管理人员B类证书。；</w:t>
      </w:r>
    </w:p>
    <w:p w14:paraId="0AC916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③拟派项目管理班子中安全员（拟派现场安全管理人员具有“三类人员”C类证书）；</w:t>
      </w:r>
    </w:p>
    <w:p w14:paraId="012FD73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④拟派项目管理班子需配备施工员、质量员、材料员及资料员等相关人员。</w:t>
      </w:r>
    </w:p>
    <w:p w14:paraId="12A38A58">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6.6、工程管理其他要求</w:t>
      </w:r>
    </w:p>
    <w:p w14:paraId="0F21183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项目经理每月到位率需达到90%以上，既每月达到27天及以上（每月按30日历天计）。</w:t>
      </w:r>
    </w:p>
    <w:p w14:paraId="310806DE">
      <w:pPr>
        <w:keepNext w:val="0"/>
        <w:keepLines w:val="0"/>
        <w:pageBreakBefore w:val="0"/>
        <w:widowControl w:val="0"/>
        <w:kinsoku/>
        <w:wordWrap/>
        <w:overflowPunct/>
        <w:topLinePunct w:val="0"/>
        <w:bidi w:val="0"/>
        <w:adjustRightInd w:val="0"/>
        <w:snapToGrid/>
        <w:spacing w:line="360" w:lineRule="auto"/>
        <w:ind w:left="0" w:leftChars="0" w:firstLine="480" w:firstLineChars="200"/>
        <w:jc w:val="left"/>
        <w:textAlignment w:val="auto"/>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本项目施工现场采购人不提供食宿，施工期间，所有施工人员的食宿均由成交供应商自行安排，材料的堆放及停车必须服从采购人的安排。</w:t>
      </w:r>
    </w:p>
    <w:p w14:paraId="2482302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本项目施工现场在校园内，供应商必须考虑相关因素，合理安排时间施工，合理安排车辆进出等事宜，服从校园管理，施工现场严禁吸烟。 </w:t>
      </w:r>
    </w:p>
    <w:p w14:paraId="67A5F67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本项目不提供工人住宿，相关人员外宿费用由投标人自行考虑，包含在投标报价中，不再另行支付。</w:t>
      </w:r>
    </w:p>
    <w:p w14:paraId="6AF4CA44">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7.工程主要材料（设备）要求  </w:t>
      </w:r>
    </w:p>
    <w:p w14:paraId="7A82BB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 7.1、本工程使用的原材料必须符合设计要求和施工规范的规定。</w:t>
      </w:r>
    </w:p>
    <w:p w14:paraId="5D8C453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实际施工过程中，采购人将严格检查验收进场原材料的合格证及质保书，如发现实样与质保书不符，应立即取样进行复查，对不合格的材料严禁用于本工程。</w:t>
      </w:r>
    </w:p>
    <w:p w14:paraId="66DFE7C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14:paraId="6B26045F">
      <w:pPr>
        <w:keepNext/>
        <w:keepLines/>
        <w:widowControl w:val="0"/>
        <w:numPr>
          <w:ilvl w:val="0"/>
          <w:numId w:val="2"/>
        </w:numPr>
        <w:adjustRightInd/>
        <w:spacing w:line="360" w:lineRule="auto"/>
        <w:ind w:left="0" w:firstLine="482" w:firstLineChars="200"/>
        <w:jc w:val="left"/>
        <w:outlineLvl w:val="1"/>
        <w:rPr>
          <w:rFonts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本工程材料涉及《绿色建筑和绿色建材政府采购需求标准》。供应商需按合同约定进行施工，并采购或使用符合要求的绿色建材；施工过程中要强化施工现场监管，确保落实绿色建筑要求，使用符合《需求标准》的绿色建材；供应商需按要求提供承诺函。</w:t>
      </w:r>
    </w:p>
    <w:p w14:paraId="579DF617">
      <w:pPr>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注：《绿色建筑和绿色建材政府采购需求标准》详见附件。</w:t>
      </w:r>
    </w:p>
    <w:p w14:paraId="3F97B96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设备、材料选用时，供应商应考虑与现有的和在用的各类系统的具体情况，并保持统一。项目采用的材料、设备、施工、检验检测、验收等均须符合本工程施工图等设计文件的要求，并按现行的国家标准、相关技术规范等实施。涉及到绿色建材标准的还需符合绿色建材标准要求。</w:t>
      </w:r>
    </w:p>
    <w:p w14:paraId="6AB5DF3D">
      <w:pPr>
        <w:spacing w:line="360" w:lineRule="auto"/>
        <w:ind w:firstLine="480" w:firstLineChars="20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当适用于工程的几种标准与规范出现意义不明或不一致时，应由监理工程师作出解释和校正，并就此向供应商发出指令。</w:t>
      </w:r>
    </w:p>
    <w:p w14:paraId="2A3ED31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7.2、材料的质量保证</w:t>
      </w:r>
    </w:p>
    <w:p w14:paraId="71C4430B">
      <w:pPr>
        <w:spacing w:line="360" w:lineRule="auto"/>
        <w:ind w:firstLine="480" w:firstLineChars="200"/>
        <w:jc w:val="left"/>
        <w:rPr>
          <w:rFonts w:hint="eastAsia" w:ascii="宋体" w:hAnsi="宋体" w:eastAsia="宋体" w:cs="Times New Roman"/>
          <w:color w:val="000000" w:themeColor="text1"/>
          <w:sz w:val="24"/>
          <w:highlight w:val="none"/>
          <w:u w:val="single"/>
          <w:lang w:eastAsia="zh-CN"/>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在免费保修期内，成交供应商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r>
        <w:rPr>
          <w:rFonts w:hint="eastAsia" w:ascii="宋体" w:hAnsi="宋体" w:cs="Times New Roman"/>
          <w:color w:val="000000" w:themeColor="text1"/>
          <w:sz w:val="24"/>
          <w:highlight w:val="none"/>
          <w:u w:val="single"/>
          <w:lang w:eastAsia="zh-CN"/>
          <w14:textFill>
            <w14:solidFill>
              <w14:schemeClr w14:val="tx1"/>
            </w14:solidFill>
          </w14:textFill>
        </w:rPr>
        <w:t>。</w:t>
      </w:r>
    </w:p>
    <w:p w14:paraId="6672AF2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（3）成交供应商必须对所承包工程的质量负全部责任，其责任不因其他材料生产商提供的保证书而减轻或更改。</w:t>
      </w:r>
    </w:p>
    <w:p w14:paraId="27D73D4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（4）本项目各项由磋商供应商提供的主要材料，必须是符合国家现行质量标准和环保要求的材料，在施工前由采购人进行选样，未经采购人选样擅自采购施工造成的损失由成交供应商自行承担。 </w:t>
      </w:r>
    </w:p>
    <w:p w14:paraId="1056AB1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7.3、设备要求</w:t>
      </w:r>
    </w:p>
    <w:p w14:paraId="66C365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7.3.1设</w:t>
      </w:r>
      <w:r>
        <w:rPr>
          <w:rFonts w:ascii="宋体" w:hAnsi="宋体" w:eastAsia="宋体" w:cs="Times New Roman"/>
          <w:color w:val="000000" w:themeColor="text1"/>
          <w:sz w:val="24"/>
          <w:highlight w:val="none"/>
          <w:u w:val="single"/>
          <w14:textFill>
            <w14:solidFill>
              <w14:schemeClr w14:val="tx1"/>
            </w14:solidFill>
          </w14:textFill>
        </w:rPr>
        <w:t>备的防护及油漆</w:t>
      </w:r>
    </w:p>
    <w:p w14:paraId="3BB88C6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u w:val="single"/>
          <w14:textFill>
            <w14:solidFill>
              <w14:schemeClr w14:val="tx1"/>
            </w14:solidFill>
          </w14:textFill>
        </w:rPr>
        <w:t>设备内、外表面应洁净。油漆表面应光洁，无折皱和剥落等。</w:t>
      </w:r>
    </w:p>
    <w:p w14:paraId="2BA798C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.2所有设备应合理、有效地包装，以使其有效防止各种损坏，如受潮、受热、剥落、腐蚀、变形等。</w:t>
      </w:r>
    </w:p>
    <w:p w14:paraId="00777AD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.3设备所有开口处应封闭保护起来，以防止在运输及搬运过程中异物进入。</w:t>
      </w:r>
    </w:p>
    <w:p w14:paraId="674B286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.4随机供货的零部件、备品备件等散件应用木箱包装。这些箱盒应适合于储存，储存年限应在包装上予以说明。</w:t>
      </w:r>
    </w:p>
    <w:p w14:paraId="538D7CC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5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14:paraId="221C6A8B">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8、工程计价方式</w:t>
      </w:r>
    </w:p>
    <w:p w14:paraId="131485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8.1采用工程量清单方式计价，工程量按实结算。建设工程安全防护、文明施工措施费用不得作为竞争性费用，其他措施项目费按磋商报价包干，不再调整。</w:t>
      </w:r>
    </w:p>
    <w:p w14:paraId="710EABB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8.2本工程垃圾外运费用一次性包干，包括垃圾清理、搬运、外运与消纳所产生的费用，成交后不予调整。</w:t>
      </w:r>
    </w:p>
    <w:p w14:paraId="4695CE11">
      <w:pPr>
        <w:spacing w:line="360" w:lineRule="auto"/>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9、技术标准和要求</w:t>
      </w:r>
    </w:p>
    <w:p w14:paraId="217EA2D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9.1工程实施的技术标准和规范一般规定</w:t>
      </w:r>
    </w:p>
    <w:p w14:paraId="4BE1FFB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9.1.1除本技术要求另有规定外，所有材料、设备和工程的质量均应符合采购时国家和项目所在地已颁布标准、规范的相应规定和要求，其中与本技术要求不一致时以要求高的为准。</w:t>
      </w:r>
    </w:p>
    <w:p w14:paraId="31A5842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9.1.2本技术条款另有规定外，成交人施工所用的材料、设备、施工工艺和工程质量的检验和验收应符合本技术条款中引用的国家和行业颁布的技术标准和规程规范规定的技术要求。</w:t>
      </w:r>
    </w:p>
    <w:p w14:paraId="0C5BE2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9.1.3当本技术条款的内容与所引用的标准和规程规范的规定有矛盾时，应以采购人指示为准。</w:t>
      </w:r>
    </w:p>
    <w:p w14:paraId="7F0D67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9.1.5技术条款中有关涉及工程安全的规定，必须严格遵守国家和行业的标准，遇有矛盾时应由采购人按国家和行业标准的规定进行修正。</w:t>
      </w:r>
    </w:p>
    <w:p w14:paraId="22EA296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9.1.6本采购项目采用的材料、设备、施工工艺、检验检测标准和方法、验收等均须符合本工程施工图等设计文件的要求，并按现行的国家标准、相关技术规范、相关法律法规等实施。</w:t>
      </w:r>
    </w:p>
    <w:p w14:paraId="7044CAB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9.2本工程施工、验收、材料的选用必须符合施工图纸、法律、法规相关要求和现行的相关标准、技术规范。</w:t>
      </w:r>
    </w:p>
    <w:p w14:paraId="56D2B38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供应商须遵守施工安全管理相关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0775DE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7E47C35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9.3材料基本技术要求</w:t>
      </w:r>
    </w:p>
    <w:p w14:paraId="1D86A5A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9.3.1工程用一切材料设备均应满足设计文件的要求，并得到采购人认可，且必须符合国家标准和规范。</w:t>
      </w:r>
    </w:p>
    <w:p w14:paraId="7157C69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9.3.2供应商成交后在材料进场前应向采购人提交产品说明（中文）、合格证、样品、装箱单、图纸等相关资料，并得到认可。</w:t>
      </w:r>
    </w:p>
    <w:p w14:paraId="3EFF1F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9.3.3所有由供应商采购的设备、材料，要求同类产品的不同规格尽可能采购同一个品牌，如同一品牌中没有所需规格的，与采购人协商解决。</w:t>
      </w:r>
    </w:p>
    <w:p w14:paraId="11E128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9.3.4本采购项目采用的材料、设备、施工、检验检测、验收等均须符合本工程施工图等设计文件的要求，并按现行的国家标准、相关技术规范等实施。</w:t>
      </w:r>
    </w:p>
    <w:p w14:paraId="6400AF3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9.3.5供应商所选用的施工材料品牌、系列及型号均不得低于采购人现有所使用的档次。</w:t>
      </w:r>
    </w:p>
    <w:p w14:paraId="55B3346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69374C08">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10.其他</w:t>
      </w:r>
    </w:p>
    <w:p w14:paraId="6EA0181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10.1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53EDB64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10.2供应商应充分考虑工程现场实际情况，并将所有可能出现的不利因素包括但不限于交通道路、装卸存储条件、场地内搬运、拆除修补和运输条件等包含进投标报价中，由于供应商踏勘不充分而导致的价格调整，后期不予考虑。</w:t>
      </w:r>
    </w:p>
    <w:p w14:paraId="467AD729">
      <w:pPr>
        <w:pStyle w:val="81"/>
        <w:rPr>
          <w:rFonts w:ascii="宋体" w:hAnsi="宋体" w:cs="仿宋_GB2312"/>
          <w:b/>
          <w:bCs/>
          <w:color w:val="000000" w:themeColor="text1"/>
          <w:sz w:val="24"/>
          <w:highlight w:val="none"/>
          <w14:textFill>
            <w14:solidFill>
              <w14:schemeClr w14:val="tx1"/>
            </w14:solidFill>
          </w14:textFill>
        </w:rPr>
      </w:pPr>
    </w:p>
    <w:p w14:paraId="6F66C5DA">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三、商务要求</w:t>
      </w:r>
    </w:p>
    <w:p w14:paraId="4EE4BCEC">
      <w:pPr>
        <w:spacing w:line="360" w:lineRule="auto"/>
        <w:ind w:left="210" w:leftChars="100"/>
        <w:jc w:val="left"/>
        <w:rPr>
          <w:rFonts w:hint="default"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1.工期要求：</w:t>
      </w:r>
      <w:r>
        <w:rPr>
          <w:rFonts w:hint="eastAsia" w:ascii="宋体" w:hAnsi="宋体" w:cs="宋体"/>
          <w:b/>
          <w:color w:val="000000" w:themeColor="text1"/>
          <w:sz w:val="24"/>
          <w:highlight w:val="none"/>
          <w:lang w:val="en-US" w:eastAsia="zh-CN"/>
          <w14:textFill>
            <w14:solidFill>
              <w14:schemeClr w14:val="tx1"/>
            </w14:solidFill>
          </w14:textFill>
        </w:rPr>
        <w:t>自合同签订后6</w:t>
      </w:r>
      <w:r>
        <w:rPr>
          <w:rFonts w:hint="eastAsia" w:ascii="宋体" w:hAnsi="宋体" w:cs="宋体"/>
          <w:b/>
          <w:color w:val="000000" w:themeColor="text1"/>
          <w:sz w:val="24"/>
          <w:highlight w:val="none"/>
          <w:lang w:val="en-US" w:eastAsia="zh-CN"/>
          <w14:textFill>
            <w14:solidFill>
              <w14:schemeClr w14:val="tx1"/>
            </w14:solidFill>
          </w14:textFill>
        </w:rPr>
        <w:t>0日历天。</w:t>
      </w:r>
    </w:p>
    <w:p w14:paraId="01CB2A06">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2.工程地点：</w:t>
      </w:r>
      <w:r>
        <w:rPr>
          <w:rFonts w:hint="eastAsia" w:ascii="宋体" w:hAnsi="宋体"/>
          <w:color w:val="000000" w:themeColor="text1"/>
          <w:sz w:val="24"/>
          <w:highlight w:val="none"/>
          <w:u w:val="non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中国美术学院（象山校区）</w:t>
      </w:r>
    </w:p>
    <w:p w14:paraId="2E734F48">
      <w:pPr>
        <w:spacing w:line="360" w:lineRule="auto"/>
        <w:ind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3.履约保证金、付款进度和方式：</w:t>
      </w:r>
    </w:p>
    <w:p w14:paraId="2639C52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3.1、合同签订</w:t>
      </w:r>
      <w:r>
        <w:rPr>
          <w:rFonts w:hint="eastAsia" w:ascii="宋体" w:hAnsi="宋体" w:eastAsia="宋体" w:cs="Times New Roman"/>
          <w:color w:val="000000" w:themeColor="text1"/>
          <w:sz w:val="24"/>
          <w:highlight w:val="none"/>
          <w:u w:val="single"/>
          <w14:textFill>
            <w14:solidFill>
              <w14:schemeClr w14:val="tx1"/>
            </w14:solidFill>
          </w14:textFill>
        </w:rPr>
        <w:t>后</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5</w:t>
      </w:r>
      <w:r>
        <w:rPr>
          <w:rFonts w:hint="eastAsia" w:ascii="宋体" w:hAnsi="宋体" w:eastAsia="宋体" w:cs="Times New Roman"/>
          <w:color w:val="000000" w:themeColor="text1"/>
          <w:sz w:val="24"/>
          <w:highlight w:val="none"/>
          <w:u w:val="single"/>
          <w14:textFill>
            <w14:solidFill>
              <w14:schemeClr w14:val="tx1"/>
            </w14:solidFill>
          </w14:textFill>
        </w:rPr>
        <w:t>个</w:t>
      </w:r>
      <w:r>
        <w:rPr>
          <w:rFonts w:hint="eastAsia" w:ascii="宋体" w:hAnsi="宋体" w:eastAsia="宋体" w:cs="Times New Roman"/>
          <w:color w:val="000000" w:themeColor="text1"/>
          <w:sz w:val="24"/>
          <w:highlight w:val="none"/>
          <w:u w:val="single"/>
          <w14:textFill>
            <w14:solidFill>
              <w14:schemeClr w14:val="tx1"/>
            </w14:solidFill>
          </w14:textFill>
        </w:rPr>
        <w:t>工作日内，供应商提交合同价2％的履约保证金至采购人账户，以电汇、汇票、支票形式或银行、保险公司出具的保函形式递交。联合体投标的，履约保证金由牵头人缴纳给采购人。</w:t>
      </w:r>
    </w:p>
    <w:p w14:paraId="130989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3.2、合同签订、供应商递交履约保证金且采购人收到符合要求的发票后7个工作日内支付合同总金额</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40</w:t>
      </w:r>
      <w:r>
        <w:rPr>
          <w:rFonts w:hint="eastAsia" w:ascii="宋体" w:hAnsi="宋体" w:eastAsia="宋体" w:cs="Times New Roman"/>
          <w:color w:val="000000" w:themeColor="text1"/>
          <w:sz w:val="24"/>
          <w:highlight w:val="none"/>
          <w:u w:val="single"/>
          <w14:textFill>
            <w14:solidFill>
              <w14:schemeClr w14:val="tx1"/>
            </w14:solidFill>
          </w14:textFill>
        </w:rPr>
        <w:t>%预付款。</w:t>
      </w:r>
    </w:p>
    <w:p w14:paraId="62BFAD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3.3、工程竣工后，由采购人进行初步验收。验收合格后，工程移交采购人管理，支付至</w:t>
      </w:r>
      <w:r>
        <w:rPr>
          <w:rFonts w:hint="eastAsia" w:ascii="宋体" w:hAnsi="宋体" w:eastAsia="宋体" w:cs="宋体"/>
          <w:bCs/>
          <w:color w:val="000000" w:themeColor="text1"/>
          <w:sz w:val="24"/>
          <w:highlight w:val="none"/>
          <w:u w:val="single"/>
          <w14:textFill>
            <w14:solidFill>
              <w14:schemeClr w14:val="tx1"/>
            </w14:solidFill>
          </w14:textFill>
        </w:rPr>
        <w:t>合同总价</w:t>
      </w:r>
      <w:r>
        <w:rPr>
          <w:rFonts w:hint="eastAsia" w:ascii="宋体" w:hAnsi="宋体" w:eastAsia="宋体" w:cs="Times New Roman"/>
          <w:color w:val="000000" w:themeColor="text1"/>
          <w:sz w:val="24"/>
          <w:highlight w:val="none"/>
          <w:u w:val="single"/>
          <w14:textFill>
            <w14:solidFill>
              <w14:schemeClr w14:val="tx1"/>
            </w14:solidFill>
          </w14:textFill>
        </w:rPr>
        <w:t>的85%（含预付款）。履约保证金无息退还。</w:t>
      </w:r>
    </w:p>
    <w:p w14:paraId="67124B0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3.4、工程竣工结算经审计，采购人和成交供应商双方签字确认，且供应商缴纳质量保证金（结算审定价的1.5%）后，采购人支付至结算审定价的100%；质量保证金按《工程质量保修书》的有关规定退还。</w:t>
      </w:r>
    </w:p>
    <w:p w14:paraId="69EC937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3.5、如无法安装水电表，施工水电费按工程竣工结算审定价的0.7％计算，在结算审定款中直接扣除。</w:t>
      </w:r>
    </w:p>
    <w:p w14:paraId="2F3219CF">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3.6、以上款项均不计息。在采购人支付上述款项前，成交供应商必须开具同等数额的正规税务发票，否则采购人有权拒绝支付。</w:t>
      </w:r>
    </w:p>
    <w:p w14:paraId="1E3C491E">
      <w:pPr>
        <w:spacing w:line="360" w:lineRule="auto"/>
        <w:ind w:left="0" w:leftChars="0"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4.工程售后服务要求</w:t>
      </w:r>
    </w:p>
    <w:p w14:paraId="76E26CA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详见工程质量保修书。</w:t>
      </w:r>
    </w:p>
    <w:p w14:paraId="2D999905">
      <w:pPr>
        <w:pStyle w:val="81"/>
        <w:rPr>
          <w:color w:val="000000" w:themeColor="text1"/>
          <w:highlight w:val="none"/>
          <w14:textFill>
            <w14:solidFill>
              <w14:schemeClr w14:val="tx1"/>
            </w14:solidFill>
          </w14:textFill>
        </w:rPr>
      </w:pPr>
    </w:p>
    <w:p w14:paraId="6FA21E23">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lang w:val="en-US" w:eastAsia="zh-CN"/>
          <w14:textFill>
            <w14:solidFill>
              <w14:schemeClr w14:val="tx1"/>
            </w14:solidFill>
          </w14:textFill>
        </w:rPr>
        <w:t>四</w:t>
      </w:r>
      <w:r>
        <w:rPr>
          <w:rFonts w:hint="eastAsia" w:ascii="宋体" w:hAnsi="宋体" w:cs="仿宋_GB2312"/>
          <w:b/>
          <w:bCs/>
          <w:color w:val="000000" w:themeColor="text1"/>
          <w:sz w:val="24"/>
          <w:highlight w:val="none"/>
          <w14:textFill>
            <w14:solidFill>
              <w14:schemeClr w14:val="tx1"/>
            </w14:solidFill>
          </w14:textFill>
        </w:rPr>
        <w:t>、其他要求</w:t>
      </w:r>
    </w:p>
    <w:p w14:paraId="316733B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 安全文明施工：</w:t>
      </w:r>
    </w:p>
    <w:p w14:paraId="38ABEAB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14:paraId="756BF2B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14:paraId="5F5B08E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14:paraId="67540B3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2、验收</w:t>
      </w:r>
    </w:p>
    <w:p w14:paraId="5FE9D84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成交供应商必须严格按合同条款、施工验收规范、国家和省市的有关质量验收标准及磋商文件要求，精心组织施工，确保工程质量达到国家合格验收标准。</w:t>
      </w:r>
    </w:p>
    <w:p w14:paraId="6933AB1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3、保密要求</w:t>
      </w:r>
    </w:p>
    <w:p w14:paraId="499A428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⑴</w:t>
      </w:r>
      <w:r>
        <w:rPr>
          <w:rFonts w:hint="eastAsia" w:ascii="宋体" w:hAnsi="宋体" w:eastAsia="宋体" w:cs="Times New Roman"/>
          <w:color w:val="000000" w:themeColor="text1"/>
          <w:sz w:val="24"/>
          <w:highlight w:val="none"/>
          <w:u w:val="single"/>
          <w14:textFill>
            <w14:solidFill>
              <w14:schemeClr w14:val="tx1"/>
            </w14:solidFill>
          </w14:textFill>
        </w:rPr>
        <w:t>成交供应商的项目经理应该对采购人的信息具有保密义务。在进行服务的过程中，应当佩戴明显的公司标志，并严格遵守服务规范和用户单位的规章制度。</w:t>
      </w:r>
    </w:p>
    <w:p w14:paraId="090AF5C6">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⑵</w:t>
      </w:r>
      <w:r>
        <w:rPr>
          <w:rFonts w:hint="eastAsia" w:ascii="宋体" w:hAnsi="宋体" w:eastAsia="宋体" w:cs="Times New Roman"/>
          <w:color w:val="000000" w:themeColor="text1"/>
          <w:sz w:val="24"/>
          <w:highlight w:val="none"/>
          <w:u w:val="single"/>
          <w14:textFill>
            <w14:solidFill>
              <w14:schemeClr w14:val="tx1"/>
            </w14:solidFill>
          </w14:textFill>
        </w:rPr>
        <w:t xml:space="preserve">成交供应商对涉及机密的数据进行维护时，要求由用户单位相关使用人在场，如果因为供应商过失引起的泄密，将依法追究其民事、刑事责任。        </w:t>
      </w:r>
    </w:p>
    <w:p w14:paraId="4CE1E97B">
      <w:pPr>
        <w:spacing w:line="360" w:lineRule="auto"/>
        <w:ind w:firstLine="480" w:firstLineChars="200"/>
        <w:jc w:val="left"/>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w:t>
      </w:r>
      <w:r>
        <w:rPr>
          <w:rFonts w:hint="eastAsia" w:ascii="宋体" w:hAnsi="宋体" w:eastAsia="宋体" w:cs="Times New Roman"/>
          <w:b w:val="0"/>
          <w:bCs w:val="0"/>
          <w:color w:val="000000" w:themeColor="text1"/>
          <w:sz w:val="24"/>
          <w:highlight w:val="none"/>
          <w:u w:val="single"/>
          <w:shd w:val="clear" w:color="auto" w:fill="auto"/>
          <w14:textFill>
            <w14:solidFill>
              <w14:schemeClr w14:val="tx1"/>
            </w14:solidFill>
          </w14:textFill>
        </w:rPr>
        <w:t>合同签订注意事项</w:t>
      </w:r>
    </w:p>
    <w:p w14:paraId="2DC30F04">
      <w:pPr>
        <w:spacing w:line="360" w:lineRule="auto"/>
        <w:ind w:firstLine="480" w:firstLineChars="200"/>
        <w:jc w:val="left"/>
        <w:rPr>
          <w:rFonts w:hint="eastAsia" w:ascii="宋体" w:hAnsi="宋体" w:eastAsia="宋体" w:cs="Times New Roman"/>
          <w:bCs w:val="0"/>
          <w:color w:val="000000" w:themeColor="text1"/>
          <w:sz w:val="24"/>
          <w:highlight w:val="none"/>
          <w:u w:val="single"/>
          <w14:textFill>
            <w14:solidFill>
              <w14:schemeClr w14:val="tx1"/>
            </w14:solidFill>
          </w14:textFill>
        </w:rPr>
      </w:pPr>
      <w:r>
        <w:rPr>
          <w:rFonts w:hint="eastAsia" w:ascii="宋体" w:hAnsi="宋体" w:eastAsia="宋体" w:cs="Times New Roman"/>
          <w:bCs w:val="0"/>
          <w:color w:val="000000" w:themeColor="text1"/>
          <w:sz w:val="24"/>
          <w:highlight w:val="none"/>
          <w:u w:val="single"/>
          <w14:textFill>
            <w14:solidFill>
              <w14:schemeClr w14:val="tx1"/>
            </w14:solidFill>
          </w14:textFill>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6CF3918D">
      <w:pPr>
        <w:numPr>
          <w:ilvl w:val="0"/>
          <w:numId w:val="3"/>
        </w:numPr>
        <w:spacing w:line="360" w:lineRule="auto"/>
        <w:ind w:firstLine="480" w:firstLineChars="200"/>
        <w:jc w:val="left"/>
        <w:rPr>
          <w:rFonts w:hint="eastAsia" w:ascii="宋体" w:hAnsi="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lang w:val="en-US" w:eastAsia="zh-CN"/>
          <w14:textFill>
            <w14:solidFill>
              <w14:schemeClr w14:val="tx1"/>
            </w14:solidFill>
          </w14:textFill>
        </w:rPr>
        <w:t>本项目涉及到材料的推荐品牌表：</w:t>
      </w:r>
    </w:p>
    <w:tbl>
      <w:tblPr>
        <w:tblStyle w:val="63"/>
        <w:tblW w:w="10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243"/>
        <w:gridCol w:w="4181"/>
        <w:gridCol w:w="1993"/>
      </w:tblGrid>
      <w:tr w14:paraId="43E4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741" w:type="dxa"/>
            <w:vAlign w:val="center"/>
          </w:tcPr>
          <w:p w14:paraId="3D5A1DF1">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序号</w:t>
            </w:r>
          </w:p>
        </w:tc>
        <w:tc>
          <w:tcPr>
            <w:tcW w:w="3243" w:type="dxa"/>
            <w:vAlign w:val="center"/>
          </w:tcPr>
          <w:p w14:paraId="7A5458BB">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材料名称</w:t>
            </w:r>
          </w:p>
        </w:tc>
        <w:tc>
          <w:tcPr>
            <w:tcW w:w="4181" w:type="dxa"/>
            <w:vAlign w:val="center"/>
          </w:tcPr>
          <w:p w14:paraId="29F0B7D5">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推荐品牌（同档次及以上品牌）</w:t>
            </w:r>
          </w:p>
        </w:tc>
        <w:tc>
          <w:tcPr>
            <w:tcW w:w="1993" w:type="dxa"/>
            <w:vAlign w:val="center"/>
          </w:tcPr>
          <w:p w14:paraId="28DE90AC">
            <w:pPr>
              <w:numPr>
                <w:ilvl w:val="0"/>
                <w:numId w:val="0"/>
              </w:numPr>
              <w:spacing w:line="360" w:lineRule="auto"/>
              <w:jc w:val="center"/>
              <w:rPr>
                <w:rFonts w:hint="default" w:ascii="宋体" w:hAnsi="宋体" w:cs="Times New Roman"/>
                <w:bCs w:val="0"/>
                <w:color w:val="000000" w:themeColor="text1"/>
                <w:sz w:val="24"/>
                <w:highlight w:val="none"/>
                <w:u w:val="non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none"/>
                <w:vertAlign w:val="baseline"/>
                <w:lang w:val="en-US" w:eastAsia="zh-CN"/>
                <w14:textFill>
                  <w14:solidFill>
                    <w14:schemeClr w14:val="tx1"/>
                  </w14:solidFill>
                </w14:textFill>
              </w:rPr>
              <w:t>备注</w:t>
            </w:r>
          </w:p>
        </w:tc>
      </w:tr>
      <w:tr w14:paraId="42DE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741" w:type="dxa"/>
            <w:vAlign w:val="center"/>
          </w:tcPr>
          <w:p w14:paraId="51B7FB9C">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vertAlign w:val="baseline"/>
                <w:lang w:val="en-US" w:eastAsia="zh-CN"/>
                <w14:textFill>
                  <w14:solidFill>
                    <w14:schemeClr w14:val="tx1"/>
                  </w14:solidFill>
                </w14:textFill>
              </w:rPr>
              <w:t>1</w:t>
            </w:r>
          </w:p>
        </w:tc>
        <w:tc>
          <w:tcPr>
            <w:tcW w:w="3243" w:type="dxa"/>
            <w:vAlign w:val="center"/>
          </w:tcPr>
          <w:p w14:paraId="7BE8F012">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t>三元乙丙丁基自粘防水卷材</w:t>
            </w:r>
          </w:p>
        </w:tc>
        <w:tc>
          <w:tcPr>
            <w:tcW w:w="4181" w:type="dxa"/>
            <w:vMerge w:val="restart"/>
            <w:vAlign w:val="center"/>
          </w:tcPr>
          <w:p w14:paraId="014F0566">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t>东方雨虹、科顺、大明、北新</w:t>
            </w:r>
          </w:p>
        </w:tc>
        <w:tc>
          <w:tcPr>
            <w:tcW w:w="1993" w:type="dxa"/>
            <w:vAlign w:val="center"/>
          </w:tcPr>
          <w:p w14:paraId="7FBEDB3E">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r w14:paraId="424D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741" w:type="dxa"/>
            <w:vAlign w:val="center"/>
          </w:tcPr>
          <w:p w14:paraId="2EEA36B5">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vertAlign w:val="baseline"/>
                <w:lang w:val="en-US" w:eastAsia="zh-CN"/>
                <w14:textFill>
                  <w14:solidFill>
                    <w14:schemeClr w14:val="tx1"/>
                  </w14:solidFill>
                </w14:textFill>
              </w:rPr>
              <w:t>2</w:t>
            </w:r>
          </w:p>
        </w:tc>
        <w:tc>
          <w:tcPr>
            <w:tcW w:w="3243" w:type="dxa"/>
            <w:vAlign w:val="center"/>
          </w:tcPr>
          <w:p w14:paraId="6C001B09">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t>防水涂料</w:t>
            </w:r>
          </w:p>
        </w:tc>
        <w:tc>
          <w:tcPr>
            <w:tcW w:w="4181" w:type="dxa"/>
            <w:vMerge w:val="continue"/>
            <w:vAlign w:val="center"/>
          </w:tcPr>
          <w:p w14:paraId="12156592">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c>
          <w:tcPr>
            <w:tcW w:w="1993" w:type="dxa"/>
            <w:vAlign w:val="center"/>
          </w:tcPr>
          <w:p w14:paraId="37085A45">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r w14:paraId="08CF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741" w:type="dxa"/>
            <w:vAlign w:val="center"/>
          </w:tcPr>
          <w:p w14:paraId="71243C06">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vertAlign w:val="baseline"/>
                <w:lang w:val="en-US" w:eastAsia="zh-CN"/>
                <w14:textFill>
                  <w14:solidFill>
                    <w14:schemeClr w14:val="tx1"/>
                  </w14:solidFill>
                </w14:textFill>
              </w:rPr>
              <w:t>3</w:t>
            </w:r>
          </w:p>
        </w:tc>
        <w:tc>
          <w:tcPr>
            <w:tcW w:w="3243" w:type="dxa"/>
            <w:vAlign w:val="center"/>
          </w:tcPr>
          <w:p w14:paraId="39B917C4">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t>高渗透环氧涂料</w:t>
            </w:r>
          </w:p>
        </w:tc>
        <w:tc>
          <w:tcPr>
            <w:tcW w:w="4181" w:type="dxa"/>
            <w:vAlign w:val="center"/>
          </w:tcPr>
          <w:p w14:paraId="433B7DD7">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t>普照、金铂尔、固安</w:t>
            </w:r>
          </w:p>
        </w:tc>
        <w:tc>
          <w:tcPr>
            <w:tcW w:w="1993" w:type="dxa"/>
            <w:vAlign w:val="center"/>
          </w:tcPr>
          <w:p w14:paraId="5F9283B9">
            <w:pPr>
              <w:numPr>
                <w:ilvl w:val="0"/>
                <w:numId w:val="0"/>
              </w:numPr>
              <w:spacing w:line="360" w:lineRule="auto"/>
              <w:jc w:val="center"/>
              <w:rPr>
                <w:rFonts w:hint="default" w:ascii="宋体" w:hAnsi="宋体" w:cs="Times New Roman"/>
                <w:bCs w:val="0"/>
                <w:color w:val="000000" w:themeColor="text1"/>
                <w:sz w:val="24"/>
                <w:highlight w:val="none"/>
                <w:u w:val="single"/>
                <w:vertAlign w:val="baseline"/>
                <w:lang w:val="en-US" w:eastAsia="zh-CN"/>
                <w14:textFill>
                  <w14:solidFill>
                    <w14:schemeClr w14:val="tx1"/>
                  </w14:solidFill>
                </w14:textFill>
              </w:rPr>
            </w:pPr>
          </w:p>
        </w:tc>
      </w:tr>
    </w:tbl>
    <w:p w14:paraId="05184CB4">
      <w:pPr>
        <w:numPr>
          <w:ilvl w:val="0"/>
          <w:numId w:val="0"/>
        </w:numPr>
        <w:spacing w:line="360" w:lineRule="auto"/>
        <w:ind w:firstLine="480" w:firstLineChars="200"/>
        <w:jc w:val="left"/>
        <w:rPr>
          <w:rFonts w:hint="default" w:ascii="宋体" w:hAnsi="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lang w:val="en-US" w:eastAsia="zh-CN"/>
          <w14:textFill>
            <w14:solidFill>
              <w14:schemeClr w14:val="tx1"/>
            </w14:solidFill>
          </w14:textFill>
        </w:rPr>
        <w:t>注：响应品牌与供货品牌相一致。</w:t>
      </w:r>
    </w:p>
    <w:p w14:paraId="47076D20">
      <w:pPr>
        <w:rPr>
          <w:rFonts w:ascii="宋体" w:hAnsi="宋体" w:cs="宋体"/>
          <w:snapToGrid w:val="0"/>
          <w:color w:val="000000" w:themeColor="text1"/>
          <w:kern w:val="0"/>
          <w:sz w:val="24"/>
          <w:highlight w:val="none"/>
          <w14:textFill>
            <w14:solidFill>
              <w14:schemeClr w14:val="tx1"/>
            </w14:solidFill>
          </w14:textFill>
        </w:rPr>
      </w:pPr>
    </w:p>
    <w:p w14:paraId="2973330F">
      <w:pPr>
        <w:snapToGrid w:val="0"/>
        <w:spacing w:line="360" w:lineRule="auto"/>
        <w:jc w:val="center"/>
        <w:rPr>
          <w:rFonts w:ascii="宋体" w:hAnsi="宋体" w:cs="宋体"/>
          <w:b/>
          <w:color w:val="000000" w:themeColor="text1"/>
          <w:sz w:val="36"/>
          <w:szCs w:val="20"/>
          <w:highlight w:val="none"/>
          <w14:textFill>
            <w14:solidFill>
              <w14:schemeClr w14:val="tx1"/>
            </w14:solidFill>
          </w14:textFill>
        </w:rPr>
      </w:pPr>
      <w:bookmarkStart w:id="427" w:name="_GoBack"/>
      <w:bookmarkEnd w:id="427"/>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第四部分</w:t>
      </w:r>
      <w:bookmarkStart w:id="32" w:name="_Toc184308108"/>
      <w:bookmarkEnd w:id="32"/>
      <w:bookmarkStart w:id="33" w:name="_Toc184314471"/>
      <w:bookmarkEnd w:id="33"/>
      <w:bookmarkStart w:id="34" w:name="_Toc184308093"/>
      <w:bookmarkEnd w:id="34"/>
      <w:bookmarkStart w:id="35" w:name="_Toc184308072"/>
      <w:bookmarkEnd w:id="35"/>
      <w:bookmarkStart w:id="36" w:name="_Toc184310329"/>
      <w:bookmarkEnd w:id="36"/>
      <w:bookmarkStart w:id="37" w:name="_Toc184314469"/>
      <w:bookmarkEnd w:id="37"/>
      <w:bookmarkStart w:id="38" w:name="_Toc184313264"/>
      <w:bookmarkEnd w:id="38"/>
      <w:bookmarkStart w:id="39" w:name="_Toc184313249"/>
      <w:bookmarkEnd w:id="39"/>
      <w:bookmarkStart w:id="40" w:name="_Toc184308080"/>
      <w:bookmarkEnd w:id="40"/>
      <w:bookmarkStart w:id="41" w:name="_Toc184310335"/>
      <w:bookmarkEnd w:id="41"/>
      <w:bookmarkStart w:id="42" w:name="_Toc184313305"/>
      <w:bookmarkEnd w:id="42"/>
      <w:bookmarkStart w:id="43" w:name="_Toc184310282"/>
      <w:bookmarkEnd w:id="43"/>
      <w:bookmarkStart w:id="44" w:name="_Toc184310306"/>
      <w:bookmarkEnd w:id="44"/>
      <w:bookmarkStart w:id="45" w:name="_Toc184314433"/>
      <w:bookmarkEnd w:id="45"/>
      <w:bookmarkStart w:id="46" w:name="_Toc184313245"/>
      <w:bookmarkEnd w:id="46"/>
      <w:bookmarkStart w:id="47" w:name="_Toc184312109"/>
      <w:bookmarkEnd w:id="47"/>
      <w:bookmarkStart w:id="48" w:name="_Toc184308084"/>
      <w:bookmarkEnd w:id="48"/>
      <w:bookmarkStart w:id="49" w:name="_Toc184314417"/>
      <w:bookmarkEnd w:id="49"/>
      <w:bookmarkStart w:id="50" w:name="_Toc184314457"/>
      <w:bookmarkEnd w:id="50"/>
      <w:bookmarkStart w:id="51" w:name="_Toc184310299"/>
      <w:bookmarkEnd w:id="51"/>
      <w:bookmarkStart w:id="52" w:name="_Toc184312123"/>
      <w:bookmarkEnd w:id="52"/>
      <w:bookmarkStart w:id="53" w:name="_Toc184313280"/>
      <w:bookmarkEnd w:id="53"/>
      <w:bookmarkStart w:id="54" w:name="_Toc184308052"/>
      <w:bookmarkEnd w:id="54"/>
      <w:bookmarkStart w:id="55" w:name="_Toc184312137"/>
      <w:bookmarkEnd w:id="55"/>
      <w:bookmarkStart w:id="56" w:name="_Toc184310284"/>
      <w:bookmarkEnd w:id="56"/>
      <w:bookmarkStart w:id="57" w:name="_Toc184313270"/>
      <w:bookmarkEnd w:id="57"/>
      <w:bookmarkStart w:id="58" w:name="_Toc184313303"/>
      <w:bookmarkEnd w:id="58"/>
      <w:bookmarkStart w:id="59" w:name="_Toc184310325"/>
      <w:bookmarkEnd w:id="59"/>
      <w:bookmarkStart w:id="60" w:name="_Toc184314434"/>
      <w:bookmarkEnd w:id="60"/>
      <w:bookmarkStart w:id="61" w:name="_Toc184312107"/>
      <w:bookmarkEnd w:id="61"/>
      <w:bookmarkStart w:id="62" w:name="_Toc184313307"/>
      <w:bookmarkEnd w:id="62"/>
      <w:bookmarkStart w:id="63" w:name="_Toc184310310"/>
      <w:bookmarkEnd w:id="63"/>
      <w:bookmarkStart w:id="64" w:name="_Toc184312121"/>
      <w:bookmarkEnd w:id="64"/>
      <w:bookmarkStart w:id="65" w:name="_Toc184314428"/>
      <w:bookmarkEnd w:id="65"/>
      <w:bookmarkStart w:id="66" w:name="_Toc184312122"/>
      <w:bookmarkEnd w:id="66"/>
      <w:bookmarkStart w:id="67" w:name="_Toc184314432"/>
      <w:bookmarkEnd w:id="67"/>
      <w:bookmarkStart w:id="68" w:name="_Toc184313241"/>
      <w:bookmarkEnd w:id="68"/>
      <w:bookmarkStart w:id="69" w:name="_Toc184312096"/>
      <w:bookmarkEnd w:id="69"/>
      <w:bookmarkStart w:id="70" w:name="_Toc184308065"/>
      <w:bookmarkEnd w:id="70"/>
      <w:bookmarkStart w:id="71" w:name="_Toc184313300"/>
      <w:bookmarkEnd w:id="71"/>
      <w:bookmarkStart w:id="72" w:name="_Toc184313255"/>
      <w:bookmarkEnd w:id="72"/>
      <w:bookmarkStart w:id="73" w:name="_Toc184308055"/>
      <w:bookmarkEnd w:id="73"/>
      <w:bookmarkStart w:id="74" w:name="_Toc184310277"/>
      <w:bookmarkEnd w:id="74"/>
      <w:bookmarkStart w:id="75" w:name="_Toc184313309"/>
      <w:bookmarkEnd w:id="75"/>
      <w:bookmarkStart w:id="76" w:name="_Toc184308067"/>
      <w:bookmarkEnd w:id="76"/>
      <w:bookmarkStart w:id="77" w:name="_Toc184313275"/>
      <w:bookmarkEnd w:id="77"/>
      <w:bookmarkStart w:id="78" w:name="_Toc184314472"/>
      <w:bookmarkEnd w:id="78"/>
      <w:bookmarkStart w:id="79" w:name="_Toc184308090"/>
      <w:bookmarkEnd w:id="79"/>
      <w:bookmarkStart w:id="80" w:name="_Toc184312073"/>
      <w:bookmarkEnd w:id="80"/>
      <w:bookmarkStart w:id="81" w:name="_Toc184314416"/>
      <w:bookmarkEnd w:id="81"/>
      <w:bookmarkStart w:id="82" w:name="_Toc184314446"/>
      <w:bookmarkEnd w:id="82"/>
      <w:bookmarkStart w:id="83" w:name="_Toc184313302"/>
      <w:bookmarkEnd w:id="83"/>
      <w:bookmarkStart w:id="84" w:name="_Toc184312103"/>
      <w:bookmarkEnd w:id="84"/>
      <w:bookmarkStart w:id="85" w:name="_Toc184314418"/>
      <w:bookmarkEnd w:id="85"/>
      <w:bookmarkStart w:id="86" w:name="_Toc184314455"/>
      <w:bookmarkEnd w:id="86"/>
      <w:bookmarkStart w:id="87" w:name="_Toc184310313"/>
      <w:bookmarkEnd w:id="87"/>
      <w:bookmarkStart w:id="88" w:name="_Toc184314439"/>
      <w:bookmarkEnd w:id="88"/>
      <w:bookmarkStart w:id="89" w:name="_Toc184308044"/>
      <w:bookmarkEnd w:id="89"/>
      <w:bookmarkStart w:id="90" w:name="_Toc184310315"/>
      <w:bookmarkEnd w:id="90"/>
      <w:bookmarkStart w:id="91" w:name="_Toc184312079"/>
      <w:bookmarkEnd w:id="91"/>
      <w:bookmarkStart w:id="92" w:name="_Toc184310339"/>
      <w:bookmarkEnd w:id="92"/>
      <w:bookmarkStart w:id="93" w:name="_Toc184314447"/>
      <w:bookmarkEnd w:id="93"/>
      <w:bookmarkStart w:id="94" w:name="_Toc184312087"/>
      <w:bookmarkEnd w:id="94"/>
      <w:bookmarkStart w:id="95" w:name="_Toc184308064"/>
      <w:bookmarkEnd w:id="95"/>
      <w:bookmarkStart w:id="96" w:name="_Toc184310288"/>
      <w:bookmarkEnd w:id="96"/>
      <w:bookmarkStart w:id="97" w:name="_Toc184312138"/>
      <w:bookmarkEnd w:id="97"/>
      <w:bookmarkStart w:id="98" w:name="_Toc184312086"/>
      <w:bookmarkEnd w:id="98"/>
      <w:bookmarkStart w:id="99" w:name="_Toc184308066"/>
      <w:bookmarkEnd w:id="99"/>
      <w:bookmarkStart w:id="100" w:name="_Toc184312093"/>
      <w:bookmarkEnd w:id="100"/>
      <w:bookmarkStart w:id="101" w:name="_Toc184310338"/>
      <w:bookmarkEnd w:id="101"/>
      <w:bookmarkStart w:id="102" w:name="_Toc184314452"/>
      <w:bookmarkEnd w:id="102"/>
      <w:bookmarkStart w:id="103" w:name="_Toc184314475"/>
      <w:bookmarkEnd w:id="103"/>
      <w:bookmarkStart w:id="104" w:name="_Toc184310309"/>
      <w:bookmarkEnd w:id="104"/>
      <w:bookmarkStart w:id="105" w:name="_Toc184314430"/>
      <w:bookmarkEnd w:id="105"/>
      <w:bookmarkStart w:id="106" w:name="_Toc184313239"/>
      <w:bookmarkEnd w:id="106"/>
      <w:bookmarkStart w:id="107" w:name="_Toc184314465"/>
      <w:bookmarkEnd w:id="107"/>
      <w:bookmarkStart w:id="108" w:name="_Toc184308085"/>
      <w:bookmarkEnd w:id="108"/>
      <w:bookmarkStart w:id="109" w:name="_Toc184308046"/>
      <w:bookmarkEnd w:id="109"/>
      <w:bookmarkStart w:id="110" w:name="_Toc184313282"/>
      <w:bookmarkEnd w:id="110"/>
      <w:bookmarkStart w:id="111" w:name="_Toc184313290"/>
      <w:bookmarkEnd w:id="111"/>
      <w:bookmarkStart w:id="112" w:name="_Toc184310300"/>
      <w:bookmarkEnd w:id="112"/>
      <w:bookmarkStart w:id="113" w:name="_Toc184308092"/>
      <w:bookmarkEnd w:id="113"/>
      <w:bookmarkStart w:id="114" w:name="_Toc184310278"/>
      <w:bookmarkEnd w:id="114"/>
      <w:bookmarkStart w:id="115" w:name="_Toc184313278"/>
      <w:bookmarkEnd w:id="115"/>
      <w:bookmarkStart w:id="116" w:name="_Toc184312088"/>
      <w:bookmarkEnd w:id="116"/>
      <w:bookmarkStart w:id="117" w:name="_Toc184313274"/>
      <w:bookmarkEnd w:id="117"/>
      <w:bookmarkStart w:id="118" w:name="_Toc184308054"/>
      <w:bookmarkEnd w:id="118"/>
      <w:bookmarkStart w:id="119" w:name="_Toc184312130"/>
      <w:bookmarkEnd w:id="119"/>
      <w:bookmarkStart w:id="120" w:name="_Toc184312135"/>
      <w:bookmarkEnd w:id="120"/>
      <w:bookmarkStart w:id="121" w:name="_Toc184308051"/>
      <w:bookmarkEnd w:id="121"/>
      <w:bookmarkStart w:id="122" w:name="_Toc184312089"/>
      <w:bookmarkEnd w:id="122"/>
      <w:bookmarkStart w:id="123" w:name="_Toc184314441"/>
      <w:bookmarkEnd w:id="123"/>
      <w:bookmarkStart w:id="124" w:name="_Toc184312115"/>
      <w:bookmarkEnd w:id="124"/>
      <w:bookmarkStart w:id="125" w:name="_Toc184312139"/>
      <w:bookmarkEnd w:id="125"/>
      <w:bookmarkStart w:id="126" w:name="_Toc184314440"/>
      <w:bookmarkEnd w:id="126"/>
      <w:bookmarkStart w:id="127" w:name="_Toc184308096"/>
      <w:bookmarkEnd w:id="127"/>
      <w:bookmarkStart w:id="128" w:name="_Toc184314431"/>
      <w:bookmarkEnd w:id="128"/>
      <w:bookmarkStart w:id="129" w:name="_Toc184313257"/>
      <w:bookmarkEnd w:id="129"/>
      <w:bookmarkStart w:id="130" w:name="_Toc184312078"/>
      <w:bookmarkEnd w:id="130"/>
      <w:bookmarkStart w:id="131" w:name="_Toc184310340"/>
      <w:bookmarkEnd w:id="131"/>
      <w:bookmarkStart w:id="132" w:name="_Toc184308089"/>
      <w:bookmarkEnd w:id="132"/>
      <w:bookmarkStart w:id="133" w:name="_Toc184313294"/>
      <w:bookmarkEnd w:id="133"/>
      <w:bookmarkStart w:id="134" w:name="_Toc184312117"/>
      <w:bookmarkEnd w:id="134"/>
      <w:bookmarkStart w:id="135" w:name="_Toc184314464"/>
      <w:bookmarkEnd w:id="135"/>
      <w:bookmarkStart w:id="136" w:name="_Toc184312076"/>
      <w:bookmarkEnd w:id="136"/>
      <w:bookmarkStart w:id="137" w:name="_Toc184308042"/>
      <w:bookmarkEnd w:id="137"/>
      <w:bookmarkStart w:id="138" w:name="_Toc184313261"/>
      <w:bookmarkEnd w:id="138"/>
      <w:bookmarkStart w:id="139" w:name="_Toc184313279"/>
      <w:bookmarkEnd w:id="139"/>
      <w:bookmarkStart w:id="140" w:name="_Toc184310286"/>
      <w:bookmarkEnd w:id="140"/>
      <w:bookmarkStart w:id="141" w:name="_Toc184314424"/>
      <w:bookmarkEnd w:id="141"/>
      <w:bookmarkStart w:id="142" w:name="_Toc184310283"/>
      <w:bookmarkEnd w:id="142"/>
      <w:bookmarkStart w:id="143" w:name="_Toc184308077"/>
      <w:bookmarkEnd w:id="143"/>
      <w:bookmarkStart w:id="144" w:name="_Toc184308040"/>
      <w:bookmarkEnd w:id="144"/>
      <w:bookmarkStart w:id="145" w:name="_Toc184310334"/>
      <w:bookmarkEnd w:id="145"/>
      <w:bookmarkStart w:id="146" w:name="_Toc184310289"/>
      <w:bookmarkEnd w:id="146"/>
      <w:bookmarkStart w:id="147" w:name="_Toc184313258"/>
      <w:bookmarkEnd w:id="147"/>
      <w:bookmarkStart w:id="148" w:name="_Toc184314467"/>
      <w:bookmarkEnd w:id="148"/>
      <w:bookmarkStart w:id="149" w:name="_Toc184308073"/>
      <w:bookmarkEnd w:id="149"/>
      <w:bookmarkStart w:id="150" w:name="_Toc184314451"/>
      <w:bookmarkEnd w:id="150"/>
      <w:bookmarkStart w:id="151" w:name="_Toc184312105"/>
      <w:bookmarkEnd w:id="151"/>
      <w:bookmarkStart w:id="152" w:name="_Toc184312136"/>
      <w:bookmarkEnd w:id="152"/>
      <w:bookmarkStart w:id="153" w:name="_Toc184312116"/>
      <w:bookmarkEnd w:id="153"/>
      <w:bookmarkStart w:id="154" w:name="_Toc184308100"/>
      <w:bookmarkEnd w:id="154"/>
      <w:bookmarkStart w:id="155" w:name="_Toc184312126"/>
      <w:bookmarkEnd w:id="155"/>
      <w:bookmarkStart w:id="156" w:name="_Toc184314437"/>
      <w:bookmarkEnd w:id="156"/>
      <w:bookmarkStart w:id="157" w:name="_Toc184308049"/>
      <w:bookmarkEnd w:id="157"/>
      <w:bookmarkStart w:id="158" w:name="_Toc184313246"/>
      <w:bookmarkEnd w:id="158"/>
      <w:bookmarkStart w:id="159" w:name="_Toc184312097"/>
      <w:bookmarkEnd w:id="159"/>
      <w:bookmarkStart w:id="160" w:name="_Toc184308087"/>
      <w:bookmarkEnd w:id="160"/>
      <w:bookmarkStart w:id="161" w:name="_Toc184313265"/>
      <w:bookmarkEnd w:id="161"/>
      <w:bookmarkStart w:id="162" w:name="_Toc184313288"/>
      <w:bookmarkEnd w:id="162"/>
      <w:bookmarkStart w:id="163" w:name="_Toc184308063"/>
      <w:bookmarkEnd w:id="163"/>
      <w:bookmarkStart w:id="164" w:name="_Toc184308048"/>
      <w:bookmarkEnd w:id="164"/>
      <w:bookmarkStart w:id="165" w:name="_Toc184310311"/>
      <w:bookmarkEnd w:id="165"/>
      <w:bookmarkStart w:id="166" w:name="_Toc184313260"/>
      <w:bookmarkEnd w:id="166"/>
      <w:bookmarkStart w:id="167" w:name="_Toc184310331"/>
      <w:bookmarkEnd w:id="167"/>
      <w:bookmarkStart w:id="168" w:name="_Toc184313254"/>
      <w:bookmarkEnd w:id="168"/>
      <w:bookmarkStart w:id="169" w:name="_Toc184312070"/>
      <w:bookmarkEnd w:id="169"/>
      <w:bookmarkStart w:id="170" w:name="_Toc184310287"/>
      <w:bookmarkEnd w:id="170"/>
      <w:bookmarkStart w:id="171" w:name="_Toc184312069"/>
      <w:bookmarkEnd w:id="171"/>
      <w:bookmarkStart w:id="172" w:name="_Toc184314449"/>
      <w:bookmarkEnd w:id="172"/>
      <w:bookmarkStart w:id="173" w:name="_Toc184314477"/>
      <w:bookmarkEnd w:id="173"/>
      <w:bookmarkStart w:id="174" w:name="_Toc184312124"/>
      <w:bookmarkEnd w:id="174"/>
      <w:bookmarkStart w:id="175" w:name="_Toc184313252"/>
      <w:bookmarkEnd w:id="175"/>
      <w:bookmarkStart w:id="176" w:name="_Toc184308056"/>
      <w:bookmarkEnd w:id="176"/>
      <w:bookmarkStart w:id="177" w:name="_Toc184314450"/>
      <w:bookmarkEnd w:id="177"/>
      <w:bookmarkStart w:id="178" w:name="_Toc184308079"/>
      <w:bookmarkEnd w:id="178"/>
      <w:bookmarkStart w:id="179" w:name="_Toc184310293"/>
      <w:bookmarkEnd w:id="179"/>
      <w:bookmarkStart w:id="180" w:name="_Toc184313263"/>
      <w:bookmarkEnd w:id="180"/>
      <w:bookmarkStart w:id="181" w:name="_Toc184308069"/>
      <w:bookmarkEnd w:id="181"/>
      <w:bookmarkStart w:id="182" w:name="_Toc184312119"/>
      <w:bookmarkEnd w:id="182"/>
      <w:bookmarkStart w:id="183" w:name="_Toc184314474"/>
      <w:bookmarkEnd w:id="183"/>
      <w:bookmarkStart w:id="184" w:name="_Toc184313293"/>
      <w:bookmarkEnd w:id="184"/>
      <w:bookmarkStart w:id="185" w:name="_Toc184308050"/>
      <w:bookmarkEnd w:id="185"/>
      <w:bookmarkStart w:id="186" w:name="_Toc184312094"/>
      <w:bookmarkEnd w:id="186"/>
      <w:bookmarkStart w:id="187" w:name="_Toc184312127"/>
      <w:bookmarkEnd w:id="187"/>
      <w:bookmarkStart w:id="188" w:name="_Toc184314453"/>
      <w:bookmarkEnd w:id="188"/>
      <w:bookmarkStart w:id="189" w:name="_Toc184312084"/>
      <w:bookmarkEnd w:id="189"/>
      <w:bookmarkStart w:id="190" w:name="_Toc184313262"/>
      <w:bookmarkEnd w:id="190"/>
      <w:bookmarkStart w:id="191" w:name="_Toc184310296"/>
      <w:bookmarkEnd w:id="191"/>
      <w:bookmarkStart w:id="192" w:name="_Toc184308041"/>
      <w:bookmarkEnd w:id="192"/>
      <w:bookmarkStart w:id="193" w:name="_Toc184308061"/>
      <w:bookmarkEnd w:id="193"/>
      <w:bookmarkStart w:id="194" w:name="_Toc184314412"/>
      <w:bookmarkEnd w:id="194"/>
      <w:bookmarkStart w:id="195" w:name="_Toc184308098"/>
      <w:bookmarkEnd w:id="195"/>
      <w:bookmarkStart w:id="196" w:name="_Toc184310316"/>
      <w:bookmarkEnd w:id="196"/>
      <w:bookmarkStart w:id="197" w:name="_Toc184314425"/>
      <w:bookmarkEnd w:id="197"/>
      <w:bookmarkStart w:id="198" w:name="_Toc184310301"/>
      <w:bookmarkEnd w:id="198"/>
      <w:bookmarkStart w:id="199" w:name="_Toc184313251"/>
      <w:bookmarkEnd w:id="199"/>
      <w:bookmarkStart w:id="200" w:name="_Toc184313285"/>
      <w:bookmarkEnd w:id="200"/>
      <w:bookmarkStart w:id="201" w:name="_Toc184312068"/>
      <w:bookmarkEnd w:id="201"/>
      <w:bookmarkStart w:id="202" w:name="_Toc184312113"/>
      <w:bookmarkEnd w:id="202"/>
      <w:bookmarkStart w:id="203" w:name="_Toc184312118"/>
      <w:bookmarkEnd w:id="203"/>
      <w:bookmarkStart w:id="204" w:name="_Toc184314420"/>
      <w:bookmarkEnd w:id="204"/>
      <w:bookmarkStart w:id="205" w:name="_Toc184310305"/>
      <w:bookmarkEnd w:id="205"/>
      <w:bookmarkStart w:id="206" w:name="_Toc184314444"/>
      <w:bookmarkEnd w:id="206"/>
      <w:bookmarkStart w:id="207" w:name="_Toc184313238"/>
      <w:bookmarkEnd w:id="207"/>
      <w:bookmarkStart w:id="208" w:name="_Toc184313297"/>
      <w:bookmarkEnd w:id="208"/>
      <w:bookmarkStart w:id="209" w:name="_Toc184314459"/>
      <w:bookmarkEnd w:id="209"/>
      <w:bookmarkStart w:id="210" w:name="_Toc184314448"/>
      <w:bookmarkEnd w:id="210"/>
      <w:bookmarkStart w:id="211" w:name="_Toc184308036"/>
      <w:bookmarkEnd w:id="211"/>
      <w:bookmarkStart w:id="212" w:name="_Toc184314482"/>
      <w:bookmarkEnd w:id="212"/>
      <w:bookmarkStart w:id="213" w:name="_Toc184314479"/>
      <w:bookmarkEnd w:id="213"/>
      <w:bookmarkStart w:id="214" w:name="_Toc184312120"/>
      <w:bookmarkEnd w:id="214"/>
      <w:bookmarkStart w:id="215" w:name="_Toc184310297"/>
      <w:bookmarkEnd w:id="215"/>
      <w:bookmarkStart w:id="216" w:name="_Toc184313266"/>
      <w:bookmarkEnd w:id="216"/>
      <w:bookmarkStart w:id="217" w:name="_Toc184312125"/>
      <w:bookmarkEnd w:id="217"/>
      <w:bookmarkStart w:id="218" w:name="_Toc184312112"/>
      <w:bookmarkEnd w:id="218"/>
      <w:bookmarkStart w:id="219" w:name="_Toc184314481"/>
      <w:bookmarkEnd w:id="219"/>
      <w:bookmarkStart w:id="220" w:name="_Toc184308047"/>
      <w:bookmarkEnd w:id="220"/>
      <w:bookmarkStart w:id="221" w:name="_Toc184314470"/>
      <w:bookmarkEnd w:id="221"/>
      <w:bookmarkStart w:id="222" w:name="_Toc184308068"/>
      <w:bookmarkEnd w:id="222"/>
      <w:bookmarkStart w:id="223" w:name="_Toc184314478"/>
      <w:bookmarkEnd w:id="223"/>
      <w:bookmarkStart w:id="224" w:name="_Toc184310336"/>
      <w:bookmarkEnd w:id="224"/>
      <w:bookmarkStart w:id="225" w:name="_Toc184313253"/>
      <w:bookmarkEnd w:id="225"/>
      <w:bookmarkStart w:id="226" w:name="_Toc184312110"/>
      <w:bookmarkEnd w:id="226"/>
      <w:bookmarkStart w:id="227" w:name="_Toc184313267"/>
      <w:bookmarkEnd w:id="227"/>
      <w:bookmarkStart w:id="228" w:name="_Toc184308088"/>
      <w:bookmarkEnd w:id="228"/>
      <w:bookmarkStart w:id="229" w:name="_Toc184314435"/>
      <w:bookmarkEnd w:id="229"/>
      <w:bookmarkStart w:id="230" w:name="_Toc184314454"/>
      <w:bookmarkEnd w:id="230"/>
      <w:bookmarkStart w:id="231" w:name="_Toc184313295"/>
      <w:bookmarkEnd w:id="231"/>
      <w:bookmarkStart w:id="232" w:name="_Toc184313248"/>
      <w:bookmarkEnd w:id="232"/>
      <w:bookmarkStart w:id="233" w:name="_Toc184314468"/>
      <w:bookmarkEnd w:id="233"/>
      <w:bookmarkStart w:id="234" w:name="_Toc184313292"/>
      <w:bookmarkEnd w:id="234"/>
      <w:bookmarkStart w:id="235" w:name="_Toc184312100"/>
      <w:bookmarkEnd w:id="235"/>
      <w:bookmarkStart w:id="236" w:name="_Toc184314422"/>
      <w:bookmarkEnd w:id="236"/>
      <w:bookmarkStart w:id="237" w:name="_Toc184310321"/>
      <w:bookmarkEnd w:id="237"/>
      <w:bookmarkStart w:id="238" w:name="_Toc184310307"/>
      <w:bookmarkEnd w:id="238"/>
      <w:bookmarkStart w:id="239" w:name="_Toc184312074"/>
      <w:bookmarkEnd w:id="239"/>
      <w:bookmarkStart w:id="240" w:name="_Toc184314414"/>
      <w:bookmarkEnd w:id="240"/>
      <w:bookmarkStart w:id="241" w:name="_Toc184312128"/>
      <w:bookmarkEnd w:id="241"/>
      <w:bookmarkStart w:id="242" w:name="_Toc184310273"/>
      <w:bookmarkEnd w:id="242"/>
      <w:bookmarkStart w:id="243" w:name="_Toc184314415"/>
      <w:bookmarkEnd w:id="243"/>
      <w:bookmarkStart w:id="244" w:name="_Toc184312114"/>
      <w:bookmarkEnd w:id="244"/>
      <w:bookmarkStart w:id="245" w:name="_Toc184314429"/>
      <w:bookmarkEnd w:id="245"/>
      <w:bookmarkStart w:id="246" w:name="_Toc184314458"/>
      <w:bookmarkEnd w:id="246"/>
      <w:bookmarkStart w:id="247" w:name="_Toc184308062"/>
      <w:bookmarkEnd w:id="247"/>
      <w:bookmarkStart w:id="248" w:name="_Toc184312108"/>
      <w:bookmarkEnd w:id="248"/>
      <w:bookmarkStart w:id="249" w:name="_Toc184308070"/>
      <w:bookmarkEnd w:id="249"/>
      <w:bookmarkStart w:id="250" w:name="_Toc184312134"/>
      <w:bookmarkEnd w:id="250"/>
      <w:bookmarkStart w:id="251" w:name="_Toc184314436"/>
      <w:bookmarkEnd w:id="251"/>
      <w:bookmarkStart w:id="252" w:name="_Toc184310304"/>
      <w:bookmarkEnd w:id="252"/>
      <w:bookmarkStart w:id="253" w:name="_Toc184310281"/>
      <w:bookmarkEnd w:id="253"/>
      <w:bookmarkStart w:id="254" w:name="_Toc184312072"/>
      <w:bookmarkEnd w:id="254"/>
      <w:bookmarkStart w:id="255" w:name="_Toc184313247"/>
      <w:bookmarkEnd w:id="255"/>
      <w:bookmarkStart w:id="256" w:name="_Toc184308082"/>
      <w:bookmarkEnd w:id="256"/>
      <w:bookmarkStart w:id="257" w:name="_Toc184308094"/>
      <w:bookmarkEnd w:id="257"/>
      <w:bookmarkStart w:id="258" w:name="_Toc184312075"/>
      <w:bookmarkEnd w:id="258"/>
      <w:bookmarkStart w:id="259" w:name="_Toc184308043"/>
      <w:bookmarkEnd w:id="259"/>
      <w:bookmarkStart w:id="260" w:name="_Toc184313277"/>
      <w:bookmarkEnd w:id="260"/>
      <w:bookmarkStart w:id="261" w:name="_Toc184312080"/>
      <w:bookmarkEnd w:id="261"/>
      <w:bookmarkStart w:id="262" w:name="_Toc184310285"/>
      <w:bookmarkEnd w:id="262"/>
      <w:bookmarkStart w:id="263" w:name="_Toc184313240"/>
      <w:bookmarkEnd w:id="263"/>
      <w:bookmarkStart w:id="264" w:name="_Toc184312090"/>
      <w:bookmarkEnd w:id="264"/>
      <w:bookmarkStart w:id="265" w:name="_Toc184312067"/>
      <w:bookmarkEnd w:id="265"/>
      <w:bookmarkStart w:id="266" w:name="_Toc184312104"/>
      <w:bookmarkEnd w:id="266"/>
      <w:bookmarkStart w:id="267" w:name="_Toc184314462"/>
      <w:bookmarkEnd w:id="267"/>
      <w:bookmarkStart w:id="268" w:name="_Toc184312081"/>
      <w:bookmarkEnd w:id="268"/>
      <w:bookmarkStart w:id="269" w:name="_Toc184313304"/>
      <w:bookmarkEnd w:id="269"/>
      <w:bookmarkStart w:id="270" w:name="_Toc184310291"/>
      <w:bookmarkEnd w:id="270"/>
      <w:bookmarkStart w:id="271" w:name="_Toc184308107"/>
      <w:bookmarkEnd w:id="271"/>
      <w:bookmarkStart w:id="272" w:name="_Toc184308086"/>
      <w:bookmarkEnd w:id="272"/>
      <w:bookmarkStart w:id="273" w:name="_Toc184310290"/>
      <w:bookmarkEnd w:id="273"/>
      <w:bookmarkStart w:id="274" w:name="_Toc184313272"/>
      <w:bookmarkEnd w:id="274"/>
      <w:bookmarkStart w:id="275" w:name="_Toc184310324"/>
      <w:bookmarkEnd w:id="275"/>
      <w:bookmarkStart w:id="276" w:name="_Toc184310341"/>
      <w:bookmarkEnd w:id="276"/>
      <w:bookmarkStart w:id="277" w:name="_Toc184308058"/>
      <w:bookmarkEnd w:id="277"/>
      <w:bookmarkStart w:id="278" w:name="_Toc184312095"/>
      <w:bookmarkEnd w:id="278"/>
      <w:bookmarkStart w:id="279" w:name="_Toc184314421"/>
      <w:bookmarkEnd w:id="279"/>
      <w:bookmarkStart w:id="280" w:name="_Toc184308039"/>
      <w:bookmarkEnd w:id="280"/>
      <w:bookmarkStart w:id="281" w:name="_Toc184313298"/>
      <w:bookmarkEnd w:id="281"/>
      <w:bookmarkStart w:id="282" w:name="_Toc184310330"/>
      <w:bookmarkEnd w:id="282"/>
      <w:bookmarkStart w:id="283" w:name="_Toc184308103"/>
      <w:bookmarkEnd w:id="283"/>
      <w:bookmarkStart w:id="284" w:name="_Toc184314426"/>
      <w:bookmarkEnd w:id="284"/>
      <w:bookmarkStart w:id="285" w:name="_Toc184313281"/>
      <w:bookmarkEnd w:id="285"/>
      <w:bookmarkStart w:id="286" w:name="_Toc184313286"/>
      <w:bookmarkEnd w:id="286"/>
      <w:bookmarkStart w:id="287" w:name="_Toc184310303"/>
      <w:bookmarkEnd w:id="287"/>
      <w:bookmarkStart w:id="288" w:name="_Toc184313299"/>
      <w:bookmarkEnd w:id="288"/>
      <w:bookmarkStart w:id="289" w:name="_Toc184314473"/>
      <w:bookmarkEnd w:id="289"/>
      <w:bookmarkStart w:id="290" w:name="_Toc184308078"/>
      <w:bookmarkEnd w:id="290"/>
      <w:bookmarkStart w:id="291" w:name="_Toc184313242"/>
      <w:bookmarkEnd w:id="291"/>
      <w:bookmarkStart w:id="292" w:name="_Toc184314419"/>
      <w:bookmarkEnd w:id="292"/>
      <w:bookmarkStart w:id="293" w:name="_Toc184313310"/>
      <w:bookmarkEnd w:id="293"/>
      <w:bookmarkStart w:id="294" w:name="_Toc184310317"/>
      <w:bookmarkEnd w:id="294"/>
      <w:bookmarkStart w:id="295" w:name="_Toc184312133"/>
      <w:bookmarkEnd w:id="295"/>
      <w:bookmarkStart w:id="296" w:name="_Toc184310298"/>
      <w:bookmarkEnd w:id="296"/>
      <w:bookmarkStart w:id="297" w:name="_Toc184310332"/>
      <w:bookmarkEnd w:id="297"/>
      <w:bookmarkStart w:id="298" w:name="_Toc184310294"/>
      <w:bookmarkEnd w:id="298"/>
      <w:bookmarkStart w:id="299" w:name="_Toc184314463"/>
      <w:bookmarkEnd w:id="299"/>
      <w:bookmarkStart w:id="300" w:name="_Toc184310312"/>
      <w:bookmarkEnd w:id="300"/>
      <w:bookmarkStart w:id="301" w:name="_Toc184313291"/>
      <w:bookmarkEnd w:id="301"/>
      <w:bookmarkStart w:id="302" w:name="_Toc184313289"/>
      <w:bookmarkEnd w:id="302"/>
      <w:bookmarkStart w:id="303" w:name="_Toc184313283"/>
      <w:bookmarkEnd w:id="303"/>
      <w:bookmarkStart w:id="304" w:name="_Toc184310314"/>
      <w:bookmarkEnd w:id="304"/>
      <w:bookmarkStart w:id="305" w:name="_Toc184308083"/>
      <w:bookmarkEnd w:id="305"/>
      <w:bookmarkStart w:id="306" w:name="_Toc184310272"/>
      <w:bookmarkEnd w:id="306"/>
      <w:bookmarkStart w:id="307" w:name="_Toc184310333"/>
      <w:bookmarkEnd w:id="307"/>
      <w:bookmarkStart w:id="308" w:name="_Toc184313301"/>
      <w:bookmarkEnd w:id="308"/>
      <w:bookmarkStart w:id="309" w:name="_Toc184312101"/>
      <w:bookmarkEnd w:id="309"/>
      <w:bookmarkStart w:id="310" w:name="_Toc184313287"/>
      <w:bookmarkEnd w:id="310"/>
      <w:bookmarkStart w:id="311" w:name="_Toc184310343"/>
      <w:bookmarkEnd w:id="311"/>
      <w:bookmarkStart w:id="312" w:name="_Toc184313268"/>
      <w:bookmarkEnd w:id="312"/>
      <w:bookmarkStart w:id="313" w:name="_Toc184312083"/>
      <w:bookmarkEnd w:id="313"/>
      <w:bookmarkStart w:id="314" w:name="_Toc184313273"/>
      <w:bookmarkEnd w:id="314"/>
      <w:bookmarkStart w:id="315" w:name="_Toc184313306"/>
      <w:bookmarkEnd w:id="315"/>
      <w:bookmarkStart w:id="316" w:name="_Toc184312111"/>
      <w:bookmarkEnd w:id="316"/>
      <w:bookmarkStart w:id="317" w:name="_Toc184312085"/>
      <w:bookmarkEnd w:id="317"/>
      <w:bookmarkStart w:id="318" w:name="_Toc184312098"/>
      <w:bookmarkEnd w:id="318"/>
      <w:bookmarkStart w:id="319" w:name="_Toc184310295"/>
      <w:bookmarkEnd w:id="319"/>
      <w:bookmarkStart w:id="320" w:name="_Toc184310280"/>
      <w:bookmarkEnd w:id="320"/>
      <w:bookmarkStart w:id="321" w:name="_Toc184313259"/>
      <w:bookmarkEnd w:id="321"/>
      <w:bookmarkStart w:id="322" w:name="_Toc184313308"/>
      <w:bookmarkEnd w:id="322"/>
      <w:bookmarkStart w:id="323" w:name="_Toc184312129"/>
      <w:bookmarkEnd w:id="323"/>
      <w:bookmarkStart w:id="324" w:name="_Toc184314427"/>
      <w:bookmarkEnd w:id="324"/>
      <w:bookmarkStart w:id="325" w:name="_Toc184310342"/>
      <w:bookmarkEnd w:id="325"/>
      <w:bookmarkStart w:id="326" w:name="_Toc184314438"/>
      <w:bookmarkEnd w:id="326"/>
      <w:bookmarkStart w:id="327" w:name="_Toc184310322"/>
      <w:bookmarkEnd w:id="327"/>
      <w:bookmarkStart w:id="328" w:name="_Toc184308102"/>
      <w:bookmarkEnd w:id="328"/>
      <w:bookmarkStart w:id="329" w:name="_Toc184308105"/>
      <w:bookmarkEnd w:id="329"/>
      <w:bookmarkStart w:id="330" w:name="_Toc184313284"/>
      <w:bookmarkEnd w:id="330"/>
      <w:bookmarkStart w:id="331" w:name="_Toc184313244"/>
      <w:bookmarkEnd w:id="331"/>
      <w:bookmarkStart w:id="332" w:name="_Toc184308101"/>
      <w:bookmarkEnd w:id="332"/>
      <w:bookmarkStart w:id="333" w:name="_Toc184310327"/>
      <w:bookmarkEnd w:id="333"/>
      <w:bookmarkStart w:id="334" w:name="_Toc184308059"/>
      <w:bookmarkEnd w:id="334"/>
      <w:bookmarkStart w:id="335" w:name="_Toc184308091"/>
      <w:bookmarkEnd w:id="335"/>
      <w:bookmarkStart w:id="336" w:name="_Toc184308104"/>
      <w:bookmarkEnd w:id="336"/>
      <w:bookmarkStart w:id="337" w:name="_Toc184310276"/>
      <w:bookmarkEnd w:id="337"/>
      <w:bookmarkStart w:id="338" w:name="_Toc184313276"/>
      <w:bookmarkEnd w:id="338"/>
      <w:bookmarkStart w:id="339" w:name="_Toc184308071"/>
      <w:bookmarkEnd w:id="339"/>
      <w:bookmarkStart w:id="340" w:name="_Toc184312132"/>
      <w:bookmarkEnd w:id="340"/>
      <w:bookmarkStart w:id="341" w:name="_Toc184310323"/>
      <w:bookmarkEnd w:id="341"/>
      <w:bookmarkStart w:id="342" w:name="_Toc184312092"/>
      <w:bookmarkEnd w:id="342"/>
      <w:bookmarkStart w:id="343" w:name="_Toc184314413"/>
      <w:bookmarkEnd w:id="343"/>
      <w:bookmarkStart w:id="344" w:name="_Toc184310292"/>
      <w:bookmarkEnd w:id="344"/>
      <w:bookmarkStart w:id="345" w:name="_Toc184310318"/>
      <w:bookmarkEnd w:id="345"/>
      <w:bookmarkStart w:id="346" w:name="_Toc184312071"/>
      <w:bookmarkEnd w:id="346"/>
      <w:bookmarkStart w:id="347" w:name="_Toc184314410"/>
      <w:bookmarkEnd w:id="347"/>
      <w:bookmarkStart w:id="348" w:name="_Toc184312106"/>
      <w:bookmarkEnd w:id="348"/>
      <w:bookmarkStart w:id="349" w:name="_Toc184314411"/>
      <w:bookmarkEnd w:id="349"/>
      <w:bookmarkStart w:id="350" w:name="_Toc184308060"/>
      <w:bookmarkEnd w:id="350"/>
      <w:bookmarkStart w:id="351" w:name="_Toc184314445"/>
      <w:bookmarkEnd w:id="351"/>
      <w:bookmarkStart w:id="352" w:name="_Toc184313296"/>
      <w:bookmarkEnd w:id="352"/>
      <w:bookmarkStart w:id="353" w:name="_Toc184308053"/>
      <w:bookmarkEnd w:id="353"/>
      <w:bookmarkStart w:id="354" w:name="_Toc184314423"/>
      <w:bookmarkEnd w:id="354"/>
      <w:bookmarkStart w:id="355" w:name="_Toc184313250"/>
      <w:bookmarkEnd w:id="355"/>
      <w:bookmarkStart w:id="356" w:name="_Toc184312077"/>
      <w:bookmarkEnd w:id="356"/>
      <w:bookmarkStart w:id="357" w:name="_Toc184312099"/>
      <w:bookmarkEnd w:id="357"/>
      <w:bookmarkStart w:id="358" w:name="_Toc184310274"/>
      <w:bookmarkEnd w:id="358"/>
      <w:bookmarkStart w:id="359" w:name="_Toc184310279"/>
      <w:bookmarkEnd w:id="359"/>
      <w:bookmarkStart w:id="360" w:name="_Toc184313243"/>
      <w:bookmarkEnd w:id="360"/>
      <w:bookmarkStart w:id="361" w:name="_Toc184314480"/>
      <w:bookmarkEnd w:id="361"/>
      <w:bookmarkStart w:id="362" w:name="_Toc184314443"/>
      <w:bookmarkEnd w:id="362"/>
      <w:bookmarkStart w:id="363" w:name="_Toc184313271"/>
      <w:bookmarkEnd w:id="363"/>
      <w:bookmarkStart w:id="364" w:name="_Toc184310319"/>
      <w:bookmarkEnd w:id="364"/>
      <w:bookmarkStart w:id="365" w:name="_Toc184312082"/>
      <w:bookmarkEnd w:id="365"/>
      <w:bookmarkStart w:id="366" w:name="_Toc184310308"/>
      <w:bookmarkEnd w:id="366"/>
      <w:bookmarkStart w:id="367" w:name="_Toc184308076"/>
      <w:bookmarkEnd w:id="367"/>
      <w:bookmarkStart w:id="368" w:name="_Toc184310275"/>
      <w:bookmarkEnd w:id="368"/>
      <w:bookmarkStart w:id="369" w:name="_Toc184308075"/>
      <w:bookmarkEnd w:id="369"/>
      <w:bookmarkStart w:id="370" w:name="_Toc184314476"/>
      <w:bookmarkEnd w:id="370"/>
      <w:bookmarkStart w:id="371" w:name="_Toc184314456"/>
      <w:bookmarkEnd w:id="371"/>
      <w:bookmarkStart w:id="372" w:name="_Toc184308095"/>
      <w:bookmarkEnd w:id="372"/>
      <w:bookmarkStart w:id="373" w:name="_Toc184308038"/>
      <w:bookmarkEnd w:id="373"/>
      <w:bookmarkStart w:id="374" w:name="_Toc184312102"/>
      <w:bookmarkEnd w:id="374"/>
      <w:bookmarkStart w:id="375" w:name="_Toc184310328"/>
      <w:bookmarkEnd w:id="375"/>
      <w:bookmarkStart w:id="376" w:name="_Toc184308057"/>
      <w:bookmarkEnd w:id="376"/>
      <w:bookmarkStart w:id="377" w:name="_Toc184308106"/>
      <w:bookmarkEnd w:id="377"/>
      <w:bookmarkStart w:id="378" w:name="_Toc184314442"/>
      <w:bookmarkEnd w:id="378"/>
      <w:bookmarkStart w:id="379" w:name="_Toc184310344"/>
      <w:bookmarkEnd w:id="379"/>
      <w:bookmarkStart w:id="380" w:name="_Toc184308074"/>
      <w:bookmarkEnd w:id="380"/>
      <w:bookmarkStart w:id="381" w:name="_Toc184310302"/>
      <w:bookmarkEnd w:id="381"/>
      <w:bookmarkStart w:id="382" w:name="_Toc184308081"/>
      <w:bookmarkEnd w:id="382"/>
      <w:bookmarkStart w:id="383" w:name="_Toc184308045"/>
      <w:bookmarkEnd w:id="383"/>
      <w:bookmarkStart w:id="384" w:name="_Toc184312091"/>
      <w:bookmarkEnd w:id="384"/>
      <w:bookmarkStart w:id="385" w:name="_Toc184314466"/>
      <w:bookmarkEnd w:id="385"/>
      <w:bookmarkStart w:id="386" w:name="_Toc184310337"/>
      <w:bookmarkEnd w:id="386"/>
      <w:bookmarkStart w:id="387" w:name="_Toc184308037"/>
      <w:bookmarkEnd w:id="387"/>
      <w:bookmarkStart w:id="388" w:name="_Toc184308097"/>
      <w:bookmarkEnd w:id="388"/>
      <w:bookmarkStart w:id="389" w:name="_Toc184313256"/>
      <w:bookmarkEnd w:id="389"/>
      <w:bookmarkStart w:id="390" w:name="_Toc184313269"/>
      <w:bookmarkEnd w:id="390"/>
      <w:bookmarkStart w:id="391" w:name="_Toc184310320"/>
      <w:bookmarkEnd w:id="391"/>
      <w:bookmarkStart w:id="392" w:name="_Toc184312131"/>
      <w:bookmarkEnd w:id="392"/>
      <w:bookmarkStart w:id="393" w:name="_Toc184310326"/>
      <w:bookmarkEnd w:id="393"/>
      <w:bookmarkStart w:id="394" w:name="_Toc184314460"/>
      <w:bookmarkEnd w:id="394"/>
      <w:bookmarkStart w:id="395" w:name="_Toc184314461"/>
      <w:bookmarkEnd w:id="395"/>
      <w:bookmarkStart w:id="396" w:name="_Toc184308099"/>
      <w:bookmarkEnd w:id="396"/>
      <w:r>
        <w:rPr>
          <w:rFonts w:hint="eastAsia" w:ascii="宋体" w:hAnsi="宋体" w:cs="宋体"/>
          <w:b/>
          <w:color w:val="000000" w:themeColor="text1"/>
          <w:sz w:val="36"/>
          <w:szCs w:val="20"/>
          <w:highlight w:val="none"/>
          <w14:textFill>
            <w14:solidFill>
              <w14:schemeClr w14:val="tx1"/>
            </w14:solidFill>
          </w14:textFill>
        </w:rPr>
        <w:t xml:space="preserve"> 评审办法</w:t>
      </w:r>
    </w:p>
    <w:p w14:paraId="18E95973">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评审办法前附表</w:t>
      </w:r>
    </w:p>
    <w:tbl>
      <w:tblPr>
        <w:tblStyle w:val="62"/>
        <w:tblpPr w:leftFromText="180" w:rightFromText="180" w:vertAnchor="text" w:horzAnchor="page" w:tblpX="1031" w:tblpY="12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141"/>
        <w:gridCol w:w="534"/>
        <w:gridCol w:w="930"/>
        <w:gridCol w:w="1089"/>
      </w:tblGrid>
      <w:tr w14:paraId="582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90" w:type="dxa"/>
            <w:vAlign w:val="center"/>
          </w:tcPr>
          <w:p w14:paraId="709DCDB3">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7" w:name="_Toc31405"/>
            <w:r>
              <w:rPr>
                <w:rFonts w:hint="eastAsia" w:ascii="宋体" w:hAnsi="宋体" w:cs="宋体"/>
                <w:color w:val="000000" w:themeColor="text1"/>
                <w:kern w:val="0"/>
                <w:szCs w:val="21"/>
                <w:highlight w:val="none"/>
                <w:lang w:bidi="ar"/>
                <w14:textFill>
                  <w14:solidFill>
                    <w14:schemeClr w14:val="tx1"/>
                  </w14:solidFill>
                </w14:textFill>
              </w:rPr>
              <w:t>序号</w:t>
            </w:r>
            <w:bookmarkEnd w:id="397"/>
          </w:p>
        </w:tc>
        <w:tc>
          <w:tcPr>
            <w:tcW w:w="6413" w:type="dxa"/>
            <w:gridSpan w:val="3"/>
            <w:vAlign w:val="center"/>
          </w:tcPr>
          <w:p w14:paraId="4D9027CF">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8" w:name="_Toc13518"/>
            <w:r>
              <w:rPr>
                <w:rFonts w:hint="eastAsia" w:ascii="宋体" w:hAnsi="宋体" w:cs="宋体"/>
                <w:color w:val="000000" w:themeColor="text1"/>
                <w:kern w:val="0"/>
                <w:szCs w:val="21"/>
                <w:highlight w:val="none"/>
                <w:lang w:bidi="ar"/>
                <w14:textFill>
                  <w14:solidFill>
                    <w14:schemeClr w14:val="tx1"/>
                  </w14:solidFill>
                </w14:textFill>
              </w:rPr>
              <w:t>评标标准</w:t>
            </w:r>
            <w:bookmarkEnd w:id="398"/>
          </w:p>
        </w:tc>
        <w:tc>
          <w:tcPr>
            <w:tcW w:w="534" w:type="dxa"/>
            <w:vAlign w:val="center"/>
          </w:tcPr>
          <w:p w14:paraId="02E8C99C">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9" w:name="_Toc314"/>
            <w:r>
              <w:rPr>
                <w:rFonts w:hint="eastAsia" w:ascii="宋体" w:hAnsi="宋体" w:cs="宋体"/>
                <w:color w:val="000000" w:themeColor="text1"/>
                <w:kern w:val="0"/>
                <w:szCs w:val="21"/>
                <w:highlight w:val="none"/>
                <w:lang w:bidi="ar"/>
                <w14:textFill>
                  <w14:solidFill>
                    <w14:schemeClr w14:val="tx1"/>
                  </w14:solidFill>
                </w14:textFill>
              </w:rPr>
              <w:t>权重</w:t>
            </w:r>
            <w:bookmarkEnd w:id="399"/>
          </w:p>
        </w:tc>
        <w:tc>
          <w:tcPr>
            <w:tcW w:w="930" w:type="dxa"/>
            <w:vAlign w:val="center"/>
          </w:tcPr>
          <w:p w14:paraId="21ED848D">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400" w:name="_Toc22839"/>
            <w:r>
              <w:rPr>
                <w:rFonts w:hint="eastAsia" w:ascii="宋体" w:hAnsi="宋体" w:cs="宋体"/>
                <w:color w:val="000000" w:themeColor="text1"/>
                <w:kern w:val="0"/>
                <w:szCs w:val="21"/>
                <w:highlight w:val="none"/>
                <w:lang w:bidi="ar"/>
                <w14:textFill>
                  <w14:solidFill>
                    <w14:schemeClr w14:val="tx1"/>
                  </w14:solidFill>
                </w14:textFill>
              </w:rPr>
              <w:t>主观分/客观分属性</w:t>
            </w:r>
            <w:bookmarkEnd w:id="400"/>
          </w:p>
        </w:tc>
        <w:tc>
          <w:tcPr>
            <w:tcW w:w="1089" w:type="dxa"/>
            <w:vAlign w:val="center"/>
          </w:tcPr>
          <w:p w14:paraId="65365040">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401" w:name="_Toc20590"/>
            <w:r>
              <w:rPr>
                <w:rFonts w:hint="eastAsia" w:ascii="宋体" w:hAnsi="宋体" w:cs="宋体"/>
                <w:color w:val="000000" w:themeColor="text1"/>
                <w:kern w:val="0"/>
                <w:szCs w:val="21"/>
                <w:highlight w:val="none"/>
                <w:lang w:bidi="ar"/>
                <w14:textFill>
                  <w14:solidFill>
                    <w14:schemeClr w14:val="tx1"/>
                  </w14:solidFill>
                </w14:textFill>
              </w:rPr>
              <w:t>目录</w:t>
            </w:r>
            <w:bookmarkEnd w:id="401"/>
          </w:p>
        </w:tc>
      </w:tr>
      <w:tr w14:paraId="19F5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0" w:hRule="atLeast"/>
        </w:trPr>
        <w:tc>
          <w:tcPr>
            <w:tcW w:w="890" w:type="dxa"/>
            <w:vAlign w:val="center"/>
          </w:tcPr>
          <w:p w14:paraId="1B81863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7A1467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供应商自20</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1年</w:t>
            </w:r>
            <w:r>
              <w:rPr>
                <w:rFonts w:hint="eastAsia" w:ascii="宋体" w:hAnsi="宋体" w:cs="宋体"/>
                <w:color w:val="000000" w:themeColor="text1"/>
                <w:kern w:val="0"/>
                <w:highlight w:val="none"/>
                <w14:textFill>
                  <w14:solidFill>
                    <w14:schemeClr w14:val="tx1"/>
                  </w14:solidFill>
                </w14:textFill>
              </w:rPr>
              <w:t>1月1日</w:t>
            </w:r>
            <w:r>
              <w:rPr>
                <w:rFonts w:hint="eastAsia" w:ascii="宋体" w:hAnsi="宋体" w:cs="宋体"/>
                <w:color w:val="000000" w:themeColor="text1"/>
                <w:kern w:val="0"/>
                <w:szCs w:val="21"/>
                <w:highlight w:val="none"/>
                <w:lang w:bidi="ar"/>
                <w14:textFill>
                  <w14:solidFill>
                    <w14:schemeClr w14:val="tx1"/>
                  </w14:solidFill>
                </w14:textFill>
              </w:rPr>
              <w:t>以来（以合同签订日期为准）承建过类似业绩，每提供一项业绩证明材料得</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分，本项最高得</w:t>
            </w: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分。</w:t>
            </w:r>
          </w:p>
          <w:p w14:paraId="4245EE4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证明材料：同时</w:t>
            </w:r>
            <w:r>
              <w:rPr>
                <w:rFonts w:hint="eastAsia" w:ascii="宋体" w:hAnsi="宋体" w:cs="宋体"/>
                <w:color w:val="000000" w:themeColor="text1"/>
                <w:kern w:val="0"/>
                <w:szCs w:val="21"/>
                <w:highlight w:val="none"/>
                <w:lang w:bidi="ar"/>
                <w14:textFill>
                  <w14:solidFill>
                    <w14:schemeClr w14:val="tx1"/>
                  </w14:solidFill>
                </w14:textFill>
              </w:rPr>
              <w:t>提供</w:t>
            </w:r>
            <w:r>
              <w:rPr>
                <w:rFonts w:hint="default" w:ascii="Calibri" w:hAnsi="Calibri" w:cs="Calibri"/>
                <w:color w:val="000000" w:themeColor="text1"/>
                <w:kern w:val="0"/>
                <w:szCs w:val="21"/>
                <w:highlight w:val="none"/>
                <w:lang w:bidi="ar"/>
                <w14:textFill>
                  <w14:solidFill>
                    <w14:schemeClr w14:val="tx1"/>
                  </w14:solidFill>
                </w14:textFill>
              </w:rPr>
              <w:t>①</w:t>
            </w:r>
            <w:r>
              <w:rPr>
                <w:rFonts w:hint="eastAsia" w:ascii="宋体" w:hAnsi="宋体" w:cs="宋体"/>
                <w:color w:val="000000" w:themeColor="text1"/>
                <w:kern w:val="0"/>
                <w:szCs w:val="21"/>
                <w:highlight w:val="none"/>
                <w:lang w:bidi="ar"/>
                <w14:textFill>
                  <w14:solidFill>
                    <w14:schemeClr w14:val="tx1"/>
                  </w14:solidFill>
                </w14:textFill>
              </w:rPr>
              <w:t>中标/成交通知书、</w:t>
            </w:r>
            <w:r>
              <w:rPr>
                <w:rFonts w:hint="default" w:ascii="Calibri" w:hAnsi="Calibri" w:cs="Calibri"/>
                <w:color w:val="000000" w:themeColor="text1"/>
                <w:kern w:val="0"/>
                <w:szCs w:val="21"/>
                <w:highlight w:val="none"/>
                <w:lang w:bidi="ar"/>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合同的扫描件】</w:t>
            </w:r>
          </w:p>
          <w:p w14:paraId="0829BD72">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（所有材料的签字、盖章及日期内容须完整。未按要求提供完整证明材料或证明材料无法完整证明业绩相关信息的，不予得分。）</w:t>
            </w:r>
          </w:p>
        </w:tc>
        <w:tc>
          <w:tcPr>
            <w:tcW w:w="534" w:type="dxa"/>
            <w:vAlign w:val="center"/>
          </w:tcPr>
          <w:p w14:paraId="26B190ED">
            <w:pPr>
              <w:snapToGrid w:val="0"/>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2A51E57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4E5B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公司业绩</w:t>
            </w:r>
          </w:p>
        </w:tc>
      </w:tr>
      <w:tr w14:paraId="43DD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0" w:hRule="atLeast"/>
        </w:trPr>
        <w:tc>
          <w:tcPr>
            <w:tcW w:w="890" w:type="dxa"/>
            <w:vAlign w:val="center"/>
          </w:tcPr>
          <w:p w14:paraId="42B0956B">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A27682E">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供应商具有有效质量管理体系认证、环境管理体系认证、职业健康安全管理体系，每个得1分。最高得3分。</w:t>
            </w:r>
          </w:p>
          <w:p w14:paraId="47A9DFF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投标文件中提供证书扫描件，证书须在有效期内，且证书在全国认证认可信息公共服务平台（从http://www.cnca.gov.cn中进入选择认证结果进入）查询状态为有效，由评标委员会现场查询确认。不提供或证书无法在上述平台查询确认状态为有效的不得分。</w:t>
            </w:r>
          </w:p>
        </w:tc>
        <w:tc>
          <w:tcPr>
            <w:tcW w:w="534" w:type="dxa"/>
            <w:vAlign w:val="center"/>
          </w:tcPr>
          <w:p w14:paraId="42D98CC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31C8F74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5FCA1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体系证书</w:t>
            </w:r>
          </w:p>
        </w:tc>
      </w:tr>
      <w:tr w14:paraId="1E78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890" w:type="dxa"/>
            <w:vAlign w:val="center"/>
          </w:tcPr>
          <w:p w14:paraId="7DF7194D">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539DFFA">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项目经理具有工程师</w:t>
            </w:r>
            <w:r>
              <w:rPr>
                <w:rFonts w:hint="eastAsia" w:ascii="宋体" w:hAnsi="宋体" w:cs="宋体"/>
                <w:color w:val="000000" w:themeColor="text1"/>
                <w:kern w:val="0"/>
                <w:szCs w:val="21"/>
                <w:highlight w:val="none"/>
                <w:lang w:val="en-US" w:eastAsia="zh-CN" w:bidi="ar"/>
                <w14:textFill>
                  <w14:solidFill>
                    <w14:schemeClr w14:val="tx1"/>
                  </w14:solidFill>
                </w14:textFill>
              </w:rPr>
              <w:t>及以上</w:t>
            </w:r>
            <w:r>
              <w:rPr>
                <w:rFonts w:hint="eastAsia" w:ascii="宋体" w:hAnsi="宋体" w:cs="宋体"/>
                <w:color w:val="000000" w:themeColor="text1"/>
                <w:kern w:val="0"/>
                <w:szCs w:val="21"/>
                <w:highlight w:val="none"/>
                <w:lang w:bidi="ar"/>
                <w14:textFill>
                  <w14:solidFill>
                    <w14:schemeClr w14:val="tx1"/>
                  </w14:solidFill>
                </w14:textFill>
              </w:rPr>
              <w:t>职称的得</w:t>
            </w:r>
            <w:r>
              <w:rPr>
                <w:rFonts w:hint="eastAsia" w:ascii="宋体" w:hAnsi="宋体" w:cs="宋体"/>
                <w:color w:val="000000" w:themeColor="text1"/>
                <w:kern w:val="0"/>
                <w:szCs w:val="21"/>
                <w:highlight w:val="none"/>
                <w:lang w:val="en-US" w:eastAsia="zh-CN"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分。</w:t>
            </w:r>
          </w:p>
          <w:p w14:paraId="13A4B3B7">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证明材料：职称证书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4E7D633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w:t>
            </w:r>
          </w:p>
        </w:tc>
        <w:tc>
          <w:tcPr>
            <w:tcW w:w="930" w:type="dxa"/>
            <w:vAlign w:val="center"/>
          </w:tcPr>
          <w:p w14:paraId="696AC5F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8B4559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项目负责人</w:t>
            </w:r>
          </w:p>
        </w:tc>
      </w:tr>
      <w:tr w14:paraId="4DB3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3" w:hRule="atLeast"/>
        </w:trPr>
        <w:tc>
          <w:tcPr>
            <w:tcW w:w="890" w:type="dxa"/>
            <w:vAlign w:val="center"/>
          </w:tcPr>
          <w:p w14:paraId="001237EE">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35C487C">
            <w:p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项目经理承诺到位率为90%及以上的，得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分；95%及以上的，得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w:t>
            </w:r>
          </w:p>
          <w:p w14:paraId="6663156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证明材料：</w:t>
            </w:r>
            <w:r>
              <w:rPr>
                <w:rFonts w:hint="eastAsia" w:ascii="宋体" w:hAnsi="宋体" w:cs="宋体"/>
                <w:color w:val="000000" w:themeColor="text1"/>
                <w:highlight w:val="none"/>
                <w14:textFill>
                  <w14:solidFill>
                    <w14:schemeClr w14:val="tx1"/>
                  </w14:solidFill>
                </w14:textFill>
              </w:rPr>
              <w:t>提供承诺函，格式自拟。未提供或提供不全不得分。</w:t>
            </w:r>
          </w:p>
        </w:tc>
        <w:tc>
          <w:tcPr>
            <w:tcW w:w="534" w:type="dxa"/>
            <w:vAlign w:val="center"/>
          </w:tcPr>
          <w:p w14:paraId="548F23C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4F7467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ADFF69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到位率承诺</w:t>
            </w:r>
          </w:p>
        </w:tc>
      </w:tr>
      <w:tr w14:paraId="2C59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6" w:hRule="atLeast"/>
        </w:trPr>
        <w:tc>
          <w:tcPr>
            <w:tcW w:w="890" w:type="dxa"/>
            <w:vAlign w:val="center"/>
          </w:tcPr>
          <w:p w14:paraId="771C4021">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123B20">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项目管理班子其他人员配置：安全员、施工员、质量员、材料员、资料员，配置齐全的，得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分，提供人员配置表及对应的证书扫描件，每缺一项扣</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分，本项分值扣完为止。</w:t>
            </w:r>
          </w:p>
          <w:p w14:paraId="133474EE">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相关</w:t>
            </w:r>
            <w:r>
              <w:rPr>
                <w:rFonts w:hint="eastAsia" w:ascii="宋体" w:hAnsi="宋体" w:cs="宋体"/>
                <w:color w:val="000000" w:themeColor="text1"/>
                <w:kern w:val="0"/>
                <w:szCs w:val="21"/>
                <w:highlight w:val="none"/>
                <w:lang w:val="en-US" w:eastAsia="zh-CN" w:bidi="ar"/>
                <w14:textFill>
                  <w14:solidFill>
                    <w14:schemeClr w14:val="tx1"/>
                  </w14:solidFill>
                </w14:textFill>
              </w:rPr>
              <w:t>人员证书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61B953B8">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62CEBA8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751AE49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项目管理班子成员</w:t>
            </w:r>
          </w:p>
        </w:tc>
      </w:tr>
      <w:tr w14:paraId="57A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890" w:type="dxa"/>
            <w:vAlign w:val="center"/>
          </w:tcPr>
          <w:p w14:paraId="04CD06CD">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C58BB81">
            <w:pPr>
              <w:widowControl/>
              <w:spacing w:line="360" w:lineRule="auto"/>
              <w:jc w:val="left"/>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对项目现场了解程度清楚，内容明确得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内容较明确得3分，</w:t>
            </w:r>
            <w:r>
              <w:rPr>
                <w:rFonts w:hint="eastAsia" w:ascii="宋体" w:hAnsi="宋体" w:cs="宋体"/>
                <w:color w:val="000000" w:themeColor="text1"/>
                <w:kern w:val="0"/>
                <w:szCs w:val="21"/>
                <w:highlight w:val="none"/>
                <w:lang w:bidi="ar"/>
                <w14:textFill>
                  <w14:solidFill>
                    <w14:schemeClr w14:val="tx1"/>
                  </w14:solidFill>
                </w14:textFill>
              </w:rPr>
              <w:t>基本清楚得2分；基本了解得1分。内容严重缺失不得分</w:t>
            </w:r>
          </w:p>
        </w:tc>
        <w:tc>
          <w:tcPr>
            <w:tcW w:w="534" w:type="dxa"/>
            <w:vAlign w:val="center"/>
          </w:tcPr>
          <w:p w14:paraId="362093A4">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921A01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FA1369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现场情况分析</w:t>
            </w:r>
          </w:p>
        </w:tc>
      </w:tr>
      <w:tr w14:paraId="4E77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90" w:type="dxa"/>
            <w:vMerge w:val="restart"/>
            <w:vAlign w:val="center"/>
          </w:tcPr>
          <w:p w14:paraId="6A945E5B">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restart"/>
            <w:vAlign w:val="center"/>
          </w:tcPr>
          <w:p w14:paraId="6776AA9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施工方案总体情况评价</w:t>
            </w:r>
          </w:p>
        </w:tc>
        <w:tc>
          <w:tcPr>
            <w:tcW w:w="5141" w:type="dxa"/>
            <w:vAlign w:val="center"/>
          </w:tcPr>
          <w:p w14:paraId="1F515BE5">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方案内容全面、合理、条理清晰，涵盖采购需求，且具有针对性强得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CCFB0AD">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C4CFAD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6262298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w:t>
            </w:r>
          </w:p>
        </w:tc>
      </w:tr>
      <w:tr w14:paraId="60C4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90" w:type="dxa"/>
            <w:vMerge w:val="continue"/>
            <w:vAlign w:val="center"/>
          </w:tcPr>
          <w:p w14:paraId="4C0E4FE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continue"/>
            <w:vAlign w:val="center"/>
          </w:tcPr>
          <w:p w14:paraId="0DE28546">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141" w:type="dxa"/>
            <w:vAlign w:val="center"/>
          </w:tcPr>
          <w:p w14:paraId="3227DD5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分；措施内容基本合理的得3分；措施内容一般，有瑕疵的得2分；</w:t>
            </w:r>
            <w:r>
              <w:rPr>
                <w:rFonts w:hint="eastAsia" w:ascii="宋体" w:hAnsi="宋体" w:cs="宋体"/>
                <w:color w:val="000000" w:themeColor="text1"/>
                <w:szCs w:val="21"/>
                <w:highlight w:val="none"/>
                <w14:textFill>
                  <w14:solidFill>
                    <w14:schemeClr w14:val="tx1"/>
                  </w14:solidFill>
                </w14:textFill>
              </w:rPr>
              <w:t>措施内容不全面可操作性差的得1分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p>
        </w:tc>
        <w:tc>
          <w:tcPr>
            <w:tcW w:w="534" w:type="dxa"/>
            <w:vAlign w:val="center"/>
          </w:tcPr>
          <w:p w14:paraId="680C43F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1AA6C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37FE84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w:t>
            </w:r>
          </w:p>
        </w:tc>
      </w:tr>
      <w:tr w14:paraId="1955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0" w:type="dxa"/>
            <w:vAlign w:val="center"/>
          </w:tcPr>
          <w:p w14:paraId="4D159A57">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86983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工期承诺和项目进度计划和措施完善、合理、针对性强的得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分；工期承诺和项目进度计划和措施完善、合理、针对性</w:t>
            </w:r>
            <w:r>
              <w:rPr>
                <w:rFonts w:hint="eastAsia" w:ascii="宋体" w:hAnsi="宋体" w:cs="宋体"/>
                <w:color w:val="000000" w:themeColor="text1"/>
                <w:highlight w:val="none"/>
                <w:lang w:val="en-US"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分；工期承诺和项目进度计划和措施略有不足的给</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分；缺少工期承诺或工期承诺和项目进度计划和措施内容不全面瑕疵较多的得</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r>
              <w:rPr>
                <w:rFonts w:hint="eastAsia" w:ascii="宋体" w:hAnsi="宋体" w:cs="宋体"/>
                <w:color w:val="000000" w:themeColor="text1"/>
                <w:highlight w:val="none"/>
                <w14:textFill>
                  <w14:solidFill>
                    <w14:schemeClr w14:val="tx1"/>
                  </w14:solidFill>
                </w14:textFill>
              </w:rPr>
              <w:t>。</w:t>
            </w:r>
          </w:p>
        </w:tc>
        <w:tc>
          <w:tcPr>
            <w:tcW w:w="534" w:type="dxa"/>
            <w:vAlign w:val="center"/>
          </w:tcPr>
          <w:p w14:paraId="766E2367">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7A4960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264F7E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工期及进度控制</w:t>
            </w:r>
          </w:p>
        </w:tc>
      </w:tr>
      <w:tr w14:paraId="6A01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0" w:type="dxa"/>
            <w:vAlign w:val="center"/>
          </w:tcPr>
          <w:p w14:paraId="19FB7C7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3569F8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供应商针对本项目施工重点难点分析到位，针对性强的得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内容分析基本合理得2分；内容分析</w:t>
            </w:r>
            <w:r>
              <w:rPr>
                <w:rFonts w:hint="eastAsia" w:ascii="宋体" w:hAnsi="宋体" w:cs="宋体"/>
                <w:color w:val="000000" w:themeColor="text1"/>
                <w:highlight w:val="none"/>
                <w14:textFill>
                  <w14:solidFill>
                    <w14:schemeClr w14:val="tx1"/>
                  </w14:solidFill>
                </w14:textFill>
              </w:rPr>
              <w:t>不全面瑕疵较多</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491F675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7A02E0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08E062EE">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施工重点难点分析</w:t>
            </w:r>
          </w:p>
        </w:tc>
      </w:tr>
      <w:tr w14:paraId="5C40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0" w:type="dxa"/>
            <w:vAlign w:val="center"/>
          </w:tcPr>
          <w:p w14:paraId="31045883">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2AF14C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分；措施内容基本合理，针对性较强得3分；措施内容一般，有瑕疵得2分；</w:t>
            </w:r>
            <w:r>
              <w:rPr>
                <w:rFonts w:hint="eastAsia" w:ascii="宋体" w:hAnsi="宋体" w:cs="宋体"/>
                <w:color w:val="000000" w:themeColor="text1"/>
                <w:szCs w:val="21"/>
                <w:highlight w:val="none"/>
                <w14:textFill>
                  <w14:solidFill>
                    <w14:schemeClr w14:val="tx1"/>
                  </w14:solidFill>
                </w14:textFill>
              </w:rPr>
              <w:t>措施内容不全面可操作性差的</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71CEC1DA">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4D6B9B8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E89CE1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重点难点措施</w:t>
            </w:r>
          </w:p>
        </w:tc>
      </w:tr>
      <w:tr w14:paraId="0F13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90" w:type="dxa"/>
            <w:vMerge w:val="restart"/>
            <w:vAlign w:val="center"/>
          </w:tcPr>
          <w:p w14:paraId="46F36204">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restart"/>
            <w:vAlign w:val="center"/>
          </w:tcPr>
          <w:p w14:paraId="7A8319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保障措施</w:t>
            </w:r>
          </w:p>
        </w:tc>
        <w:tc>
          <w:tcPr>
            <w:tcW w:w="5208" w:type="dxa"/>
            <w:gridSpan w:val="2"/>
            <w:vAlign w:val="center"/>
          </w:tcPr>
          <w:p w14:paraId="2F6296AD">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w:t>
            </w:r>
            <w:r>
              <w:rPr>
                <w:rFonts w:hint="eastAsia" w:ascii="宋体" w:hAnsi="宋体" w:cs="宋体"/>
                <w:color w:val="000000" w:themeColor="text1"/>
                <w:kern w:val="0"/>
                <w:szCs w:val="21"/>
                <w:highlight w:val="none"/>
                <w:lang w:bidi="ar"/>
                <w14:textFill>
                  <w14:solidFill>
                    <w14:schemeClr w14:val="tx1"/>
                  </w14:solidFill>
                </w14:textFill>
              </w:rPr>
              <w:t>方案内容科学合理，方法符合项目实际针对性强得4分；方案可行基本满足采购需求得3分；方案一般、部分满足得2分；方案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740F531E">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7189F23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5BD5BD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服从采购人协调和统一管理及配合措施、特殊服务承诺方案</w:t>
            </w:r>
          </w:p>
        </w:tc>
      </w:tr>
      <w:tr w14:paraId="40BC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90" w:type="dxa"/>
            <w:vMerge w:val="continue"/>
            <w:vAlign w:val="center"/>
          </w:tcPr>
          <w:p w14:paraId="26EE9405">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3134F78B">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1786D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主要材料、设备情况：具有详细的材料设备进场计划且计划周密，材料数量、质量控制，时间安排合理，满足施工需要，合理，针对性强得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基本合理得</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分，较差的得1分，未提供的不得分。</w:t>
            </w:r>
          </w:p>
        </w:tc>
        <w:tc>
          <w:tcPr>
            <w:tcW w:w="534" w:type="dxa"/>
            <w:vAlign w:val="center"/>
          </w:tcPr>
          <w:p w14:paraId="66442721">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5E8510F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596334A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w:t>
            </w:r>
          </w:p>
        </w:tc>
      </w:tr>
      <w:tr w14:paraId="170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90" w:type="dxa"/>
            <w:vMerge w:val="continue"/>
            <w:vAlign w:val="center"/>
          </w:tcPr>
          <w:p w14:paraId="4429E540">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510AE9EC">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53C0D4F6">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r>
              <w:rPr>
                <w:rFonts w:hint="eastAsia" w:ascii="宋体" w:hAnsi="宋体" w:cs="宋体"/>
                <w:color w:val="000000" w:themeColor="text1"/>
                <w:kern w:val="0"/>
                <w:szCs w:val="21"/>
                <w:highlight w:val="none"/>
                <w:lang w:bidi="ar"/>
                <w14:textFill>
                  <w14:solidFill>
                    <w14:schemeClr w14:val="tx1"/>
                  </w14:solidFill>
                </w14:textFill>
              </w:rPr>
              <w:t>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01CCC96F">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0B4ACF2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4678834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p>
        </w:tc>
      </w:tr>
      <w:tr w14:paraId="2A1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90" w:type="dxa"/>
            <w:vMerge w:val="continue"/>
            <w:vAlign w:val="center"/>
          </w:tcPr>
          <w:p w14:paraId="2302F95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41CF8393">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6A278EE4">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对保障校园正常通行的方案及措施内容方案科学合理，方法符合项目实际，措施针对性强得4分；方案可行基本满足采购需求，措施针对性较强得3分；方案一般、措施部分满足得2分；方案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624501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29DF1EA8">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001A00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w:t>
            </w:r>
          </w:p>
        </w:tc>
      </w:tr>
      <w:tr w14:paraId="429C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atLeast"/>
        </w:trPr>
        <w:tc>
          <w:tcPr>
            <w:tcW w:w="890" w:type="dxa"/>
            <w:vAlign w:val="center"/>
          </w:tcPr>
          <w:p w14:paraId="28E481C2">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6E9B85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施工质量目标明确，质量控制措施科学、合理，且有技术支撑的得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分，质量措施基本合理得2分，质量措施不全面可操作性差的得1分。严重缺失不得分。</w:t>
            </w:r>
          </w:p>
        </w:tc>
        <w:tc>
          <w:tcPr>
            <w:tcW w:w="534" w:type="dxa"/>
            <w:vAlign w:val="center"/>
          </w:tcPr>
          <w:p w14:paraId="038437E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40BB0C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FE93DD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质量控制措施</w:t>
            </w:r>
          </w:p>
        </w:tc>
      </w:tr>
      <w:tr w14:paraId="5A9A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890" w:type="dxa"/>
            <w:vAlign w:val="center"/>
          </w:tcPr>
          <w:p w14:paraId="7C63969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114703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安全、文明施工及市政、市容、环保、消防等的保证措施科学、合理、到位的得3分，措施合理得2分，</w:t>
            </w:r>
            <w:r>
              <w:rPr>
                <w:rFonts w:hint="eastAsia" w:ascii="宋体" w:hAnsi="宋体" w:cs="宋体"/>
                <w:color w:val="000000" w:themeColor="text1"/>
                <w:highlight w:val="none"/>
                <w14:textFill>
                  <w14:solidFill>
                    <w14:schemeClr w14:val="tx1"/>
                  </w14:solidFill>
                </w14:textFill>
              </w:rPr>
              <w:t>措施内容</w:t>
            </w:r>
            <w:r>
              <w:rPr>
                <w:rFonts w:hint="eastAsia" w:ascii="宋体" w:hAnsi="宋体" w:cs="宋体"/>
                <w:color w:val="000000" w:themeColor="text1"/>
                <w:szCs w:val="21"/>
                <w:highlight w:val="none"/>
                <w14:textFill>
                  <w14:solidFill>
                    <w14:schemeClr w14:val="tx1"/>
                  </w14:solidFill>
                </w14:textFill>
              </w:rPr>
              <w:t>不全面可操作性差</w:t>
            </w:r>
            <w:r>
              <w:rPr>
                <w:rFonts w:hint="eastAsia" w:ascii="宋体" w:hAnsi="宋体" w:cs="宋体"/>
                <w:color w:val="000000" w:themeColor="text1"/>
                <w:highlight w:val="none"/>
                <w14:textFill>
                  <w14:solidFill>
                    <w14:schemeClr w14:val="tx1"/>
                  </w14:solidFill>
                </w14:textFill>
              </w:rPr>
              <w:t>的得1分</w:t>
            </w:r>
            <w:r>
              <w:rPr>
                <w:rFonts w:hint="eastAsia" w:ascii="宋体" w:hAnsi="宋体" w:cs="宋体"/>
                <w:color w:val="000000" w:themeColor="text1"/>
                <w:kern w:val="0"/>
                <w:szCs w:val="21"/>
                <w:highlight w:val="none"/>
                <w:lang w:bidi="ar"/>
                <w14:textFill>
                  <w14:solidFill>
                    <w14:schemeClr w14:val="tx1"/>
                  </w14:solidFill>
                </w14:textFill>
              </w:rPr>
              <w:t>。严重缺失不得分。</w:t>
            </w:r>
          </w:p>
        </w:tc>
        <w:tc>
          <w:tcPr>
            <w:tcW w:w="534" w:type="dxa"/>
            <w:vAlign w:val="center"/>
          </w:tcPr>
          <w:p w14:paraId="6557BD2C">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0CE3620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389F3D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w:t>
            </w:r>
          </w:p>
        </w:tc>
      </w:tr>
      <w:tr w14:paraId="129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0" w:type="dxa"/>
            <w:vAlign w:val="center"/>
          </w:tcPr>
          <w:p w14:paraId="551B3DC2">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77A00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劳动力、施工机械设备及材料各阶段的投入安排，能够优于工程实施的需要，且与项目相适应针对性强得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分；施工机具和检验仪器的投入基本满足工程实施需求的得2分；施工机具和检验仪器的投入配备差的得1分。严重缺失不得分。</w:t>
            </w:r>
          </w:p>
        </w:tc>
        <w:tc>
          <w:tcPr>
            <w:tcW w:w="534" w:type="dxa"/>
            <w:vAlign w:val="center"/>
          </w:tcPr>
          <w:p w14:paraId="042CCEE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A1F644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6311CD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施工机具和检验仪器</w:t>
            </w:r>
          </w:p>
        </w:tc>
      </w:tr>
      <w:tr w14:paraId="7046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0" w:type="dxa"/>
            <w:vAlign w:val="center"/>
          </w:tcPr>
          <w:p w14:paraId="4C671A4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9AB1930">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工程量清单中所涉及到材料设备列入财政部、发展改革委、生态环境部等部门发布的节能产品品目清单(财库(2019)19号)且提供国家确定的认证机构出具的处于有效期之内的节能产品认证证书的，每项证书得0.5分，最高得0.5分。</w:t>
            </w:r>
          </w:p>
          <w:p w14:paraId="29E55D21">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本项目工程量清单中所涉及到材料设备列入财政部、发展改革委、生态环境部等部门发布的环境标志产品品目清单(财库(2019)18号)且提供国家确定的认证机构出具的、处于有效期之内的环境标志产品认证证书的，每项证书得0.5分最高得 0.5分。</w:t>
            </w:r>
          </w:p>
          <w:p w14:paraId="2BCF5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534" w:type="dxa"/>
            <w:vAlign w:val="center"/>
          </w:tcPr>
          <w:p w14:paraId="3AF3458D">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930" w:type="dxa"/>
            <w:vAlign w:val="center"/>
          </w:tcPr>
          <w:p w14:paraId="525BB69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65D172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政府采购政策</w:t>
            </w:r>
          </w:p>
        </w:tc>
      </w:tr>
      <w:tr w14:paraId="5D0E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9" w:hRule="atLeast"/>
        </w:trPr>
        <w:tc>
          <w:tcPr>
            <w:tcW w:w="890" w:type="dxa"/>
            <w:vAlign w:val="center"/>
          </w:tcPr>
          <w:p w14:paraId="6D697A3E">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tcPr>
          <w:p w14:paraId="6B2DA84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有效响应报价的最低价作为评标基准价，其最低报价为满分；按［价格分=（评标基准价/磋商报价）*30］的计算公式计算。</w:t>
            </w:r>
          </w:p>
          <w:p w14:paraId="63712EF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评审过程中，不得去掉报价中的最高报价和最低报价。</w:t>
            </w:r>
          </w:p>
          <w:p w14:paraId="69E0AF9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因落实政府采购政策需要进行价格调整的，以调整后的价格计算评标基准价和磋商报价。</w:t>
            </w:r>
          </w:p>
        </w:tc>
        <w:tc>
          <w:tcPr>
            <w:tcW w:w="534" w:type="dxa"/>
            <w:vAlign w:val="center"/>
          </w:tcPr>
          <w:p w14:paraId="6C9D9EE5">
            <w:pPr>
              <w:ind w:firstLine="105" w:firstLineChars="50"/>
              <w:jc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30</w:t>
            </w:r>
          </w:p>
        </w:tc>
        <w:tc>
          <w:tcPr>
            <w:tcW w:w="930" w:type="dxa"/>
            <w:vAlign w:val="center"/>
          </w:tcPr>
          <w:p w14:paraId="4CF3E5A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1089" w:type="dxa"/>
            <w:vAlign w:val="center"/>
          </w:tcPr>
          <w:p w14:paraId="3F6C94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r>
    </w:tbl>
    <w:p w14:paraId="6BF29A9D">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供应商编制响应文件（商务技术文件部分）时，建议按此目录（序号和内容）提供评审标准相应的商务技术资料。 </w:t>
      </w:r>
    </w:p>
    <w:p w14:paraId="1A5DF461">
      <w:pPr>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4DB541AA">
      <w:pPr>
        <w:snapToGri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一、评审方法</w:t>
      </w:r>
    </w:p>
    <w:p w14:paraId="5F13E81D">
      <w:pPr>
        <w:adjustRightInd/>
        <w:spacing w:line="360" w:lineRule="auto"/>
        <w:ind w:firstLine="471"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4DCDDB70">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二、评审标准</w:t>
      </w:r>
    </w:p>
    <w:p w14:paraId="47D7C564">
      <w:pPr>
        <w:spacing w:line="360" w:lineRule="auto"/>
        <w:ind w:firstLine="471"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评审标准：</w:t>
      </w:r>
      <w:r>
        <w:rPr>
          <w:rFonts w:hint="eastAsia" w:ascii="宋体" w:hAnsi="宋体" w:cs="宋体"/>
          <w:color w:val="000000" w:themeColor="text1"/>
          <w:kern w:val="0"/>
          <w:sz w:val="24"/>
          <w:highlight w:val="none"/>
          <w14:textFill>
            <w14:solidFill>
              <w14:schemeClr w14:val="tx1"/>
            </w14:solidFill>
          </w14:textFill>
        </w:rPr>
        <w:t>见评审办法前附表。</w:t>
      </w:r>
    </w:p>
    <w:p w14:paraId="54625BEA">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三、评审程序</w:t>
      </w:r>
    </w:p>
    <w:p w14:paraId="65632CB3">
      <w:pPr>
        <w:spacing w:line="360" w:lineRule="auto"/>
        <w:ind w:firstLine="471"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8560514">
      <w:pPr>
        <w:spacing w:line="360" w:lineRule="auto"/>
        <w:ind w:firstLine="471"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磋商。</w:t>
      </w:r>
      <w:r>
        <w:rPr>
          <w:rFonts w:hint="eastAsia" w:ascii="宋体" w:hAnsi="宋体" w:cs="宋体"/>
          <w:color w:val="000000" w:themeColor="text1"/>
          <w:sz w:val="24"/>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供应商逐一进行磋商。</w:t>
      </w:r>
    </w:p>
    <w:p w14:paraId="36422009">
      <w:pPr>
        <w:spacing w:line="360" w:lineRule="auto"/>
        <w:ind w:firstLine="470"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供应商逐家回答磋商小组的提问；</w:t>
      </w:r>
      <w:r>
        <w:rPr>
          <w:rFonts w:hint="eastAsia" w:ascii="宋体" w:hAnsi="宋体" w:cs="宋体"/>
          <w:b/>
          <w:color w:val="000000" w:themeColor="text1"/>
          <w:sz w:val="24"/>
          <w:highlight w:val="none"/>
          <w14:textFill>
            <w14:solidFill>
              <w14:schemeClr w14:val="tx1"/>
            </w14:solidFill>
          </w14:textFill>
        </w:rPr>
        <w:t>逐家磋商一次为一个轮次，磋商轮次根据实际情况进行。</w:t>
      </w:r>
    </w:p>
    <w:p w14:paraId="79C6137C">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3.2.2 </w:t>
      </w:r>
      <w:r>
        <w:rPr>
          <w:rFonts w:hint="eastAsia" w:ascii="宋体" w:hAnsi="宋体" w:cs="宋体"/>
          <w:color w:val="000000" w:themeColor="text1"/>
          <w:sz w:val="24"/>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75225C60">
      <w:pPr>
        <w:spacing w:line="360" w:lineRule="auto"/>
        <w:ind w:firstLine="470" w:firstLineChars="196"/>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3.2.3 </w:t>
      </w:r>
      <w:r>
        <w:rPr>
          <w:rFonts w:hint="eastAsia" w:ascii="宋体" w:hAnsi="宋体" w:cs="宋体"/>
          <w:b/>
          <w:bCs/>
          <w:color w:val="000000" w:themeColor="text1"/>
          <w:sz w:val="24"/>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 xml:space="preserve">供应商。 </w:t>
      </w:r>
    </w:p>
    <w:p w14:paraId="08F5D4F7">
      <w:pPr>
        <w:spacing w:line="360" w:lineRule="auto"/>
        <w:ind w:firstLine="471"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3.3最后报价</w:t>
      </w:r>
    </w:p>
    <w:p w14:paraId="675E762D">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611A2997">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99D3A90">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已提交响应文件的供应商，在提交最后报价之前，可以根据磋商情况退出磋商</w:t>
      </w:r>
    </w:p>
    <w:p w14:paraId="15AA3931">
      <w:pPr>
        <w:spacing w:line="360" w:lineRule="auto"/>
        <w:ind w:firstLine="471"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综合评分。</w:t>
      </w:r>
      <w:r>
        <w:rPr>
          <w:rFonts w:hint="eastAsia" w:ascii="宋体" w:hAnsi="宋体" w:cs="宋体"/>
          <w:bCs/>
          <w:color w:val="000000" w:themeColor="text1"/>
          <w:kern w:val="0"/>
          <w:sz w:val="24"/>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337EE6A8">
      <w:pPr>
        <w:spacing w:line="360" w:lineRule="auto"/>
        <w:ind w:firstLine="471"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3.5汇总商务技术得分。</w:t>
      </w:r>
      <w:r>
        <w:rPr>
          <w:rFonts w:hint="eastAsia" w:ascii="宋体" w:hAnsi="宋体" w:cs="宋体"/>
          <w:color w:val="000000" w:themeColor="text1"/>
          <w:kern w:val="0"/>
          <w:sz w:val="24"/>
          <w:highlight w:val="none"/>
          <w14:textFill>
            <w14:solidFill>
              <w14:schemeClr w14:val="tx1"/>
            </w14:solidFill>
          </w14:textFill>
        </w:rPr>
        <w:t>磋商小组各成员应当独立对每个供应商的商务和技术文件进行评价，并汇总商务技术得分情况</w:t>
      </w:r>
      <w:r>
        <w:rPr>
          <w:rFonts w:hint="eastAsia" w:ascii="宋体" w:hAnsi="宋体" w:cs="宋体"/>
          <w:color w:val="000000" w:themeColor="text1"/>
          <w:kern w:val="0"/>
          <w:sz w:val="24"/>
          <w:highlight w:val="none"/>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BBB4586">
      <w:pPr>
        <w:spacing w:line="360" w:lineRule="auto"/>
        <w:ind w:firstLine="471"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3.6报价评审。</w:t>
      </w:r>
    </w:p>
    <w:p w14:paraId="10862D1B">
      <w:pPr>
        <w:pStyle w:val="133"/>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3.6.1响应文件报价出现前后不一致的，按照下列规定修正：</w:t>
      </w:r>
    </w:p>
    <w:p w14:paraId="52DAB97C">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3.6.1.1响应文件中已标价工程量清单内容与响应文件中相应内容不一致的，以已标价工程量清单为准;</w:t>
      </w:r>
    </w:p>
    <w:p w14:paraId="71385725">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3.6.1.2大写金额和小写金额不一致的，以大写金额为准;</w:t>
      </w:r>
    </w:p>
    <w:p w14:paraId="5B08A23F">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3.6.1.3单价金额小数点或者百分比有明显错位的，以已标价工程量清单的总价为准，并修改单价;</w:t>
      </w:r>
    </w:p>
    <w:p w14:paraId="341DB9EB">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3.6.1.4总价金额与按单价汇总金额不一致的，以单价金额计算结果为准。</w:t>
      </w:r>
    </w:p>
    <w:p w14:paraId="05A27AE7">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3.6.1.5同时出现两种以上不一致的，按照3.6.1规定的顺序修正。修正后的报价经供应商确认后产生约束力。</w:t>
      </w:r>
    </w:p>
    <w:p w14:paraId="002F46E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3.6.2响应文件出现不是唯一的、有选择性最后报价的，响应文件无效。</w:t>
      </w:r>
    </w:p>
    <w:p w14:paraId="35B494B4">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3.6.3最后报价超过采购文件中规定的预算金额或者最高限价的，响应文件无效。</w:t>
      </w:r>
    </w:p>
    <w:p w14:paraId="71AE04B6">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73B6E35">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3.7排序与推荐。</w:t>
      </w:r>
      <w:r>
        <w:rPr>
          <w:rFonts w:hint="eastAsia" w:ascii="宋体" w:hAnsi="宋体" w:cs="宋体"/>
          <w:color w:val="000000" w:themeColor="text1"/>
          <w:kern w:val="0"/>
          <w:sz w:val="24"/>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358EB1A">
      <w:pPr>
        <w:spacing w:line="360" w:lineRule="auto"/>
        <w:ind w:firstLine="471"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3.8编写评审报告。</w:t>
      </w:r>
      <w:r>
        <w:rPr>
          <w:rFonts w:hint="eastAsia" w:ascii="宋体" w:hAnsi="宋体" w:cs="宋体"/>
          <w:color w:val="000000" w:themeColor="text1"/>
          <w:kern w:val="0"/>
          <w:sz w:val="24"/>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BE7F23C">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四、评审中的其他事项</w:t>
      </w:r>
    </w:p>
    <w:p w14:paraId="3571B3BE">
      <w:pPr>
        <w:pStyle w:val="133"/>
        <w:spacing w:before="0"/>
        <w:ind w:firstLine="471"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1AD3A8">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4.2响应文件无效。</w:t>
      </w:r>
      <w:r>
        <w:rPr>
          <w:rFonts w:hint="eastAsia" w:cs="宋体"/>
          <w:color w:val="000000" w:themeColor="text1"/>
          <w:szCs w:val="21"/>
          <w:highlight w:val="none"/>
          <w14:textFill>
            <w14:solidFill>
              <w14:schemeClr w14:val="tx1"/>
            </w14:solidFill>
          </w14:textFill>
        </w:rPr>
        <w:t>有下列情形之一的，响应文件无效：</w:t>
      </w:r>
    </w:p>
    <w:p w14:paraId="7EAFBC8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5082502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4.2.2响应文件未按照采购文件要求签署、盖章的；</w:t>
      </w:r>
    </w:p>
    <w:p w14:paraId="6090558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36F393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4.2.4响应文件含有采购人不能接受的附加条件的；</w:t>
      </w:r>
    </w:p>
    <w:p w14:paraId="7A17E8D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4.2.5响应文件中承诺的响应文件有效期少于采购文件中载明的响应文件有效期的；</w:t>
      </w:r>
    </w:p>
    <w:p w14:paraId="024A618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4.2.6响应文件出现不是唯一的、有选择性最后报价的;</w:t>
      </w:r>
    </w:p>
    <w:p w14:paraId="68C9B4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4.2.7最后报价超过采购文件中规定的预算金额或者最高限价的;</w:t>
      </w:r>
    </w:p>
    <w:p w14:paraId="770A4B1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10CC8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07B50F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4.2.10供应商提供虚假材料响应的；</w:t>
      </w:r>
    </w:p>
    <w:p w14:paraId="604B9AD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4.2.11供应商有恶意串通、妨碍其他供应商的竞争行为、损害采购人或者其他供应商的合法权益情形的；</w:t>
      </w:r>
    </w:p>
    <w:p w14:paraId="771F97B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4.2.12供应商仅提交备份响应文件，未在电子交易平台传输递交响应文件的，响应文件无效；</w:t>
      </w:r>
    </w:p>
    <w:p w14:paraId="59B626A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响应文件不满足采购文件的其它实质性要求的；</w:t>
      </w:r>
    </w:p>
    <w:p w14:paraId="5857CE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20FD35B">
      <w:pPr>
        <w:pStyle w:val="26"/>
        <w:snapToGrid w:val="0"/>
        <w:spacing w:line="360" w:lineRule="auto"/>
        <w:ind w:firstLine="471"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5.终止竞争性磋商采购活动。</w:t>
      </w:r>
      <w:r>
        <w:rPr>
          <w:rFonts w:hint="eastAsia" w:cs="宋体"/>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5B7DBC0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5.1因情况变化，不再符合规定的竞争性磋商采购方式适用情形的；</w:t>
      </w:r>
    </w:p>
    <w:p w14:paraId="4B6F8C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725130B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5.3除本办法第二十一条第三款规定的情形外，在采购过程中符合要求的供应商或者报价未超过采购预算的供应商不足3家的。</w:t>
      </w:r>
    </w:p>
    <w:p w14:paraId="4866C1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17B58A71">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6.重新开展采购。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有政府采购法第七十一条、第七十二条规定的违法行为之一，影响或者可能影响成交结果的，依照下列规定处理：</w:t>
      </w:r>
    </w:p>
    <w:p w14:paraId="56D77D04">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6.1未确定成交供应商的，终止本次政府采购活动，重新开展政府采购活动。</w:t>
      </w:r>
    </w:p>
    <w:p w14:paraId="05B2245A">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40A367BC">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6DE5F59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6.4政府采购合同已经履行，给采购人、供应商造成损失的，由责任人承担赔偿责任。</w:t>
      </w:r>
    </w:p>
    <w:p w14:paraId="3D0D6CF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35D1525B">
      <w:pPr>
        <w:pStyle w:val="26"/>
        <w:snapToGrid w:val="0"/>
        <w:spacing w:line="360" w:lineRule="auto"/>
        <w:ind w:firstLine="0" w:firstLineChars="0"/>
        <w:rPr>
          <w:rFonts w:cs="宋体"/>
          <w:color w:val="000000" w:themeColor="text1"/>
          <w:highlight w:val="none"/>
          <w14:textFill>
            <w14:solidFill>
              <w14:schemeClr w14:val="tx1"/>
            </w14:solidFill>
          </w14:textFill>
        </w:rPr>
        <w:sectPr>
          <w:pgSz w:w="11907" w:h="16840"/>
          <w:pgMar w:top="1440" w:right="1080" w:bottom="1440" w:left="1080" w:header="851" w:footer="851" w:gutter="0"/>
          <w:cols w:space="720" w:num="1"/>
        </w:sectPr>
      </w:pPr>
    </w:p>
    <w:bookmarkEnd w:id="31"/>
    <w:p w14:paraId="5618F35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02" w:name="第五部分"/>
      <w:bookmarkStart w:id="403"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060722EB">
      <w:pPr>
        <w:snapToGrid w:val="0"/>
        <w:ind w:firstLine="482"/>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备注：</w:t>
      </w:r>
    </w:p>
    <w:p w14:paraId="68D111C2">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采购文件中仅提供合同主要条款，最终合同以双方签章的书面文本为准。</w:t>
      </w:r>
    </w:p>
    <w:p w14:paraId="7089C593">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竞</w:t>
      </w:r>
      <w:r>
        <w:rPr>
          <w:rFonts w:hint="eastAsia" w:ascii="宋体" w:hAnsi="宋体" w:cs="宋体"/>
          <w:b/>
          <w:color w:val="000000" w:themeColor="text1"/>
          <w:kern w:val="0"/>
          <w:highlight w:val="none"/>
          <w14:textFill>
            <w14:solidFill>
              <w14:schemeClr w14:val="tx1"/>
            </w14:solidFill>
          </w14:textFill>
        </w:rPr>
        <w:t>争性磋商文件中仅提供合同主要条款，最终合同以双方签章的书面文本为准；竞争性磋商文件中的任一部分和条款均可视采购人的需要在签订合同时列入合同文本内。</w:t>
      </w:r>
    </w:p>
    <w:p w14:paraId="6B383C2C">
      <w:pPr>
        <w:snapToGrid w:val="0"/>
        <w:ind w:left="482" w:firstLine="482"/>
        <w:jc w:val="left"/>
        <w:rPr>
          <w:rFonts w:hint="eastAsia" w:ascii="宋体" w:hAnsi="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如本项目</w:t>
      </w:r>
      <w:r>
        <w:rPr>
          <w:rFonts w:hint="eastAsia" w:ascii="宋体" w:hAnsi="宋体"/>
          <w:b/>
          <w:color w:val="000000" w:themeColor="text1"/>
          <w:kern w:val="0"/>
          <w:highlight w:val="none"/>
          <w14:textFill>
            <w14:solidFill>
              <w14:schemeClr w14:val="tx1"/>
            </w14:solidFill>
          </w14:textFill>
        </w:rPr>
        <w:t>无委托监理，则下列格式文本中涉及监理人的有关工作由发包人自行安排。</w:t>
      </w:r>
    </w:p>
    <w:p w14:paraId="53274B55">
      <w:pPr>
        <w:widowControl/>
        <w:adjustRightInd/>
        <w:snapToGrid w:val="0"/>
        <w:spacing w:before="0" w:beforeLines="-2147483648" w:line="240" w:lineRule="auto"/>
        <w:ind w:left="482" w:firstLine="482"/>
        <w:jc w:val="left"/>
        <w:rPr>
          <w:rFonts w:ascii="宋体" w:hAnsi="宋体"/>
          <w:b/>
          <w:color w:val="000000" w:themeColor="text1"/>
          <w:kern w:val="2"/>
          <w:sz w:val="36"/>
          <w:szCs w:val="36"/>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合同发包人指采购人，承包人指成交供应商</w:t>
      </w:r>
      <w:r>
        <w:rPr>
          <w:rFonts w:hint="eastAsia" w:ascii="宋体" w:hAnsi="宋体" w:cs="宋体"/>
          <w:snapToGrid w:val="0"/>
          <w:color w:val="000000" w:themeColor="text1"/>
          <w:kern w:val="44"/>
          <w:sz w:val="24"/>
          <w:szCs w:val="20"/>
          <w:highlight w:val="none"/>
          <w14:textFill>
            <w14:solidFill>
              <w14:schemeClr w14:val="tx1"/>
            </w14:solidFill>
          </w14:textFill>
        </w:rPr>
        <w:br w:type="page"/>
      </w:r>
      <w:bookmarkStart w:id="404" w:name="_Toc32130"/>
      <w:bookmarkStart w:id="405" w:name="_Toc97299497"/>
    </w:p>
    <w:p w14:paraId="6D872918">
      <w:pPr>
        <w:widowControl w:val="0"/>
        <w:adjustRightInd w:val="0"/>
        <w:snapToGrid w:val="0"/>
        <w:spacing w:before="156" w:beforeLines="50" w:line="360" w:lineRule="auto"/>
        <w:jc w:val="center"/>
        <w:rPr>
          <w:rFonts w:hint="eastAsia" w:ascii="宋体" w:hAnsi="宋体"/>
          <w:b/>
          <w:color w:val="000000" w:themeColor="text1"/>
          <w:kern w:val="2"/>
          <w:sz w:val="44"/>
          <w:szCs w:val="44"/>
          <w:highlight w:val="none"/>
          <w14:textFill>
            <w14:solidFill>
              <w14:schemeClr w14:val="tx1"/>
            </w14:solidFill>
          </w14:textFill>
        </w:rPr>
      </w:pPr>
      <w:r>
        <w:rPr>
          <w:rFonts w:hint="eastAsia" w:ascii="宋体" w:hAnsi="宋体"/>
          <w:b/>
          <w:color w:val="000000" w:themeColor="text1"/>
          <w:kern w:val="2"/>
          <w:sz w:val="44"/>
          <w:szCs w:val="44"/>
          <w:highlight w:val="none"/>
          <w14:textFill>
            <w14:solidFill>
              <w14:schemeClr w14:val="tx1"/>
            </w14:solidFill>
          </w14:textFill>
        </w:rPr>
        <w:t>【】</w:t>
      </w:r>
      <w:r>
        <w:rPr>
          <w:rFonts w:hint="eastAsia" w:ascii="宋体" w:hAnsi="宋体" w:cs="宋体"/>
          <w:b/>
          <w:color w:val="000000" w:themeColor="text1"/>
          <w:sz w:val="44"/>
          <w:szCs w:val="44"/>
          <w:highlight w:val="none"/>
          <w14:textFill>
            <w14:solidFill>
              <w14:schemeClr w14:val="tx1"/>
            </w14:solidFill>
          </w14:textFill>
        </w:rPr>
        <w:t>项目</w:t>
      </w:r>
    </w:p>
    <w:p w14:paraId="4F5ACBE3">
      <w:pPr>
        <w:widowControl w:val="0"/>
        <w:adjustRightInd w:val="0"/>
        <w:snapToGrid w:val="0"/>
        <w:spacing w:before="156" w:beforeLines="50" w:line="360" w:lineRule="auto"/>
        <w:jc w:val="both"/>
        <w:rPr>
          <w:rFonts w:hint="eastAsia" w:ascii="宋体" w:hAnsi="宋体"/>
          <w:b/>
          <w:color w:val="000000" w:themeColor="text1"/>
          <w:kern w:val="2"/>
          <w:sz w:val="28"/>
          <w:szCs w:val="28"/>
          <w:highlight w:val="none"/>
          <w14:textFill>
            <w14:solidFill>
              <w14:schemeClr w14:val="tx1"/>
            </w14:solidFill>
          </w14:textFill>
        </w:rPr>
      </w:pPr>
    </w:p>
    <w:p w14:paraId="35246373">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施</w:t>
      </w:r>
    </w:p>
    <w:p w14:paraId="3EEFBC41">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工</w:t>
      </w:r>
    </w:p>
    <w:p w14:paraId="0D6F25C9">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合</w:t>
      </w:r>
    </w:p>
    <w:p w14:paraId="3D3A15DD">
      <w:pPr>
        <w:widowControl w:val="0"/>
        <w:tabs>
          <w:tab w:val="left" w:pos="0"/>
        </w:tabs>
        <w:adjustRightInd w:val="0"/>
        <w:snapToGrid w:val="0"/>
        <w:spacing w:line="360" w:lineRule="auto"/>
        <w:jc w:val="center"/>
        <w:rPr>
          <w:rFonts w:hint="eastAsia" w:ascii="黑体" w:hAnsi="宋体" w:eastAsia="黑体" w:cs="Arial"/>
          <w:b/>
          <w:bCs/>
          <w:color w:val="000000" w:themeColor="text1"/>
          <w:kern w:val="2"/>
          <w:sz w:val="96"/>
          <w:szCs w:val="96"/>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同</w:t>
      </w:r>
    </w:p>
    <w:p w14:paraId="4DFAC93C">
      <w:pPr>
        <w:widowControl w:val="0"/>
        <w:adjustRightInd w:val="0"/>
        <w:snapToGrid w:val="0"/>
        <w:spacing w:line="360" w:lineRule="auto"/>
        <w:rPr>
          <w:rFonts w:hint="eastAsia" w:ascii="黑体" w:hAnsi="宋体" w:eastAsia="黑体" w:cs="Arial"/>
          <w:b/>
          <w:color w:val="000000" w:themeColor="text1"/>
          <w:kern w:val="2"/>
          <w:sz w:val="32"/>
          <w:szCs w:val="32"/>
          <w:highlight w:val="none"/>
          <w14:textFill>
            <w14:solidFill>
              <w14:schemeClr w14:val="tx1"/>
            </w14:solidFill>
          </w14:textFill>
        </w:rPr>
      </w:pPr>
    </w:p>
    <w:p w14:paraId="7ACDB373">
      <w:pPr>
        <w:widowControl w:val="0"/>
        <w:adjustRightInd w:val="0"/>
        <w:snapToGrid w:val="0"/>
        <w:spacing w:line="360" w:lineRule="auto"/>
        <w:jc w:val="left"/>
        <w:rPr>
          <w:rFonts w:hint="eastAsia" w:ascii="黑体" w:hAnsi="宋体" w:eastAsia="黑体" w:cs="Arial"/>
          <w:b/>
          <w:color w:val="000000" w:themeColor="text1"/>
          <w:kern w:val="2"/>
          <w:sz w:val="32"/>
          <w:szCs w:val="32"/>
          <w:highlight w:val="none"/>
          <w14:textFill>
            <w14:solidFill>
              <w14:schemeClr w14:val="tx1"/>
            </w14:solidFill>
          </w14:textFill>
        </w:rPr>
      </w:pPr>
    </w:p>
    <w:p w14:paraId="6E8DE7E1">
      <w:pPr>
        <w:widowControl w:val="0"/>
        <w:adjustRightInd w:val="0"/>
        <w:snapToGrid w:val="0"/>
        <w:spacing w:line="360" w:lineRule="auto"/>
        <w:ind w:firstLine="1081"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发包人：中国美术学院</w:t>
      </w:r>
    </w:p>
    <w:p w14:paraId="32E57D4D">
      <w:pPr>
        <w:widowControl w:val="0"/>
        <w:adjustRightInd w:val="0"/>
        <w:snapToGrid w:val="0"/>
        <w:spacing w:line="360" w:lineRule="auto"/>
        <w:ind w:firstLine="1081"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承包人：</w:t>
      </w:r>
    </w:p>
    <w:p w14:paraId="0136B7DA">
      <w:pPr>
        <w:widowControl w:val="0"/>
        <w:adjustRightInd w:val="0"/>
        <w:snapToGrid w:val="0"/>
        <w:spacing w:line="360" w:lineRule="auto"/>
        <w:ind w:firstLine="1081" w:firstLineChars="300"/>
        <w:jc w:val="left"/>
        <w:rPr>
          <w:rFonts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日  期： 年  月  日</w:t>
      </w:r>
    </w:p>
    <w:p w14:paraId="430A1684">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63A96B06">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37E94076">
      <w:pPr>
        <w:pStyle w:val="2"/>
        <w:rPr>
          <w:rFonts w:ascii="宋体" w:hAnsi="宋体" w:cs="宋体"/>
          <w:b w:val="0"/>
          <w:bCs/>
          <w:color w:val="000000" w:themeColor="text1"/>
          <w:sz w:val="32"/>
          <w:szCs w:val="32"/>
          <w:highlight w:val="none"/>
          <w14:textFill>
            <w14:solidFill>
              <w14:schemeClr w14:val="tx1"/>
            </w14:solidFill>
          </w14:textFill>
        </w:rPr>
        <w:sectPr>
          <w:headerReference r:id="rId8" w:type="first"/>
          <w:footerReference r:id="rId9" w:type="first"/>
          <w:pgSz w:w="11906" w:h="16838"/>
          <w:pgMar w:top="1418" w:right="1555" w:bottom="1418" w:left="1531" w:header="567" w:footer="567" w:gutter="0"/>
          <w:pgNumType w:start="1"/>
          <w:cols w:space="720" w:num="1"/>
          <w:docGrid w:type="lines" w:linePitch="312" w:charSpace="0"/>
        </w:sectPr>
      </w:pPr>
    </w:p>
    <w:p w14:paraId="02F4D54B">
      <w:pPr>
        <w:pStyle w:val="761"/>
        <w:numPr>
          <w:ilvl w:val="0"/>
          <w:numId w:val="5"/>
        </w:numPr>
        <w:spacing w:before="0" w:line="360" w:lineRule="auto"/>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6" w:name="page48"/>
      <w:bookmarkEnd w:id="406"/>
      <w:bookmarkStart w:id="407" w:name="_Toc296503025"/>
      <w:bookmarkStart w:id="408" w:name="_Toc296890982"/>
      <w:bookmarkStart w:id="409" w:name="_Toc351203480"/>
      <w:bookmarkStart w:id="410" w:name="_Toc163484939"/>
      <w:bookmarkStart w:id="411" w:name="_Toc237694779"/>
      <w:bookmarkStart w:id="412" w:name="_Toc237695004"/>
      <w:bookmarkStart w:id="413" w:name="_Toc16348494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合同协议书</w:t>
      </w:r>
      <w:bookmarkEnd w:id="407"/>
      <w:bookmarkEnd w:id="408"/>
      <w:bookmarkEnd w:id="409"/>
    </w:p>
    <w:p w14:paraId="047927BD">
      <w:pPr>
        <w:pStyle w:val="761"/>
        <w:numPr>
          <w:ilvl w:val="-1"/>
          <w:numId w:val="0"/>
        </w:numPr>
        <w:tabs>
          <w:tab w:val="left" w:pos="5020"/>
        </w:tabs>
        <w:spacing w:before="0" w:line="360" w:lineRule="auto"/>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FFDCD21">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23FCE7EE">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xml:space="preserve">  </w:t>
      </w:r>
    </w:p>
    <w:p w14:paraId="02102B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中华人民共和国建筑法》及有关法律规定，遵循平等、自愿、公平和诚实信用的原则，双方就中国美术学院象山校区民艺馆会议室屋面修漏工程项目施工及有关事项协商一致，共同达成如下协议：</w:t>
      </w:r>
    </w:p>
    <w:p w14:paraId="4CA014F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一、工程概况</w:t>
      </w:r>
    </w:p>
    <w:p w14:paraId="772710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1.工程名称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中国美术学院象山校区民艺馆会议室屋面修漏工程项目</w:t>
      </w:r>
      <w:r>
        <w:rPr>
          <w:rFonts w:hint="eastAsia" w:ascii="宋体" w:hAnsi="宋体" w:cs="宋体"/>
          <w:color w:val="000000" w:themeColor="text1"/>
          <w:sz w:val="24"/>
          <w:highlight w:val="none"/>
          <w14:textFill>
            <w14:solidFill>
              <w14:schemeClr w14:val="tx1"/>
            </w14:solidFill>
          </w14:textFill>
        </w:rPr>
        <w:t>。</w:t>
      </w:r>
    </w:p>
    <w:p w14:paraId="5EEFD9C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2.工程地点：</w:t>
      </w:r>
      <w:r>
        <w:rPr>
          <w:rFonts w:hint="eastAsia" w:ascii="宋体" w:hAnsi="宋体" w:cs="宋体"/>
          <w:b/>
          <w:color w:val="000000" w:themeColor="text1"/>
          <w:sz w:val="24"/>
          <w:highlight w:val="none"/>
          <w:u w:val="single"/>
          <w14:textFill>
            <w14:solidFill>
              <w14:schemeClr w14:val="tx1"/>
            </w14:solidFill>
          </w14:textFill>
        </w:rPr>
        <w:t xml:space="preserve"> 中国美术学院</w:t>
      </w:r>
      <w:r>
        <w:rPr>
          <w:rFonts w:hint="eastAsia" w:ascii="宋体" w:hAnsi="宋体" w:cs="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9BA64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3.工程立项批准文号： </w:t>
      </w:r>
    </w:p>
    <w:p w14:paraId="20423E76">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4.资金来源：</w:t>
      </w:r>
      <w:r>
        <w:rPr>
          <w:rFonts w:hint="eastAsia" w:ascii="宋体" w:hAnsi="宋体" w:cs="宋体"/>
          <w:b/>
          <w:color w:val="000000" w:themeColor="text1"/>
          <w:sz w:val="24"/>
          <w:highlight w:val="none"/>
          <w:u w:val="single"/>
          <w14:textFill>
            <w14:solidFill>
              <w14:schemeClr w14:val="tx1"/>
            </w14:solidFill>
          </w14:textFill>
        </w:rPr>
        <w:t>国有资金</w:t>
      </w:r>
      <w:r>
        <w:rPr>
          <w:rFonts w:hint="eastAsia" w:ascii="宋体" w:hAnsi="宋体" w:cs="宋体"/>
          <w:bCs/>
          <w:color w:val="000000" w:themeColor="text1"/>
          <w:sz w:val="24"/>
          <w:highlight w:val="none"/>
          <w14:textFill>
            <w14:solidFill>
              <w14:schemeClr w14:val="tx1"/>
            </w14:solidFill>
          </w14:textFill>
        </w:rPr>
        <w:t>。</w:t>
      </w:r>
    </w:p>
    <w:p w14:paraId="39665C6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5.工程内容：</w:t>
      </w:r>
      <w:r>
        <w:rPr>
          <w:rFonts w:hint="eastAsia" w:ascii="宋体" w:hAnsi="宋体" w:cs="宋体"/>
          <w:b/>
          <w:color w:val="000000" w:themeColor="text1"/>
          <w:sz w:val="24"/>
          <w:highlight w:val="none"/>
          <w:u w:val="single"/>
          <w14:textFill>
            <w14:solidFill>
              <w14:schemeClr w14:val="tx1"/>
            </w14:solidFill>
          </w14:textFill>
        </w:rPr>
        <w:t>具体内容见采购文件和工程量清单</w:t>
      </w:r>
      <w:r>
        <w:rPr>
          <w:rFonts w:hint="eastAsia" w:ascii="宋体" w:hAnsi="宋体" w:cs="宋体"/>
          <w:bCs/>
          <w:color w:val="000000" w:themeColor="text1"/>
          <w:sz w:val="24"/>
          <w:highlight w:val="none"/>
          <w14:textFill>
            <w14:solidFill>
              <w14:schemeClr w14:val="tx1"/>
            </w14:solidFill>
          </w14:textFill>
        </w:rPr>
        <w:t>。</w:t>
      </w:r>
    </w:p>
    <w:p w14:paraId="56025E7F">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群体工程应附《承包人承揽工程项目一览表》（附件1）。</w:t>
      </w:r>
    </w:p>
    <w:p w14:paraId="377892FD">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6.工程承包范围：</w:t>
      </w:r>
    </w:p>
    <w:p w14:paraId="14E6730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1.包工、包料（☑是□否）、包工期、包质量、包安全文明施工、包检测验收合格至交付使用等</w:t>
      </w:r>
      <w:r>
        <w:rPr>
          <w:rFonts w:hint="eastAsia" w:ascii="宋体" w:hAnsi="宋体" w:cs="宋体"/>
          <w:color w:val="000000" w:themeColor="text1"/>
          <w:sz w:val="24"/>
          <w:highlight w:val="none"/>
          <w:u w:val="single"/>
          <w14:textFill>
            <w14:solidFill>
              <w14:schemeClr w14:val="tx1"/>
            </w14:solidFill>
          </w14:textFill>
        </w:rPr>
        <w:t>。</w:t>
      </w:r>
    </w:p>
    <w:p w14:paraId="7F4D922D">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2.本项目施工图范围内的所有内容，工程量清单。(当施工图纸与工程量清单不一致时，以施工图纸为准）</w:t>
      </w:r>
    </w:p>
    <w:p w14:paraId="4D8CF0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二、合同工期</w:t>
      </w:r>
    </w:p>
    <w:p w14:paraId="4C3351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B3E7E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97B31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6A40CC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三、质量标准</w:t>
      </w:r>
    </w:p>
    <w:p w14:paraId="0E73F8E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工程质量符合</w:t>
      </w:r>
      <w:r>
        <w:rPr>
          <w:rFonts w:hint="eastAsia" w:ascii="宋体" w:hAnsi="宋体" w:cs="宋体"/>
          <w:b/>
          <w:color w:val="000000" w:themeColor="text1"/>
          <w:sz w:val="24"/>
          <w:highlight w:val="none"/>
          <w:u w:val="single"/>
          <w14:textFill>
            <w14:solidFill>
              <w14:schemeClr w14:val="tx1"/>
            </w14:solidFill>
          </w14:textFill>
        </w:rPr>
        <w:t xml:space="preserve">  国家规定的验收合格标准，一次性验收合格</w:t>
      </w:r>
      <w:r>
        <w:rPr>
          <w:rFonts w:hint="eastAsia" w:ascii="宋体" w:hAnsi="宋体" w:cs="宋体"/>
          <w:color w:val="000000" w:themeColor="text1"/>
          <w:sz w:val="24"/>
          <w:highlight w:val="none"/>
          <w14:textFill>
            <w14:solidFill>
              <w14:schemeClr w14:val="tx1"/>
            </w14:solidFill>
          </w14:textFill>
        </w:rPr>
        <w:t>标准。</w:t>
      </w:r>
    </w:p>
    <w:p w14:paraId="4B47C5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四、签约合同价与合同价格形式</w:t>
      </w:r>
      <w:r>
        <w:rPr>
          <w:rFonts w:hint="eastAsia" w:ascii="宋体" w:hAnsi="宋体" w:cs="宋体"/>
          <w:color w:val="000000" w:themeColor="text1"/>
          <w:sz w:val="24"/>
          <w:highlight w:val="none"/>
          <w14:textFill>
            <w14:solidFill>
              <w14:schemeClr w14:val="tx1"/>
            </w14:solidFill>
          </w14:textFill>
        </w:rPr>
        <w:tab/>
      </w:r>
    </w:p>
    <w:p w14:paraId="2C4C5C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1.签约合同价为：</w:t>
      </w:r>
    </w:p>
    <w:p w14:paraId="09E705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00551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p w14:paraId="5286C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（1）安全文明施工费：</w:t>
      </w:r>
    </w:p>
    <w:p w14:paraId="15BE9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232848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（2）材料和工程设备暂估价金额：</w:t>
      </w:r>
    </w:p>
    <w:p w14:paraId="6DFD21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779B4E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（3）专业工程暂估价金额：</w:t>
      </w:r>
    </w:p>
    <w:p w14:paraId="1B46FE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1BC0F2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（4）暂列金额：</w:t>
      </w:r>
    </w:p>
    <w:p w14:paraId="6B14EC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542BFC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2.合同价格形式：</w:t>
      </w:r>
      <w:r>
        <w:rPr>
          <w:rFonts w:hint="eastAsia" w:ascii="宋体" w:hAnsi="宋体" w:cs="宋体"/>
          <w:b/>
          <w:color w:val="000000" w:themeColor="text1"/>
          <w:sz w:val="24"/>
          <w:highlight w:val="none"/>
          <w:u w:val="single"/>
          <w14:textFill>
            <w14:solidFill>
              <w14:schemeClr w14:val="tx1"/>
            </w14:solidFill>
          </w14:textFill>
        </w:rPr>
        <w:t xml:space="preserve">☑综合单价合同 □总价合同 </w:t>
      </w:r>
      <w:r>
        <w:rPr>
          <w:rFonts w:hint="eastAsia" w:ascii="宋体" w:hAnsi="宋体" w:cs="宋体"/>
          <w:color w:val="000000" w:themeColor="text1"/>
          <w:sz w:val="24"/>
          <w:highlight w:val="none"/>
          <w14:textFill>
            <w14:solidFill>
              <w14:schemeClr w14:val="tx1"/>
            </w14:solidFill>
          </w14:textFill>
        </w:rPr>
        <w:t>。</w:t>
      </w:r>
    </w:p>
    <w:p w14:paraId="763C56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五、项目经理</w:t>
      </w:r>
    </w:p>
    <w:p w14:paraId="512466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1967B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六、合同文件构成</w:t>
      </w:r>
    </w:p>
    <w:p w14:paraId="2533C1A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本协议书与下列文件一起构成合同文件：</w:t>
      </w:r>
    </w:p>
    <w:p w14:paraId="1E7CBD8B">
      <w:pPr>
        <w:autoSpaceDE w:val="0"/>
        <w:autoSpaceDN w:val="0"/>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1、成交通知书；</w:t>
      </w:r>
    </w:p>
    <w:p w14:paraId="2C072D51">
      <w:pPr>
        <w:autoSpaceDE w:val="0"/>
        <w:autoSpaceDN w:val="0"/>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2、本合同专用条款；</w:t>
      </w:r>
    </w:p>
    <w:p w14:paraId="3E524792">
      <w:pPr>
        <w:autoSpaceDE w:val="0"/>
        <w:autoSpaceDN w:val="0"/>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3、询标纪要；</w:t>
      </w:r>
    </w:p>
    <w:p w14:paraId="7BDA731A">
      <w:pPr>
        <w:autoSpaceDE w:val="0"/>
        <w:autoSpaceDN w:val="0"/>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4、磋商文件及磋商补充文件；</w:t>
      </w:r>
    </w:p>
    <w:p w14:paraId="776AD393">
      <w:pPr>
        <w:autoSpaceDE w:val="0"/>
        <w:autoSpaceDN w:val="0"/>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5、响应文件及其附件（含已标价工程量清单）；</w:t>
      </w:r>
    </w:p>
    <w:p w14:paraId="14C25D8C">
      <w:pPr>
        <w:autoSpaceDE w:val="0"/>
        <w:autoSpaceDN w:val="0"/>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6、图纸；</w:t>
      </w:r>
    </w:p>
    <w:p w14:paraId="4679291E">
      <w:pPr>
        <w:autoSpaceDE w:val="0"/>
        <w:autoSpaceDN w:val="0"/>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7、本合同通用条款；</w:t>
      </w:r>
    </w:p>
    <w:p w14:paraId="35202CE1">
      <w:pPr>
        <w:autoSpaceDE w:val="0"/>
        <w:autoSpaceDN w:val="0"/>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8、标准、规范及有关技术文件；</w:t>
      </w:r>
    </w:p>
    <w:p w14:paraId="24E19824">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9、其他合同文件</w:t>
      </w:r>
      <w:r>
        <w:rPr>
          <w:rFonts w:hint="eastAsia" w:ascii="宋体" w:hAnsi="宋体" w:cs="宋体"/>
          <w:color w:val="000000" w:themeColor="text1"/>
          <w:sz w:val="24"/>
          <w:highlight w:val="none"/>
          <w14:textFill>
            <w14:solidFill>
              <w14:schemeClr w14:val="tx1"/>
            </w14:solidFill>
          </w14:textFill>
        </w:rPr>
        <w:t>。</w:t>
      </w:r>
    </w:p>
    <w:p w14:paraId="0C08F40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在合同订立及履行过程中形成的与合同有关的文件均构成合同文件组成部分。</w:t>
      </w:r>
    </w:p>
    <w:p w14:paraId="36A56C6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4EF981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七、承诺</w:t>
      </w:r>
    </w:p>
    <w:p w14:paraId="1AE4694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33360FE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FC0AD2B">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73EC69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八、词语含义</w:t>
      </w:r>
    </w:p>
    <w:p w14:paraId="012E4F42">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本协议书中词语含义与第二部分通用合同条款中赋予的含义相同。</w:t>
      </w:r>
    </w:p>
    <w:p w14:paraId="6E647D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九、签订时间</w:t>
      </w:r>
    </w:p>
    <w:p w14:paraId="4E12B9A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日签订。</w:t>
      </w:r>
    </w:p>
    <w:p w14:paraId="292098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十、签订地点</w:t>
      </w:r>
    </w:p>
    <w:p w14:paraId="77FC579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签订。</w:t>
      </w:r>
    </w:p>
    <w:p w14:paraId="195A74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十一、补充协议</w:t>
      </w:r>
    </w:p>
    <w:p w14:paraId="44DAEB7C">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合同未尽事宜，合同当事人另行签订补充协议，补充协议是合同的组成部分。</w:t>
      </w:r>
    </w:p>
    <w:p w14:paraId="2C069D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十二、合同生效</w:t>
      </w:r>
    </w:p>
    <w:p w14:paraId="7B9F38C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本合同自</w:t>
      </w:r>
      <w:r>
        <w:rPr>
          <w:rFonts w:hint="eastAsia" w:ascii="宋体" w:hAnsi="宋体" w:cs="宋体"/>
          <w:b/>
          <w:color w:val="000000" w:themeColor="text1"/>
          <w:sz w:val="24"/>
          <w:highlight w:val="none"/>
          <w:u w:val="single"/>
          <w14:textFill>
            <w14:solidFill>
              <w14:schemeClr w14:val="tx1"/>
            </w14:solidFill>
          </w14:textFill>
        </w:rPr>
        <w:t>双方签字盖章后且承包人提交足额的履约担保后</w:t>
      </w:r>
      <w:r>
        <w:rPr>
          <w:rFonts w:hint="eastAsia" w:ascii="宋体" w:hAnsi="宋体" w:cs="宋体"/>
          <w:bCs/>
          <w:color w:val="000000" w:themeColor="text1"/>
          <w:sz w:val="24"/>
          <w:highlight w:val="none"/>
          <w14:textFill>
            <w14:solidFill>
              <w14:schemeClr w14:val="tx1"/>
            </w14:solidFill>
          </w14:textFill>
        </w:rPr>
        <w:t>生效。</w:t>
      </w:r>
    </w:p>
    <w:p w14:paraId="0A4DAA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十三、合同份数</w:t>
      </w:r>
    </w:p>
    <w:p w14:paraId="31278B59">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本合同一式</w:t>
      </w:r>
      <w:r>
        <w:rPr>
          <w:rFonts w:hint="eastAsia" w:ascii="宋体" w:hAnsi="宋体" w:cs="宋体"/>
          <w:bCs/>
          <w:color w:val="000000" w:themeColor="text1"/>
          <w:sz w:val="24"/>
          <w:highlight w:val="none"/>
          <w:u w:val="single"/>
          <w14:textFill>
            <w14:solidFill>
              <w14:schemeClr w14:val="tx1"/>
            </w14:solidFill>
          </w14:textFill>
        </w:rPr>
        <w:t>柒</w:t>
      </w:r>
      <w:r>
        <w:rPr>
          <w:rFonts w:hint="eastAsia" w:ascii="宋体" w:hAnsi="宋体" w:cs="宋体"/>
          <w:bCs/>
          <w:color w:val="000000" w:themeColor="text1"/>
          <w:sz w:val="24"/>
          <w:highlight w:val="none"/>
          <w14:textFill>
            <w14:solidFill>
              <w14:schemeClr w14:val="tx1"/>
            </w14:solidFill>
          </w14:textFill>
        </w:rPr>
        <w:t>份，均具有同等法律效力，发包人执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份，承包人执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份，招标代理机构</w:t>
      </w:r>
      <w:r>
        <w:rPr>
          <w:rFonts w:hint="eastAsia" w:ascii="宋体" w:hAnsi="宋体" w:cs="宋体"/>
          <w:bCs/>
          <w:color w:val="000000" w:themeColor="text1"/>
          <w:sz w:val="24"/>
          <w:highlight w:val="none"/>
          <w:u w:val="single"/>
          <w14:textFill>
            <w14:solidFill>
              <w14:schemeClr w14:val="tx1"/>
            </w14:solidFill>
          </w14:textFill>
        </w:rPr>
        <w:t>壹</w:t>
      </w:r>
      <w:r>
        <w:rPr>
          <w:rFonts w:hint="eastAsia" w:ascii="宋体" w:hAnsi="宋体" w:cs="宋体"/>
          <w:bCs/>
          <w:color w:val="000000" w:themeColor="text1"/>
          <w:sz w:val="24"/>
          <w:highlight w:val="none"/>
          <w14:textFill>
            <w14:solidFill>
              <w14:schemeClr w14:val="tx1"/>
            </w14:solidFill>
          </w14:textFill>
        </w:rPr>
        <w:t>份。</w:t>
      </w:r>
    </w:p>
    <w:p w14:paraId="1A43AEC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F033EC">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w:t>
      </w:r>
    </w:p>
    <w:p w14:paraId="36954A2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             法定代表人或其委托代理人：</w:t>
      </w:r>
    </w:p>
    <w:p w14:paraId="0170A83D">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                              （签字）</w:t>
      </w:r>
    </w:p>
    <w:p w14:paraId="1A42B2D6">
      <w:pPr>
        <w:tabs>
          <w:tab w:val="left" w:pos="4410"/>
        </w:tabs>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                          组织机构代码：</w:t>
      </w:r>
      <w:r>
        <w:rPr>
          <w:rFonts w:hint="eastAsia" w:ascii="宋体" w:hAnsi="宋体" w:cs="宋体"/>
          <w:color w:val="000000" w:themeColor="text1"/>
          <w:sz w:val="24"/>
          <w:highlight w:val="none"/>
          <w:u w:val="single"/>
          <w14:textFill>
            <w14:solidFill>
              <w14:schemeClr w14:val="tx1"/>
            </w14:solidFill>
          </w14:textFill>
        </w:rPr>
        <w:t xml:space="preserve">        </w:t>
      </w:r>
    </w:p>
    <w:p w14:paraId="770C3AF9">
      <w:pPr>
        <w:spacing w:line="400" w:lineRule="exact"/>
        <w:ind w:left="5760" w:hanging="5760" w:hangingChars="2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r>
        <w:rPr>
          <w:rFonts w:hint="eastAsia" w:ascii="宋体" w:hAnsi="宋体" w:cs="宋体"/>
          <w:color w:val="000000" w:themeColor="text1"/>
          <w:sz w:val="24"/>
          <w:highlight w:val="none"/>
          <w:u w:val="single"/>
          <w14:textFill>
            <w14:solidFill>
              <w14:schemeClr w14:val="tx1"/>
            </w14:solidFill>
          </w14:textFill>
        </w:rPr>
        <w:t xml:space="preserve">                                 </w:t>
      </w:r>
    </w:p>
    <w:p w14:paraId="505F34C1">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u w:val="single"/>
          <w14:textFill>
            <w14:solidFill>
              <w14:schemeClr w14:val="tx1"/>
            </w14:solidFill>
          </w14:textFill>
        </w:rPr>
        <w:t xml:space="preserve"> </w:t>
      </w:r>
    </w:p>
    <w:p w14:paraId="649B4FF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r>
        <w:rPr>
          <w:rFonts w:hint="eastAsia" w:ascii="宋体" w:hAnsi="宋体" w:cs="宋体"/>
          <w:color w:val="000000" w:themeColor="text1"/>
          <w:sz w:val="24"/>
          <w:highlight w:val="none"/>
          <w:u w:val="single"/>
          <w14:textFill>
            <w14:solidFill>
              <w14:schemeClr w14:val="tx1"/>
            </w14:solidFill>
          </w14:textFill>
        </w:rPr>
        <w:t xml:space="preserve">        </w:t>
      </w:r>
    </w:p>
    <w:p w14:paraId="47B928E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r>
        <w:rPr>
          <w:rFonts w:hint="eastAsia" w:ascii="宋体" w:hAnsi="宋体" w:cs="宋体"/>
          <w:color w:val="000000" w:themeColor="text1"/>
          <w:sz w:val="24"/>
          <w:highlight w:val="none"/>
          <w:u w:val="single"/>
          <w14:textFill>
            <w14:solidFill>
              <w14:schemeClr w14:val="tx1"/>
            </w14:solidFill>
          </w14:textFill>
        </w:rPr>
        <w:t xml:space="preserve">           </w:t>
      </w:r>
    </w:p>
    <w:p w14:paraId="5A66E70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电子信箱：</w:t>
      </w:r>
      <w:r>
        <w:rPr>
          <w:rFonts w:hint="eastAsia" w:ascii="宋体" w:hAnsi="宋体" w:cs="宋体"/>
          <w:color w:val="000000" w:themeColor="text1"/>
          <w:sz w:val="24"/>
          <w:highlight w:val="none"/>
          <w:u w:val="single"/>
          <w14:textFill>
            <w14:solidFill>
              <w14:schemeClr w14:val="tx1"/>
            </w14:solidFill>
          </w14:textFill>
        </w:rPr>
        <w:t xml:space="preserve">      </w:t>
      </w:r>
    </w:p>
    <w:p w14:paraId="6AEE6DC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r>
        <w:rPr>
          <w:rFonts w:hint="eastAsia" w:ascii="宋体" w:hAnsi="宋体" w:cs="宋体"/>
          <w:color w:val="000000" w:themeColor="text1"/>
          <w:sz w:val="24"/>
          <w:highlight w:val="none"/>
          <w:u w:val="single"/>
          <w14:textFill>
            <w14:solidFill>
              <w14:schemeClr w14:val="tx1"/>
            </w14:solidFill>
          </w14:textFill>
        </w:rPr>
        <w:t xml:space="preserve">   </w:t>
      </w:r>
    </w:p>
    <w:p w14:paraId="467D07A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r>
        <w:rPr>
          <w:rFonts w:hint="eastAsia" w:ascii="宋体" w:hAnsi="宋体" w:cs="宋体"/>
          <w:color w:val="000000" w:themeColor="text1"/>
          <w:sz w:val="24"/>
          <w:highlight w:val="none"/>
          <w:u w:val="single"/>
          <w14:textFill>
            <w14:solidFill>
              <w14:schemeClr w14:val="tx1"/>
            </w14:solidFill>
          </w14:textFill>
        </w:rPr>
        <w:t xml:space="preserve"> </w:t>
      </w:r>
    </w:p>
    <w:p w14:paraId="7B60B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D5B89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采购代理机构： </w:t>
      </w:r>
      <w:r>
        <w:rPr>
          <w:rFonts w:hint="eastAsia" w:ascii="宋体" w:hAnsi="宋体" w:cs="宋体"/>
          <w:color w:val="000000" w:themeColor="text1"/>
          <w:spacing w:val="-6"/>
          <w:sz w:val="24"/>
          <w:highlight w:val="none"/>
          <w14:textFill>
            <w14:solidFill>
              <w14:schemeClr w14:val="tx1"/>
            </w14:solidFill>
          </w14:textFill>
        </w:rPr>
        <w:t>（公章/合同专用章）</w:t>
      </w:r>
    </w:p>
    <w:p w14:paraId="6CF6C1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采购代理机构代表：（签字）</w:t>
      </w:r>
    </w:p>
    <w:p w14:paraId="78EE93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14:paraId="21243D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7F511362">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鉴证时间：  年   月   日</w:t>
      </w:r>
    </w:p>
    <w:p w14:paraId="7E9C6EC5">
      <w:pPr>
        <w:snapToGrid w:val="0"/>
        <w:spacing w:line="312"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5EB4AB90">
      <w:pPr>
        <w:snapToGrid w:val="0"/>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通用合同条款</w:t>
      </w:r>
    </w:p>
    <w:p w14:paraId="232C4237">
      <w:pPr>
        <w:snapToGrid w:val="0"/>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略，见（GF—2017—0201）《建设工程施工合同》（示范文本）</w:t>
      </w:r>
    </w:p>
    <w:p w14:paraId="24E84B2D">
      <w:pPr>
        <w:snapToGrid w:val="0"/>
        <w:spacing w:line="360" w:lineRule="auto"/>
        <w:ind w:firstLine="480"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第三部分 专用合同条款</w:t>
      </w:r>
    </w:p>
    <w:p w14:paraId="34A8CD7E">
      <w:pPr>
        <w:keepNext/>
        <w:keepLines/>
        <w:widowControl w:val="0"/>
        <w:adjustRightInd w:val="0"/>
        <w:spacing w:before="280" w:after="290" w:line="360" w:lineRule="auto"/>
        <w:ind w:left="864" w:firstLine="480" w:firstLineChars="200"/>
        <w:jc w:val="both"/>
        <w:outlineLvl w:val="3"/>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1. 一般约定</w:t>
      </w:r>
    </w:p>
    <w:p w14:paraId="55B19E0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529743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146BA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1.1.1.10其他合同文件包括：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752A6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合同当事人及其他相关方</w:t>
      </w:r>
    </w:p>
    <w:p w14:paraId="6ED89F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1.1.2.4监理人：</w:t>
      </w:r>
    </w:p>
    <w:p w14:paraId="1342AC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1BC8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8AE7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B094F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76B3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4827D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设计人：</w:t>
      </w:r>
    </w:p>
    <w:p w14:paraId="7FE5D2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B1393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4C993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680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D07A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C0069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32D637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作为施工现场组成部分的其他场所包括：</w:t>
      </w:r>
      <w:r>
        <w:rPr>
          <w:rFonts w:hint="eastAsia" w:ascii="宋体" w:hAnsi="宋体" w:cs="宋体"/>
          <w:color w:val="000000" w:themeColor="text1"/>
          <w:sz w:val="24"/>
          <w:highlight w:val="none"/>
          <w:u w:val="single"/>
          <w14:textFill>
            <w14:solidFill>
              <w14:schemeClr w14:val="tx1"/>
            </w14:solidFill>
          </w14:textFill>
        </w:rPr>
        <w:t xml:space="preserve"> /   </w:t>
      </w:r>
    </w:p>
    <w:p w14:paraId="0DC094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永久占地包括：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51A5D4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临时占地包括：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75EC08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1.3法律 </w:t>
      </w:r>
    </w:p>
    <w:p w14:paraId="25D7BE3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适用于合同的其他规范性文件：</w:t>
      </w:r>
      <w:r>
        <w:rPr>
          <w:rFonts w:hint="eastAsia" w:ascii="宋体" w:hAnsi="宋体" w:cs="宋体"/>
          <w:b/>
          <w:color w:val="000000" w:themeColor="text1"/>
          <w:sz w:val="24"/>
          <w:highlight w:val="none"/>
          <w:u w:val="single"/>
          <w14:textFill>
            <w14:solidFill>
              <w14:schemeClr w14:val="tx1"/>
            </w14:solidFill>
          </w14:textFill>
        </w:rPr>
        <w:t>《中华人民共和国建筑法》、《中华人民共和国民法典》、《中华人民共和国政府采购法》及国家、浙江省、杭州市现行的其它法律、行政法规、地方性法规</w:t>
      </w:r>
      <w:r>
        <w:rPr>
          <w:rFonts w:hint="eastAsia" w:ascii="宋体" w:hAnsi="宋体" w:cs="宋体"/>
          <w:color w:val="000000" w:themeColor="text1"/>
          <w:sz w:val="24"/>
          <w:highlight w:val="none"/>
          <w14:textFill>
            <w14:solidFill>
              <w14:schemeClr w14:val="tx1"/>
            </w14:solidFill>
          </w14:textFill>
        </w:rPr>
        <w:t>。</w:t>
      </w:r>
    </w:p>
    <w:p w14:paraId="540D7D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标准和规范</w:t>
      </w:r>
    </w:p>
    <w:p w14:paraId="1858E2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1.4.1适用于工程的标准规范包括：</w:t>
      </w:r>
      <w:r>
        <w:rPr>
          <w:rFonts w:hint="eastAsia" w:ascii="宋体" w:hAnsi="宋体" w:cs="宋体"/>
          <w:b/>
          <w:color w:val="000000" w:themeColor="text1"/>
          <w:sz w:val="24"/>
          <w:highlight w:val="none"/>
          <w:u w:val="single"/>
          <w14:textFill>
            <w14:solidFill>
              <w14:schemeClr w14:val="tx1"/>
            </w14:solidFill>
          </w14:textFill>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cs="宋体"/>
          <w:color w:val="000000" w:themeColor="text1"/>
          <w:sz w:val="24"/>
          <w:highlight w:val="none"/>
          <w14:textFill>
            <w14:solidFill>
              <w14:schemeClr w14:val="tx1"/>
            </w14:solidFill>
          </w14:textFill>
        </w:rPr>
        <w:t>。</w:t>
      </w:r>
    </w:p>
    <w:p w14:paraId="4C5410DD">
      <w:pPr>
        <w:snapToGrid w:val="0"/>
        <w:spacing w:line="360" w:lineRule="auto"/>
        <w:ind w:firstLine="480" w:firstLineChars="200"/>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D99F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发包人提供国外标准、规范的份数：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211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0FC4D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1.4.3发包人对工程的技术标准和功能要求的特殊要求：</w:t>
      </w:r>
      <w:r>
        <w:rPr>
          <w:rFonts w:hint="eastAsia" w:ascii="宋体" w:hAnsi="宋体" w:cs="宋体"/>
          <w:b/>
          <w:color w:val="000000" w:themeColor="text1"/>
          <w:sz w:val="24"/>
          <w:highlight w:val="none"/>
          <w:u w:val="single"/>
          <w14:textFill>
            <w14:solidFill>
              <w14:schemeClr w14:val="tx1"/>
            </w14:solidFill>
          </w14:textFill>
        </w:rPr>
        <w:t xml:space="preserve">按磋商文件相关条款的约定   </w:t>
      </w:r>
      <w:r>
        <w:rPr>
          <w:rFonts w:hint="eastAsia" w:ascii="宋体" w:hAnsi="宋体" w:cs="宋体"/>
          <w:color w:val="000000" w:themeColor="text1"/>
          <w:sz w:val="24"/>
          <w:highlight w:val="none"/>
          <w14:textFill>
            <w14:solidFill>
              <w14:schemeClr w14:val="tx1"/>
            </w14:solidFill>
          </w14:textFill>
        </w:rPr>
        <w:t>。</w:t>
      </w:r>
    </w:p>
    <w:p w14:paraId="61E17B5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合同文件的优先顺序</w:t>
      </w:r>
    </w:p>
    <w:p w14:paraId="4F721ED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合同文件组成及优先顺序为：</w:t>
      </w:r>
    </w:p>
    <w:p w14:paraId="2A4BA77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color w:val="000000" w:themeColor="text1"/>
          <w:sz w:val="24"/>
          <w:highlight w:val="none"/>
          <w14:textFill>
            <w14:solidFill>
              <w14:schemeClr w14:val="tx1"/>
            </w14:solidFill>
          </w14:textFill>
        </w:rPr>
        <w:t>。</w:t>
      </w:r>
    </w:p>
    <w:p w14:paraId="1595635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color w:val="000000" w:themeColor="text1"/>
          <w:sz w:val="24"/>
          <w:highlight w:val="none"/>
          <w14:textFill>
            <w14:solidFill>
              <w14:schemeClr w14:val="tx1"/>
            </w14:solidFill>
          </w14:textFill>
        </w:rPr>
        <w:t>。</w:t>
      </w:r>
    </w:p>
    <w:p w14:paraId="638077D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08B522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115E00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发包人向承包人提供图纸的期限：</w:t>
      </w:r>
      <w:r>
        <w:rPr>
          <w:rFonts w:hint="eastAsia" w:ascii="宋体" w:hAnsi="宋体" w:cs="宋体"/>
          <w:b/>
          <w:color w:val="000000" w:themeColor="text1"/>
          <w:sz w:val="24"/>
          <w:highlight w:val="none"/>
          <w:u w:val="single"/>
          <w14:textFill>
            <w14:solidFill>
              <w14:schemeClr w14:val="tx1"/>
            </w14:solidFill>
          </w14:textFill>
        </w:rPr>
        <w:t>合同签定后【3】天内</w:t>
      </w:r>
      <w:r>
        <w:rPr>
          <w:rFonts w:hint="eastAsia" w:ascii="宋体" w:hAnsi="宋体" w:cs="宋体"/>
          <w:color w:val="000000" w:themeColor="text1"/>
          <w:sz w:val="24"/>
          <w:highlight w:val="none"/>
          <w14:textFill>
            <w14:solidFill>
              <w14:schemeClr w14:val="tx1"/>
            </w14:solidFill>
          </w14:textFill>
        </w:rPr>
        <w:t>；</w:t>
      </w:r>
    </w:p>
    <w:p w14:paraId="1082AC5A">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发包人向承包人提供图纸的数量：</w:t>
      </w:r>
      <w:r>
        <w:rPr>
          <w:rFonts w:hint="eastAsia" w:ascii="宋体" w:hAnsi="宋体" w:cs="宋体"/>
          <w:b/>
          <w:color w:val="000000" w:themeColor="text1"/>
          <w:sz w:val="24"/>
          <w:highlight w:val="none"/>
          <w:u w:val="single"/>
          <w14:textFill>
            <w14:solidFill>
              <w14:schemeClr w14:val="tx1"/>
            </w14:solidFill>
          </w14:textFill>
        </w:rPr>
        <w:t>提供施工图纸【4】套，如承包人额外需要增加施工图纸套数的，所需费由承包人承担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所有的技术标准、行业标准、技术规范、标准图均由承包人自备。</w:t>
      </w:r>
    </w:p>
    <w:p w14:paraId="11BCB2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发包人向承包人提供图纸的内容：</w:t>
      </w:r>
      <w:r>
        <w:rPr>
          <w:rFonts w:hint="eastAsia" w:ascii="宋体" w:hAnsi="宋体" w:cs="宋体"/>
          <w:b/>
          <w:color w:val="000000" w:themeColor="text1"/>
          <w:sz w:val="24"/>
          <w:highlight w:val="none"/>
          <w:u w:val="single"/>
          <w14:textFill>
            <w14:solidFill>
              <w14:schemeClr w14:val="tx1"/>
            </w14:solidFill>
          </w14:textFill>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cs="宋体"/>
          <w:color w:val="000000" w:themeColor="text1"/>
          <w:sz w:val="24"/>
          <w:highlight w:val="none"/>
          <w14:textFill>
            <w14:solidFill>
              <w14:schemeClr w14:val="tx1"/>
            </w14:solidFill>
          </w14:textFill>
        </w:rPr>
        <w:t>。</w:t>
      </w:r>
    </w:p>
    <w:p w14:paraId="5009C2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承包人文件</w:t>
      </w:r>
    </w:p>
    <w:p w14:paraId="486EDD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需要由承包人提供的文件，包括但不限于：</w:t>
      </w:r>
      <w:r>
        <w:rPr>
          <w:rFonts w:hint="eastAsia" w:ascii="宋体" w:hAnsi="宋体" w:cs="宋体"/>
          <w:b/>
          <w:color w:val="000000" w:themeColor="text1"/>
          <w:sz w:val="24"/>
          <w:highlight w:val="none"/>
          <w:u w:val="single"/>
          <w14:textFill>
            <w14:solidFill>
              <w14:schemeClr w14:val="tx1"/>
            </w14:solidFill>
          </w14:textFill>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cs="宋体"/>
          <w:color w:val="000000" w:themeColor="text1"/>
          <w:sz w:val="24"/>
          <w:highlight w:val="none"/>
          <w14:textFill>
            <w14:solidFill>
              <w14:schemeClr w14:val="tx1"/>
            </w14:solidFill>
          </w14:textFill>
        </w:rPr>
        <w:t>；</w:t>
      </w:r>
    </w:p>
    <w:p w14:paraId="358F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承包人提供的文件的期限为：</w:t>
      </w:r>
      <w:r>
        <w:rPr>
          <w:rFonts w:hint="eastAsia" w:ascii="宋体" w:hAnsi="宋体" w:cs="宋体"/>
          <w:b/>
          <w:color w:val="000000" w:themeColor="text1"/>
          <w:sz w:val="24"/>
          <w:highlight w:val="none"/>
          <w:u w:val="single"/>
          <w14:textFill>
            <w14:solidFill>
              <w14:schemeClr w14:val="tx1"/>
            </w14:solidFill>
          </w14:textFill>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cs="宋体"/>
          <w:color w:val="000000" w:themeColor="text1"/>
          <w:sz w:val="24"/>
          <w:highlight w:val="none"/>
          <w14:textFill>
            <w14:solidFill>
              <w14:schemeClr w14:val="tx1"/>
            </w14:solidFill>
          </w14:textFill>
        </w:rPr>
        <w:t>；</w:t>
      </w:r>
    </w:p>
    <w:p w14:paraId="17FAF2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承包人提供的文件的数量为：</w:t>
      </w:r>
      <w:r>
        <w:rPr>
          <w:rFonts w:hint="eastAsia" w:ascii="宋体" w:hAnsi="宋体" w:cs="宋体"/>
          <w:b/>
          <w:bCs/>
          <w:color w:val="000000" w:themeColor="text1"/>
          <w:sz w:val="24"/>
          <w:highlight w:val="none"/>
          <w:u w:val="single"/>
          <w14:textFill>
            <w14:solidFill>
              <w14:schemeClr w14:val="tx1"/>
            </w14:solidFill>
          </w14:textFill>
        </w:rPr>
        <w:t>一式【4】份并满足工程需要</w:t>
      </w:r>
      <w:r>
        <w:rPr>
          <w:rFonts w:hint="eastAsia" w:ascii="宋体" w:hAnsi="宋体" w:cs="宋体"/>
          <w:color w:val="000000" w:themeColor="text1"/>
          <w:sz w:val="24"/>
          <w:highlight w:val="none"/>
          <w:u w:val="single"/>
          <w14:textFill>
            <w14:solidFill>
              <w14:schemeClr w14:val="tx1"/>
            </w14:solidFill>
          </w14:textFill>
        </w:rPr>
        <w:t>；</w:t>
      </w:r>
    </w:p>
    <w:p w14:paraId="4F30DA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承包人提供的文件的形式为：</w:t>
      </w:r>
      <w:r>
        <w:rPr>
          <w:rFonts w:hint="eastAsia" w:ascii="宋体" w:hAnsi="宋体" w:cs="宋体"/>
          <w:b/>
          <w:bCs/>
          <w:color w:val="000000" w:themeColor="text1"/>
          <w:sz w:val="24"/>
          <w:highlight w:val="none"/>
          <w:u w:val="single"/>
          <w14:textFill>
            <w14:solidFill>
              <w14:schemeClr w14:val="tx1"/>
            </w14:solidFill>
          </w14:textFill>
        </w:rPr>
        <w:t>盖有公章纸质文件和文件的电子稿（包括扫描件）</w:t>
      </w:r>
      <w:r>
        <w:rPr>
          <w:rFonts w:hint="eastAsia" w:ascii="宋体" w:hAnsi="宋体" w:cs="宋体"/>
          <w:color w:val="000000" w:themeColor="text1"/>
          <w:sz w:val="24"/>
          <w:highlight w:val="none"/>
          <w:u w:val="single"/>
          <w14:textFill>
            <w14:solidFill>
              <w14:schemeClr w14:val="tx1"/>
            </w14:solidFill>
          </w14:textFill>
        </w:rPr>
        <w:t xml:space="preserve"> ；</w:t>
      </w:r>
    </w:p>
    <w:p w14:paraId="7654BA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发包人审批承包人文件的期限：</w:t>
      </w:r>
      <w:r>
        <w:rPr>
          <w:rFonts w:hint="eastAsia" w:ascii="宋体" w:hAnsi="宋体" w:cs="宋体"/>
          <w:b/>
          <w:color w:val="000000" w:themeColor="text1"/>
          <w:sz w:val="24"/>
          <w:highlight w:val="none"/>
          <w:u w:val="single"/>
          <w14:textFill>
            <w14:solidFill>
              <w14:schemeClr w14:val="tx1"/>
            </w14:solidFill>
          </w14:textFill>
        </w:rPr>
        <w:t>收到报告后【7】天内</w:t>
      </w:r>
      <w:r>
        <w:rPr>
          <w:rFonts w:hint="eastAsia" w:ascii="宋体" w:hAnsi="宋体" w:cs="宋体"/>
          <w:color w:val="000000" w:themeColor="text1"/>
          <w:sz w:val="24"/>
          <w:highlight w:val="none"/>
          <w14:textFill>
            <w14:solidFill>
              <w14:schemeClr w14:val="tx1"/>
            </w14:solidFill>
          </w14:textFill>
        </w:rPr>
        <w:t>。</w:t>
      </w:r>
    </w:p>
    <w:p w14:paraId="4B541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现场图纸准备</w:t>
      </w:r>
    </w:p>
    <w:p w14:paraId="6E6A3D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关于现场图纸准备的约定：</w:t>
      </w:r>
      <w:r>
        <w:rPr>
          <w:rFonts w:hint="eastAsia" w:ascii="宋体" w:hAnsi="宋体" w:cs="宋体"/>
          <w:b/>
          <w:color w:val="000000" w:themeColor="text1"/>
          <w:sz w:val="24"/>
          <w:highlight w:val="none"/>
          <w:u w:val="single"/>
          <w14:textFill>
            <w14:solidFill>
              <w14:schemeClr w14:val="tx1"/>
            </w14:solidFill>
          </w14:textFill>
        </w:rPr>
        <w:t>按通用合同条款第1.6.5条规定执行</w:t>
      </w:r>
      <w:r>
        <w:rPr>
          <w:rFonts w:hint="eastAsia" w:ascii="宋体" w:hAnsi="宋体" w:cs="宋体"/>
          <w:color w:val="000000" w:themeColor="text1"/>
          <w:sz w:val="24"/>
          <w:highlight w:val="none"/>
          <w14:textFill>
            <w14:solidFill>
              <w14:schemeClr w14:val="tx1"/>
            </w14:solidFill>
          </w14:textFill>
        </w:rPr>
        <w:t>。</w:t>
      </w:r>
    </w:p>
    <w:p w14:paraId="0A6883E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联络</w:t>
      </w:r>
    </w:p>
    <w:p w14:paraId="5AFBE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1.7.1承包人应当在</w:t>
      </w:r>
      <w:r>
        <w:rPr>
          <w:rFonts w:hint="eastAsia" w:ascii="宋体" w:hAnsi="宋体" w:cs="宋体"/>
          <w:color w:val="000000" w:themeColor="text1"/>
          <w:sz w:val="24"/>
          <w:highlight w:val="none"/>
          <w:u w:val="single"/>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天内将与合同有关的通知、批准、证明、证书、指示、指令、要求、请求、同意、意见、确定和决定等书面函件送达对方当事人。</w:t>
      </w:r>
    </w:p>
    <w:p w14:paraId="373C2E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发包人接收文件的地点：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6B1063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2A23A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4515F8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B4DD8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1C609A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718FF6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 交通运输</w:t>
      </w:r>
    </w:p>
    <w:p w14:paraId="412C8DB8">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出入现场的权利</w:t>
      </w:r>
    </w:p>
    <w:p w14:paraId="64A3B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关于出入现场的权利的约定：</w:t>
      </w:r>
      <w:r>
        <w:rPr>
          <w:rFonts w:hint="eastAsia" w:ascii="宋体" w:hAnsi="宋体" w:cs="宋体"/>
          <w:color w:val="000000" w:themeColor="text1"/>
          <w:sz w:val="24"/>
          <w:highlight w:val="none"/>
          <w:u w:val="single"/>
          <w14:textFill>
            <w14:solidFill>
              <w14:schemeClr w14:val="tx1"/>
            </w14:solidFill>
          </w14:textFill>
        </w:rPr>
        <w:t>按通用合同条款第1.10.1条规定执行</w:t>
      </w:r>
      <w:r>
        <w:rPr>
          <w:rFonts w:hint="eastAsia" w:ascii="宋体" w:hAnsi="宋体" w:cs="宋体"/>
          <w:color w:val="000000" w:themeColor="text1"/>
          <w:sz w:val="24"/>
          <w:highlight w:val="none"/>
          <w14:textFill>
            <w14:solidFill>
              <w14:schemeClr w14:val="tx1"/>
            </w14:solidFill>
          </w14:textFill>
        </w:rPr>
        <w:t>。</w:t>
      </w:r>
    </w:p>
    <w:p w14:paraId="7E2D5FE6">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 场内交通</w:t>
      </w:r>
    </w:p>
    <w:p w14:paraId="6466C6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关于场外交通和场内交通的边界的约定：</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3D26F0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 w:val="24"/>
          <w:highlight w:val="none"/>
          <w:u w:val="single"/>
          <w14:textFill>
            <w14:solidFill>
              <w14:schemeClr w14:val="tx1"/>
            </w14:solidFill>
          </w14:textFill>
        </w:rPr>
        <w:t xml:space="preserve">利用现有的场内道路和交通设施，如需新建，承包人需在征得发包人同意后自行建设，并承担费用。  </w:t>
      </w:r>
    </w:p>
    <w:p w14:paraId="4F3C14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1.10.4超大件和超重件的运输</w:t>
      </w:r>
    </w:p>
    <w:p w14:paraId="4A53D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cs="宋体"/>
          <w:b/>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17E71BA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知识产权</w:t>
      </w:r>
    </w:p>
    <w:p w14:paraId="40CBC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000000" w:themeColor="text1"/>
          <w:sz w:val="24"/>
          <w:highlight w:val="none"/>
          <w:u w:val="single"/>
          <w14:textFill>
            <w14:solidFill>
              <w14:schemeClr w14:val="tx1"/>
            </w14:solidFill>
          </w14:textFill>
        </w:rPr>
        <w:t>著作权属于发包人</w:t>
      </w:r>
      <w:r>
        <w:rPr>
          <w:rFonts w:hint="eastAsia" w:ascii="宋体" w:hAnsi="宋体" w:cs="宋体"/>
          <w:color w:val="000000" w:themeColor="text1"/>
          <w:sz w:val="24"/>
          <w:highlight w:val="none"/>
          <w14:textFill>
            <w14:solidFill>
              <w14:schemeClr w14:val="tx1"/>
            </w14:solidFill>
          </w14:textFill>
        </w:rPr>
        <w:t>。</w:t>
      </w:r>
    </w:p>
    <w:p w14:paraId="5A1072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color w:val="000000" w:themeColor="text1"/>
          <w:sz w:val="24"/>
          <w:highlight w:val="none"/>
          <w14:textFill>
            <w14:solidFill>
              <w14:schemeClr w14:val="tx1"/>
            </w14:solidFill>
          </w14:textFill>
        </w:rPr>
        <w:t>。</w:t>
      </w:r>
    </w:p>
    <w:p w14:paraId="1AB7A7DC">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1.11.2 关于承包人为实施工程所编制文件的著作权的归属：  </w:t>
      </w:r>
      <w:r>
        <w:rPr>
          <w:rFonts w:hint="eastAsia" w:ascii="宋体" w:hAnsi="宋体" w:cs="宋体"/>
          <w:color w:val="000000" w:themeColor="text1"/>
          <w:sz w:val="24"/>
          <w:highlight w:val="none"/>
          <w:u w:val="single"/>
          <w14:textFill>
            <w14:solidFill>
              <w14:schemeClr w14:val="tx1"/>
            </w14:solidFill>
          </w14:textFill>
        </w:rPr>
        <w:t>归发包人享有</w:t>
      </w:r>
      <w:r>
        <w:rPr>
          <w:rFonts w:hint="eastAsia" w:ascii="宋体" w:hAnsi="宋体" w:cs="宋体"/>
          <w:color w:val="000000" w:themeColor="text1"/>
          <w:sz w:val="24"/>
          <w:highlight w:val="none"/>
          <w14:textFill>
            <w14:solidFill>
              <w14:schemeClr w14:val="tx1"/>
            </w14:solidFill>
          </w14:textFill>
        </w:rPr>
        <w:t>。</w:t>
      </w:r>
    </w:p>
    <w:p w14:paraId="482FE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经发包人事前书面同意，在不泄露发包人商业秘密或技术信息的情况下使用</w:t>
      </w:r>
      <w:r>
        <w:rPr>
          <w:rFonts w:hint="eastAsia" w:ascii="宋体" w:hAnsi="宋体" w:cs="宋体"/>
          <w:color w:val="000000" w:themeColor="text1"/>
          <w:sz w:val="24"/>
          <w:highlight w:val="none"/>
          <w14:textFill>
            <w14:solidFill>
              <w14:schemeClr w14:val="tx1"/>
            </w14:solidFill>
          </w14:textFill>
        </w:rPr>
        <w:t>。</w:t>
      </w:r>
    </w:p>
    <w:p w14:paraId="2812736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sz w:val="24"/>
          <w:highlight w:val="none"/>
          <w:u w:val="single"/>
          <w14:textFill>
            <w14:solidFill>
              <w14:schemeClr w14:val="tx1"/>
            </w14:solidFill>
          </w14:textFill>
        </w:rPr>
        <w:t>承包人自行承担；（除合同明确约定外）承包人在施工过程中所采用的专利、专有技术、技术秘密的使用费用均已包含在本合同价款内，发包人不再另行支付</w:t>
      </w:r>
      <w:r>
        <w:rPr>
          <w:rFonts w:hint="eastAsia" w:ascii="宋体" w:hAnsi="宋体" w:cs="宋体"/>
          <w:color w:val="000000" w:themeColor="text1"/>
          <w:sz w:val="24"/>
          <w:highlight w:val="none"/>
          <w14:textFill>
            <w14:solidFill>
              <w14:schemeClr w14:val="tx1"/>
            </w14:solidFill>
          </w14:textFill>
        </w:rPr>
        <w:t>。</w:t>
      </w:r>
    </w:p>
    <w:p w14:paraId="0EF1FF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1.13工程量清单错误的修正</w:t>
      </w:r>
    </w:p>
    <w:p w14:paraId="2511D7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出现工程量清单错误时，是否调整合同价格：</w:t>
      </w:r>
      <w:r>
        <w:rPr>
          <w:rFonts w:hint="eastAsia" w:ascii="宋体" w:hAnsi="宋体" w:cs="宋体"/>
          <w:color w:val="000000" w:themeColor="text1"/>
          <w:sz w:val="24"/>
          <w:highlight w:val="none"/>
          <w:u w:val="single"/>
          <w14:textFill>
            <w14:solidFill>
              <w14:schemeClr w14:val="tx1"/>
            </w14:solidFill>
          </w14:textFill>
        </w:rPr>
        <w:t>参照本合同专用条款12.1执行</w:t>
      </w:r>
      <w:r>
        <w:rPr>
          <w:rFonts w:hint="eastAsia" w:ascii="宋体" w:hAnsi="宋体" w:cs="宋体"/>
          <w:color w:val="000000" w:themeColor="text1"/>
          <w:sz w:val="24"/>
          <w:highlight w:val="none"/>
          <w14:textFill>
            <w14:solidFill>
              <w14:schemeClr w14:val="tx1"/>
            </w14:solidFill>
          </w14:textFill>
        </w:rPr>
        <w:t>。</w:t>
      </w:r>
    </w:p>
    <w:p w14:paraId="49B8AC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允许调整合同价格的工程量偏差范围：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CAB8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发包人</w:t>
      </w:r>
    </w:p>
    <w:p w14:paraId="7C8B4DE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发包人代表</w:t>
      </w:r>
    </w:p>
    <w:p w14:paraId="47538E5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w:t>
      </w:r>
      <w:r>
        <w:rPr>
          <w:rFonts w:hint="eastAsia" w:ascii="宋体" w:hAnsi="宋体" w:cs="宋体"/>
          <w:color w:val="000000" w:themeColor="text1"/>
          <w:sz w:val="24"/>
          <w:highlight w:val="none"/>
          <w:u w:val="single"/>
          <w14:textFill>
            <w14:solidFill>
              <w14:schemeClr w14:val="tx1"/>
            </w14:solidFill>
          </w14:textFill>
        </w:rPr>
        <w:t xml:space="preserve">                </w:t>
      </w:r>
    </w:p>
    <w:p w14:paraId="771251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                      ；</w:t>
      </w:r>
    </w:p>
    <w:p w14:paraId="23B4DC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                      ；</w:t>
      </w:r>
    </w:p>
    <w:p w14:paraId="402CBC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                      ；</w:t>
      </w:r>
    </w:p>
    <w:p w14:paraId="3DEC6C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w:t>
      </w:r>
    </w:p>
    <w:p w14:paraId="2DD795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w:t>
      </w:r>
    </w:p>
    <w:p w14:paraId="0F109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                      。</w:t>
      </w:r>
    </w:p>
    <w:p w14:paraId="4BB6B122">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发包人对发包人代表的授权范围如下：</w:t>
      </w:r>
      <w:r>
        <w:rPr>
          <w:rFonts w:hint="eastAsia" w:ascii="宋体" w:hAnsi="宋体" w:cs="宋体"/>
          <w:b/>
          <w:bCs/>
          <w:color w:val="000000" w:themeColor="text1"/>
          <w:sz w:val="24"/>
          <w:highlight w:val="none"/>
          <w:u w:val="single"/>
          <w14:textFill>
            <w14:solidFill>
              <w14:schemeClr w14:val="tx1"/>
            </w14:solidFill>
          </w14:textFill>
        </w:rPr>
        <w:t>对质量、成本、安全、进度进行全面管理，但发包人代表签字，不能直接认定为发包人的意思表示，必须经发包人盖章方可生效。</w:t>
      </w:r>
    </w:p>
    <w:p w14:paraId="26AF350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施工现场、施工条件和基础资料的提供</w:t>
      </w:r>
    </w:p>
    <w:p w14:paraId="2448E1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 提供施工现场</w:t>
      </w:r>
    </w:p>
    <w:p w14:paraId="186F8C30">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关于发包人移交施工现场的期限要求：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年   月   日前。</w:t>
      </w:r>
    </w:p>
    <w:p w14:paraId="415B13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提供施工条件</w:t>
      </w:r>
    </w:p>
    <w:p w14:paraId="6963A6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关于发包人应负责提供施工所需要的条件，包括：</w:t>
      </w:r>
    </w:p>
    <w:p w14:paraId="124CC9B5">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u w:val="single"/>
          <w14:textFill>
            <w14:solidFill>
              <w14:schemeClr w14:val="tx1"/>
            </w14:solidFill>
          </w14:textFill>
        </w:rPr>
        <w:t>施工所需的水、电、电讯线路接至施工场地的时间、地点和供应要求：</w:t>
      </w:r>
    </w:p>
    <w:p w14:paraId="6AF0BE46">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①所需正常施工的电源、水源已由发包方安装至施工现场边缘。</w:t>
      </w:r>
    </w:p>
    <w:p w14:paraId="5A684582">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②施工用电：施工场内临时低压接电及线缆铺设由承包人自理且费用包括在合同价款内。 </w:t>
      </w:r>
    </w:p>
    <w:p w14:paraId="1FDADD8B">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③施工用水：施工场内临时用水接水管铺设由承包人自理且费用包括在合同价款内。</w:t>
      </w:r>
    </w:p>
    <w:p w14:paraId="2AF7D5B0">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④施工用水、用电费用由承包人承担，费用包含在合同价款中，工程结算时扣除。</w:t>
      </w:r>
    </w:p>
    <w:p w14:paraId="4E310B80">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⑤用电与用水高峰期时供应不足由承包人自行设法解决，费用已包含在合同价中，发包人不另支付相关费用。</w:t>
      </w:r>
    </w:p>
    <w:p w14:paraId="1AEF560C">
      <w:pPr>
        <w:snapToGrid w:val="0"/>
        <w:spacing w:line="360" w:lineRule="auto"/>
        <w:ind w:firstLine="480"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⑥施工现场无搭设临时用房场地，承包人自行考虑，费用包含在合同价款中。</w:t>
      </w:r>
    </w:p>
    <w:p w14:paraId="13B68E03">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72F1E7A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 资金来源证明及支付担保</w:t>
      </w:r>
    </w:p>
    <w:p w14:paraId="6BF22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发包人提供资金来源证明的期限要求：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B0C86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发包人是否提供支付担保：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D88433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发包人提供支付担保的形式：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63D7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承包人</w:t>
      </w:r>
    </w:p>
    <w:p w14:paraId="775A0E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承包人的一般义务</w:t>
      </w:r>
    </w:p>
    <w:p w14:paraId="32265AF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（1）应提供计划、报表的名称及完成时间：</w:t>
      </w:r>
      <w:r>
        <w:rPr>
          <w:rFonts w:hint="eastAsia" w:ascii="宋体" w:hAnsi="宋体" w:cs="宋体"/>
          <w:color w:val="000000" w:themeColor="text1"/>
          <w:sz w:val="24"/>
          <w:highlight w:val="none"/>
          <w:u w:val="single"/>
          <w14:textFill>
            <w14:solidFill>
              <w14:schemeClr w14:val="tx1"/>
            </w14:solidFill>
          </w14:textFill>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583532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（2）承担施工安全保卫工作及非夜间施工照明的责任和要求：</w:t>
      </w:r>
      <w:r>
        <w:rPr>
          <w:rFonts w:hint="eastAsia" w:ascii="宋体" w:hAnsi="宋体" w:cs="宋体"/>
          <w:color w:val="000000" w:themeColor="text1"/>
          <w:sz w:val="24"/>
          <w:highlight w:val="none"/>
          <w:u w:val="single"/>
          <w14:textFill>
            <w14:solidFill>
              <w14:schemeClr w14:val="tx1"/>
            </w14:solidFill>
          </w14:textFill>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26438BF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（3）需承包人办理的有关施工场地交通、环卫和施工噪音管理等手续：</w:t>
      </w:r>
      <w:r>
        <w:rPr>
          <w:rFonts w:hint="eastAsia" w:ascii="宋体" w:hAnsi="宋体" w:cs="宋体"/>
          <w:color w:val="000000" w:themeColor="text1"/>
          <w:sz w:val="24"/>
          <w:highlight w:val="none"/>
          <w:u w:val="single"/>
          <w14:textFill>
            <w14:solidFill>
              <w14:schemeClr w14:val="tx1"/>
            </w14:solidFill>
          </w14:textFill>
        </w:rPr>
        <w:t>遵照政府有关部门对施工场地交通、环卫和施工噪音的管理规定，按规定办理相关手续，费用由承包人负责，发包人给予配合。如承包人未及时办理有关手续而造成的罚款由承包人承担。</w:t>
      </w:r>
    </w:p>
    <w:p w14:paraId="00B2136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（4）完工工程成品保护的特殊要求及费用承担：</w:t>
      </w:r>
      <w:r>
        <w:rPr>
          <w:rFonts w:hint="eastAsia" w:ascii="宋体" w:hAnsi="宋体" w:cs="宋体"/>
          <w:color w:val="000000" w:themeColor="text1"/>
          <w:sz w:val="24"/>
          <w:highlight w:val="none"/>
          <w:u w:val="single"/>
          <w14:textFill>
            <w14:solidFill>
              <w14:schemeClr w14:val="tx1"/>
            </w14:solidFill>
          </w14:textFill>
        </w:rPr>
        <w:t>按发包人的要求进行保护，费用由承包人承担。</w:t>
      </w:r>
    </w:p>
    <w:p w14:paraId="0AB41D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（5）施工现场清洁卫生的要求：</w:t>
      </w:r>
      <w:r>
        <w:rPr>
          <w:rFonts w:hint="eastAsia" w:ascii="宋体" w:hAnsi="宋体" w:cs="宋体"/>
          <w:color w:val="000000" w:themeColor="text1"/>
          <w:sz w:val="24"/>
          <w:highlight w:val="none"/>
          <w:u w:val="single"/>
          <w14:textFill>
            <w14:solidFill>
              <w14:schemeClr w14:val="tx1"/>
            </w14:solidFill>
          </w14:textFill>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2FF20C05">
      <w:pPr>
        <w:widowControl w:val="0"/>
        <w:adjustRightInd w:val="0"/>
        <w:snapToGrid w:val="0"/>
        <w:spacing w:before="156" w:after="156"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（6）承包人提交的竣工资料的内容：</w:t>
      </w:r>
      <w:r>
        <w:rPr>
          <w:rFonts w:hint="eastAsia" w:ascii="宋体" w:hAnsi="宋体" w:eastAsia="宋体" w:cs="宋体"/>
          <w:b/>
          <w:bCs/>
          <w:snapToGrid w:val="0"/>
          <w:color w:val="000000" w:themeColor="text1"/>
          <w:kern w:val="2"/>
          <w:sz w:val="24"/>
          <w:szCs w:val="24"/>
          <w:highlight w:val="none"/>
          <w:u w:val="single"/>
          <w:lang w:val="en-US" w:eastAsia="zh-CN" w:bidi="ar-SA"/>
          <w14:textFill>
            <w14:solidFill>
              <w14:schemeClr w14:val="tx1"/>
            </w14:solidFill>
          </w14:textFill>
        </w:rPr>
        <w:t>向发包方提供竣工图（【3】套）、竣工资料及竣工验收报告，并附光盘（含影像资料、图片等）及发包人要求提供的其他材料</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240A3C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承包人需要提交的竣工资料套数：</w:t>
      </w:r>
      <w:r>
        <w:rPr>
          <w:rFonts w:hint="eastAsia" w:ascii="宋体" w:hAnsi="宋体" w:cs="宋体"/>
          <w:b/>
          <w:bCs/>
          <w:color w:val="000000" w:themeColor="text1"/>
          <w:sz w:val="24"/>
          <w:highlight w:val="none"/>
          <w:u w:val="single"/>
          <w14:textFill>
            <w14:solidFill>
              <w14:schemeClr w14:val="tx1"/>
            </w14:solidFill>
          </w14:textFill>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cs="宋体"/>
          <w:color w:val="000000" w:themeColor="text1"/>
          <w:sz w:val="24"/>
          <w:highlight w:val="none"/>
          <w14:textFill>
            <w14:solidFill>
              <w14:schemeClr w14:val="tx1"/>
            </w14:solidFill>
          </w14:textFill>
        </w:rPr>
        <w:t>。</w:t>
      </w:r>
    </w:p>
    <w:p w14:paraId="1E107B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承包人提交的竣工资料的费用承担：</w:t>
      </w:r>
      <w:r>
        <w:rPr>
          <w:rFonts w:hint="eastAsia" w:ascii="宋体" w:hAnsi="宋体" w:cs="宋体"/>
          <w:b/>
          <w:bCs/>
          <w:color w:val="000000" w:themeColor="text1"/>
          <w:sz w:val="24"/>
          <w:highlight w:val="none"/>
          <w:u w:val="single"/>
          <w14:textFill>
            <w14:solidFill>
              <w14:schemeClr w14:val="tx1"/>
            </w14:solidFill>
          </w14:textFill>
        </w:rPr>
        <w:t>承包人承担</w:t>
      </w:r>
      <w:r>
        <w:rPr>
          <w:rFonts w:hint="eastAsia" w:ascii="宋体" w:hAnsi="宋体" w:cs="宋体"/>
          <w:color w:val="000000" w:themeColor="text1"/>
          <w:sz w:val="24"/>
          <w:highlight w:val="none"/>
          <w14:textFill>
            <w14:solidFill>
              <w14:schemeClr w14:val="tx1"/>
            </w14:solidFill>
          </w14:textFill>
        </w:rPr>
        <w:t>。</w:t>
      </w:r>
    </w:p>
    <w:p w14:paraId="0BECCEA7">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承包人提交的竣工资料移交时间：</w:t>
      </w:r>
      <w:r>
        <w:rPr>
          <w:rFonts w:hint="eastAsia" w:ascii="宋体" w:hAnsi="宋体" w:cs="宋体"/>
          <w:b/>
          <w:bCs/>
          <w:color w:val="000000" w:themeColor="text1"/>
          <w:sz w:val="24"/>
          <w:highlight w:val="none"/>
          <w:u w:val="single"/>
          <w14:textFill>
            <w14:solidFill>
              <w14:schemeClr w14:val="tx1"/>
            </w14:solidFill>
          </w14:textFill>
        </w:rPr>
        <w:t>竣工验收前【3】天</w:t>
      </w:r>
      <w:r>
        <w:rPr>
          <w:rFonts w:hint="eastAsia" w:ascii="宋体" w:hAnsi="宋体" w:cs="宋体"/>
          <w:b/>
          <w:bCs/>
          <w:color w:val="000000" w:themeColor="text1"/>
          <w:sz w:val="24"/>
          <w:highlight w:val="none"/>
          <w14:textFill>
            <w14:solidFill>
              <w14:schemeClr w14:val="tx1"/>
            </w14:solidFill>
          </w14:textFill>
        </w:rPr>
        <w:t>。</w:t>
      </w:r>
    </w:p>
    <w:p w14:paraId="6B0528C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承包人提交的竣工资料形式要求：</w:t>
      </w:r>
      <w:r>
        <w:rPr>
          <w:rFonts w:hint="eastAsia" w:ascii="宋体" w:hAnsi="宋体" w:cs="宋体"/>
          <w:b/>
          <w:bCs/>
          <w:color w:val="000000" w:themeColor="text1"/>
          <w:sz w:val="24"/>
          <w:highlight w:val="none"/>
          <w:u w:val="single"/>
          <w14:textFill>
            <w14:solidFill>
              <w14:schemeClr w14:val="tx1"/>
            </w14:solidFill>
          </w14:textFill>
        </w:rPr>
        <w:t>纸质文件和电子文件。</w:t>
      </w:r>
    </w:p>
    <w:p w14:paraId="01C64C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（7）承包人应履行的其他义务：</w:t>
      </w:r>
    </w:p>
    <w:p w14:paraId="1D84105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a、承包人在工程实施期间应对发包人提供的各项水电设施以及沿街户外广告进行必要的保护，相关费用在磋商响应报价中综合考虑。若由于承包人未能妥善保护给发包人造成的损失由承包人承担。</w:t>
      </w:r>
    </w:p>
    <w:p w14:paraId="73E80213">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2320C02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c、承包人在施工中，有责任配合发包人或发包人委托的科研单位进行本工程有关的科研监测、测试和检测工作，并不得提出任何费用要求。</w:t>
      </w:r>
    </w:p>
    <w:p w14:paraId="2495511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8C1B74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4384052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f、承包人的项目部、临时加工场地、项目参与人员的临时宿舍等临时设施的借地由承包人负责，并承担一切费用。因条件有限，发包人概不负责相关场地宿舍等。</w:t>
      </w:r>
    </w:p>
    <w:p w14:paraId="0717520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g、承包人有责任维护发包人形象，若由于承包人的安全、文明施工问题而造成发包人被他人索赔，发包人保留向承包人索赔的权利。</w:t>
      </w:r>
    </w:p>
    <w:p w14:paraId="722C0E5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h、接受发包人委托，负责办理施工期间的掘路执照、临时占路证、交通施工许可证、管线监护卡、质监和安监的报监手续。</w:t>
      </w:r>
    </w:p>
    <w:p w14:paraId="595DB61A">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I、作为一名有经验的承包人，对于图纸设计中不满足现行验收规范要求的部分及时提出合理化的建议，若未及时发现并提出不利于今后施工及验收的问题，应承担相应的责任。</w:t>
      </w:r>
    </w:p>
    <w:p w14:paraId="5C7AB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项目经理</w:t>
      </w:r>
    </w:p>
    <w:p w14:paraId="48F955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789E403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6CF7A2E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7F8BC5B7">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134D4E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建造师执业资格等级：</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6C3CC174">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建造师注册证书号：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3C56110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建造师执业印章号：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C9587C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安全生产考核合格证书号：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24B6484F">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5CFAC1AD">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55AE58A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7509CB94">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承包人对项目经理的授权范围如下： </w:t>
      </w:r>
      <w:r>
        <w:rPr>
          <w:rFonts w:hint="eastAsia" w:ascii="宋体" w:hAnsi="宋体" w:cs="宋体"/>
          <w:color w:val="000000" w:themeColor="text1"/>
          <w:sz w:val="24"/>
          <w:highlight w:val="none"/>
          <w:u w:val="none"/>
          <w14:textFill>
            <w14:solidFill>
              <w14:schemeClr w14:val="tx1"/>
            </w14:solidFill>
          </w14:textFill>
        </w:rPr>
        <w:t>授予项目经理在紧急情况下的临时处置权，但应受到以下</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个方面的限制。</w:t>
      </w:r>
    </w:p>
    <w:p w14:paraId="7BE2C179">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（1）只有在涉及工程及工程有关的人身和财产安全的情况下项目经理才能行使该项权力；</w:t>
      </w:r>
    </w:p>
    <w:p w14:paraId="2BECA3DC">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（2）项目经理只有在同时无法联系到发包人代表或总监理工程师的情况下才能行使该项权力；</w:t>
      </w:r>
    </w:p>
    <w:p w14:paraId="03FA35ED">
      <w:pPr>
        <w:adjustRightInd/>
        <w:snapToGrid w:val="0"/>
        <w:spacing w:line="360" w:lineRule="auto"/>
        <w:ind w:firstLine="482"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3</w:t>
      </w:r>
      <w:r>
        <w:rPr>
          <w:rFonts w:hint="eastAsia" w:ascii="宋体" w:hAnsi="宋体" w:cs="宋体"/>
          <w:color w:val="000000" w:themeColor="text1"/>
          <w:sz w:val="24"/>
          <w:highlight w:val="none"/>
          <w:u w:val="none"/>
          <w14:textFill>
            <w14:solidFill>
              <w14:schemeClr w14:val="tx1"/>
            </w14:solidFill>
          </w14:textFill>
        </w:rPr>
        <w:t>）项目经理在采取措施后及时向监理人和发包人代表报告全部情况。如果项目经理行使临时处置权不符合</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项中的任何一项，发包人可以主张由承包人承担因项目经理行使临时处置权而增加的费用或延误的工期责任。</w:t>
      </w:r>
    </w:p>
    <w:p w14:paraId="5CD328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关于项目经理每月在施工现场的时间要求：开工之日起到工程竣工验收合格，</w:t>
      </w:r>
      <w:r>
        <w:rPr>
          <w:rFonts w:hint="eastAsia" w:ascii="宋体" w:hAnsi="宋体" w:cs="宋体"/>
          <w:color w:val="000000" w:themeColor="text1"/>
          <w:sz w:val="24"/>
          <w:highlight w:val="none"/>
          <w:u w:val="single"/>
          <w14:textFill>
            <w14:solidFill>
              <w14:schemeClr w14:val="tx1"/>
            </w14:solidFill>
          </w14:textFill>
        </w:rPr>
        <w:t>出勤率按照为每月【25】天，每日工作时间【8】小时考勤。重要施工工序或环节时项目经理、技术负责人等必须到场</w:t>
      </w:r>
      <w:r>
        <w:rPr>
          <w:rFonts w:hint="eastAsia" w:ascii="宋体" w:hAnsi="宋体" w:cs="宋体"/>
          <w:color w:val="000000" w:themeColor="text1"/>
          <w:sz w:val="24"/>
          <w:highlight w:val="none"/>
          <w14:textFill>
            <w14:solidFill>
              <w14:schemeClr w14:val="tx1"/>
            </w14:solidFill>
          </w14:textFill>
        </w:rPr>
        <w:t>。</w:t>
      </w:r>
    </w:p>
    <w:p w14:paraId="357875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承包人未提交劳动合同，以及没有为项目经理缴纳社会保险证明的违约责任：向发包人支付【</w:t>
      </w:r>
      <w:r>
        <w:rPr>
          <w:rFonts w:hint="eastAsia" w:ascii="宋体" w:hAnsi="宋体" w:cs="宋体"/>
          <w:color w:val="000000" w:themeColor="text1"/>
          <w:sz w:val="24"/>
          <w:highlight w:val="none"/>
          <w:lang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】元违约金，并在收到发包人通知后【7】日内提交劳动合同并补缴社会保险，否则发包人有权解除合同。</w:t>
      </w:r>
    </w:p>
    <w:p w14:paraId="0E7CD0F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项目经理未经批准，擅自离开施工现场的违约责任每发生一次，承包人向发包人支付【</w:t>
      </w:r>
      <w:r>
        <w:rPr>
          <w:rFonts w:hint="eastAsia" w:ascii="宋体" w:hAnsi="宋体" w:cs="宋体"/>
          <w:color w:val="000000" w:themeColor="text1"/>
          <w:sz w:val="24"/>
          <w:highlight w:val="none"/>
          <w:lang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】元违约金，累计发生【3】次以上的，发包人有权要求更换项目经理或解除合同。</w:t>
      </w:r>
    </w:p>
    <w:p w14:paraId="343FF4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承包人擅自更换项目经理的违约责任：</w:t>
      </w:r>
      <w:r>
        <w:rPr>
          <w:rFonts w:hint="eastAsia" w:ascii="宋体" w:hAnsi="宋体" w:cs="宋体"/>
          <w:b/>
          <w:color w:val="000000" w:themeColor="text1"/>
          <w:sz w:val="24"/>
          <w:highlight w:val="none"/>
          <w:u w:val="single"/>
          <w14:textFill>
            <w14:solidFill>
              <w14:schemeClr w14:val="tx1"/>
            </w14:solidFill>
          </w14:textFill>
        </w:rPr>
        <w:t>在施工期间不准更换，特殊情况要求更换的项目经理的，须经发包人书面同意，同时发包人有权从工程款中按以下标准扣除承包人应承担的违约金：更换项目经理，违约金【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】元人民币/次；未经发包人同意擅自更换项目经理的，承包人应向发包人支付【</w:t>
      </w:r>
      <w:r>
        <w:rPr>
          <w:rFonts w:hint="eastAsia" w:ascii="宋体" w:hAnsi="宋体" w:cs="宋体"/>
          <w:b/>
          <w:color w:val="000000" w:themeColor="text1"/>
          <w:sz w:val="24"/>
          <w:highlight w:val="none"/>
          <w:u w:val="single"/>
          <w:lang w:eastAsia="zh-CN"/>
          <w14:textFill>
            <w14:solidFill>
              <w14:schemeClr w14:val="tx1"/>
            </w14:solidFill>
          </w14:textFill>
        </w:rPr>
        <w:t>5000</w:t>
      </w:r>
      <w:r>
        <w:rPr>
          <w:rFonts w:hint="eastAsia" w:ascii="宋体" w:hAnsi="宋体" w:cs="宋体"/>
          <w:b/>
          <w:color w:val="000000" w:themeColor="text1"/>
          <w:sz w:val="24"/>
          <w:highlight w:val="none"/>
          <w:u w:val="single"/>
          <w14:textFill>
            <w14:solidFill>
              <w14:schemeClr w14:val="tx1"/>
            </w14:solidFill>
          </w14:textFill>
        </w:rPr>
        <w:t xml:space="preserve">】元违约金，同时发包人有权解除合同  </w:t>
      </w:r>
      <w:r>
        <w:rPr>
          <w:rFonts w:hint="eastAsia" w:ascii="宋体" w:hAnsi="宋体" w:cs="宋体"/>
          <w:color w:val="000000" w:themeColor="text1"/>
          <w:sz w:val="24"/>
          <w:highlight w:val="none"/>
          <w14:textFill>
            <w14:solidFill>
              <w14:schemeClr w14:val="tx1"/>
            </w14:solidFill>
          </w14:textFill>
        </w:rPr>
        <w:t>。</w:t>
      </w:r>
    </w:p>
    <w:p w14:paraId="5E7AC48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s="宋体"/>
          <w:color w:val="000000" w:themeColor="text1"/>
          <w:sz w:val="24"/>
          <w:highlight w:val="none"/>
          <w:u w:val="single"/>
          <w14:textFill>
            <w14:solidFill>
              <w14:schemeClr w14:val="tx1"/>
            </w14:solidFill>
          </w14:textFill>
        </w:rPr>
        <w:t>承包人在接到发包人更换项目经理的通知后【5】天内仍未更换的，承包人应支付违约金【</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】元，并承担由此增加的费用和延误的工期；在【15】天内仍未更换项目经理的，发包人有权解除合同</w:t>
      </w:r>
      <w:r>
        <w:rPr>
          <w:rFonts w:hint="eastAsia" w:ascii="宋体" w:hAnsi="宋体" w:cs="宋体"/>
          <w:color w:val="000000" w:themeColor="text1"/>
          <w:sz w:val="24"/>
          <w:highlight w:val="none"/>
          <w14:textFill>
            <w14:solidFill>
              <w14:schemeClr w14:val="tx1"/>
            </w14:solidFill>
          </w14:textFill>
        </w:rPr>
        <w:t>。</w:t>
      </w:r>
    </w:p>
    <w:p w14:paraId="00F0BC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承包人人员</w:t>
      </w:r>
    </w:p>
    <w:p w14:paraId="3A48AE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 w:val="24"/>
          <w:highlight w:val="none"/>
          <w:u w:val="single"/>
          <w14:textFill>
            <w14:solidFill>
              <w14:schemeClr w14:val="tx1"/>
            </w14:solidFill>
          </w14:textFill>
        </w:rPr>
        <w:t>：【】年【】月【】日前。承包人逾期提供的，每逾期一天，应向发包人支付【2000】元违约金，逾期超过【15】天的，发包人有权解除合同  。</w:t>
      </w:r>
    </w:p>
    <w:p w14:paraId="2EFD2B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s="宋体"/>
          <w:b/>
          <w:color w:val="000000" w:themeColor="text1"/>
          <w:sz w:val="24"/>
          <w:highlight w:val="none"/>
          <w:u w:val="single"/>
          <w14:textFill>
            <w14:solidFill>
              <w14:schemeClr w14:val="tx1"/>
            </w14:solidFill>
          </w14:textFill>
        </w:rPr>
        <w:t>技术负责人、施工员，处以违约金【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】元人民币/次/人；安全员、质检员、材料员，处以违约金【2000】元人民币/次/人</w:t>
      </w:r>
      <w:r>
        <w:rPr>
          <w:rFonts w:hint="eastAsia" w:ascii="宋体" w:hAnsi="宋体" w:cs="宋体"/>
          <w:color w:val="000000" w:themeColor="text1"/>
          <w:sz w:val="24"/>
          <w:highlight w:val="none"/>
          <w14:textFill>
            <w14:solidFill>
              <w14:schemeClr w14:val="tx1"/>
            </w14:solidFill>
          </w14:textFill>
        </w:rPr>
        <w:t>。</w:t>
      </w:r>
    </w:p>
    <w:p w14:paraId="7BF6DB3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按通用合同条款第3.3.4条规定执行</w:t>
      </w:r>
      <w:r>
        <w:rPr>
          <w:rFonts w:hint="eastAsia" w:ascii="宋体" w:hAnsi="宋体" w:cs="宋体"/>
          <w:color w:val="000000" w:themeColor="text1"/>
          <w:sz w:val="24"/>
          <w:highlight w:val="none"/>
          <w14:textFill>
            <w14:solidFill>
              <w14:schemeClr w14:val="tx1"/>
            </w14:solidFill>
          </w14:textFill>
        </w:rPr>
        <w:t>。</w:t>
      </w:r>
    </w:p>
    <w:p w14:paraId="43AC69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s="宋体"/>
          <w:b/>
          <w:color w:val="000000" w:themeColor="text1"/>
          <w:sz w:val="24"/>
          <w:highlight w:val="none"/>
          <w:u w:val="single"/>
          <w14:textFill>
            <w14:solidFill>
              <w14:schemeClr w14:val="tx1"/>
            </w14:solidFill>
          </w14:textFill>
        </w:rPr>
        <w:t>若更换技术负责人、施工员，处以违约金1万元人民币/次/人；若更换安全员、质检员、材料员，处以违约金伍仟元人民币/次/人</w:t>
      </w:r>
      <w:r>
        <w:rPr>
          <w:rFonts w:hint="eastAsia" w:ascii="宋体" w:hAnsi="宋体" w:cs="宋体"/>
          <w:color w:val="000000" w:themeColor="text1"/>
          <w:sz w:val="24"/>
          <w:highlight w:val="none"/>
          <w14:textFill>
            <w14:solidFill>
              <w14:schemeClr w14:val="tx1"/>
            </w14:solidFill>
          </w14:textFill>
        </w:rPr>
        <w:t>。除上述违约责任外，同时扣除履约担保中的项目班子到位保证金。</w:t>
      </w:r>
    </w:p>
    <w:p w14:paraId="7F0EBA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s="宋体"/>
          <w:b/>
          <w:bCs/>
          <w:color w:val="000000" w:themeColor="text1"/>
          <w:sz w:val="24"/>
          <w:highlight w:val="none"/>
          <w:u w:val="single"/>
          <w14:textFill>
            <w14:solidFill>
              <w14:schemeClr w14:val="tx1"/>
            </w14:solidFill>
          </w14:textFill>
        </w:rPr>
        <w:t>发包人有权要求更换管理人员，承包人应支付【</w:t>
      </w:r>
      <w:r>
        <w:rPr>
          <w:rFonts w:hint="eastAsia" w:ascii="宋体" w:hAnsi="宋体" w:cs="宋体"/>
          <w:b/>
          <w:bCs/>
          <w:color w:val="000000" w:themeColor="text1"/>
          <w:sz w:val="24"/>
          <w:highlight w:val="none"/>
          <w:u w:val="single"/>
          <w:lang w:eastAsia="zh-CN"/>
          <w14:textFill>
            <w14:solidFill>
              <w14:schemeClr w14:val="tx1"/>
            </w14:solidFill>
          </w14:textFill>
        </w:rPr>
        <w:t>2000</w:t>
      </w:r>
      <w:r>
        <w:rPr>
          <w:rFonts w:hint="eastAsia" w:ascii="宋体" w:hAnsi="宋体" w:cs="宋体"/>
          <w:b/>
          <w:bCs/>
          <w:color w:val="000000" w:themeColor="text1"/>
          <w:sz w:val="24"/>
          <w:highlight w:val="none"/>
          <w:u w:val="single"/>
          <w14:textFill>
            <w14:solidFill>
              <w14:schemeClr w14:val="tx1"/>
            </w14:solidFill>
          </w14:textFill>
        </w:rPr>
        <w:t>】元违约金，累计发生【3】次以上的，发包人有权解除合同</w:t>
      </w:r>
      <w:r>
        <w:rPr>
          <w:rFonts w:hint="eastAsia" w:ascii="宋体" w:hAnsi="宋体" w:cs="宋体"/>
          <w:color w:val="000000" w:themeColor="text1"/>
          <w:sz w:val="24"/>
          <w:highlight w:val="none"/>
          <w14:textFill>
            <w14:solidFill>
              <w14:schemeClr w14:val="tx1"/>
            </w14:solidFill>
          </w14:textFill>
        </w:rPr>
        <w:t>。</w:t>
      </w:r>
    </w:p>
    <w:p w14:paraId="458F63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 分包</w:t>
      </w:r>
    </w:p>
    <w:p w14:paraId="72D34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分包的一般约定</w:t>
      </w:r>
    </w:p>
    <w:p w14:paraId="451AEF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禁止分包的工程包括：</w:t>
      </w:r>
      <w:r>
        <w:rPr>
          <w:rFonts w:hint="eastAsia" w:ascii="宋体" w:hAnsi="宋体" w:cs="宋体"/>
          <w:b/>
          <w:bCs/>
          <w:color w:val="000000" w:themeColor="text1"/>
          <w:sz w:val="24"/>
          <w:highlight w:val="none"/>
          <w:u w:val="single"/>
          <w14:textFill>
            <w14:solidFill>
              <w14:schemeClr w14:val="tx1"/>
            </w14:solidFill>
          </w14:textFill>
        </w:rPr>
        <w:t>未经发包人同意一律不得分包</w:t>
      </w:r>
      <w:r>
        <w:rPr>
          <w:rFonts w:hint="eastAsia" w:ascii="宋体" w:hAnsi="宋体" w:cs="宋体"/>
          <w:color w:val="000000" w:themeColor="text1"/>
          <w:sz w:val="24"/>
          <w:highlight w:val="none"/>
          <w14:textFill>
            <w14:solidFill>
              <w14:schemeClr w14:val="tx1"/>
            </w14:solidFill>
          </w14:textFill>
        </w:rPr>
        <w:t>。</w:t>
      </w:r>
    </w:p>
    <w:p w14:paraId="70E4DAE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主体结构、关键性工作的范围：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4ED43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3.5.2分包的确定</w:t>
      </w:r>
    </w:p>
    <w:p w14:paraId="63A4F3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允许分包的专业工程包括：</w:t>
      </w:r>
      <w:r>
        <w:rPr>
          <w:rFonts w:hint="eastAsia" w:ascii="宋体" w:hAnsi="宋体" w:cs="宋体"/>
          <w:b/>
          <w:bCs/>
          <w:color w:val="000000" w:themeColor="text1"/>
          <w:sz w:val="24"/>
          <w:highlight w:val="none"/>
          <w:u w:val="single"/>
          <w14:textFill>
            <w14:solidFill>
              <w14:schemeClr w14:val="tx1"/>
            </w14:solidFill>
          </w14:textFill>
        </w:rPr>
        <w:t>不允许分包</w:t>
      </w:r>
      <w:r>
        <w:rPr>
          <w:rFonts w:hint="eastAsia" w:ascii="宋体" w:hAnsi="宋体" w:cs="宋体"/>
          <w:color w:val="000000" w:themeColor="text1"/>
          <w:sz w:val="24"/>
          <w:highlight w:val="none"/>
          <w14:textFill>
            <w14:solidFill>
              <w14:schemeClr w14:val="tx1"/>
            </w14:solidFill>
          </w14:textFill>
        </w:rPr>
        <w:t>。</w:t>
      </w:r>
    </w:p>
    <w:p w14:paraId="7E0B6D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其他关于分包的约定：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9EAD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 分包合同价款</w:t>
      </w:r>
    </w:p>
    <w:p w14:paraId="7FC0B33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关于分包合同价款支付的约定：。</w:t>
      </w:r>
    </w:p>
    <w:p w14:paraId="1ADEE8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工程照管与成品、半成品保护</w:t>
      </w:r>
    </w:p>
    <w:p w14:paraId="6960A5F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承包人负责照管工程及工程相关的材料、工程设备的起始时间：合同签订之日起至颁发工程接收证书之日止。</w:t>
      </w:r>
    </w:p>
    <w:p w14:paraId="293483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履约担保</w:t>
      </w:r>
    </w:p>
    <w:p w14:paraId="520FC7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承包人是否提供履约担保：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是</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43B9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承包人提供履约担保的形式、金额及期限的：</w:t>
      </w:r>
      <w:r>
        <w:rPr>
          <w:rFonts w:hint="eastAsia" w:ascii="宋体" w:hAnsi="宋体" w:cs="宋体"/>
          <w:color w:val="000000" w:themeColor="text1"/>
          <w:sz w:val="24"/>
          <w:highlight w:val="none"/>
          <w:u w:val="single"/>
          <w14:textFill>
            <w14:solidFill>
              <w14:schemeClr w14:val="tx1"/>
            </w14:solidFill>
          </w14:textFill>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cs="宋体"/>
          <w:bCs/>
          <w:color w:val="000000" w:themeColor="text1"/>
          <w:sz w:val="24"/>
          <w:highlight w:val="none"/>
          <w:u w:val="single"/>
          <w14:textFill>
            <w14:solidFill>
              <w14:schemeClr w14:val="tx1"/>
            </w14:solidFill>
          </w14:textFill>
        </w:rPr>
        <w:t>履约担保的最晚递交时间：合同签订后【7】日内。</w:t>
      </w:r>
      <w:r>
        <w:rPr>
          <w:rFonts w:hint="eastAsia" w:ascii="宋体" w:hAnsi="宋体" w:cs="宋体"/>
          <w:color w:val="000000" w:themeColor="text1"/>
          <w:sz w:val="24"/>
          <w:highlight w:val="none"/>
          <w:u w:val="single"/>
          <w14:textFill>
            <w14:solidFill>
              <w14:schemeClr w14:val="tx1"/>
            </w14:solidFill>
          </w14:textFill>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cs="宋体"/>
          <w:color w:val="000000" w:themeColor="text1"/>
          <w:sz w:val="24"/>
          <w:highlight w:val="none"/>
          <w14:textFill>
            <w14:solidFill>
              <w14:schemeClr w14:val="tx1"/>
            </w14:solidFill>
          </w14:textFill>
        </w:rPr>
        <w:t>。</w:t>
      </w:r>
    </w:p>
    <w:p w14:paraId="7709F67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a)质量保证金占履约保证金的【40】%，视发生质量事故的严重程度处罚。若验收不合格或未达到合同约定质量目标，罚没全部保证金。</w:t>
      </w:r>
    </w:p>
    <w:p w14:paraId="1C3AFEB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b)工期保证金占履约保证金的【15】%，工期以合同工期和经批准的顺延工期为准，若不能按期竣工，全罚没全部保证金。</w:t>
      </w:r>
    </w:p>
    <w:p w14:paraId="5117061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c)项目经理及项目班子到位率保证金占履约保证金的【15】%。项目经理或项目班子若不能按要求到位，罚没全部保证金。</w:t>
      </w:r>
    </w:p>
    <w:p w14:paraId="579DEAC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d)文明安全生产保证金占履约保证金的【30】%，发生重大人身安全事故，罚没全部保证金。</w:t>
      </w:r>
    </w:p>
    <w:p w14:paraId="3B74B0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color w:val="000000" w:themeColor="text1"/>
          <w:sz w:val="24"/>
          <w:highlight w:val="none"/>
          <w14:textFill>
            <w14:solidFill>
              <w14:schemeClr w14:val="tx1"/>
            </w14:solidFill>
          </w14:textFill>
        </w:rPr>
        <w:t>。</w:t>
      </w:r>
    </w:p>
    <w:p w14:paraId="549242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7FB1BE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监理人</w:t>
      </w:r>
    </w:p>
    <w:p w14:paraId="6DE2AD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4.1监理人的一般规定</w:t>
      </w:r>
    </w:p>
    <w:p w14:paraId="0244E0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关于监理人的监理内容：</w:t>
      </w:r>
      <w:r>
        <w:rPr>
          <w:rFonts w:hint="eastAsia" w:ascii="宋体" w:hAnsi="宋体" w:cs="宋体"/>
          <w:b/>
          <w:color w:val="000000" w:themeColor="text1"/>
          <w:sz w:val="24"/>
          <w:highlight w:val="none"/>
          <w:u w:val="single"/>
          <w14:textFill>
            <w14:solidFill>
              <w14:schemeClr w14:val="tx1"/>
            </w14:solidFill>
          </w14:textFill>
        </w:rPr>
        <w:t>现场全过程协调，负责质量、安全、进度监督，签证及技术服务</w:t>
      </w:r>
      <w:r>
        <w:rPr>
          <w:rFonts w:hint="eastAsia" w:ascii="宋体" w:hAnsi="宋体" w:cs="宋体"/>
          <w:color w:val="000000" w:themeColor="text1"/>
          <w:sz w:val="24"/>
          <w:highlight w:val="none"/>
          <w14:textFill>
            <w14:solidFill>
              <w14:schemeClr w14:val="tx1"/>
            </w14:solidFill>
          </w14:textFill>
        </w:rPr>
        <w:t>。</w:t>
      </w:r>
    </w:p>
    <w:p w14:paraId="035CB9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关于监理人的监理权限：</w:t>
      </w:r>
      <w:r>
        <w:rPr>
          <w:rFonts w:hint="eastAsia" w:ascii="宋体" w:hAnsi="宋体" w:cs="宋体"/>
          <w:b/>
          <w:bCs/>
          <w:color w:val="000000" w:themeColor="text1"/>
          <w:sz w:val="24"/>
          <w:highlight w:val="none"/>
          <w:u w:val="single"/>
          <w14:textFill>
            <w14:solidFill>
              <w14:schemeClr w14:val="tx1"/>
            </w14:solidFill>
          </w14:textFill>
        </w:rPr>
        <w:t>按监理合同约定实行</w:t>
      </w:r>
      <w:r>
        <w:rPr>
          <w:rFonts w:hint="eastAsia" w:ascii="宋体" w:hAnsi="宋体" w:cs="宋体"/>
          <w:color w:val="000000" w:themeColor="text1"/>
          <w:sz w:val="24"/>
          <w:highlight w:val="none"/>
          <w14:textFill>
            <w14:solidFill>
              <w14:schemeClr w14:val="tx1"/>
            </w14:solidFill>
          </w14:textFill>
        </w:rPr>
        <w:t xml:space="preserve">。 </w:t>
      </w:r>
    </w:p>
    <w:p w14:paraId="1E63B8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F447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 监理人员</w:t>
      </w:r>
    </w:p>
    <w:p w14:paraId="4E8262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w:t>
      </w:r>
    </w:p>
    <w:p w14:paraId="3010F5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p>
    <w:p w14:paraId="382AF2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690C4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监理工程师执业资格证书号：；</w:t>
      </w:r>
    </w:p>
    <w:p w14:paraId="7CADAD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5D6E16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p>
    <w:p w14:paraId="31BD9A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p>
    <w:p w14:paraId="77090E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关于监理人的其他约定：。</w:t>
      </w:r>
    </w:p>
    <w:p w14:paraId="5618B6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商定或确定</w:t>
      </w:r>
    </w:p>
    <w:p w14:paraId="2929D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在发包人和承包人不能通过协商达成一致意见时，发包人授权监理人对以下事项进行确定：</w:t>
      </w:r>
    </w:p>
    <w:p w14:paraId="3979BCFB">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p w14:paraId="2F81F8FA">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p w14:paraId="3E0A299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p w14:paraId="277BE14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工程质量</w:t>
      </w:r>
    </w:p>
    <w:p w14:paraId="4D563DC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质量要求</w:t>
      </w:r>
    </w:p>
    <w:p w14:paraId="716CED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特殊质量标准和要求：</w:t>
      </w:r>
      <w:r>
        <w:rPr>
          <w:rFonts w:hint="eastAsia" w:ascii="宋体" w:hAnsi="宋体" w:cs="宋体"/>
          <w:color w:val="000000" w:themeColor="text1"/>
          <w:sz w:val="24"/>
          <w:highlight w:val="none"/>
          <w:u w:val="single"/>
          <w14:textFill>
            <w14:solidFill>
              <w14:schemeClr w14:val="tx1"/>
            </w14:solidFill>
          </w14:textFill>
        </w:rPr>
        <w:t>合格</w:t>
      </w:r>
      <w:r>
        <w:rPr>
          <w:rFonts w:hint="eastAsia" w:ascii="宋体" w:hAnsi="宋体" w:cs="宋体"/>
          <w:color w:val="000000" w:themeColor="text1"/>
          <w:sz w:val="24"/>
          <w:highlight w:val="none"/>
          <w14:textFill>
            <w14:solidFill>
              <w14:schemeClr w14:val="tx1"/>
            </w14:solidFill>
          </w14:textFill>
        </w:rPr>
        <w:t>。</w:t>
      </w:r>
    </w:p>
    <w:p w14:paraId="5DB3E6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关于工程奖项的约定：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3AD84F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隐蔽工程检查</w:t>
      </w:r>
    </w:p>
    <w:p w14:paraId="0B12A1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5.3.2承包人提前通知监理人隐蔽工程检查的期限的约定：</w:t>
      </w:r>
      <w:r>
        <w:rPr>
          <w:rFonts w:hint="eastAsia" w:ascii="宋体" w:hAnsi="宋体" w:cs="宋体"/>
          <w:color w:val="000000" w:themeColor="text1"/>
          <w:sz w:val="24"/>
          <w:highlight w:val="none"/>
          <w:u w:val="single"/>
          <w14:textFill>
            <w14:solidFill>
              <w14:schemeClr w14:val="tx1"/>
            </w14:solidFill>
          </w14:textFill>
        </w:rPr>
        <w:t>承包人应在共同检查前【48】小时书面通知监理人检查，通知中应载明隐蔽检查的内容、时间和地点，并应附有自检记录和必要的检查资料</w:t>
      </w:r>
      <w:r>
        <w:rPr>
          <w:rFonts w:hint="eastAsia" w:ascii="宋体" w:hAnsi="宋体" w:cs="宋体"/>
          <w:color w:val="000000" w:themeColor="text1"/>
          <w:sz w:val="24"/>
          <w:highlight w:val="none"/>
          <w14:textFill>
            <w14:solidFill>
              <w14:schemeClr w14:val="tx1"/>
            </w14:solidFill>
          </w14:textFill>
        </w:rPr>
        <w:t>。</w:t>
      </w:r>
    </w:p>
    <w:p w14:paraId="533C80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监理人不能按时进行检查时，应提前【24】小时提交书面延期要求。</w:t>
      </w:r>
    </w:p>
    <w:p w14:paraId="76BE74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关于延期最长不得超过：【48】小时。</w:t>
      </w:r>
    </w:p>
    <w:p w14:paraId="2386DD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安全文明施工与环境保护</w:t>
      </w:r>
    </w:p>
    <w:p w14:paraId="620F2A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6.1安全文明施工</w:t>
      </w:r>
    </w:p>
    <w:p w14:paraId="0EA2BB9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项目安全生产的达标目标及相应事项的约定：</w:t>
      </w:r>
      <w:r>
        <w:rPr>
          <w:rFonts w:hint="eastAsia" w:ascii="宋体" w:hAnsi="宋体" w:cs="宋体"/>
          <w:color w:val="000000" w:themeColor="text1"/>
          <w:sz w:val="24"/>
          <w:highlight w:val="none"/>
          <w:u w:val="single"/>
          <w14:textFill>
            <w14:solidFill>
              <w14:schemeClr w14:val="tx1"/>
            </w14:solidFill>
          </w14:textFill>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5F21B3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关于治安保卫的特别约定：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6590C3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关于编制施工场地治安管理计划的约定：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7923FD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 文明施工</w:t>
      </w:r>
    </w:p>
    <w:p w14:paraId="12F0C6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合同当事人对文明施工的要求：</w:t>
      </w:r>
    </w:p>
    <w:p w14:paraId="552FE8E0">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】元人民币的违约金。被上级主管部门通报批评，承包人按人民币【</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】元/次向发包人支付违约金，同时发包人有权解除合同；被媒体曝光，向发包人支付人民币【</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】元违约金，同时发包人有权解除合同。</w:t>
      </w:r>
    </w:p>
    <w:p w14:paraId="7CE0DAF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（2）承包人应对进度施工现场的施工人员进行安全文明施工教育，持证上岗，配备必要的劳动保护用具，保证工程的施工安全和人身安全。</w:t>
      </w:r>
    </w:p>
    <w:p w14:paraId="59A57C0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41EF05F7">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38E4191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2650A4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关于安全文明施工费支付比例和支付期限的约定：视相关措施的落实情况与合同款同期支付。</w:t>
      </w:r>
    </w:p>
    <w:p w14:paraId="2D7054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工期和进度</w:t>
      </w:r>
    </w:p>
    <w:p w14:paraId="35EBA8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施工组织设计</w:t>
      </w:r>
    </w:p>
    <w:p w14:paraId="46BEF92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7.1.1 合同当事人约定的施工组织设计应包括的其他内容：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65F9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7.1.2 施工组织设计的提交和修改</w:t>
      </w:r>
    </w:p>
    <w:p w14:paraId="4D4FA70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承包人提交详细施工组织设计的期限的约定：</w:t>
      </w:r>
      <w:r>
        <w:rPr>
          <w:rFonts w:hint="eastAsia" w:ascii="宋体" w:hAnsi="宋体" w:cs="宋体"/>
          <w:b/>
          <w:bCs/>
          <w:color w:val="000000" w:themeColor="text1"/>
          <w:sz w:val="24"/>
          <w:highlight w:val="none"/>
          <w:u w:val="single"/>
          <w14:textFill>
            <w14:solidFill>
              <w14:schemeClr w14:val="tx1"/>
            </w14:solidFill>
          </w14:textFill>
        </w:rPr>
        <w:t>合同签订后【7】天提供，逾期提供的，每逾期一天，应向发包人支付【2000】元违约金，逾期超过【15】天的，发包人有权解除合同</w:t>
      </w:r>
      <w:r>
        <w:rPr>
          <w:rFonts w:hint="eastAsia" w:ascii="宋体" w:hAnsi="宋体" w:cs="宋体"/>
          <w:color w:val="000000" w:themeColor="text1"/>
          <w:sz w:val="24"/>
          <w:highlight w:val="none"/>
          <w14:textFill>
            <w14:solidFill>
              <w14:schemeClr w14:val="tx1"/>
            </w14:solidFill>
          </w14:textFill>
        </w:rPr>
        <w:t>。</w:t>
      </w:r>
    </w:p>
    <w:p w14:paraId="1EC773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发包人和监理人在收到详细的施工组织设计后确认或提出修改意见的期限：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000000" w:themeColor="text1"/>
          <w:sz w:val="24"/>
          <w:highlight w:val="none"/>
          <w14:textFill>
            <w14:solidFill>
              <w14:schemeClr w14:val="tx1"/>
            </w14:solidFill>
          </w14:textFill>
        </w:rPr>
        <w:t>。</w:t>
      </w:r>
    </w:p>
    <w:p w14:paraId="0C4AF1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施工进度计划</w:t>
      </w:r>
    </w:p>
    <w:p w14:paraId="0EECBF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施工进度计划的修订</w:t>
      </w:r>
    </w:p>
    <w:p w14:paraId="2EBD8B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发包人和监理人在收到修订的施工进度计划后确认或提出修改意见的期限：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w:t>
      </w:r>
      <w:r>
        <w:rPr>
          <w:rFonts w:hint="eastAsia" w:ascii="宋体" w:hAnsi="宋体" w:cs="宋体"/>
          <w:color w:val="000000" w:themeColor="text1"/>
          <w:sz w:val="24"/>
          <w:highlight w:val="none"/>
          <w14:textFill>
            <w14:solidFill>
              <w14:schemeClr w14:val="tx1"/>
            </w14:solidFill>
          </w14:textFill>
        </w:rPr>
        <w:t>。</w:t>
      </w:r>
    </w:p>
    <w:p w14:paraId="32035B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开工</w:t>
      </w:r>
    </w:p>
    <w:p w14:paraId="417028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开工准备</w:t>
      </w:r>
    </w:p>
    <w:p w14:paraId="74C15E9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关于承包人提交工程开工报审表的期限：【】年【】月【】日前，</w:t>
      </w:r>
      <w:r>
        <w:rPr>
          <w:rFonts w:hint="eastAsia" w:ascii="宋体" w:hAnsi="宋体" w:cs="宋体"/>
          <w:color w:val="000000" w:themeColor="text1"/>
          <w:sz w:val="24"/>
          <w:highlight w:val="none"/>
          <w:u w:val="single"/>
          <w14:textFill>
            <w14:solidFill>
              <w14:schemeClr w14:val="tx1"/>
            </w14:solidFill>
          </w14:textFill>
        </w:rPr>
        <w:t xml:space="preserve">逾期提供的，每逾期一天，应向发包人支付【2000】元违约金 </w:t>
      </w:r>
      <w:r>
        <w:rPr>
          <w:rFonts w:hint="eastAsia" w:ascii="宋体" w:hAnsi="宋体" w:cs="宋体"/>
          <w:color w:val="000000" w:themeColor="text1"/>
          <w:sz w:val="24"/>
          <w:highlight w:val="none"/>
          <w14:textFill>
            <w14:solidFill>
              <w14:schemeClr w14:val="tx1"/>
            </w14:solidFill>
          </w14:textFill>
        </w:rPr>
        <w:t>。</w:t>
      </w:r>
    </w:p>
    <w:p w14:paraId="4A21FE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关于发包人应完成的其他开工准备工作及期限：</w:t>
      </w:r>
      <w:r>
        <w:rPr>
          <w:rFonts w:hint="eastAsia" w:ascii="宋体" w:hAnsi="宋体" w:cs="宋体"/>
          <w:b/>
          <w:bCs/>
          <w:color w:val="000000" w:themeColor="text1"/>
          <w:sz w:val="24"/>
          <w:highlight w:val="none"/>
          <w:u w:val="single"/>
          <w14:textFill>
            <w14:solidFill>
              <w14:schemeClr w14:val="tx1"/>
            </w14:solidFill>
          </w14:textFill>
        </w:rPr>
        <w:t>开工前【7】天</w:t>
      </w:r>
      <w:r>
        <w:rPr>
          <w:rFonts w:hint="eastAsia" w:ascii="宋体" w:hAnsi="宋体" w:cs="宋体"/>
          <w:color w:val="000000" w:themeColor="text1"/>
          <w:sz w:val="24"/>
          <w:highlight w:val="none"/>
          <w14:textFill>
            <w14:solidFill>
              <w14:schemeClr w14:val="tx1"/>
            </w14:solidFill>
          </w14:textFill>
        </w:rPr>
        <w:t>。</w:t>
      </w:r>
    </w:p>
    <w:p w14:paraId="5793AA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关于承包人应完成的其他开工准备工作及期限：【】年【】月【】日前，逾期完成的，每逾期一天，应向发包人支付【2000】元违约金。</w:t>
      </w:r>
    </w:p>
    <w:p w14:paraId="72F12B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7.3.2开工通知</w:t>
      </w:r>
    </w:p>
    <w:p w14:paraId="59FA26E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因发包人原因造成监理人未能在计划开工日期之日起</w:t>
      </w:r>
      <w:r>
        <w:rPr>
          <w:rFonts w:hint="eastAsia" w:ascii="宋体" w:hAnsi="宋体" w:cs="宋体"/>
          <w:color w:val="000000" w:themeColor="text1"/>
          <w:sz w:val="24"/>
          <w:highlight w:val="none"/>
          <w:u w:val="single"/>
          <w14:textFill>
            <w14:solidFill>
              <w14:schemeClr w14:val="tx1"/>
            </w14:solidFill>
          </w14:textFill>
        </w:rPr>
        <w:t xml:space="preserve"> 【90】 </w:t>
      </w:r>
      <w:r>
        <w:rPr>
          <w:rFonts w:hint="eastAsia" w:ascii="宋体" w:hAnsi="宋体" w:cs="宋体"/>
          <w:color w:val="000000" w:themeColor="text1"/>
          <w:sz w:val="24"/>
          <w:highlight w:val="none"/>
          <w14:textFill>
            <w14:solidFill>
              <w14:schemeClr w14:val="tx1"/>
            </w14:solidFill>
          </w14:textFill>
        </w:rPr>
        <w:t>天内发出开工通知的，承包人有权提出价格调整要求，或者解除合同。</w:t>
      </w:r>
    </w:p>
    <w:p w14:paraId="6DB1C5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 测量放线</w:t>
      </w:r>
    </w:p>
    <w:p w14:paraId="3356F0C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7.4.1发包人通过监理人向承包人提供测量基准点、基准线和水准点及其书面资料的期限：</w:t>
      </w:r>
      <w:r>
        <w:rPr>
          <w:rFonts w:hint="eastAsia" w:ascii="宋体" w:hAnsi="宋体" w:cs="宋体"/>
          <w:b/>
          <w:bCs/>
          <w:color w:val="000000" w:themeColor="text1"/>
          <w:sz w:val="24"/>
          <w:highlight w:val="none"/>
          <w:u w:val="single"/>
          <w14:textFill>
            <w14:solidFill>
              <w14:schemeClr w14:val="tx1"/>
            </w14:solidFill>
          </w14:textFill>
        </w:rPr>
        <w:t>开工前七天</w:t>
      </w:r>
      <w:r>
        <w:rPr>
          <w:rFonts w:hint="eastAsia" w:ascii="宋体" w:hAnsi="宋体" w:cs="宋体"/>
          <w:color w:val="000000" w:themeColor="text1"/>
          <w:sz w:val="24"/>
          <w:highlight w:val="none"/>
          <w14:textFill>
            <w14:solidFill>
              <w14:schemeClr w14:val="tx1"/>
            </w14:solidFill>
          </w14:textFill>
        </w:rPr>
        <w:t>。</w:t>
      </w:r>
    </w:p>
    <w:p w14:paraId="7560EC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 工期延误</w:t>
      </w:r>
    </w:p>
    <w:p w14:paraId="75276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7.5.1 因发包人原因导致工期延误</w:t>
      </w:r>
    </w:p>
    <w:p w14:paraId="6819A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（7）因发包人原因导致工期延误的其他情形：</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60D509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（8）双方约定工期顺延的其他情况：</w:t>
      </w:r>
      <w:r>
        <w:rPr>
          <w:rFonts w:hint="eastAsia" w:ascii="宋体" w:hAnsi="宋体" w:cs="宋体"/>
          <w:color w:val="000000" w:themeColor="text1"/>
          <w:sz w:val="24"/>
          <w:highlight w:val="none"/>
          <w:u w:val="single"/>
          <w14:textFill>
            <w14:solidFill>
              <w14:schemeClr w14:val="tx1"/>
            </w14:solidFill>
          </w14:textFill>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color w:val="000000" w:themeColor="text1"/>
          <w:sz w:val="24"/>
          <w:highlight w:val="none"/>
          <w:u w:val="single"/>
          <w14:textFill>
            <w14:solidFill>
              <w14:schemeClr w14:val="tx1"/>
            </w14:solidFill>
          </w14:textFill>
        </w:rPr>
        <w:t>因非承包人原因导致的工期延误，经发包人确认的，工期相应顺延，但费用不予补偿。</w:t>
      </w:r>
    </w:p>
    <w:p w14:paraId="74A869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（9）工程延期的审批：</w:t>
      </w:r>
      <w:r>
        <w:rPr>
          <w:rFonts w:hint="eastAsia" w:ascii="宋体" w:hAnsi="宋体" w:cs="宋体"/>
          <w:color w:val="000000" w:themeColor="text1"/>
          <w:sz w:val="24"/>
          <w:highlight w:val="none"/>
          <w:u w:val="single"/>
          <w14:textFill>
            <w14:solidFill>
              <w14:schemeClr w14:val="tx1"/>
            </w14:solidFill>
          </w14:textFill>
        </w:rPr>
        <w:t>必须是非承包人自身的原因造成的工期延误，发包人才可以考虑是否受理承包人的延期申请；若只是局部工程受到影响，承包人应采取措施并合理安排施工方案予以弥补，而不能影响工程的总工期。</w:t>
      </w:r>
    </w:p>
    <w:p w14:paraId="2ABE2C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7.5.2 因承包人原因导致工期延误</w:t>
      </w:r>
    </w:p>
    <w:p w14:paraId="7E320B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因承包人原因造成工期延误，逾期竣工违约金的计算方法为：</w:t>
      </w:r>
    </w:p>
    <w:p w14:paraId="4765F77B">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】元违约金。</w:t>
      </w:r>
    </w:p>
    <w:p w14:paraId="3F20E41E">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p>
    <w:p w14:paraId="0228F5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因承包人原因造成工期延误，逾期竣工违约金的上限：</w:t>
      </w:r>
      <w:r>
        <w:rPr>
          <w:rFonts w:hint="eastAsia" w:ascii="宋体" w:hAnsi="宋体" w:cs="宋体"/>
          <w:b/>
          <w:bCs/>
          <w:color w:val="000000" w:themeColor="text1"/>
          <w:sz w:val="24"/>
          <w:highlight w:val="none"/>
          <w:u w:val="single"/>
          <w14:textFill>
            <w14:solidFill>
              <w14:schemeClr w14:val="tx1"/>
            </w14:solidFill>
          </w14:textFill>
        </w:rPr>
        <w:t>累计最高不超过合同总价的百分之二十，但因工期延误给发包人造成的损失不受该违约金上限的限制</w:t>
      </w:r>
      <w:r>
        <w:rPr>
          <w:rFonts w:hint="eastAsia" w:ascii="宋体" w:hAnsi="宋体" w:cs="宋体"/>
          <w:color w:val="000000" w:themeColor="text1"/>
          <w:sz w:val="24"/>
          <w:highlight w:val="none"/>
          <w14:textFill>
            <w14:solidFill>
              <w14:schemeClr w14:val="tx1"/>
            </w14:solidFill>
          </w14:textFill>
        </w:rPr>
        <w:t>。</w:t>
      </w:r>
    </w:p>
    <w:p w14:paraId="6F802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7.6 不利物质条件</w:t>
      </w:r>
    </w:p>
    <w:p w14:paraId="622E15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不利物质条件的其他情形和有关约定：</w:t>
      </w:r>
      <w:r>
        <w:rPr>
          <w:rFonts w:hint="eastAsia" w:ascii="宋体" w:hAnsi="宋体" w:cs="宋体"/>
          <w:b/>
          <w:bCs/>
          <w:color w:val="000000" w:themeColor="text1"/>
          <w:sz w:val="24"/>
          <w:highlight w:val="none"/>
          <w:u w:val="single"/>
          <w14:textFill>
            <w14:solidFill>
              <w14:schemeClr w14:val="tx1"/>
            </w14:solidFill>
          </w14:textFill>
        </w:rPr>
        <w:t>按通用合同条款第7.6条规定执行</w:t>
      </w:r>
      <w:r>
        <w:rPr>
          <w:rFonts w:hint="eastAsia" w:ascii="宋体" w:hAnsi="宋体" w:cs="宋体"/>
          <w:color w:val="000000" w:themeColor="text1"/>
          <w:sz w:val="24"/>
          <w:highlight w:val="none"/>
          <w14:textFill>
            <w14:solidFill>
              <w14:schemeClr w14:val="tx1"/>
            </w14:solidFill>
          </w14:textFill>
        </w:rPr>
        <w:t>。</w:t>
      </w:r>
    </w:p>
    <w:p w14:paraId="18ED944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7.7异常恶劣的气候条件</w:t>
      </w:r>
    </w:p>
    <w:p w14:paraId="603F64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发包人和承包人同意以下情形视为异常恶劣的气候条件：</w:t>
      </w:r>
    </w:p>
    <w:p w14:paraId="583995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C756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CC41F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AB7F9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 提前竣工的奖励</w:t>
      </w:r>
    </w:p>
    <w:p w14:paraId="07C2C1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7.9.2提前竣工的奖励：</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8CD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材料与设备</w:t>
      </w:r>
    </w:p>
    <w:p w14:paraId="78704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8.4材料与工程设备的保管与使用</w:t>
      </w:r>
    </w:p>
    <w:p w14:paraId="01FB3A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8.4.1发包人供应的材料设备的保管费用的承担：</w:t>
      </w:r>
    </w:p>
    <w:p w14:paraId="4ED6A3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发包人供应的材料设备保管费用、安装过程中的二次搬运费用和设备就位费、检验试验费由承包人承担；因承包人原因发生材料丢失损坏，由承包人负责赔偿。</w:t>
      </w:r>
    </w:p>
    <w:p w14:paraId="5F34B37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 样品</w:t>
      </w:r>
    </w:p>
    <w:p w14:paraId="3A9F035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8.6.1 样品的报送与封存</w:t>
      </w:r>
    </w:p>
    <w:p w14:paraId="7022FC0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需要承包人报送样品的材料或工程设备，样品的种类、名称、规格、数量要求：</w:t>
      </w:r>
      <w:r>
        <w:rPr>
          <w:rFonts w:hint="eastAsia" w:ascii="宋体" w:hAnsi="宋体" w:cs="宋体"/>
          <w:b/>
          <w:bCs/>
          <w:color w:val="000000" w:themeColor="text1"/>
          <w:sz w:val="24"/>
          <w:highlight w:val="none"/>
          <w:u w:val="single"/>
          <w14:textFill>
            <w14:solidFill>
              <w14:schemeClr w14:val="tx1"/>
            </w14:solidFill>
          </w14:textFill>
        </w:rPr>
        <w:t>按通用合同条款第8.6.1条规定执行</w:t>
      </w:r>
      <w:r>
        <w:rPr>
          <w:rFonts w:hint="eastAsia" w:ascii="宋体" w:hAnsi="宋体" w:cs="宋体"/>
          <w:color w:val="000000" w:themeColor="text1"/>
          <w:sz w:val="24"/>
          <w:highlight w:val="none"/>
          <w14:textFill>
            <w14:solidFill>
              <w14:schemeClr w14:val="tx1"/>
            </w14:solidFill>
          </w14:textFill>
        </w:rPr>
        <w:t>。</w:t>
      </w:r>
    </w:p>
    <w:p w14:paraId="40A6019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 施工设备和临时设施</w:t>
      </w:r>
    </w:p>
    <w:p w14:paraId="58FCA273">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8.8.1 承包人提供的施工设备和临时设施</w:t>
      </w:r>
    </w:p>
    <w:p w14:paraId="5FA2F2AE">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关于修建临时设施费用承担的约定：</w:t>
      </w:r>
      <w:r>
        <w:rPr>
          <w:rFonts w:hint="eastAsia" w:ascii="宋体" w:hAnsi="宋体" w:cs="宋体"/>
          <w:color w:val="000000" w:themeColor="text1"/>
          <w:sz w:val="24"/>
          <w:highlight w:val="none"/>
          <w:u w:val="single"/>
          <w14:textFill>
            <w14:solidFill>
              <w14:schemeClr w14:val="tx1"/>
            </w14:solidFill>
          </w14:textFill>
        </w:rPr>
        <w:t>由承包人承担 。</w:t>
      </w:r>
    </w:p>
    <w:p w14:paraId="327129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试验与检验</w:t>
      </w:r>
    </w:p>
    <w:p w14:paraId="694C5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9.1试验设备与试验人员</w:t>
      </w:r>
    </w:p>
    <w:p w14:paraId="0993A0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试验设备</w:t>
      </w:r>
    </w:p>
    <w:p w14:paraId="23900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施工现场需要配置的试验场所：</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608A1D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施工现场需要配备的试验设备：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0E9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施工现场需要具备的其他试验条件：满足工程需要，由承包人提供 。</w:t>
      </w:r>
    </w:p>
    <w:p w14:paraId="61D3E7F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9.4 现场工艺试验 </w:t>
      </w:r>
    </w:p>
    <w:p w14:paraId="6760940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现场工艺试验的有关约定：承包人应当根据国家或行业的规程、规范进行试验，费用已包含在合同价款中，不得另行计取。</w:t>
      </w:r>
    </w:p>
    <w:p w14:paraId="7EA275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变更</w:t>
      </w:r>
    </w:p>
    <w:p w14:paraId="59034D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10.1变更的范围</w:t>
      </w:r>
    </w:p>
    <w:p w14:paraId="45EDBC9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关于变更的范围的约定：</w:t>
      </w:r>
    </w:p>
    <w:p w14:paraId="7CB00F68">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w:t>
      </w:r>
      <w:r>
        <w:rPr>
          <w:rFonts w:hint="eastAsia" w:ascii="宋体" w:hAnsi="宋体" w:cs="宋体"/>
          <w:b/>
          <w:bCs/>
          <w:color w:val="000000" w:themeColor="text1"/>
          <w:sz w:val="24"/>
          <w:highlight w:val="none"/>
          <w:u w:val="single"/>
          <w14:textFill>
            <w14:solidFill>
              <w14:schemeClr w14:val="tx1"/>
            </w14:solidFill>
          </w14:textFill>
        </w:rPr>
        <w:t>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00C1F01F">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（2）施工中承包人不得对原工程设计进行变更。因承包人擅自变更设计发生的费用和由此导致发包人损失，由承包人承担，延误的工期不予顺延，同时发包人有权解除合同。</w:t>
      </w:r>
    </w:p>
    <w:p w14:paraId="513A2F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cs="宋体"/>
          <w:color w:val="000000" w:themeColor="text1"/>
          <w:sz w:val="24"/>
          <w:highlight w:val="none"/>
          <w14:textFill>
            <w14:solidFill>
              <w14:schemeClr w14:val="tx1"/>
            </w14:solidFill>
          </w14:textFill>
        </w:rPr>
        <w:t>。</w:t>
      </w:r>
    </w:p>
    <w:p w14:paraId="4550820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 变更估价</w:t>
      </w:r>
    </w:p>
    <w:p w14:paraId="2AF400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10.4.1 变更估价原则</w:t>
      </w:r>
    </w:p>
    <w:p w14:paraId="086AAA4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关于变更估价的约定: </w:t>
      </w:r>
      <w:r>
        <w:rPr>
          <w:rFonts w:hint="eastAsia" w:ascii="宋体" w:hAnsi="宋体" w:cs="宋体"/>
          <w:b/>
          <w:bCs/>
          <w:color w:val="000000" w:themeColor="text1"/>
          <w:sz w:val="24"/>
          <w:highlight w:val="none"/>
          <w:u w:val="single"/>
          <w14:textFill>
            <w14:solidFill>
              <w14:schemeClr w14:val="tx1"/>
            </w14:solidFill>
          </w14:textFill>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color w:val="000000" w:themeColor="text1"/>
          <w:sz w:val="24"/>
          <w:highlight w:val="none"/>
          <w14:textFill>
            <w14:solidFill>
              <w14:schemeClr w14:val="tx1"/>
            </w14:solidFill>
          </w14:textFill>
        </w:rPr>
        <w:t>。</w:t>
      </w:r>
    </w:p>
    <w:p w14:paraId="7D120B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10.5承包人的合理化建议</w:t>
      </w:r>
    </w:p>
    <w:p w14:paraId="41FA14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监理人审查承包人合理化建议的期限：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04CB55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6365270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B27400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 暂估价</w:t>
      </w:r>
    </w:p>
    <w:p w14:paraId="63440D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10.7.1 依法必须招标的暂估价项目</w:t>
      </w:r>
    </w:p>
    <w:p w14:paraId="27548B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种方式确定。</w:t>
      </w:r>
    </w:p>
    <w:p w14:paraId="4F08E9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10.7.2 不属于依法必须招标的暂估价项目</w:t>
      </w:r>
    </w:p>
    <w:p w14:paraId="22C993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对于不属于依法必须招标的暂估价项目的确认和批准采取第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种方式确定。</w:t>
      </w:r>
    </w:p>
    <w:p w14:paraId="55CBD5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第3种方式：承包人直接实施的暂估价项目</w:t>
      </w:r>
    </w:p>
    <w:p w14:paraId="2D4BA6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承包人直接实施的暂估价项目的约定：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3C2C2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10.8 暂列金额</w:t>
      </w:r>
    </w:p>
    <w:p w14:paraId="6770013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合同当事人关于暂列金额使用的约定：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7CD0E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价格调整</w:t>
      </w:r>
    </w:p>
    <w:p w14:paraId="514151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86DC8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合同价格、计量与支付</w:t>
      </w:r>
    </w:p>
    <w:p w14:paraId="4E692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合同价格形式</w:t>
      </w:r>
    </w:p>
    <w:p w14:paraId="4F309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1、本合同为□单价合同 □总价合同 。</w:t>
      </w:r>
    </w:p>
    <w:p w14:paraId="3CF9370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单价包含的风险范围：</w:t>
      </w:r>
    </w:p>
    <w:p w14:paraId="33B51E8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a、除不可抗力外的各种自然灾害；</w:t>
      </w:r>
    </w:p>
    <w:p w14:paraId="2460B6F3">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b、安全生产文明施工不当引起的责任；</w:t>
      </w:r>
    </w:p>
    <w:p w14:paraId="33DB8ADD">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c、所有磋商文件或工程量清单明示要求报价的内容而承包人未予报价的，将被认为包含在合同总价中，结算时合同价款不再增加；</w:t>
      </w:r>
    </w:p>
    <w:p w14:paraId="2162CC2E">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d、工程要素（含人工、材料（设备）、机械台班）价格的涨跌风险；</w:t>
      </w:r>
    </w:p>
    <w:p w14:paraId="3AD14E69">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e、承包人对工程现场环境以及发包人提供的磋商文件、图纸等资料作出错误的推论、理解而导致的报价失误；</w:t>
      </w:r>
    </w:p>
    <w:p w14:paraId="0EB818EB">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f、磋商文件约定的工程量清单数量误差引起的综合单价成本差异（风险范围及范围外调整方法见本条款第2）条的规定）；</w:t>
      </w:r>
    </w:p>
    <w:p w14:paraId="5B8033EE">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g、施工组织措施费和技术措施费在成交以后，在合同施工范围内，无论现场施工条件如何变化、设计如何变更、也无论工程量增减的幅度如何，均不再调整；</w:t>
      </w:r>
    </w:p>
    <w:p w14:paraId="23D869DC">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h、施工期间停水、停电引起的费用增加；</w:t>
      </w:r>
    </w:p>
    <w:p w14:paraId="3D7883BE">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i、清单描述中有按图集或规范施工的，综合单价必须满足规范和图集要求，综合单价不作调整；</w:t>
      </w:r>
    </w:p>
    <w:p w14:paraId="68B666B4">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j、本工程垃圾外运费用一次性包干，包括所有垃圾清理、搬运、外运与消纳所产生的费用，施工过程及结算时不予增加。</w:t>
      </w:r>
    </w:p>
    <w:p w14:paraId="04474F56">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k、所有磋商文件或工程量清单明示要求报价包干或费率包干（指规费、税金、意外伤害保险费、总承包服务费）的内容；</w:t>
      </w:r>
    </w:p>
    <w:p w14:paraId="7AC6E312">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l、除本条明确允许调整内容以外的其他风险因素；</w:t>
      </w:r>
    </w:p>
    <w:p w14:paraId="727E73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m、若同一工程中出现清单项目相同而报价或取费不一致者，按最低者执行。</w:t>
      </w:r>
    </w:p>
    <w:p w14:paraId="21FDBC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b/>
          <w:color w:val="000000" w:themeColor="text1"/>
          <w:sz w:val="24"/>
          <w:highlight w:val="none"/>
          <w:u w:val="single"/>
          <w14:textFill>
            <w14:solidFill>
              <w14:schemeClr w14:val="tx1"/>
            </w14:solidFill>
          </w14:textFill>
        </w:rPr>
        <w:t>风险因素范围内的费用由承包人自行考虑计列，不再另行计列、调整</w:t>
      </w:r>
      <w:r>
        <w:rPr>
          <w:rFonts w:hint="eastAsia" w:ascii="宋体" w:hAnsi="宋体" w:cs="宋体"/>
          <w:color w:val="000000" w:themeColor="text1"/>
          <w:sz w:val="24"/>
          <w:highlight w:val="none"/>
          <w14:textFill>
            <w14:solidFill>
              <w14:schemeClr w14:val="tx1"/>
            </w14:solidFill>
          </w14:textFill>
        </w:rPr>
        <w:t>。</w:t>
      </w:r>
    </w:p>
    <w:p w14:paraId="0FF72B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p>
    <w:p w14:paraId="1099E1D3">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3F34E789">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1）综合单价确定方式：</w:t>
      </w:r>
    </w:p>
    <w:p w14:paraId="0DF7174B">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①合同中已有适用的综合单价的，按合同中已有的综合单价确定；</w:t>
      </w:r>
    </w:p>
    <w:p w14:paraId="35491925">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②合同中有类似工程项目单价的，可以参照合同中类似项目的单价计算确定；</w:t>
      </w:r>
    </w:p>
    <w:p w14:paraId="38F507E5">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164883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color w:val="000000" w:themeColor="text1"/>
          <w:sz w:val="24"/>
          <w:highlight w:val="none"/>
          <w14:textFill>
            <w14:solidFill>
              <w14:schemeClr w14:val="tx1"/>
            </w14:solidFill>
          </w14:textFill>
        </w:rPr>
        <w:t>。</w:t>
      </w:r>
    </w:p>
    <w:p w14:paraId="1ABF7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w:t>
      </w:r>
    </w:p>
    <w:p w14:paraId="7D38DB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总价包含的风险范围：</w:t>
      </w:r>
      <w:r>
        <w:rPr>
          <w:rFonts w:hint="eastAsia" w:ascii="宋体" w:hAnsi="宋体" w:cs="宋体"/>
          <w:color w:val="000000" w:themeColor="text1"/>
          <w:sz w:val="24"/>
          <w:highlight w:val="none"/>
          <w:u w:val="single"/>
          <w14:textFill>
            <w14:solidFill>
              <w14:schemeClr w14:val="tx1"/>
            </w14:solidFill>
          </w14:textFill>
        </w:rPr>
        <w:t xml:space="preserve"> 包括但不限于本合同专用条款中所列明的全部风险 </w:t>
      </w:r>
      <w:r>
        <w:rPr>
          <w:rFonts w:hint="eastAsia" w:ascii="宋体" w:hAnsi="宋体" w:cs="宋体"/>
          <w:color w:val="000000" w:themeColor="text1"/>
          <w:sz w:val="24"/>
          <w:highlight w:val="none"/>
          <w14:textFill>
            <w14:solidFill>
              <w14:schemeClr w14:val="tx1"/>
            </w14:solidFill>
          </w14:textFill>
        </w:rPr>
        <w:t>。</w:t>
      </w:r>
    </w:p>
    <w:p w14:paraId="098879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color w:val="000000" w:themeColor="text1"/>
          <w:sz w:val="24"/>
          <w:highlight w:val="none"/>
          <w:u w:val="single"/>
          <w14:textFill>
            <w14:solidFill>
              <w14:schemeClr w14:val="tx1"/>
            </w14:solidFill>
          </w14:textFill>
        </w:rPr>
        <w:t xml:space="preserve"> 风险因素范围内的费用由承包人自行考虑计列，如费用减少，以减少后的费用计列；如费用增加，不再另行计列、调整。  </w:t>
      </w:r>
    </w:p>
    <w:p w14:paraId="123500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3ED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AD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预付款</w:t>
      </w:r>
    </w:p>
    <w:p w14:paraId="035235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12.2.1 预付款的支付</w:t>
      </w:r>
    </w:p>
    <w:p w14:paraId="71BC6A86">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预付款支付比例或金额：</w:t>
      </w:r>
      <w:r>
        <w:rPr>
          <w:rFonts w:hint="eastAsia" w:ascii="宋体" w:hAnsi="宋体" w:cs="宋体"/>
          <w:b/>
          <w:color w:val="000000" w:themeColor="text1"/>
          <w:sz w:val="24"/>
          <w:highlight w:val="none"/>
          <w:u w:val="single"/>
          <w14:textFill>
            <w14:solidFill>
              <w14:schemeClr w14:val="tx1"/>
            </w14:solidFill>
          </w14:textFill>
        </w:rPr>
        <w:t>合同金额【</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 。</w:t>
      </w:r>
    </w:p>
    <w:p w14:paraId="56AD617A">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预付款支付期限：</w:t>
      </w:r>
      <w:r>
        <w:rPr>
          <w:rFonts w:hint="eastAsia" w:ascii="宋体" w:hAnsi="宋体" w:cs="宋体"/>
          <w:b/>
          <w:color w:val="000000" w:themeColor="text1"/>
          <w:sz w:val="24"/>
          <w:highlight w:val="none"/>
          <w:u w:val="single"/>
          <w14:textFill>
            <w14:solidFill>
              <w14:schemeClr w14:val="tx1"/>
            </w14:solidFill>
          </w14:textFill>
        </w:rPr>
        <w:t>合同签订、承包人递交履约保证金后，且承包人施工队伍主要管理人员、主要施工机械进场，且发包人收到符合要求的发票后发包人向承包人预付签约合同价的【</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】%的工程预付款</w:t>
      </w:r>
      <w:r>
        <w:rPr>
          <w:rFonts w:hint="eastAsia" w:ascii="宋体" w:hAnsi="宋体" w:cs="宋体"/>
          <w:b/>
          <w:color w:val="000000" w:themeColor="text1"/>
          <w:sz w:val="24"/>
          <w:highlight w:val="none"/>
          <w14:textFill>
            <w14:solidFill>
              <w14:schemeClr w14:val="tx1"/>
            </w14:solidFill>
          </w14:textFill>
        </w:rPr>
        <w:t>。</w:t>
      </w:r>
    </w:p>
    <w:p w14:paraId="68FEC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预付款扣回的方式：</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3715B3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12.2.2 预付款担保</w:t>
      </w:r>
    </w:p>
    <w:p w14:paraId="575CF8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承包人提交预付款担保的期限：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CA1BE1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预付款担保的形式为：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90160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计量</w:t>
      </w:r>
    </w:p>
    <w:p w14:paraId="73553A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计量原则</w:t>
      </w:r>
    </w:p>
    <w:p w14:paraId="1E016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工程量计算规则：</w:t>
      </w:r>
    </w:p>
    <w:p w14:paraId="2489DC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实行工程量清单计价的工程项目，其工程量的计算规则应按国家标准工程量计算规范及省级行业主管部门颁布的补充规定执行。</w:t>
      </w:r>
    </w:p>
    <w:p w14:paraId="7D41F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（2）不实行工程量清单计价的工程项目，工程量的计算规则应按省、市行业主管部门颁布的各专业工程定额的工程量计算规则执行。</w:t>
      </w:r>
    </w:p>
    <w:p w14:paraId="7C47B6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计量周期</w:t>
      </w:r>
    </w:p>
    <w:p w14:paraId="112464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关于计量周期的约定：</w:t>
      </w:r>
      <w:r>
        <w:rPr>
          <w:rFonts w:hint="eastAsia" w:ascii="宋体" w:hAnsi="宋体" w:cs="宋体"/>
          <w:b/>
          <w:bCs/>
          <w:color w:val="000000" w:themeColor="text1"/>
          <w:sz w:val="24"/>
          <w:highlight w:val="none"/>
          <w:u w:val="single"/>
          <w14:textFill>
            <w14:solidFill>
              <w14:schemeClr w14:val="tx1"/>
            </w14:solidFill>
          </w14:textFill>
        </w:rPr>
        <w:t>工程量的计量按月进行</w:t>
      </w:r>
      <w:r>
        <w:rPr>
          <w:rFonts w:hint="eastAsia" w:ascii="宋体" w:hAnsi="宋体" w:cs="宋体"/>
          <w:color w:val="000000" w:themeColor="text1"/>
          <w:sz w:val="24"/>
          <w:highlight w:val="none"/>
          <w14:textFill>
            <w14:solidFill>
              <w14:schemeClr w14:val="tx1"/>
            </w14:solidFill>
          </w14:textFill>
        </w:rPr>
        <w:t>。</w:t>
      </w:r>
    </w:p>
    <w:p w14:paraId="379FA8B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12.3.3 单价合同的计量</w:t>
      </w:r>
    </w:p>
    <w:p w14:paraId="184E7F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关于单价合同计量的约定：</w:t>
      </w:r>
      <w:r>
        <w:rPr>
          <w:rFonts w:hint="eastAsia" w:ascii="宋体" w:hAnsi="宋体" w:cs="宋体"/>
          <w:b/>
          <w:bCs/>
          <w:color w:val="000000" w:themeColor="text1"/>
          <w:sz w:val="24"/>
          <w:highlight w:val="none"/>
          <w:u w:val="single"/>
          <w14:textFill>
            <w14:solidFill>
              <w14:schemeClr w14:val="tx1"/>
            </w14:solidFill>
          </w14:textFill>
        </w:rPr>
        <w:t>按通用合同条款规定执行</w:t>
      </w:r>
      <w:r>
        <w:rPr>
          <w:rFonts w:hint="eastAsia" w:ascii="宋体" w:hAnsi="宋体" w:cs="宋体"/>
          <w:color w:val="000000" w:themeColor="text1"/>
          <w:sz w:val="24"/>
          <w:highlight w:val="none"/>
          <w14:textFill>
            <w14:solidFill>
              <w14:schemeClr w14:val="tx1"/>
            </w14:solidFill>
          </w14:textFill>
        </w:rPr>
        <w:t>。</w:t>
      </w:r>
    </w:p>
    <w:p w14:paraId="6622B1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12.3.4 总价合同的计量</w:t>
      </w:r>
    </w:p>
    <w:p w14:paraId="66BB13D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关于总价合同计量的约定：</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964B7E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12.3.5总价合同采用支付分解表计量支付的，是否适用第12.3.4 项〔总价合同的计量〕约定进行计量：</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E4DE9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12.3.6 其他价格形式合同的计量</w:t>
      </w:r>
    </w:p>
    <w:p w14:paraId="4142D9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其他价格形式的计量方式和程序：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A6E8F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 工程进度款支付</w:t>
      </w:r>
    </w:p>
    <w:p w14:paraId="752128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付款周期</w:t>
      </w:r>
    </w:p>
    <w:p w14:paraId="08CABD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关于付款周期的约定：</w:t>
      </w:r>
    </w:p>
    <w:p w14:paraId="59C25CBE">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（1）项目竣工验收合格后，支付</w:t>
      </w:r>
      <w:r>
        <w:rPr>
          <w:rFonts w:hint="eastAsia" w:ascii="宋体" w:hAnsi="宋体" w:cs="宋体"/>
          <w:b/>
          <w:color w:val="000000" w:themeColor="text1"/>
          <w:sz w:val="24"/>
          <w:highlight w:val="none"/>
          <w:u w:val="single"/>
          <w:lang w:val="en-US" w:eastAsia="zh-CN"/>
          <w14:textFill>
            <w14:solidFill>
              <w14:schemeClr w14:val="tx1"/>
            </w14:solidFill>
          </w14:textFill>
        </w:rPr>
        <w:t>至</w:t>
      </w:r>
      <w:r>
        <w:rPr>
          <w:rFonts w:hint="eastAsia" w:ascii="宋体" w:hAnsi="宋体" w:cs="宋体"/>
          <w:b/>
          <w:color w:val="000000" w:themeColor="text1"/>
          <w:sz w:val="24"/>
          <w:highlight w:val="none"/>
          <w:u w:val="single"/>
          <w14:textFill>
            <w14:solidFill>
              <w14:schemeClr w14:val="tx1"/>
            </w14:solidFill>
          </w14:textFill>
        </w:rPr>
        <w:t>合同价款的【85】%，并扣除承包人应承担的全部费用（包括但不限于违约金、损害赔偿金等）无息退还履约保证金。</w:t>
      </w:r>
    </w:p>
    <w:p w14:paraId="1E93ED43">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（2）本项目最终以财政审计为准，审计完毕后【7】日承包人向发包人缴纳审定价的【1.5】%作为质保金，发包人收到质保金后支付至审计审定总价的100%（含预付款）。</w:t>
      </w:r>
    </w:p>
    <w:p w14:paraId="4A913C90">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（3）新增和经认定变更新增的工程量，在扣除【1.5】%作为质保金后于工程结算审计完毕后【 7】日一次性支付；</w:t>
      </w:r>
    </w:p>
    <w:p w14:paraId="7AB8FD09">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（4）质保金在</w:t>
      </w:r>
      <w:r>
        <w:rPr>
          <w:rFonts w:hint="eastAsia" w:ascii="宋体" w:hAnsi="宋体" w:cs="宋体"/>
          <w:b/>
          <w:color w:val="000000" w:themeColor="text1"/>
          <w:sz w:val="24"/>
          <w:highlight w:val="none"/>
          <w:u w:val="single"/>
          <w:lang w:val="en-US" w:eastAsia="zh-CN"/>
          <w14:textFill>
            <w14:solidFill>
              <w14:schemeClr w14:val="tx1"/>
            </w14:solidFill>
          </w14:textFill>
        </w:rPr>
        <w:t>缺陷责任期</w:t>
      </w:r>
      <w:r>
        <w:rPr>
          <w:rFonts w:hint="eastAsia" w:ascii="宋体" w:hAnsi="宋体" w:cs="宋体"/>
          <w:b/>
          <w:color w:val="000000" w:themeColor="text1"/>
          <w:sz w:val="24"/>
          <w:highlight w:val="none"/>
          <w:u w:val="single"/>
          <w14:textFill>
            <w14:solidFill>
              <w14:schemeClr w14:val="tx1"/>
            </w14:solidFill>
          </w14:textFill>
        </w:rPr>
        <w:t>满【2 】年经验收无质量问题后扣除承包人应承担的全部费用（包括但不限于违约金、损害赔偿金等）后【7】天内结清（不计利息）；</w:t>
      </w:r>
    </w:p>
    <w:p w14:paraId="6CE28B04">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（5）上述工程进度款（包括质保金、履约保证金）支付时，发包人有权从应支付给承包人的任意一笔款项中扣除承包人应承担的全部费用（包括但不限于代付费用、违约金、损害赔偿金等）；</w:t>
      </w:r>
    </w:p>
    <w:p w14:paraId="7A2F8F0C">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（6）发包人审核的工程量仅作为进度款支付依据，不作为结算依据；</w:t>
      </w:r>
    </w:p>
    <w:p w14:paraId="2D39EF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（7）发包人拨付的工程款，汇入承包人指定的公司账户，户名：         ，开户银行：         ，账号：          。</w:t>
      </w:r>
    </w:p>
    <w:p w14:paraId="710894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进度付款申请单的编制</w:t>
      </w:r>
    </w:p>
    <w:p w14:paraId="3F6CA8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关于进度付款申请单编制的约定：</w:t>
      </w:r>
      <w:r>
        <w:rPr>
          <w:rFonts w:hint="eastAsia" w:ascii="宋体" w:hAnsi="宋体" w:cs="宋体"/>
          <w:b/>
          <w:bCs/>
          <w:color w:val="000000" w:themeColor="text1"/>
          <w:sz w:val="24"/>
          <w:highlight w:val="none"/>
          <w:u w:val="single"/>
          <w14:textFill>
            <w14:solidFill>
              <w14:schemeClr w14:val="tx1"/>
            </w14:solidFill>
          </w14:textFill>
        </w:rPr>
        <w:t>按通用合同条款第12.4.2条规定执行</w:t>
      </w:r>
      <w:r>
        <w:rPr>
          <w:rFonts w:hint="eastAsia" w:ascii="宋体" w:hAnsi="宋体" w:cs="宋体"/>
          <w:color w:val="000000" w:themeColor="text1"/>
          <w:sz w:val="24"/>
          <w:highlight w:val="none"/>
          <w14:textFill>
            <w14:solidFill>
              <w14:schemeClr w14:val="tx1"/>
            </w14:solidFill>
          </w14:textFill>
        </w:rPr>
        <w:t>。</w:t>
      </w:r>
    </w:p>
    <w:p w14:paraId="2E5E8F9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12.4.3 进度付款申请单的提交</w:t>
      </w:r>
    </w:p>
    <w:p w14:paraId="0A4EF7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（1）单价合同进度付款申请单提交的约定：</w:t>
      </w:r>
      <w:r>
        <w:rPr>
          <w:rFonts w:hint="eastAsia" w:ascii="宋体" w:hAnsi="宋体" w:cs="宋体"/>
          <w:b/>
          <w:bCs/>
          <w:color w:val="000000" w:themeColor="text1"/>
          <w:sz w:val="24"/>
          <w:highlight w:val="none"/>
          <w:u w:val="single"/>
          <w14:textFill>
            <w14:solidFill>
              <w14:schemeClr w14:val="tx1"/>
            </w14:solidFill>
          </w14:textFill>
        </w:rPr>
        <w:t>按通用合同条款第12.4.3条第（1）项规定执行</w:t>
      </w:r>
      <w:r>
        <w:rPr>
          <w:rFonts w:hint="eastAsia" w:ascii="宋体" w:hAnsi="宋体" w:cs="宋体"/>
          <w:color w:val="000000" w:themeColor="text1"/>
          <w:sz w:val="24"/>
          <w:highlight w:val="none"/>
          <w14:textFill>
            <w14:solidFill>
              <w14:schemeClr w14:val="tx1"/>
            </w14:solidFill>
          </w14:textFill>
        </w:rPr>
        <w:t>。</w:t>
      </w:r>
    </w:p>
    <w:p w14:paraId="751497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3E816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（3）其他价格形式合同进度付款申请单提交的约定：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9E48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12.4.4 进度款审核和支付</w:t>
      </w:r>
    </w:p>
    <w:p w14:paraId="7E98C72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（1）监理人审查并报送发包人的期限：</w:t>
      </w:r>
      <w:r>
        <w:rPr>
          <w:rFonts w:hint="eastAsia" w:ascii="宋体" w:hAnsi="宋体" w:cs="宋体"/>
          <w:b/>
          <w:bCs/>
          <w:color w:val="000000" w:themeColor="text1"/>
          <w:sz w:val="24"/>
          <w:highlight w:val="none"/>
          <w:u w:val="single"/>
          <w14:textFill>
            <w14:solidFill>
              <w14:schemeClr w14:val="tx1"/>
            </w14:solidFill>
          </w14:textFill>
        </w:rPr>
        <w:t>【7】天内完成审查</w:t>
      </w:r>
      <w:r>
        <w:rPr>
          <w:rFonts w:hint="eastAsia" w:ascii="宋体" w:hAnsi="宋体" w:cs="宋体"/>
          <w:color w:val="000000" w:themeColor="text1"/>
          <w:sz w:val="24"/>
          <w:highlight w:val="none"/>
          <w14:textFill>
            <w14:solidFill>
              <w14:schemeClr w14:val="tx1"/>
            </w14:solidFill>
          </w14:textFill>
        </w:rPr>
        <w:t>。</w:t>
      </w:r>
    </w:p>
    <w:p w14:paraId="2FBE22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发包人完成审批并签发进度款支付证书的期限：</w:t>
      </w:r>
      <w:r>
        <w:rPr>
          <w:rFonts w:hint="eastAsia" w:ascii="宋体" w:hAnsi="宋体" w:cs="宋体"/>
          <w:b/>
          <w:bCs/>
          <w:color w:val="000000" w:themeColor="text1"/>
          <w:sz w:val="24"/>
          <w:highlight w:val="none"/>
          <w:u w:val="single"/>
          <w14:textFill>
            <w14:solidFill>
              <w14:schemeClr w14:val="tx1"/>
            </w14:solidFill>
          </w14:textFill>
        </w:rPr>
        <w:t>收到监理人报送的进度付款申请单及相关资料后【15】天内</w:t>
      </w:r>
      <w:r>
        <w:rPr>
          <w:rFonts w:hint="eastAsia" w:ascii="宋体" w:hAnsi="宋体" w:cs="宋体"/>
          <w:color w:val="000000" w:themeColor="text1"/>
          <w:sz w:val="24"/>
          <w:highlight w:val="none"/>
          <w14:textFill>
            <w14:solidFill>
              <w14:schemeClr w14:val="tx1"/>
            </w14:solidFill>
          </w14:textFill>
        </w:rPr>
        <w:t>。</w:t>
      </w:r>
    </w:p>
    <w:p w14:paraId="72E0C7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（2）发包人支付进度款的期限：</w:t>
      </w:r>
      <w:r>
        <w:rPr>
          <w:rFonts w:hint="eastAsia" w:ascii="宋体" w:hAnsi="宋体" w:cs="宋体"/>
          <w:b/>
          <w:bCs/>
          <w:color w:val="000000" w:themeColor="text1"/>
          <w:sz w:val="24"/>
          <w:highlight w:val="none"/>
          <w:u w:val="single"/>
          <w14:textFill>
            <w14:solidFill>
              <w14:schemeClr w14:val="tx1"/>
            </w14:solidFill>
          </w14:textFill>
        </w:rPr>
        <w:t>在进度款支付证书或临时进度款支付证书签发后【15】天内完成支付</w:t>
      </w:r>
      <w:r>
        <w:rPr>
          <w:rFonts w:hint="eastAsia" w:ascii="宋体" w:hAnsi="宋体" w:cs="宋体"/>
          <w:color w:val="000000" w:themeColor="text1"/>
          <w:sz w:val="24"/>
          <w:highlight w:val="none"/>
          <w14:textFill>
            <w14:solidFill>
              <w14:schemeClr w14:val="tx1"/>
            </w14:solidFill>
          </w14:textFill>
        </w:rPr>
        <w:t>。</w:t>
      </w:r>
    </w:p>
    <w:p w14:paraId="088262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发包人逾期支付进度款的违约金的计算方式：</w:t>
      </w:r>
      <w:r>
        <w:rPr>
          <w:rFonts w:hint="eastAsia" w:ascii="宋体" w:hAnsi="宋体" w:cs="宋体"/>
          <w:b/>
          <w:color w:val="000000" w:themeColor="text1"/>
          <w:sz w:val="24"/>
          <w:highlight w:val="none"/>
          <w:u w:val="single"/>
          <w14:textFill>
            <w14:solidFill>
              <w14:schemeClr w14:val="tx1"/>
            </w14:solidFill>
          </w14:textFill>
        </w:rPr>
        <w:t>承担违约责任，经催告后仍未支付的，自催告期满次日起，按当期应付工程进度款金额的一年期存款利率支付违约金</w:t>
      </w:r>
      <w:r>
        <w:rPr>
          <w:rFonts w:hint="eastAsia" w:ascii="宋体" w:hAnsi="宋体" w:cs="宋体"/>
          <w:color w:val="000000" w:themeColor="text1"/>
          <w:sz w:val="24"/>
          <w:highlight w:val="none"/>
          <w14:textFill>
            <w14:solidFill>
              <w14:schemeClr w14:val="tx1"/>
            </w14:solidFill>
          </w14:textFill>
        </w:rPr>
        <w:t>。</w:t>
      </w:r>
    </w:p>
    <w:p w14:paraId="710676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12.4.6 支付分解表的编制</w:t>
      </w:r>
    </w:p>
    <w:p w14:paraId="10EF894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按通用合同条款第12.4.6条第2项规定执行</w:t>
      </w:r>
      <w:r>
        <w:rPr>
          <w:rFonts w:hint="eastAsia" w:ascii="宋体" w:hAnsi="宋体" w:cs="宋体"/>
          <w:color w:val="000000" w:themeColor="text1"/>
          <w:sz w:val="24"/>
          <w:highlight w:val="none"/>
          <w14:textFill>
            <w14:solidFill>
              <w14:schemeClr w14:val="tx1"/>
            </w14:solidFill>
          </w14:textFill>
        </w:rPr>
        <w:t>。</w:t>
      </w:r>
    </w:p>
    <w:p w14:paraId="051E2A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3、单价合同的总价项目支付分解表的编制与审批：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按通用合同条款第12.4.6条第3项规定执行</w:t>
      </w:r>
      <w:r>
        <w:rPr>
          <w:rFonts w:hint="eastAsia" w:ascii="宋体" w:hAnsi="宋体" w:cs="宋体"/>
          <w:color w:val="000000" w:themeColor="text1"/>
          <w:sz w:val="24"/>
          <w:highlight w:val="none"/>
          <w14:textFill>
            <w14:solidFill>
              <w14:schemeClr w14:val="tx1"/>
            </w14:solidFill>
          </w14:textFill>
        </w:rPr>
        <w:t>。</w:t>
      </w:r>
    </w:p>
    <w:p w14:paraId="6AC2692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验收和工程试车</w:t>
      </w:r>
    </w:p>
    <w:p w14:paraId="26D79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分部分项工程验收</w:t>
      </w:r>
    </w:p>
    <w:p w14:paraId="170955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13.1.2监理人不能按时进行验收时，应提前</w:t>
      </w:r>
      <w:r>
        <w:rPr>
          <w:rFonts w:hint="eastAsia"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小时提交书面延期要求。</w:t>
      </w:r>
    </w:p>
    <w:p w14:paraId="49FBEE3B">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w:t>
      </w:r>
      <w:r>
        <w:rPr>
          <w:rFonts w:hint="eastAsia" w:ascii="宋体" w:hAnsi="宋体" w:cs="宋体"/>
          <w:color w:val="000000" w:themeColor="text1"/>
          <w:sz w:val="24"/>
          <w:highlight w:val="none"/>
          <w:u w:val="single"/>
          <w14:textFill>
            <w14:solidFill>
              <w14:schemeClr w14:val="tx1"/>
            </w14:solidFill>
          </w14:textFill>
        </w:rPr>
        <w:t>【48】</w:t>
      </w:r>
      <w:r>
        <w:rPr>
          <w:rFonts w:hint="eastAsia" w:ascii="宋体" w:hAnsi="宋体" w:cs="宋体"/>
          <w:color w:val="000000" w:themeColor="text1"/>
          <w:sz w:val="24"/>
          <w:highlight w:val="none"/>
          <w14:textFill>
            <w14:solidFill>
              <w14:schemeClr w14:val="tx1"/>
            </w14:solidFill>
          </w14:textFill>
        </w:rPr>
        <w:t>小时。</w:t>
      </w:r>
    </w:p>
    <w:p w14:paraId="7599F8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竣工验收</w:t>
      </w:r>
    </w:p>
    <w:p w14:paraId="5CAB1E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13.2.2竣工验收程序</w:t>
      </w:r>
    </w:p>
    <w:p w14:paraId="7B68C7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关于竣工验收程序的约定：</w:t>
      </w:r>
      <w:r>
        <w:rPr>
          <w:rFonts w:hint="eastAsia" w:ascii="宋体" w:hAnsi="宋体" w:cs="宋体"/>
          <w:b/>
          <w:bCs/>
          <w:color w:val="000000" w:themeColor="text1"/>
          <w:sz w:val="24"/>
          <w:highlight w:val="none"/>
          <w:u w:val="single"/>
          <w14:textFill>
            <w14:solidFill>
              <w14:schemeClr w14:val="tx1"/>
            </w14:solidFill>
          </w14:textFill>
        </w:rPr>
        <w:t>按通用合同条款第13.2.2条规定执行</w:t>
      </w:r>
      <w:r>
        <w:rPr>
          <w:rFonts w:hint="eastAsia" w:ascii="宋体" w:hAnsi="宋体" w:cs="宋体"/>
          <w:color w:val="000000" w:themeColor="text1"/>
          <w:sz w:val="24"/>
          <w:highlight w:val="none"/>
          <w14:textFill>
            <w14:solidFill>
              <w14:schemeClr w14:val="tx1"/>
            </w14:solidFill>
          </w14:textFill>
        </w:rPr>
        <w:t>。</w:t>
      </w:r>
    </w:p>
    <w:p w14:paraId="2AA163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FFF5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13.2.5移交、接收全部与部分工程</w:t>
      </w:r>
    </w:p>
    <w:p w14:paraId="18B074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承包人向发包人移交工程的期限：</w:t>
      </w:r>
      <w:r>
        <w:rPr>
          <w:rFonts w:hint="eastAsia" w:ascii="宋体" w:hAnsi="宋体" w:cs="宋体"/>
          <w:b/>
          <w:bCs/>
          <w:color w:val="000000" w:themeColor="text1"/>
          <w:sz w:val="24"/>
          <w:highlight w:val="none"/>
          <w:u w:val="single"/>
          <w14:textFill>
            <w14:solidFill>
              <w14:schemeClr w14:val="tx1"/>
            </w14:solidFill>
          </w14:textFill>
        </w:rPr>
        <w:t>颁发工程接收证书后【2】天内完成工程的移交</w:t>
      </w:r>
      <w:r>
        <w:rPr>
          <w:rFonts w:hint="eastAsia" w:ascii="宋体" w:hAnsi="宋体" w:cs="宋体"/>
          <w:color w:val="000000" w:themeColor="text1"/>
          <w:sz w:val="24"/>
          <w:highlight w:val="none"/>
          <w14:textFill>
            <w14:solidFill>
              <w14:schemeClr w14:val="tx1"/>
            </w14:solidFill>
          </w14:textFill>
        </w:rPr>
        <w:t>。</w:t>
      </w:r>
    </w:p>
    <w:p w14:paraId="697E396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30A3F5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承包人未按时移交工程的，违约金的计算方法为：</w:t>
      </w:r>
      <w:r>
        <w:rPr>
          <w:rFonts w:hint="eastAsia" w:ascii="宋体" w:hAnsi="宋体" w:cs="宋体"/>
          <w:color w:val="000000" w:themeColor="text1"/>
          <w:sz w:val="24"/>
          <w:highlight w:val="none"/>
          <w:u w:val="single"/>
          <w14:textFill>
            <w14:solidFill>
              <w14:schemeClr w14:val="tx1"/>
            </w14:solidFill>
          </w14:textFill>
        </w:rPr>
        <w:t xml:space="preserve"> 每逾期一天，应向发包人支付【2000】元违约金，逾期超过【15】天的，发包人有权解除合同 。</w:t>
      </w:r>
    </w:p>
    <w:p w14:paraId="52E006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工程试车</w:t>
      </w:r>
    </w:p>
    <w:p w14:paraId="52A632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13.3.1 试车程序</w:t>
      </w:r>
    </w:p>
    <w:p w14:paraId="5169F5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工程试车内容：</w:t>
      </w:r>
      <w:r>
        <w:rPr>
          <w:rFonts w:hint="eastAsia" w:ascii="宋体" w:hAnsi="宋体" w:cs="宋体"/>
          <w:b/>
          <w:bCs/>
          <w:color w:val="000000" w:themeColor="text1"/>
          <w:sz w:val="24"/>
          <w:highlight w:val="none"/>
          <w:u w:val="single"/>
          <w14:textFill>
            <w14:solidFill>
              <w14:schemeClr w14:val="tx1"/>
            </w14:solidFill>
          </w14:textFill>
        </w:rPr>
        <w:t>试车内容应与承包人承包范围相一致，试车费用由承包人承担</w:t>
      </w:r>
      <w:r>
        <w:rPr>
          <w:rFonts w:hint="eastAsia" w:ascii="宋体" w:hAnsi="宋体" w:cs="宋体"/>
          <w:color w:val="000000" w:themeColor="text1"/>
          <w:sz w:val="24"/>
          <w:highlight w:val="none"/>
          <w14:textFill>
            <w14:solidFill>
              <w14:schemeClr w14:val="tx1"/>
            </w14:solidFill>
          </w14:textFill>
        </w:rPr>
        <w:t>。</w:t>
      </w:r>
    </w:p>
    <w:p w14:paraId="0BA961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（1）单机无负荷试车费用由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4B2E1F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（2）无负荷联动试车费用由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390555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13.3.3 投料试车</w:t>
      </w:r>
    </w:p>
    <w:p w14:paraId="6DE1F2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关于投料试车相关事项的约定：</w:t>
      </w:r>
      <w:r>
        <w:rPr>
          <w:rFonts w:hint="eastAsia" w:ascii="宋体" w:hAnsi="宋体" w:cs="宋体"/>
          <w:b/>
          <w:bCs/>
          <w:color w:val="000000" w:themeColor="text1"/>
          <w:sz w:val="24"/>
          <w:highlight w:val="none"/>
          <w:u w:val="single"/>
          <w14:textFill>
            <w14:solidFill>
              <w14:schemeClr w14:val="tx1"/>
            </w14:solidFill>
          </w14:textFill>
        </w:rPr>
        <w:t>按通用合同条款第13.3.3条规定执行</w:t>
      </w:r>
      <w:r>
        <w:rPr>
          <w:rFonts w:hint="eastAsia" w:ascii="宋体" w:hAnsi="宋体" w:cs="宋体"/>
          <w:color w:val="000000" w:themeColor="text1"/>
          <w:sz w:val="24"/>
          <w:highlight w:val="none"/>
          <w14:textFill>
            <w14:solidFill>
              <w14:schemeClr w14:val="tx1"/>
            </w14:solidFill>
          </w14:textFill>
        </w:rPr>
        <w:t>。</w:t>
      </w:r>
    </w:p>
    <w:p w14:paraId="0A5715D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 竣工退场</w:t>
      </w:r>
    </w:p>
    <w:p w14:paraId="12EE42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竣工退场</w:t>
      </w:r>
    </w:p>
    <w:p w14:paraId="73E9AE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承包人完成竣工退场的期限：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C1AD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竣工结算</w:t>
      </w:r>
    </w:p>
    <w:p w14:paraId="53281A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竣工结算申请</w:t>
      </w:r>
    </w:p>
    <w:p w14:paraId="1AF68C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承包人提交竣工结算申请单的期限：</w:t>
      </w:r>
      <w:r>
        <w:rPr>
          <w:rFonts w:hint="eastAsia" w:ascii="宋体" w:hAnsi="宋体" w:cs="宋体"/>
          <w:b/>
          <w:bCs/>
          <w:color w:val="000000" w:themeColor="text1"/>
          <w:sz w:val="24"/>
          <w:highlight w:val="none"/>
          <w:u w:val="single"/>
          <w14:textFill>
            <w14:solidFill>
              <w14:schemeClr w14:val="tx1"/>
            </w14:solidFill>
          </w14:textFill>
        </w:rPr>
        <w:t>在工程竣工验收合格后【15】天内</w:t>
      </w:r>
      <w:r>
        <w:rPr>
          <w:rFonts w:hint="eastAsia" w:ascii="宋体" w:hAnsi="宋体" w:cs="宋体"/>
          <w:color w:val="000000" w:themeColor="text1"/>
          <w:sz w:val="24"/>
          <w:highlight w:val="none"/>
          <w14:textFill>
            <w14:solidFill>
              <w14:schemeClr w14:val="tx1"/>
            </w14:solidFill>
          </w14:textFill>
        </w:rPr>
        <w:t>。</w:t>
      </w:r>
    </w:p>
    <w:p w14:paraId="2FBCF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竣工结算申请单应包括的内容：</w:t>
      </w:r>
    </w:p>
    <w:p w14:paraId="0CB05683">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（1）竣工结算合同价格；</w:t>
      </w:r>
    </w:p>
    <w:p w14:paraId="22B8C8A6">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（2）发包人已支付承包人的款项；</w:t>
      </w:r>
    </w:p>
    <w:p w14:paraId="75438C6D">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 xml:space="preserve">（3）应扣留的质量保证金等； </w:t>
      </w:r>
    </w:p>
    <w:p w14:paraId="550E1DC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（4）发包人应支付承包人的合同价款。</w:t>
      </w:r>
    </w:p>
    <w:p w14:paraId="66EA5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4EA0937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竣工结算审核</w:t>
      </w:r>
    </w:p>
    <w:p w14:paraId="6E7169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发包人审批竣工付款申请单的期限：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3A55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发包人完成竣工付款的期限：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797D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关于竣工付款证书异议部分复核的方式和程序：</w:t>
      </w:r>
      <w:r>
        <w:rPr>
          <w:rFonts w:hint="eastAsia" w:ascii="宋体" w:hAnsi="宋体" w:cs="宋体"/>
          <w:b/>
          <w:bCs/>
          <w:color w:val="000000" w:themeColor="text1"/>
          <w:sz w:val="24"/>
          <w:highlight w:val="none"/>
          <w:u w:val="single"/>
          <w14:textFill>
            <w14:solidFill>
              <w14:schemeClr w14:val="tx1"/>
            </w14:solidFill>
          </w14:textFill>
        </w:rPr>
        <w:t>按通用合同条款第14.2条第（3）项规定执行</w:t>
      </w:r>
      <w:r>
        <w:rPr>
          <w:rFonts w:hint="eastAsia" w:ascii="宋体" w:hAnsi="宋体" w:cs="宋体"/>
          <w:color w:val="000000" w:themeColor="text1"/>
          <w:sz w:val="24"/>
          <w:highlight w:val="none"/>
          <w14:textFill>
            <w14:solidFill>
              <w14:schemeClr w14:val="tx1"/>
            </w14:solidFill>
          </w14:textFill>
        </w:rPr>
        <w:t>。</w:t>
      </w:r>
    </w:p>
    <w:p w14:paraId="45770F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最终结清</w:t>
      </w:r>
    </w:p>
    <w:p w14:paraId="2B1F5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14.4.1 最终结清申请单</w:t>
      </w:r>
    </w:p>
    <w:p w14:paraId="06B7F8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承包人提交最终结清申请单的份数：</w:t>
      </w:r>
      <w:r>
        <w:rPr>
          <w:rFonts w:hint="eastAsia" w:ascii="宋体" w:hAnsi="宋体" w:cs="宋体"/>
          <w:b/>
          <w:bCs/>
          <w:color w:val="000000" w:themeColor="text1"/>
          <w:sz w:val="24"/>
          <w:highlight w:val="none"/>
          <w:u w:val="single"/>
          <w14:textFill>
            <w14:solidFill>
              <w14:schemeClr w14:val="tx1"/>
            </w14:solidFill>
          </w14:textFill>
        </w:rPr>
        <w:t>【5】份</w:t>
      </w:r>
      <w:r>
        <w:rPr>
          <w:rFonts w:hint="eastAsia" w:ascii="宋体" w:hAnsi="宋体" w:cs="宋体"/>
          <w:color w:val="000000" w:themeColor="text1"/>
          <w:sz w:val="24"/>
          <w:highlight w:val="none"/>
          <w14:textFill>
            <w14:solidFill>
              <w14:schemeClr w14:val="tx1"/>
            </w14:solidFill>
          </w14:textFill>
        </w:rPr>
        <w:t>。</w:t>
      </w:r>
    </w:p>
    <w:p w14:paraId="384FCD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承包人提交最终结算申请单的期限：</w:t>
      </w:r>
      <w:r>
        <w:rPr>
          <w:rFonts w:hint="eastAsia" w:ascii="宋体" w:hAnsi="宋体" w:cs="宋体"/>
          <w:b/>
          <w:bCs/>
          <w:color w:val="000000" w:themeColor="text1"/>
          <w:sz w:val="24"/>
          <w:highlight w:val="none"/>
          <w:u w:val="single"/>
          <w14:textFill>
            <w14:solidFill>
              <w14:schemeClr w14:val="tx1"/>
            </w14:solidFill>
          </w14:textFill>
        </w:rPr>
        <w:t>在缺陷责任期终止证书颁发后【15】天内</w:t>
      </w:r>
      <w:r>
        <w:rPr>
          <w:rFonts w:hint="eastAsia" w:ascii="宋体" w:hAnsi="宋体" w:cs="宋体"/>
          <w:color w:val="000000" w:themeColor="text1"/>
          <w:sz w:val="24"/>
          <w:highlight w:val="none"/>
          <w14:textFill>
            <w14:solidFill>
              <w14:schemeClr w14:val="tx1"/>
            </w14:solidFill>
          </w14:textFill>
        </w:rPr>
        <w:t xml:space="preserve">。 </w:t>
      </w:r>
    </w:p>
    <w:p w14:paraId="5AD035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14.4.2 最终结清证书和支付</w:t>
      </w:r>
    </w:p>
    <w:p w14:paraId="37C936C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（1）发包人完成最终结清申请单的审批并颁发最终结清证书的期限：</w:t>
      </w:r>
      <w:r>
        <w:rPr>
          <w:rFonts w:hint="eastAsia" w:ascii="宋体" w:hAnsi="宋体" w:cs="宋体"/>
          <w:b/>
          <w:bCs/>
          <w:color w:val="000000" w:themeColor="text1"/>
          <w:sz w:val="24"/>
          <w:highlight w:val="none"/>
          <w:u w:val="single"/>
          <w14:textFill>
            <w14:solidFill>
              <w14:schemeClr w14:val="tx1"/>
            </w14:solidFill>
          </w14:textFill>
        </w:rPr>
        <w:t>在收到承包人提交的最终结清申请单后【15】天内</w:t>
      </w:r>
      <w:r>
        <w:rPr>
          <w:rFonts w:hint="eastAsia" w:ascii="宋体" w:hAnsi="宋体" w:cs="宋体"/>
          <w:color w:val="000000" w:themeColor="text1"/>
          <w:sz w:val="24"/>
          <w:highlight w:val="none"/>
          <w14:textFill>
            <w14:solidFill>
              <w14:schemeClr w14:val="tx1"/>
            </w14:solidFill>
          </w14:textFill>
        </w:rPr>
        <w:t>。</w:t>
      </w:r>
    </w:p>
    <w:p w14:paraId="6410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（2）发包人完成支付的期限：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70E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缺陷责任期与保修</w:t>
      </w:r>
    </w:p>
    <w:p w14:paraId="658EDB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15.2缺陷责任期</w:t>
      </w:r>
    </w:p>
    <w:p w14:paraId="000723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缺陷责任期的具体期限：【24 】</w:t>
      </w:r>
      <w:r>
        <w:rPr>
          <w:rFonts w:hint="eastAsia" w:ascii="宋体" w:hAnsi="宋体" w:cs="宋体"/>
          <w:color w:val="000000" w:themeColor="text1"/>
          <w:sz w:val="24"/>
          <w:highlight w:val="none"/>
          <w:u w:val="single"/>
          <w14:textFill>
            <w14:solidFill>
              <w14:schemeClr w14:val="tx1"/>
            </w14:solidFill>
          </w14:textFill>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cs="宋体"/>
          <w:color w:val="000000" w:themeColor="text1"/>
          <w:sz w:val="24"/>
          <w:highlight w:val="none"/>
          <w14:textFill>
            <w14:solidFill>
              <w14:schemeClr w14:val="tx1"/>
            </w14:solidFill>
          </w14:textFill>
        </w:rPr>
        <w:t>。</w:t>
      </w:r>
    </w:p>
    <w:p w14:paraId="720B32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质量保证金</w:t>
      </w:r>
    </w:p>
    <w:p w14:paraId="4C1407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关于是否扣留质量保证金的约定：</w:t>
      </w:r>
      <w:r>
        <w:rPr>
          <w:rFonts w:hint="eastAsia" w:ascii="宋体" w:hAnsi="宋体" w:cs="宋体"/>
          <w:color w:val="000000" w:themeColor="text1"/>
          <w:sz w:val="24"/>
          <w:highlight w:val="none"/>
          <w:u w:val="single"/>
          <w14:textFill>
            <w14:solidFill>
              <w14:schemeClr w14:val="tx1"/>
            </w14:solidFill>
          </w14:textFill>
        </w:rPr>
        <w:t xml:space="preserve">   是  </w:t>
      </w:r>
      <w:r>
        <w:rPr>
          <w:rFonts w:hint="eastAsia" w:ascii="宋体" w:hAnsi="宋体" w:cs="宋体"/>
          <w:color w:val="000000" w:themeColor="text1"/>
          <w:sz w:val="24"/>
          <w:highlight w:val="none"/>
          <w14:textFill>
            <w14:solidFill>
              <w14:schemeClr w14:val="tx1"/>
            </w14:solidFill>
          </w14:textFill>
        </w:rPr>
        <w:t>。在工程项目竣工前，承包人按专用合同条款第3.7条提供履约担保的，发包人不得同时预留工程质量保证金。</w:t>
      </w:r>
    </w:p>
    <w:p w14:paraId="53E64B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A6EBA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承包人提供质量保证金的方式</w:t>
      </w:r>
    </w:p>
    <w:p w14:paraId="7E739B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质量保证金采用以下第</w:t>
      </w:r>
      <w:r>
        <w:rPr>
          <w:rFonts w:hint="eastAsia" w:ascii="宋体" w:hAnsi="宋体" w:cs="宋体"/>
          <w:color w:val="000000" w:themeColor="text1"/>
          <w:sz w:val="24"/>
          <w:highlight w:val="none"/>
          <w:u w:val="single"/>
          <w14:textFill>
            <w14:solidFill>
              <w14:schemeClr w14:val="tx1"/>
            </w14:solidFill>
          </w14:textFill>
        </w:rPr>
        <w:t xml:space="preserve">  2   </w:t>
      </w:r>
      <w:r>
        <w:rPr>
          <w:rFonts w:hint="eastAsia" w:ascii="宋体" w:hAnsi="宋体" w:cs="宋体"/>
          <w:color w:val="000000" w:themeColor="text1"/>
          <w:sz w:val="24"/>
          <w:highlight w:val="none"/>
          <w14:textFill>
            <w14:solidFill>
              <w14:schemeClr w14:val="tx1"/>
            </w14:solidFill>
          </w14:textFill>
        </w:rPr>
        <w:t>种方式：</w:t>
      </w:r>
    </w:p>
    <w:p w14:paraId="24A762B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（1）质量保证金保函，保证金额为：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AEDDF60">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结算</w:t>
      </w:r>
      <w:r>
        <w:rPr>
          <w:rFonts w:hint="eastAsia" w:ascii="宋体" w:hAnsi="宋体" w:cs="宋体"/>
          <w:color w:val="000000" w:themeColor="text1"/>
          <w:sz w:val="24"/>
          <w:highlight w:val="none"/>
          <w:u w:val="single"/>
          <w:lang w:val="en-US" w:eastAsia="zh-CN"/>
          <w14:textFill>
            <w14:solidFill>
              <w14:schemeClr w14:val="tx1"/>
            </w14:solidFill>
          </w14:textFill>
        </w:rPr>
        <w:t>审定总价的</w:t>
      </w:r>
      <w:r>
        <w:rPr>
          <w:rFonts w:hint="eastAsia" w:ascii="宋体" w:hAnsi="宋体" w:cs="宋体"/>
          <w:color w:val="000000" w:themeColor="text1"/>
          <w:sz w:val="24"/>
          <w:highlight w:val="none"/>
          <w:u w:val="single"/>
          <w14:textFill>
            <w14:solidFill>
              <w14:schemeClr w14:val="tx1"/>
            </w14:solidFill>
          </w14:textFill>
        </w:rPr>
        <w:t xml:space="preserve">【1.5】 </w:t>
      </w:r>
      <w:r>
        <w:rPr>
          <w:rFonts w:hint="eastAsia" w:ascii="宋体" w:hAnsi="宋体" w:cs="宋体"/>
          <w:color w:val="000000" w:themeColor="text1"/>
          <w:sz w:val="24"/>
          <w:highlight w:val="none"/>
          <w14:textFill>
            <w14:solidFill>
              <w14:schemeClr w14:val="tx1"/>
            </w14:solidFill>
          </w14:textFill>
        </w:rPr>
        <w:t>%；</w:t>
      </w:r>
    </w:p>
    <w:p w14:paraId="6C3607E7">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89E79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15.3.2 质量保证金的扣留 </w:t>
      </w:r>
    </w:p>
    <w:p w14:paraId="3AC5E5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质量保证金的扣留采取以下第</w:t>
      </w:r>
      <w:r>
        <w:rPr>
          <w:rFonts w:hint="eastAsia" w:ascii="宋体" w:hAnsi="宋体" w:cs="宋体"/>
          <w:color w:val="000000" w:themeColor="text1"/>
          <w:sz w:val="24"/>
          <w:highlight w:val="none"/>
          <w:u w:val="single"/>
          <w14:textFill>
            <w14:solidFill>
              <w14:schemeClr w14:val="tx1"/>
            </w14:solidFill>
          </w14:textFill>
        </w:rPr>
        <w:t xml:space="preserve">  3   </w:t>
      </w:r>
      <w:r>
        <w:rPr>
          <w:rFonts w:hint="eastAsia" w:ascii="宋体" w:hAnsi="宋体" w:cs="宋体"/>
          <w:color w:val="000000" w:themeColor="text1"/>
          <w:sz w:val="24"/>
          <w:highlight w:val="none"/>
          <w14:textFill>
            <w14:solidFill>
              <w14:schemeClr w14:val="tx1"/>
            </w14:solidFill>
          </w14:textFill>
        </w:rPr>
        <w:t>种方式：</w:t>
      </w:r>
    </w:p>
    <w:p w14:paraId="651FAC74">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（1）在支付工程进度款时逐次扣留，在此情形下，质量保证金的计算基数不包括预付款的支付、扣回以及价格调整的金额；</w:t>
      </w:r>
    </w:p>
    <w:p w14:paraId="32AAD8B0">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（2）工程竣工结算时一次性扣留质量保证金；</w:t>
      </w:r>
    </w:p>
    <w:p w14:paraId="588BEC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（3）其他扣留方式:</w:t>
      </w:r>
      <w:r>
        <w:rPr>
          <w:rFonts w:hint="eastAsia" w:ascii="宋体" w:hAnsi="宋体" w:cs="宋体"/>
          <w:b/>
          <w:color w:val="000000" w:themeColor="text1"/>
          <w:sz w:val="24"/>
          <w:highlight w:val="none"/>
          <w:u w:val="single"/>
          <w14:textFill>
            <w14:solidFill>
              <w14:schemeClr w14:val="tx1"/>
            </w14:solidFill>
          </w14:textFill>
        </w:rPr>
        <w:t>工程结算审计后增加</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价的【1.5】%。</w:t>
      </w:r>
    </w:p>
    <w:p w14:paraId="0F9EC5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关于质量保证金的补充约定</w:t>
      </w:r>
      <w:r>
        <w:rPr>
          <w:rFonts w:hint="eastAsia" w:ascii="宋体" w:hAnsi="宋体" w:cs="宋体"/>
          <w:b/>
          <w:color w:val="000000" w:themeColor="text1"/>
          <w:sz w:val="24"/>
          <w:highlight w:val="none"/>
          <w:u w:val="single"/>
          <w14:textFill>
            <w14:solidFill>
              <w14:schemeClr w14:val="tx1"/>
            </w14:solidFill>
          </w14:textFill>
        </w:rPr>
        <w:t>：结算</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金额【1.5】%作为工程质量保证金，质保金在质保期满经验收无质量问题、扣除承包人应承担的全部费用（包括但不限于违约金违约金、损害赔偿金等）后【60】天内全部结清（不计利息）。</w:t>
      </w:r>
    </w:p>
    <w:p w14:paraId="42B5A5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15.4保修</w:t>
      </w:r>
    </w:p>
    <w:p w14:paraId="45929E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保修责任</w:t>
      </w:r>
    </w:p>
    <w:p w14:paraId="2BF92C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工程保修期为：</w:t>
      </w:r>
      <w:r>
        <w:rPr>
          <w:rFonts w:hint="eastAsia" w:ascii="宋体" w:hAnsi="宋体" w:cs="宋体"/>
          <w:b/>
          <w:bCs/>
          <w:color w:val="000000" w:themeColor="text1"/>
          <w:sz w:val="24"/>
          <w:highlight w:val="none"/>
          <w:u w:val="single"/>
          <w14:textFill>
            <w14:solidFill>
              <w14:schemeClr w14:val="tx1"/>
            </w14:solidFill>
          </w14:textFill>
        </w:rPr>
        <w:t>按工程质量保修书规定执行</w:t>
      </w:r>
      <w:r>
        <w:rPr>
          <w:rFonts w:hint="eastAsia" w:ascii="宋体" w:hAnsi="宋体" w:cs="宋体"/>
          <w:color w:val="000000" w:themeColor="text1"/>
          <w:sz w:val="24"/>
          <w:highlight w:val="none"/>
          <w14:textFill>
            <w14:solidFill>
              <w14:schemeClr w14:val="tx1"/>
            </w14:solidFill>
          </w14:textFill>
        </w:rPr>
        <w:t>。</w:t>
      </w:r>
    </w:p>
    <w:p w14:paraId="722471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修复通知</w:t>
      </w:r>
    </w:p>
    <w:p w14:paraId="4B153B4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承包人收到保修通知并到达工程现场的合理时间：</w:t>
      </w:r>
      <w:r>
        <w:rPr>
          <w:rFonts w:hint="eastAsia" w:ascii="宋体" w:hAnsi="宋体" w:cs="宋体"/>
          <w:color w:val="000000" w:themeColor="text1"/>
          <w:sz w:val="24"/>
          <w:highlight w:val="none"/>
          <w:u w:val="single"/>
          <w14:textFill>
            <w14:solidFill>
              <w14:schemeClr w14:val="tx1"/>
            </w14:solidFill>
          </w14:textFill>
        </w:rPr>
        <w:t>3日内，承包人逾期未响应或未完成维修的，发包人有权自行或另行委托第三方负责，相关费用由承包人承担，发包人有权从应支付给承包人的费用中扣除</w:t>
      </w:r>
      <w:r>
        <w:rPr>
          <w:rFonts w:hint="eastAsia" w:ascii="宋体" w:hAnsi="宋体" w:cs="宋体"/>
          <w:color w:val="000000" w:themeColor="text1"/>
          <w:sz w:val="24"/>
          <w:highlight w:val="none"/>
          <w14:textFill>
            <w14:solidFill>
              <w14:schemeClr w14:val="tx1"/>
            </w14:solidFill>
          </w14:textFill>
        </w:rPr>
        <w:t>。</w:t>
      </w:r>
    </w:p>
    <w:p w14:paraId="25940F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违约</w:t>
      </w:r>
    </w:p>
    <w:p w14:paraId="7892F6A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发包人违约</w:t>
      </w:r>
    </w:p>
    <w:p w14:paraId="199EC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16.1.1发包人违约的情形</w:t>
      </w:r>
    </w:p>
    <w:p w14:paraId="1581B53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E7AD2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发包人违约的责任</w:t>
      </w:r>
    </w:p>
    <w:p w14:paraId="5AF39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发包人违约责任的承担方式和计算方法：</w:t>
      </w:r>
    </w:p>
    <w:p w14:paraId="70641D3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FDCFA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20AC4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24A7E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4A693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（5）因发包人违反合同约定造成暂停施工的违约责任：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B4972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599E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4E84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因发包人违约解除合同</w:t>
      </w:r>
    </w:p>
    <w:p w14:paraId="7EE25342">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发生16.1.1项〔发包人违约的情形〕后【30】天内发包人仍不纠正其违约行为并致使合同目的不能实现的，承包人有权解除合同。</w:t>
      </w:r>
    </w:p>
    <w:p w14:paraId="53560B9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承包人违约</w:t>
      </w:r>
    </w:p>
    <w:p w14:paraId="682173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16.2.1 承包人违约的情形</w:t>
      </w:r>
    </w:p>
    <w:p w14:paraId="2DB3466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p>
    <w:p w14:paraId="00DD2B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承包人在竣工验收合格后【7】天内必须做到工完场清、料清、障清，如未在合同约定时间内做到工完场清，发包人有权指定其他单位清理，其费用在工程款中扣除，承包人还应承担由此给发包人带来的损失，及按日【2000 】元支付违约金。</w:t>
      </w:r>
    </w:p>
    <w:p w14:paraId="1300D77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w:t>
      </w:r>
    </w:p>
    <w:p w14:paraId="6658BC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（3）承包人应及时支付民工工资，如因拖欠民工工资引起纠纷，发包人有权从工程款中扣除直接支付给该工程的民工工资。 承包人如发生此类情况，另需向发包人支付违约金【】元。（合同价款的【 】%）</w:t>
      </w:r>
    </w:p>
    <w:p w14:paraId="4B1C506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（4）由于承包人原因，导致发包人无法取得城建档案馆签发的《建设工程竣工档案接收证书》的，承包人应在发包人通知后【7】日内补救，并发包人支付【</w:t>
      </w:r>
      <w:r>
        <w:rPr>
          <w:rFonts w:hint="eastAsia" w:ascii="宋体" w:hAnsi="宋体" w:cs="宋体"/>
          <w:color w:val="000000" w:themeColor="text1"/>
          <w:sz w:val="24"/>
          <w:highlight w:val="none"/>
          <w:u w:val="single"/>
          <w:lang w:eastAsia="zh-CN"/>
          <w14:textFill>
            <w14:solidFill>
              <w14:schemeClr w14:val="tx1"/>
            </w14:solidFill>
          </w14:textFill>
        </w:rPr>
        <w:t>2000</w:t>
      </w:r>
      <w:r>
        <w:rPr>
          <w:rFonts w:hint="eastAsia" w:ascii="宋体" w:hAnsi="宋体" w:cs="宋体"/>
          <w:color w:val="000000" w:themeColor="text1"/>
          <w:sz w:val="24"/>
          <w:highlight w:val="none"/>
          <w:u w:val="single"/>
          <w14:textFill>
            <w14:solidFill>
              <w14:schemeClr w14:val="tx1"/>
            </w14:solidFill>
          </w14:textFill>
        </w:rPr>
        <w:t>】元违约金。</w:t>
      </w:r>
    </w:p>
    <w:p w14:paraId="16E596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（5）承包人将本合同工程转包或分包的， 发包人有权解除合同，要求承包人支付【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5A0426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（6）承包人有任何违约行为的，发包人均有权暂缓支付工程价款，且不视为发包人违约。      </w:t>
      </w:r>
      <w:r>
        <w:rPr>
          <w:rFonts w:hint="eastAsia" w:ascii="宋体" w:hAnsi="宋体" w:cs="宋体"/>
          <w:color w:val="000000" w:themeColor="text1"/>
          <w:sz w:val="24"/>
          <w:highlight w:val="none"/>
          <w14:textFill>
            <w14:solidFill>
              <w14:schemeClr w14:val="tx1"/>
            </w14:solidFill>
          </w14:textFill>
        </w:rPr>
        <w:t>。</w:t>
      </w:r>
    </w:p>
    <w:p w14:paraId="3EF995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（7）承包人发生安全事故，发包人有权单方解除合同，并要求承包人支付【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62C9A56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（8）承包人或承包人法定代表人、项目经理、公司高管等涉嫌刑事犯罪或涉及任何行政处罚事项的，发包人有权单方解除合同，并要求承包人支付【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2E5D08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(9)承包人在其他任何项目中存在安全事故、提供虚假资料投标等行为的（包括发包人相关项目及其他单位的任何项目），发包人均有权单方解除合同，并要求承包人支付【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1763AFEB">
      <w:pPr>
        <w:pStyle w:val="82"/>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（10）承包人违反本合同约定的其他在先合同义务的，发包人均有权单方解除合同，并要求承包人支付【</w:t>
      </w:r>
      <w:r>
        <w:rPr>
          <w:rFonts w:hint="eastAsia" w:ascii="宋体" w:hAnsi="宋体" w:eastAsia="宋体" w:cs="宋体"/>
          <w:color w:val="000000" w:themeColor="text1"/>
          <w:sz w:val="24"/>
          <w:szCs w:val="24"/>
          <w:highlight w:val="none"/>
          <w:lang w:eastAsia="zh-CN"/>
          <w14:textFill>
            <w14:solidFill>
              <w14:schemeClr w14:val="tx1"/>
            </w14:solidFill>
          </w14:textFill>
        </w:rPr>
        <w:t>10000</w:t>
      </w:r>
      <w:r>
        <w:rPr>
          <w:rFonts w:hint="eastAsia" w:ascii="宋体" w:hAnsi="宋体" w:eastAsia="宋体" w:cs="宋体"/>
          <w:color w:val="000000" w:themeColor="text1"/>
          <w:sz w:val="24"/>
          <w:szCs w:val="24"/>
          <w:highlight w:val="none"/>
          <w14:textFill>
            <w14:solidFill>
              <w14:schemeClr w14:val="tx1"/>
            </w14:solidFill>
          </w14:textFill>
        </w:rPr>
        <w:t>】元违约金，违约金不足以弥补发包人损失的承包人应予补足。</w:t>
      </w:r>
    </w:p>
    <w:p w14:paraId="3D84ECD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16.2.2承包人违约的责任</w:t>
      </w:r>
    </w:p>
    <w:p w14:paraId="54B2834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承包人违约责任的承担方式和计算方法：</w:t>
      </w:r>
      <w:r>
        <w:rPr>
          <w:rFonts w:hint="eastAsia" w:ascii="宋体" w:hAnsi="宋体" w:cs="宋体"/>
          <w:color w:val="000000" w:themeColor="text1"/>
          <w:sz w:val="24"/>
          <w:highlight w:val="none"/>
          <w:u w:val="single"/>
          <w14:textFill>
            <w14:solidFill>
              <w14:schemeClr w14:val="tx1"/>
            </w14:solidFill>
          </w14:textFill>
        </w:rPr>
        <w:t xml:space="preserve">    见本合同相关条款    </w:t>
      </w:r>
      <w:r>
        <w:rPr>
          <w:rFonts w:hint="eastAsia" w:ascii="宋体" w:hAnsi="宋体" w:cs="宋体"/>
          <w:color w:val="000000" w:themeColor="text1"/>
          <w:sz w:val="24"/>
          <w:highlight w:val="none"/>
          <w14:textFill>
            <w14:solidFill>
              <w14:schemeClr w14:val="tx1"/>
            </w14:solidFill>
          </w14:textFill>
        </w:rPr>
        <w:t xml:space="preserve">。    </w:t>
      </w:r>
    </w:p>
    <w:p w14:paraId="1BE226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16.2.3 因承包人违约解除合同</w:t>
      </w:r>
    </w:p>
    <w:p w14:paraId="4B29D834">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关于承包人违约解除合同的特别约定：</w:t>
      </w:r>
      <w:r>
        <w:rPr>
          <w:rFonts w:hint="eastAsia" w:ascii="宋体" w:hAnsi="宋体" w:cs="宋体"/>
          <w:color w:val="000000" w:themeColor="text1"/>
          <w:sz w:val="24"/>
          <w:highlight w:val="none"/>
          <w:u w:val="single"/>
          <w14:textFill>
            <w14:solidFill>
              <w14:schemeClr w14:val="tx1"/>
            </w14:solidFill>
          </w14:textFill>
        </w:rPr>
        <w:t xml:space="preserve">  发包人选择解除合同的，承包人应在收到发包人通知后在【7】日内退场、退还已收取的全部费用并支付【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3F1517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cs="宋体"/>
          <w:color w:val="000000" w:themeColor="text1"/>
          <w:sz w:val="24"/>
          <w:highlight w:val="none"/>
          <w14:textFill>
            <w14:solidFill>
              <w14:schemeClr w14:val="tx1"/>
            </w14:solidFill>
          </w14:textFill>
        </w:rPr>
        <w:t>。</w:t>
      </w:r>
    </w:p>
    <w:p w14:paraId="537EF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0837BC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不可抗力</w:t>
      </w:r>
    </w:p>
    <w:p w14:paraId="672087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不可抗力的确认</w:t>
      </w:r>
    </w:p>
    <w:p w14:paraId="3313BE0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除通用合同条款约定的不可抗力事件之外，视为不可抗力的其他情形：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CAA1C5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因不可抗力解除合同</w:t>
      </w:r>
    </w:p>
    <w:p w14:paraId="2672DC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合同解除后，发包人应在商定或确定发包人应支付款项后天内完成款项的支付。</w:t>
      </w:r>
    </w:p>
    <w:p w14:paraId="668064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保险</w:t>
      </w:r>
    </w:p>
    <w:p w14:paraId="2474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工程保险</w:t>
      </w:r>
    </w:p>
    <w:p w14:paraId="089CD6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关于工程保险的特别约定：</w:t>
      </w:r>
      <w:r>
        <w:rPr>
          <w:rFonts w:hint="eastAsia" w:ascii="宋体" w:hAnsi="宋体" w:cs="宋体"/>
          <w:color w:val="000000" w:themeColor="text1"/>
          <w:sz w:val="24"/>
          <w:highlight w:val="none"/>
          <w:u w:val="single"/>
          <w14:textFill>
            <w14:solidFill>
              <w14:schemeClr w14:val="tx1"/>
            </w14:solidFill>
          </w14:textFill>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cs="宋体"/>
          <w:color w:val="000000" w:themeColor="text1"/>
          <w:sz w:val="24"/>
          <w:highlight w:val="none"/>
          <w14:textFill>
            <w14:solidFill>
              <w14:schemeClr w14:val="tx1"/>
            </w14:solidFill>
          </w14:textFill>
        </w:rPr>
        <w:t>。</w:t>
      </w:r>
    </w:p>
    <w:p w14:paraId="6040A44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其他保险</w:t>
      </w:r>
    </w:p>
    <w:p w14:paraId="4BD7C4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关于其他保险的约定：</w:t>
      </w:r>
      <w:r>
        <w:rPr>
          <w:rFonts w:hint="eastAsia" w:ascii="宋体" w:hAnsi="宋体" w:cs="宋体"/>
          <w:b/>
          <w:bCs/>
          <w:color w:val="000000" w:themeColor="text1"/>
          <w:sz w:val="24"/>
          <w:highlight w:val="none"/>
          <w:u w:val="single"/>
          <w14:textFill>
            <w14:solidFill>
              <w14:schemeClr w14:val="tx1"/>
            </w14:solidFill>
          </w14:textFill>
        </w:rPr>
        <w:t>承包人投保建筑工</w:t>
      </w:r>
      <w:r>
        <w:rPr>
          <w:rFonts w:hint="eastAsia" w:ascii="宋体" w:hAnsi="宋体" w:cs="宋体"/>
          <w:b/>
          <w:color w:val="000000" w:themeColor="text1"/>
          <w:sz w:val="24"/>
          <w:highlight w:val="none"/>
          <w:u w:val="single"/>
          <w14:textFill>
            <w14:solidFill>
              <w14:schemeClr w14:val="tx1"/>
            </w14:solidFill>
          </w14:textFill>
        </w:rPr>
        <w:t>人及管理人员意外伤害保险</w:t>
      </w:r>
      <w:r>
        <w:rPr>
          <w:rFonts w:hint="eastAsia" w:ascii="宋体" w:hAnsi="宋体" w:cs="宋体"/>
          <w:color w:val="000000" w:themeColor="text1"/>
          <w:sz w:val="24"/>
          <w:highlight w:val="none"/>
          <w14:textFill>
            <w14:solidFill>
              <w14:schemeClr w14:val="tx1"/>
            </w14:solidFill>
          </w14:textFill>
        </w:rPr>
        <w:t>。</w:t>
      </w:r>
    </w:p>
    <w:p w14:paraId="68A7B2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承包人是否应为其施工设备等办理财产保险：</w:t>
      </w:r>
      <w:r>
        <w:rPr>
          <w:rFonts w:hint="eastAsia" w:ascii="宋体" w:hAnsi="宋体" w:cs="宋体"/>
          <w:color w:val="000000" w:themeColor="text1"/>
          <w:sz w:val="24"/>
          <w:highlight w:val="none"/>
          <w:u w:val="single"/>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w:t>
      </w:r>
    </w:p>
    <w:p w14:paraId="4EA033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 通知义务</w:t>
      </w:r>
    </w:p>
    <w:p w14:paraId="49191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关于变更保险合同时的通知义务的约定：</w:t>
      </w:r>
      <w:r>
        <w:rPr>
          <w:rFonts w:hint="eastAsia" w:ascii="宋体" w:hAnsi="宋体" w:cs="宋体"/>
          <w:b/>
          <w:bCs/>
          <w:color w:val="000000" w:themeColor="text1"/>
          <w:sz w:val="24"/>
          <w:highlight w:val="none"/>
          <w:u w:val="single"/>
          <w14:textFill>
            <w14:solidFill>
              <w14:schemeClr w14:val="tx1"/>
            </w14:solidFill>
          </w14:textFill>
        </w:rPr>
        <w:t>按通用合同条款第18.7条项规定执行</w:t>
      </w:r>
      <w:r>
        <w:rPr>
          <w:rFonts w:hint="eastAsia" w:ascii="宋体" w:hAnsi="宋体" w:cs="宋体"/>
          <w:color w:val="000000" w:themeColor="text1"/>
          <w:sz w:val="24"/>
          <w:highlight w:val="none"/>
          <w14:textFill>
            <w14:solidFill>
              <w14:schemeClr w14:val="tx1"/>
            </w14:solidFill>
          </w14:textFill>
        </w:rPr>
        <w:t>。</w:t>
      </w:r>
    </w:p>
    <w:p w14:paraId="486BC8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争议解决</w:t>
      </w:r>
    </w:p>
    <w:p w14:paraId="3366813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 争议评审</w:t>
      </w:r>
    </w:p>
    <w:p w14:paraId="0FD7E67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389D54EB">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争议评审小组的确定</w:t>
      </w:r>
    </w:p>
    <w:p w14:paraId="134DDD5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争议评审小组成员的确定：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D66B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选定争议评审员的期限：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A36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争议评审小组成员的报酬承担方式：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701ED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其他事项的约定：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20CF35">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争议评审小组的决定</w:t>
      </w:r>
    </w:p>
    <w:p w14:paraId="76908D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合同当事人关于本项的约定：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F6997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20.4仲裁或诉讼</w:t>
      </w:r>
    </w:p>
    <w:p w14:paraId="59DF2B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因合同及合同有关事项发生的争议，按下列第</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种方式解决：</w:t>
      </w:r>
    </w:p>
    <w:p w14:paraId="530BDC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仲裁委员会申请仲裁；</w:t>
      </w:r>
    </w:p>
    <w:p w14:paraId="360E04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w:t>
      </w:r>
      <w:r>
        <w:rPr>
          <w:rFonts w:hint="eastAsia" w:ascii="宋体" w:hAnsi="宋体" w:cs="宋体"/>
          <w:b/>
          <w:bCs/>
          <w:color w:val="000000" w:themeColor="text1"/>
          <w:sz w:val="24"/>
          <w:highlight w:val="none"/>
          <w:u w:val="single"/>
          <w14:textFill>
            <w14:solidFill>
              <w14:schemeClr w14:val="tx1"/>
            </w14:solidFill>
          </w14:textFill>
        </w:rPr>
        <w:t>工程所在地</w:t>
      </w:r>
      <w:r>
        <w:rPr>
          <w:rFonts w:hint="eastAsia" w:ascii="宋体" w:hAnsi="宋体" w:cs="宋体"/>
          <w:color w:val="000000" w:themeColor="text1"/>
          <w:sz w:val="24"/>
          <w:highlight w:val="none"/>
          <w14:textFill>
            <w14:solidFill>
              <w14:schemeClr w14:val="tx1"/>
            </w14:solidFill>
          </w14:textFill>
        </w:rPr>
        <w:t>人民法院起诉。</w:t>
      </w:r>
    </w:p>
    <w:p w14:paraId="4FD45D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21.补充条款</w:t>
      </w:r>
    </w:p>
    <w:p w14:paraId="76BBD013">
      <w:pPr>
        <w:widowControl w:val="0"/>
        <w:adjustRightInd w:val="0"/>
        <w:snapToGrid w:val="0"/>
        <w:spacing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21.1工程质量要求的其他约定</w:t>
      </w:r>
    </w:p>
    <w:p w14:paraId="30CA0C35">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21.1.1</w:t>
      </w:r>
      <w:r>
        <w:rPr>
          <w:rFonts w:hint="eastAsia" w:ascii="宋体" w:hAnsi="宋体" w:cs="宋体"/>
          <w:b/>
          <w:color w:val="000000" w:themeColor="text1"/>
          <w:sz w:val="24"/>
          <w:highlight w:val="none"/>
          <w:u w:val="single"/>
          <w14:textFill>
            <w14:solidFill>
              <w14:schemeClr w14:val="tx1"/>
            </w14:solidFill>
          </w14:textFill>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44AF896A">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1496FF80">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21.1.2</w:t>
      </w:r>
      <w:r>
        <w:rPr>
          <w:rFonts w:hint="eastAsia" w:ascii="宋体" w:hAnsi="宋体" w:cs="宋体"/>
          <w:b/>
          <w:color w:val="000000" w:themeColor="text1"/>
          <w:sz w:val="24"/>
          <w:highlight w:val="none"/>
          <w:u w:val="single"/>
          <w14:textFill>
            <w14:solidFill>
              <w14:schemeClr w14:val="tx1"/>
            </w14:solidFill>
          </w14:textFill>
        </w:rPr>
        <w:t>因工程施工交叉进行，承包人应积极配合，并无条件服从发包人或监理工程师的合理安排。</w:t>
      </w:r>
    </w:p>
    <w:p w14:paraId="6AE3BB6B">
      <w:pPr>
        <w:widowControl w:val="0"/>
        <w:adjustRightInd w:val="0"/>
        <w:snapToGrid w:val="0"/>
        <w:spacing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21.2工期要求的其他约定</w:t>
      </w:r>
    </w:p>
    <w:p w14:paraId="40BB4999">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21.2.1承包人应详细踏勘、了解现场实际情况，在磋商中应充分考虑现场情况对施工工期的影响，该部分内容在施工工期中包干，成交后不予调整。</w:t>
      </w:r>
    </w:p>
    <w:p w14:paraId="712DF59E">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21.2.2合同工期为进场施工开始至竣工验收时止，承包人必须做好配合协调工作，因协调配合不当引起的工期等所有损失均由承包人承担。</w:t>
      </w:r>
    </w:p>
    <w:p w14:paraId="6A867249">
      <w:pPr>
        <w:widowControl w:val="0"/>
        <w:adjustRightInd w:val="0"/>
        <w:snapToGrid w:val="0"/>
        <w:spacing w:line="360" w:lineRule="auto"/>
        <w:ind w:firstLine="480" w:firstLineChars="200"/>
        <w:jc w:val="both"/>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14FE5FAD">
      <w:pPr>
        <w:widowControl w:val="0"/>
        <w:adjustRightInd w:val="0"/>
        <w:snapToGrid w:val="0"/>
        <w:spacing w:line="360" w:lineRule="auto"/>
        <w:ind w:firstLine="480" w:firstLineChars="200"/>
        <w:jc w:val="both"/>
        <w:rPr>
          <w:rFonts w:hint="default"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21.2.4</w:t>
      </w:r>
      <w:r>
        <w:rPr>
          <w:rFonts w:hint="eastAsia" w:ascii="宋体" w:hAnsi="宋体" w:eastAsia="宋体" w:cs="宋体"/>
          <w:b/>
          <w:bCs w:val="0"/>
          <w:snapToGrid w:val="0"/>
          <w:color w:val="000000" w:themeColor="text1"/>
          <w:kern w:val="2"/>
          <w:sz w:val="24"/>
          <w:szCs w:val="24"/>
          <w:highlight w:val="none"/>
          <w:u w:val="single"/>
          <w:lang w:val="en-US" w:eastAsia="zh-CN" w:bidi="ar-SA"/>
          <w14:textFill>
            <w14:solidFill>
              <w14:schemeClr w14:val="tx1"/>
            </w14:solidFill>
          </w14:textFill>
        </w:rPr>
        <w:t>因施工周期较长，承包人应充分考虑节日放假、互联网大会等对工程总工期目标的影响，要求承包人必须提供节假期间保证正常施工方案及承诺，提前做好民工节前轮休安排，要有针对性实质措施，若有此带来的工期延误，应自行消化，总工期将不予顺延。</w:t>
      </w:r>
    </w:p>
    <w:p w14:paraId="74C06456">
      <w:pPr>
        <w:widowControl w:val="0"/>
        <w:adjustRightInd w:val="0"/>
        <w:snapToGrid w:val="0"/>
        <w:spacing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21.3安全文明施工要求的其他约定</w:t>
      </w:r>
    </w:p>
    <w:p w14:paraId="70B7B262">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 xml:space="preserve">21.3.1承包人与发包人必须签定《安全生产责任协议书》和《文明施工责任协议书》（见附件），且必须按照浙江省及发包人安全生产、文明施工标准化工地要求，做好安全生产、文明施工。 </w:t>
      </w:r>
    </w:p>
    <w:p w14:paraId="43651700">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安全生产、文明施工相关费用在工程实施过程中必须足额投入，否则发包人有权拒绝支付该项费用。</w:t>
      </w:r>
    </w:p>
    <w:p w14:paraId="68EB4152">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安全生产、文明施工维护及宣传方案需征得发包人同意方可实施。</w:t>
      </w:r>
    </w:p>
    <w:p w14:paraId="6FFAB6B4">
      <w:pPr>
        <w:widowControl w:val="0"/>
        <w:adjustRightInd w:val="0"/>
        <w:snapToGrid w:val="0"/>
        <w:spacing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21.4人员到位要求的其他约定</w:t>
      </w:r>
    </w:p>
    <w:p w14:paraId="19B8E68E">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21.4.1承包人在响应文件中承诺的管理人员（项目经理、技术负责人、施工员、安全员、质检员、材料员）配备数量应满足本工程管理的需要和相应规范、文件要求。</w:t>
      </w:r>
    </w:p>
    <w:p w14:paraId="53B1827D">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本项目采用指纹考勤，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考勤）。重要施工工序或环节时项目经理、技术负责人等必须到场，否则处罚【2000】元人民币/每次。</w:t>
      </w:r>
    </w:p>
    <w:p w14:paraId="03E18825">
      <w:pPr>
        <w:widowControl w:val="0"/>
        <w:adjustRightInd w:val="0"/>
        <w:snapToGrid w:val="0"/>
        <w:spacing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21.5合同价款的其他约定</w:t>
      </w:r>
    </w:p>
    <w:p w14:paraId="522AB5F1">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21.5.1在工程通过竣工验收前，对已完成工程成品的保护工作由承包人负责，费用在磋商响应报价中包干。</w:t>
      </w:r>
    </w:p>
    <w:p w14:paraId="4ED8D56E">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21.5.2本工程工期较紧，相应赶工措施费用包含在磋商响应报价中。</w:t>
      </w:r>
    </w:p>
    <w:p w14:paraId="77230007">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21.5.3承包人所报的费用中必须包含危险作业意外伤害保险费用，否则所产生的一切后果由承包人承担。</w:t>
      </w:r>
    </w:p>
    <w:p w14:paraId="06CF3D1E">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21.5.4施工组织措施费和技术措施费在成交以后，在合同施工范围内，无论现场施工条件如何变化、设计如何变更、也无论工程量增减的幅度如何，均不再调整；</w:t>
      </w:r>
    </w:p>
    <w:p w14:paraId="253CCADC">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55800B2B">
      <w:pPr>
        <w:widowControl w:val="0"/>
        <w:adjustRightInd w:val="0"/>
        <w:snapToGrid w:val="0"/>
        <w:spacing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21.6其他方面的约定</w:t>
      </w:r>
    </w:p>
    <w:p w14:paraId="42945946">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67B0E8F6">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color w:val="000000" w:themeColor="text1"/>
          <w:sz w:val="24"/>
          <w:highlight w:val="none"/>
          <w:u w:val="single"/>
          <w14:textFill>
            <w14:solidFill>
              <w14:schemeClr w14:val="tx1"/>
            </w14:solidFill>
          </w14:textFill>
        </w:rPr>
        <w:t>或社会上相关产品进行指定</w:t>
      </w:r>
      <w:r>
        <w:rPr>
          <w:rFonts w:hint="eastAsia" w:ascii="宋体" w:hAnsi="宋体" w:cs="宋体"/>
          <w:b/>
          <w:color w:val="000000" w:themeColor="text1"/>
          <w:sz w:val="24"/>
          <w:highlight w:val="none"/>
          <w:u w:val="single"/>
          <w14:textFill>
            <w14:solidFill>
              <w14:schemeClr w14:val="tx1"/>
            </w14:solidFill>
          </w14:textFill>
        </w:rPr>
        <w:t>，且价格不予调整。</w:t>
      </w:r>
    </w:p>
    <w:p w14:paraId="750A9C5C">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21.6.3承包人应充分响应杭州市委、市政府及当地政府关于工程运输车安全整治有关问题的相关意见，落实好工程安全运输责任制。</w:t>
      </w:r>
    </w:p>
    <w:p w14:paraId="5E6CE6E2">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CC2F2C3">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790AD7B5">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21.6.6承包人需加强维修服务意识，信守维修服务承诺书中的各项承诺，维修服务承诺书作为合同附件。</w:t>
      </w:r>
    </w:p>
    <w:p w14:paraId="313455EF">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21.6.7工程实施期间，承包人必须确保本工程项目进度款专款专用，发包人（或发包人委托的中介机构）随时有权到承包人处核查工程进度款使用情况，承包人须全力配合不得以任何理由拒绝。</w:t>
      </w:r>
    </w:p>
    <w:p w14:paraId="22DF0729">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54DC263E">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21.6.9承包人应在响应文件中列出所有承包人认为需提供的工日、材料（设备）、机械台班价格，若承包人未列出，在施工期间可由发包人根据响应文件及其它的合同文件确定价格。</w:t>
      </w:r>
    </w:p>
    <w:p w14:paraId="696E0DC2">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3127B9B7">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21.6.11如果承包人提供的工日、材料（设备）、机械台班价格及综合单价分析表和工料机分析表与综合单价有矛盾，结算时应以综合单价为准。如是综合总价合同，则已包含在合同价款中。</w:t>
      </w:r>
    </w:p>
    <w:p w14:paraId="425B4779">
      <w:pPr>
        <w:widowControl w:val="0"/>
        <w:adjustRightInd w:val="0"/>
        <w:snapToGrid w:val="0"/>
        <w:spacing w:line="360" w:lineRule="auto"/>
        <w:ind w:firstLine="480"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21.6.12承包人应服从发包人的协调组织安排，不得因交叉交错施工影响本工程总体进度。</w:t>
      </w:r>
    </w:p>
    <w:p w14:paraId="6D5CFC08">
      <w:pPr>
        <w:tabs>
          <w:tab w:val="left" w:pos="8080"/>
        </w:tabs>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3DD3FCF2">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14:paraId="1872CA54">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21.6.15本合同所涉及的所有处罚违约金将以现金形式缴纳，月罚月交，如未按时递交违约金，本月工程款暂停支付。</w:t>
      </w:r>
    </w:p>
    <w:p w14:paraId="453DDB45">
      <w:pPr>
        <w:snapToGrid w:val="0"/>
        <w:spacing w:line="360" w:lineRule="auto"/>
        <w:ind w:firstLine="480"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21.6.16本项目涉及到的检测、监测、质检费用由承包人在磋商响应报价中综合考虑，已包含在报价中，不再另行支付。</w:t>
      </w:r>
    </w:p>
    <w:p w14:paraId="7A00C1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21.6.17 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color w:val="000000" w:themeColor="text1"/>
          <w:sz w:val="24"/>
          <w:highlight w:val="none"/>
          <w:u w:val="single"/>
          <w14:textFill>
            <w14:solidFill>
              <w14:schemeClr w14:val="tx1"/>
            </w14:solidFill>
          </w14:textFill>
        </w:rPr>
        <w:t>。</w:t>
      </w:r>
    </w:p>
    <w:p w14:paraId="09A5E40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D2E4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footerReference r:id="rId10" w:type="default"/>
          <w:pgSz w:w="11906" w:h="16838"/>
          <w:pgMar w:top="1418" w:right="1555" w:bottom="1418" w:left="1531" w:header="567" w:footer="567" w:gutter="0"/>
          <w:pgNumType w:start="1"/>
          <w:cols w:space="720" w:num="1"/>
          <w:docGrid w:type="lines" w:linePitch="312" w:charSpace="0"/>
        </w:sectPr>
      </w:pPr>
    </w:p>
    <w:p w14:paraId="5AC74052">
      <w:pPr>
        <w:spacing w:before="120" w:beforeLines="50" w:after="120"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附件一：工程质量保修书格式</w:t>
      </w:r>
    </w:p>
    <w:p w14:paraId="77E150B9">
      <w:pPr>
        <w:spacing w:before="120" w:beforeLines="50" w:after="120" w:afterLines="50" w:line="360" w:lineRule="auto"/>
        <w:ind w:firstLine="480"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工程质量保修书</w:t>
      </w:r>
    </w:p>
    <w:p w14:paraId="5B5D6B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0060E20F">
      <w:pPr>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承包人（全称）：</w:t>
      </w:r>
    </w:p>
    <w:p w14:paraId="158C52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发包人和承包人根据《中华人民共和国建筑法》和《建设工程质量管理条例》，经协商一致就（工程全称）签订工程质量保修书。</w:t>
      </w:r>
    </w:p>
    <w:p w14:paraId="261D9DEE">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一、工程质量保修范围和内容</w:t>
      </w:r>
    </w:p>
    <w:p w14:paraId="3F1E76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承包人在质量保修期内，按照有关法律规定和合同约定，承担工程质量保修责任。</w:t>
      </w:r>
    </w:p>
    <w:p w14:paraId="047BDE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579CB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u w:val="single"/>
          <w14:textFill>
            <w14:solidFill>
              <w14:schemeClr w14:val="tx1"/>
            </w14:solidFill>
          </w14:textFill>
        </w:rPr>
        <w:t>本合同承包范围内的全部工程内容</w:t>
      </w:r>
      <w:r>
        <w:rPr>
          <w:rFonts w:hint="eastAsia" w:ascii="宋体" w:hAnsi="宋体" w:cs="宋体"/>
          <w:color w:val="000000" w:themeColor="text1"/>
          <w:sz w:val="24"/>
          <w:highlight w:val="none"/>
          <w14:textFill>
            <w14:solidFill>
              <w14:schemeClr w14:val="tx1"/>
            </w14:solidFill>
          </w14:textFill>
        </w:rPr>
        <w:t>。</w:t>
      </w:r>
    </w:p>
    <w:p w14:paraId="7120C09D">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二、质量保修期</w:t>
      </w:r>
    </w:p>
    <w:p w14:paraId="50ACB249">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质量保修期从工程实际竣工验收合格之日算起。</w:t>
      </w:r>
    </w:p>
    <w:p w14:paraId="279380E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双方根据《建设工程质量管理条例》及国家有关规定，结合具体工程情况约定质量保修期如下：</w:t>
      </w:r>
    </w:p>
    <w:p w14:paraId="776C743F">
      <w:pPr>
        <w:keepNext w:val="0"/>
        <w:keepLines w:val="0"/>
        <w:pageBreakBefore w:val="0"/>
        <w:widowControl w:val="0"/>
        <w:kinsoku/>
        <w:wordWrap/>
        <w:overflowPunct/>
        <w:topLinePunct w:val="0"/>
        <w:autoSpaceDE/>
        <w:autoSpaceDN/>
        <w:bidi w:val="0"/>
        <w:adjustRightInd w:val="0"/>
        <w:snapToGrid/>
        <w:spacing w:line="360" w:lineRule="auto"/>
        <w:ind w:firstLine="961"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1、地基基础工程和主体结构工程为设计文件规定的该工程合理使用年限；</w:t>
      </w:r>
    </w:p>
    <w:p w14:paraId="275609AD">
      <w:pPr>
        <w:keepNext w:val="0"/>
        <w:keepLines w:val="0"/>
        <w:pageBreakBefore w:val="0"/>
        <w:widowControl w:val="0"/>
        <w:kinsoku/>
        <w:wordWrap/>
        <w:overflowPunct/>
        <w:topLinePunct w:val="0"/>
        <w:autoSpaceDE/>
        <w:autoSpaceDN/>
        <w:bidi w:val="0"/>
        <w:adjustRightInd w:val="0"/>
        <w:snapToGrid/>
        <w:spacing w:line="360" w:lineRule="auto"/>
        <w:ind w:firstLine="961"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2、屋面防水工程、有防水要求的墙面、地面的防渗漏为</w:t>
      </w:r>
      <w:r>
        <w:rPr>
          <w:rFonts w:hint="eastAsia" w:ascii="宋体" w:hAnsi="宋体" w:cs="宋体"/>
          <w:b/>
          <w:color w:val="000000" w:themeColor="text1"/>
          <w:sz w:val="24"/>
          <w:highlight w:val="none"/>
          <w:lang w:val="en-US" w:eastAsia="zh-CN"/>
          <w14:textFill>
            <w14:solidFill>
              <w14:schemeClr w14:val="tx1"/>
            </w14:solidFill>
          </w14:textFill>
        </w:rPr>
        <w:t>捌</w:t>
      </w:r>
      <w:r>
        <w:rPr>
          <w:rFonts w:hint="eastAsia" w:ascii="宋体" w:hAnsi="宋体" w:cs="宋体"/>
          <w:b/>
          <w:color w:val="000000" w:themeColor="text1"/>
          <w:sz w:val="24"/>
          <w:highlight w:val="none"/>
          <w14:textFill>
            <w14:solidFill>
              <w14:schemeClr w14:val="tx1"/>
            </w14:solidFill>
          </w14:textFill>
        </w:rPr>
        <w:t>年；</w:t>
      </w:r>
    </w:p>
    <w:p w14:paraId="100C3231">
      <w:pPr>
        <w:spacing w:line="360" w:lineRule="auto"/>
        <w:ind w:firstLine="961"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3、装修工程为贰年；</w:t>
      </w:r>
    </w:p>
    <w:p w14:paraId="0ACF6D6E">
      <w:pPr>
        <w:spacing w:line="360" w:lineRule="auto"/>
        <w:ind w:firstLine="961"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4、电气管线、给排水管道、设备安装工程为贰年；</w:t>
      </w:r>
    </w:p>
    <w:p w14:paraId="4000A7B7">
      <w:pPr>
        <w:spacing w:line="360" w:lineRule="auto"/>
        <w:ind w:firstLine="961"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5、供热与供冷系统为贰个采暖期、供冷期；</w:t>
      </w:r>
    </w:p>
    <w:p w14:paraId="603321D7">
      <w:pPr>
        <w:spacing w:line="360" w:lineRule="auto"/>
        <w:ind w:firstLine="961"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6、其他约定：</w:t>
      </w:r>
    </w:p>
    <w:p w14:paraId="59EC85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质量保修期自工程竣工验收合格之日起计算。</w:t>
      </w:r>
    </w:p>
    <w:p w14:paraId="2BF51EF2">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三、缺陷责任期</w:t>
      </w:r>
    </w:p>
    <w:p w14:paraId="04DCC3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工程缺陷责任期及设备质保期为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，缺陷责任期自工程通过竣工验收之日起计算。单位工程先于全部工程进行验收，单位工程缺陷责任期自单位工程验收合格之日起算。</w:t>
      </w:r>
    </w:p>
    <w:p w14:paraId="7F7DCA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缺陷责任期终止后，发包人在扣除承包人应承担的违约金、损害赔偿金、维修费等费用后无息退还剩余的质量保证金。</w:t>
      </w:r>
    </w:p>
    <w:p w14:paraId="5DAF754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四、质量保修责任</w:t>
      </w:r>
    </w:p>
    <w:p w14:paraId="260ECB2E">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1．属于保修范围、内容的项目，承包人应当在接到保修通知之日起7天内派人保修。承包人不在约定期限内派人保修或未完成维修的，发包人可以委托他人修理，相关费用由承包人承担。</w:t>
      </w:r>
    </w:p>
    <w:p w14:paraId="02F4C345">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2．发生紧急事故需抢修的，承包人在接到事故通知后，应当立即到达事故现场抢修，否则承包人有限自行或另行委托第三方维修，相关费用由承包人承担。</w:t>
      </w:r>
    </w:p>
    <w:p w14:paraId="7DAF8499">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0C61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4．质量保修完成后，由发包人组织验收。</w:t>
      </w:r>
    </w:p>
    <w:p w14:paraId="7FD25CD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五、保修费用</w:t>
      </w:r>
    </w:p>
    <w:p w14:paraId="53088D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保修费用由造成质量缺陷的责任方承担。</w:t>
      </w:r>
    </w:p>
    <w:p w14:paraId="5F5E8EB9">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、双方约定的其他工程质量保修事项：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FF75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工程质量保修书由发包人、承包人在工程竣工验收前共同签署，作为施工合同附件，其有效期限至保修期满。</w:t>
      </w:r>
    </w:p>
    <w:p w14:paraId="278C9D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E690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0556DA67">
      <w:pPr>
        <w:spacing w:line="40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p>
    <w:p w14:paraId="79AF747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5F23A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7E3B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法定代表人(签字)：</w:t>
      </w:r>
    </w:p>
    <w:p w14:paraId="1D63F4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                   委托代理人(签字)：</w:t>
      </w:r>
    </w:p>
    <w:p w14:paraId="23391D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p>
    <w:p w14:paraId="66F697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p>
    <w:p w14:paraId="0D9ECF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2F66D9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p>
    <w:p w14:paraId="480BB7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p>
    <w:p w14:paraId="001EC6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附件二：安全生产责任协议书</w:t>
      </w:r>
    </w:p>
    <w:p w14:paraId="0721CE1A">
      <w:pPr>
        <w:snapToGrid w:val="0"/>
        <w:spacing w:line="360" w:lineRule="auto"/>
        <w:ind w:firstLine="480"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安全生产责任协议书</w:t>
      </w:r>
    </w:p>
    <w:p w14:paraId="73C6E1B4">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7A6BBB6C">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1ED0B4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w:t>
      </w:r>
    </w:p>
    <w:p w14:paraId="5AB3A4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为落实安全生产的管理要求，确保工程建设的顺利进行，按《浙江省建筑安全文明施工标准化工地管理办法》（浙建建[2005]41号)规定，甲乙双方共同协商，一致同意如下：</w:t>
      </w:r>
    </w:p>
    <w:p w14:paraId="27F2F9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F6653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569FB0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F905F0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4B06F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责任违约的经济处理的约定：</w:t>
      </w:r>
    </w:p>
    <w:p w14:paraId="4FA279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依据国家和地方相关法律法规、政策、规定、制度以及本工程施工合同执行。</w:t>
      </w:r>
    </w:p>
    <w:p w14:paraId="6D6FE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38CEB6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0DBBE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3585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0B2B3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九、承包人要按照“安全自查，隐患自改、责任自负”的原则加强对施工责任区的日常安全检查。及叫制上和处理各类违章违法行为。对查获的隐患要及时落实整改措施，消除隐患。</w:t>
      </w:r>
    </w:p>
    <w:p w14:paraId="654A1E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AAC90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5F3912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十二、承包人须参加由发包人召集的每周一次的工程工作列会，对工程进度、工程质量、安全施工等情况向会议进行汇报，并接受发包人的安全检查。</w:t>
      </w:r>
    </w:p>
    <w:p w14:paraId="7F7A34A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十三、承包人不准将工程项目进行整体转包。</w:t>
      </w:r>
    </w:p>
    <w:p w14:paraId="2356D65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5F8BCE4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09D9E95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十六、承包人须为施工作业人员缴纳相关保险，并在合同签订之日起的 个工作日内将缴纳保险凭证复印件交发包人。</w:t>
      </w:r>
    </w:p>
    <w:p w14:paraId="298CD097">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十七、承包人必须严格按学院管理规范要求进场施工：必须报学院后勤处、安保处备案，并接受学院安保处的安全教育；进场施工必须佩戴胸牌，统一着装；施工垃圾及时清运，垃圾密闭包装，不得裸露在外。</w:t>
      </w:r>
    </w:p>
    <w:p w14:paraId="3A8C49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十八、本协议中木涉及的有关条款，甲乙双方可根据需要协商补充修改。</w:t>
      </w:r>
    </w:p>
    <w:p w14:paraId="5D76FB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如遇有国家和本市的有关法规不符的，应按国家和本市的有关法规执行。</w:t>
      </w:r>
    </w:p>
    <w:p w14:paraId="5A60C1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十九、本协议作为甲乙双方工程承包合同的附件，在工程承包合同签约后生效，与工程承包合同具有同等法律效力。工程承包合同期满，本协议终上。</w:t>
      </w:r>
    </w:p>
    <w:p w14:paraId="1CD2E3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4979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241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5B14B0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6DFEB3C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49062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3E5641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E4889F8">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sectPr>
          <w:footerReference r:id="rId11" w:type="default"/>
          <w:type w:val="nextColumn"/>
          <w:pgSz w:w="11906" w:h="16838"/>
          <w:pgMar w:top="1418" w:right="1588" w:bottom="1418" w:left="1588" w:header="567" w:footer="567" w:gutter="0"/>
          <w:cols w:space="720" w:num="1"/>
          <w:docGrid w:linePitch="312" w:charSpace="0"/>
        </w:sectPr>
      </w:pPr>
    </w:p>
    <w:p w14:paraId="4EF94593">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附件三 文明施工责任协议书格式</w:t>
      </w:r>
    </w:p>
    <w:p w14:paraId="6BAF57D9">
      <w:pPr>
        <w:snapToGrid w:val="0"/>
        <w:spacing w:line="360" w:lineRule="auto"/>
        <w:ind w:firstLine="480"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文明施工责任协议书</w:t>
      </w:r>
    </w:p>
    <w:p w14:paraId="70B59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B6A9A0">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41A80D43">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08A3E1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工程项目名称：为认真做好工程建设施工区域内的文明施工，现经甲、乙双方协商同意，明确在文明施工和文明施工管理中的各自职责，并签订如下协议。</w:t>
      </w:r>
    </w:p>
    <w:p w14:paraId="1464B0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DBEBE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32DDFC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三、乙方应遵守如下规定：</w:t>
      </w:r>
    </w:p>
    <w:p w14:paraId="398D8A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1、根据工程的特点，编制文明施工实施方案，在开工前5日内，将文明施工实施方案报甲方和市安全监督部门备案。</w:t>
      </w:r>
    </w:p>
    <w:p w14:paraId="31AF5A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2、乙方按有关规定专项包干使用文明施工费，不得挪作他用。</w:t>
      </w:r>
    </w:p>
    <w:p w14:paraId="568C8D9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3、工地应设置专职文明施工安全员，做到佩证上岗、动态管理，及时收集、记录、整理、管理台帐等技术资料。</w:t>
      </w:r>
    </w:p>
    <w:p w14:paraId="447948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4、施工现场应按文明施工安全生产的要求，设置各项临时设施，并达到下列要求：</w:t>
      </w:r>
    </w:p>
    <w:p w14:paraId="2E9BF0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（1）施工区域与非施工区域严格分隔。</w:t>
      </w:r>
    </w:p>
    <w:p w14:paraId="0EE1F6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（2）施工区域内应设置能保证施工安全的夜间照明和警示标志，并采取安全防护措施。</w:t>
      </w:r>
    </w:p>
    <w:p w14:paraId="2B64D9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（3）各类材料、机具设备按工地总平面图的布置，在固定场地整齐堆放，不得侵占场内道路及安全防护等设施。</w:t>
      </w:r>
    </w:p>
    <w:p w14:paraId="30605C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（4）其他要求：</w:t>
      </w:r>
      <w:r>
        <w:rPr>
          <w:rFonts w:hint="eastAsia" w:ascii="宋体" w:hAnsi="宋体" w:cs="宋体"/>
          <w:b/>
          <w:color w:val="000000" w:themeColor="text1"/>
          <w:sz w:val="24"/>
          <w:highlight w:val="none"/>
          <w14:textFill>
            <w14:solidFill>
              <w14:schemeClr w14:val="tx1"/>
            </w14:solidFill>
          </w14:textFill>
        </w:rPr>
        <w:t>严格按学校管理规范要求进场施工。</w:t>
      </w:r>
    </w:p>
    <w:p w14:paraId="4DA6B5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14:paraId="7F14C1F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14:paraId="125E9C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施工现场应设置茶桶、保障茶水供应。</w:t>
      </w:r>
    </w:p>
    <w:p w14:paraId="2F9C52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7、建筑垃圾和其他散体物料装运应实行车辆密闭式运输，冲洗干净后出场，运输过程中严禁沿途抛、洒、滴、漏。</w:t>
      </w:r>
    </w:p>
    <w:p w14:paraId="30DA25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14:paraId="14AC512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9、遵守建设地的现场管理要求。</w:t>
      </w:r>
    </w:p>
    <w:p w14:paraId="52F740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10、施工单位在施工中应遵守下列规定：</w:t>
      </w:r>
    </w:p>
    <w:p w14:paraId="6FE77F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（1）完善技术和操作管理规程，确保防汛设施和地下管线通畅、安全。</w:t>
      </w:r>
    </w:p>
    <w:p w14:paraId="2D8823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（2）采取各种有效措施，控制扬尘、噪声。</w:t>
      </w:r>
    </w:p>
    <w:p w14:paraId="7C8362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（3）设置各种防护设施，防止施工中废弃物、杂物影响周围环境，伤害过往行人。</w:t>
      </w:r>
    </w:p>
    <w:p w14:paraId="02F2F4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（4）随时清理建筑垃圾，控制工地污染。</w:t>
      </w:r>
    </w:p>
    <w:p w14:paraId="037035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（5）控制夜间施工作业，确需夜间作业的，必须事先向环保部门申办《夜间施工许可证》。</w:t>
      </w:r>
    </w:p>
    <w:p w14:paraId="2E59AC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（6）运用其他有效方式，减少施工时对市容、绿化和环境的不良影响。</w:t>
      </w:r>
    </w:p>
    <w:p w14:paraId="531AF1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（7）遵守交通管理规定，不得使用人力车、三轮车向场外运输建筑垃圾、废土、物料。</w:t>
      </w:r>
    </w:p>
    <w:p w14:paraId="46F30F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11、施工人员在施工中应严格遵守下列规定:</w:t>
      </w:r>
    </w:p>
    <w:p w14:paraId="60A44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4FE66E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（2）施工中不得随意丢弃废物、旧料和其他杂物。</w:t>
      </w:r>
    </w:p>
    <w:p w14:paraId="63973E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（3）施工中应注意清理施工场地，做到随做随清。</w:t>
      </w:r>
    </w:p>
    <w:p w14:paraId="006C60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w:t>
      </w:r>
    </w:p>
    <w:p w14:paraId="4EC0F4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12、乙方应确保工地出入口和道路的畅通、安全。施工中造成沿线单位、人员的出入口障碍和道路交通堵塞，应及时采取有效措施。</w:t>
      </w:r>
    </w:p>
    <w:p w14:paraId="348BD7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13、施工中造成下水道和其他地下管线堵塞或损坏的，应立即疏浚或修复；对工地周围的单位及人员财产造成损失的，应承担经济赔偿责任。</w:t>
      </w:r>
    </w:p>
    <w:p w14:paraId="0AEE4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四、甲方对乙方开展创建文明土地的工作要经常性地给予指导，定期组织检查，对乙方存在的问题应及时通知乙方进行整改，并有权对乙方责任违约，按约定办法进行经济处理。</w:t>
      </w:r>
    </w:p>
    <w:p w14:paraId="5BDAC9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五、因乙方违反文明施工管理要求，被地方政府有关部门查获而受到的经济处罚，以及由此而使甲方受到的经济损失，均由乙方承担。</w:t>
      </w:r>
    </w:p>
    <w:p w14:paraId="3D63B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六、本协议作为甲乙双方工程合同的附件，在工程合同正式签约后有效，与工程合同具有同等法律效力。工程合同期满，本协议终止。</w:t>
      </w:r>
    </w:p>
    <w:p w14:paraId="61B2F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C7F2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79C1E2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F0F44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3BFD04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4D736E1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br w:type="page"/>
      </w:r>
      <w:r>
        <w:rPr>
          <w:rFonts w:hint="eastAsia" w:ascii="宋体" w:hAnsi="宋体" w:cs="宋体"/>
          <w:color w:val="000000" w:themeColor="text1"/>
          <w:sz w:val="24"/>
          <w:highlight w:val="none"/>
          <w:lang w:val="zh-CN"/>
          <w14:textFill>
            <w14:solidFill>
              <w14:schemeClr w14:val="tx1"/>
            </w14:solidFill>
          </w14:textFill>
        </w:rPr>
        <w:t>附件四 建设工程廉洁协议书格式</w:t>
      </w:r>
    </w:p>
    <w:p w14:paraId="7A2BA017">
      <w:pPr>
        <w:snapToGrid w:val="0"/>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建设工程廉洁协议书</w:t>
      </w:r>
    </w:p>
    <w:p w14:paraId="2CBA96EA">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0DA315A4">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25C69C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工程项目名称：为了在工程建设中保持廉政自律的工作作风，防止各种不正当行为的发生，根据国家和省市有关建设工程承发包和廉政建设的各项规定，结合工程建设的特点，订立本协议如下：</w:t>
      </w:r>
    </w:p>
    <w:p w14:paraId="61334C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一、甲乙双方应当自觉遵守国家和市关于建设工程承发包工作规则以及有关廉政建设的各项规定。</w:t>
      </w:r>
    </w:p>
    <w:p w14:paraId="09A6A0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二、甲方及其工作人员不得以任何形式向乙方索要和收受回扣等好处费。</w:t>
      </w:r>
    </w:p>
    <w:p w14:paraId="2FF5E2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三、甲方工作人员应当保持与乙方的正常业务交往，不得接受乙方的现金、有价证券和贵重物品，不得在乙方报销任何应有个人支付的费用。</w:t>
      </w:r>
    </w:p>
    <w:p w14:paraId="53C14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四、甲方工作人员不得参加可能对公正执行公务有影响的宴请和娱乐活动。</w:t>
      </w:r>
    </w:p>
    <w:p w14:paraId="3A8918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五、甲方工作人员不得要求接受乙方为其住房装修、婚丧嫁娶、家属和子女的工作安排以及出国等提供方便。</w:t>
      </w:r>
    </w:p>
    <w:p w14:paraId="2BE8D78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六、甲方工作人员不得向乙方介绍家属或者亲友从事与甲方工程有关的材料设备供应、工程分包等经济活动。</w:t>
      </w:r>
    </w:p>
    <w:p w14:paraId="0B8E7D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七、乙方应当通过正常途径开展相对业务工作，不得为获取某些不正当利益而向甲方工作人员赠送礼金、有价证券和贵重物品等。</w:t>
      </w:r>
    </w:p>
    <w:p w14:paraId="3D6025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14:paraId="3FD88CB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九、乙方不得以洽谈业务、签订经济合同为借口，邀请甲方工作人员外出旅游和进入高档娱乐性场所。</w:t>
      </w:r>
    </w:p>
    <w:p w14:paraId="67C0A8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十、乙方不得为甲方和个人购置或者提供通讯工具、家电、高档办公用品等物品。</w:t>
      </w:r>
    </w:p>
    <w:p w14:paraId="167BBC5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555B95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08213B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十三、严格执行中纪委下发的中纪发【2007】7号《中共中央纪委关于严格禁止利用职务上的便利谋取不正当利益的若干规定》。</w:t>
      </w:r>
    </w:p>
    <w:p w14:paraId="3DC326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十四、本廉政协议作为工程承发包合同的附件，与工程承发包合同具有同等法律效力，经协议双方签署后立即生效。</w:t>
      </w:r>
    </w:p>
    <w:p w14:paraId="1E24B0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十五、本协议一式三份，甲、乙双方各执一份，送交见证部门一份。</w:t>
      </w:r>
    </w:p>
    <w:p w14:paraId="19C303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BCDF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479178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F6D2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CF0FC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D4FE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5F51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5D75D7">
      <w:pPr>
        <w:snapToGrid w:val="0"/>
        <w:spacing w:line="360" w:lineRule="auto"/>
        <w:ind w:firstLine="1200" w:firstLineChars="5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                        年    月   日</w:t>
      </w:r>
    </w:p>
    <w:bookmarkEnd w:id="410"/>
    <w:bookmarkEnd w:id="411"/>
    <w:bookmarkEnd w:id="412"/>
    <w:bookmarkEnd w:id="413"/>
    <w:p w14:paraId="500BDE6C">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6223CD0F">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716FAC08">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B93290A">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4E9F856">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111EC193">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405EC9EF">
      <w:pPr>
        <w:tabs>
          <w:tab w:val="left" w:pos="300"/>
        </w:tabs>
        <w:spacing w:line="366" w:lineRule="exact"/>
        <w:jc w:val="center"/>
        <w:rPr>
          <w:rFonts w:hint="eastAsia" w:ascii="宋体" w:hAnsi="宋体" w:cs="宋体"/>
          <w:b/>
          <w:bCs/>
          <w:color w:val="000000" w:themeColor="text1"/>
          <w:sz w:val="32"/>
          <w:szCs w:val="32"/>
          <w:highlight w:val="none"/>
          <w14:textFill>
            <w14:solidFill>
              <w14:schemeClr w14:val="tx1"/>
            </w14:solidFill>
          </w14:textFill>
        </w:rPr>
      </w:pPr>
    </w:p>
    <w:p w14:paraId="06D0F3C0">
      <w:pPr>
        <w:spacing w:line="360" w:lineRule="auto"/>
        <w:ind w:firstLine="601" w:firstLineChars="200"/>
        <w:rPr>
          <w:b/>
          <w:bCs/>
          <w:color w:val="000000" w:themeColor="text1"/>
          <w:sz w:val="30"/>
          <w:szCs w:val="30"/>
          <w:highlight w:val="none"/>
          <w14:textFill>
            <w14:solidFill>
              <w14:schemeClr w14:val="tx1"/>
            </w14:solidFill>
          </w14:textFill>
        </w:rPr>
      </w:pPr>
      <w:bookmarkStart w:id="414" w:name="page93"/>
      <w:bookmarkEnd w:id="414"/>
      <w:bookmarkStart w:id="415" w:name="page94"/>
      <w:bookmarkEnd w:id="415"/>
    </w:p>
    <w:bookmarkEnd w:id="404"/>
    <w:bookmarkEnd w:id="405"/>
    <w:p w14:paraId="2C4A7803">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77DE62B8">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sectPr>
          <w:headerReference r:id="rId12" w:type="first"/>
          <w:footerReference r:id="rId14" w:type="first"/>
          <w:footerReference r:id="rId13" w:type="default"/>
          <w:pgSz w:w="11906" w:h="16838"/>
          <w:pgMar w:top="1440" w:right="1080" w:bottom="1440" w:left="1080" w:header="851" w:footer="992" w:gutter="0"/>
          <w:cols w:space="720" w:num="1"/>
          <w:titlePg/>
          <w:docGrid w:linePitch="312" w:charSpace="0"/>
        </w:sectPr>
      </w:pPr>
    </w:p>
    <w:p w14:paraId="25E16A32">
      <w:pPr>
        <w:snapToGrid w:val="0"/>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02"/>
      <w:r>
        <w:rPr>
          <w:rFonts w:hint="eastAsia" w:ascii="宋体" w:hAnsi="宋体" w:cs="宋体"/>
          <w:b/>
          <w:color w:val="000000" w:themeColor="text1"/>
          <w:sz w:val="36"/>
          <w:szCs w:val="20"/>
          <w:highlight w:val="none"/>
          <w14:textFill>
            <w14:solidFill>
              <w14:schemeClr w14:val="tx1"/>
            </w14:solidFill>
          </w14:textFill>
        </w:rPr>
        <w:t xml:space="preserve"> </w:t>
      </w:r>
      <w:bookmarkEnd w:id="403"/>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C277C7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DEED4F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77D6E61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AEAFD5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F43165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5C4FFB4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92872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0095C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221F1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CA34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7723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3ACA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6B5E8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我方参与（项目名称）【项目编号：（采购编号）】政府采购活动，郑重承诺：</w:t>
      </w:r>
    </w:p>
    <w:p w14:paraId="5F0867A6">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FECF0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74908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B8034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E72CF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5574E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815B6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84C29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A6C14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F0B9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B14B3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1B6002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5ABC35A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137954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75954F">
      <w:pPr>
        <w:widowControl/>
        <w:spacing w:line="360" w:lineRule="auto"/>
        <w:ind w:firstLine="641"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7AA3923">
      <w:pPr>
        <w:widowControl/>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[以联合体形式参与的，提供联合协议（附件5）；本项目不接受联合体或者供应商不以联合体形式投参与的，则不需要提供]</w:t>
      </w:r>
    </w:p>
    <w:p w14:paraId="1BF5672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59EB26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1DB9C1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（根据竞争性磋商公告落实政府采购政策需满足的资格要求选择提供相应的材料；未要求的，无需提供）</w:t>
      </w:r>
    </w:p>
    <w:p w14:paraId="40485786">
      <w:pPr>
        <w:snapToGrid w:val="0"/>
        <w:spacing w:before="50" w:after="50" w:line="360" w:lineRule="auto"/>
        <w:ind w:firstLine="471"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298B304">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C552610">
      <w:pPr>
        <w:widowControl/>
        <w:spacing w:line="360" w:lineRule="auto"/>
        <w:ind w:firstLine="471"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72D4231">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96FECB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F8304E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74594C7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50AAFE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（根据竞争性磋商公告本项目的特定资格要求提供相应的材料；未要求的，无需提供）</w:t>
      </w:r>
    </w:p>
    <w:p w14:paraId="5AD30624">
      <w:pPr>
        <w:rPr>
          <w:rFonts w:ascii="宋体" w:hAnsi="宋体" w:cs="宋体"/>
          <w:color w:val="000000" w:themeColor="text1"/>
          <w:highlight w:val="none"/>
          <w14:textFill>
            <w14:solidFill>
              <w14:schemeClr w14:val="tx1"/>
            </w14:solidFill>
          </w14:textFill>
        </w:rPr>
      </w:pPr>
    </w:p>
    <w:p w14:paraId="3F3071C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DDCF67E">
      <w:pPr>
        <w:pStyle w:val="3"/>
        <w:rPr>
          <w:rFonts w:ascii="宋体" w:hAnsi="宋体" w:cs="宋体"/>
          <w:b w:val="0"/>
          <w:color w:val="000000" w:themeColor="text1"/>
          <w:kern w:val="0"/>
          <w:sz w:val="36"/>
          <w:szCs w:val="36"/>
          <w:highlight w:val="none"/>
          <w14:textFill>
            <w14:solidFill>
              <w14:schemeClr w14:val="tx1"/>
            </w14:solidFill>
          </w14:textFill>
        </w:rPr>
      </w:pPr>
    </w:p>
    <w:p w14:paraId="1A7DA70C">
      <w:pPr>
        <w:spacing w:line="360" w:lineRule="auto"/>
        <w:ind w:right="420" w:firstLine="360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85EC112">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A334DE5">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响应函……………………………………………………………………………（页码）</w:t>
      </w:r>
    </w:p>
    <w:p w14:paraId="65451167">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……………（页码）</w:t>
      </w:r>
    </w:p>
    <w:p w14:paraId="083CFA66">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）分包意向协议………………………………………………………………………（页码）</w:t>
      </w:r>
    </w:p>
    <w:p w14:paraId="063AE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）符合性审查资料……………………………………………………………………（页码）</w:t>
      </w:r>
    </w:p>
    <w:p w14:paraId="20EB3BFA">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）评审标准相应的商务技术资料……………………………………………………（页码）（</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）商务技术偏离表……………………………………………………………………（页码）</w:t>
      </w:r>
    </w:p>
    <w:p w14:paraId="626C9301">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14:textFill>
            <w14:solidFill>
              <w14:schemeClr w14:val="tx1"/>
            </w14:solidFill>
          </w14:textFill>
        </w:rPr>
        <w:t>…………………………………………………（页码）</w:t>
      </w:r>
    </w:p>
    <w:p w14:paraId="2008588C">
      <w:pPr>
        <w:snapToGrid w:val="0"/>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）绿色建材承诺书……………………………………………………………………（页码）</w:t>
      </w:r>
    </w:p>
    <w:p w14:paraId="10279EC6">
      <w:pPr>
        <w:pStyle w:val="81"/>
        <w:rPr>
          <w:color w:val="000000" w:themeColor="text1"/>
          <w:highlight w:val="none"/>
          <w14:textFill>
            <w14:solidFill>
              <w14:schemeClr w14:val="tx1"/>
            </w14:solidFill>
          </w14:textFill>
        </w:rPr>
      </w:pPr>
    </w:p>
    <w:p w14:paraId="64341BE3">
      <w:pPr>
        <w:snapToGrid w:val="0"/>
        <w:spacing w:line="360" w:lineRule="auto"/>
        <w:jc w:val="center"/>
        <w:rPr>
          <w:rFonts w:ascii="宋体" w:hAnsi="宋体" w:cs="宋体"/>
          <w:b/>
          <w:color w:val="000000" w:themeColor="text1"/>
          <w:kern w:val="0"/>
          <w:sz w:val="24"/>
          <w:szCs w:val="32"/>
          <w:highlight w:val="none"/>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902E4D5">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一、响应函</w:t>
      </w:r>
    </w:p>
    <w:p w14:paraId="00DDC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62C5A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我方参加你方组织的（项目名称）【项目编号：（采购编号）】采购的有关活动，并对此项目提交响应文件及报价。为此：</w:t>
      </w:r>
    </w:p>
    <w:p w14:paraId="66B6E7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本响应文件在响应文件有效期满之前均具有约束力。</w:t>
      </w:r>
    </w:p>
    <w:p w14:paraId="6D84FC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4021FA5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32E263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9131C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652C508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1C5ECAD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71273086">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40A57B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020CE58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838811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05F5A5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EA4161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w:t>
      </w:r>
    </w:p>
    <w:p w14:paraId="1EFDF99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7339938A">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6E674F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2E0DA36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2.3.1报价单；</w:t>
      </w:r>
    </w:p>
    <w:p w14:paraId="778810F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2.3.2已标价工程量清单；</w:t>
      </w:r>
    </w:p>
    <w:p w14:paraId="2F09C47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431F8D2B">
      <w:pPr>
        <w:pStyle w:val="83"/>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文件中材料的真实性、合法性负责。</w:t>
      </w:r>
    </w:p>
    <w:p w14:paraId="65F70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6657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72F45DA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0C7DA22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565DB7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15F2026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3AF9C1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7197DB4">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5F9D716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534B39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2B742A7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8A97A60">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CBDF9BF">
      <w:pPr>
        <w:snapToGrid w:val="0"/>
        <w:spacing w:line="360" w:lineRule="auto"/>
        <w:rPr>
          <w:rFonts w:ascii="宋体" w:hAnsi="宋体" w:cs="宋体"/>
          <w:color w:val="000000" w:themeColor="text1"/>
          <w:sz w:val="24"/>
          <w:highlight w:val="none"/>
          <w14:textFill>
            <w14:solidFill>
              <w14:schemeClr w14:val="tx1"/>
            </w14:solidFill>
          </w14:textFill>
        </w:rPr>
      </w:pPr>
    </w:p>
    <w:p w14:paraId="72967677">
      <w:pPr>
        <w:jc w:val="center"/>
        <w:rPr>
          <w:rFonts w:ascii="宋体" w:hAnsi="宋体" w:cs="宋体"/>
          <w:b/>
          <w:color w:val="000000" w:themeColor="text1"/>
          <w:kern w:val="0"/>
          <w:sz w:val="32"/>
          <w:szCs w:val="32"/>
          <w:highlight w:val="none"/>
          <w14:textFill>
            <w14:solidFill>
              <w14:schemeClr w14:val="tx1"/>
            </w14:solidFill>
          </w14:textFill>
        </w:rPr>
      </w:pPr>
    </w:p>
    <w:p w14:paraId="0A59039D">
      <w:pPr>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37503EF">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二、授权委托书或法定代表人（单位负责人、自然人本人）身份证明</w:t>
      </w:r>
    </w:p>
    <w:p w14:paraId="7BEA565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375A806">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授权委托书（适用于非联合体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329B778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F35D499">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3AE1DFE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8DD880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9F5991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19857E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7FB4692">
      <w:pPr>
        <w:snapToGrid w:val="0"/>
        <w:spacing w:line="360" w:lineRule="auto"/>
        <w:rPr>
          <w:rFonts w:ascii="宋体" w:hAnsi="宋体" w:cs="宋体"/>
          <w:color w:val="000000" w:themeColor="text1"/>
          <w:sz w:val="24"/>
          <w:highlight w:val="none"/>
          <w14:textFill>
            <w14:solidFill>
              <w14:schemeClr w14:val="tx1"/>
            </w14:solidFill>
          </w14:textFill>
        </w:rPr>
      </w:pPr>
    </w:p>
    <w:p w14:paraId="7AF9D00B">
      <w:pPr>
        <w:snapToGrid w:val="0"/>
        <w:spacing w:line="360" w:lineRule="auto"/>
        <w:rPr>
          <w:rFonts w:ascii="宋体" w:hAnsi="宋体" w:cs="宋体"/>
          <w:color w:val="000000" w:themeColor="text1"/>
          <w:sz w:val="24"/>
          <w:highlight w:val="none"/>
          <w14:textFill>
            <w14:solidFill>
              <w14:schemeClr w14:val="tx1"/>
            </w14:solidFill>
          </w14:textFill>
        </w:rPr>
      </w:pPr>
    </w:p>
    <w:p w14:paraId="288B075F">
      <w:pPr>
        <w:snapToGrid w:val="0"/>
        <w:spacing w:line="360" w:lineRule="auto"/>
        <w:rPr>
          <w:rFonts w:ascii="宋体" w:hAnsi="宋体" w:cs="宋体"/>
          <w:color w:val="000000" w:themeColor="text1"/>
          <w:sz w:val="24"/>
          <w:highlight w:val="none"/>
          <w14:textFill>
            <w14:solidFill>
              <w14:schemeClr w14:val="tx1"/>
            </w14:solidFill>
          </w14:textFill>
        </w:rPr>
      </w:pPr>
    </w:p>
    <w:p w14:paraId="4E3F892C">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5D71661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3CDAABF">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（项目名称）【项目编号：ZGMY-LD-2024018】</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1A5CD24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049CCD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42185E9">
      <w:pPr>
        <w:jc w:val="center"/>
        <w:rPr>
          <w:rFonts w:ascii="宋体" w:hAnsi="宋体" w:cs="宋体"/>
          <w:b/>
          <w:color w:val="000000" w:themeColor="text1"/>
          <w:kern w:val="0"/>
          <w:sz w:val="32"/>
          <w:szCs w:val="32"/>
          <w:highlight w:val="none"/>
          <w14:textFill>
            <w14:solidFill>
              <w14:schemeClr w14:val="tx1"/>
            </w14:solidFill>
          </w14:textFill>
        </w:rPr>
      </w:pPr>
    </w:p>
    <w:p w14:paraId="24329115">
      <w:pPr>
        <w:jc w:val="center"/>
        <w:rPr>
          <w:rFonts w:ascii="宋体" w:hAnsi="宋体" w:cs="宋体"/>
          <w:b/>
          <w:color w:val="000000" w:themeColor="text1"/>
          <w:kern w:val="0"/>
          <w:sz w:val="32"/>
          <w:szCs w:val="32"/>
          <w:highlight w:val="none"/>
          <w14:textFill>
            <w14:solidFill>
              <w14:schemeClr w14:val="tx1"/>
            </w14:solidFill>
          </w14:textFill>
        </w:rPr>
      </w:pPr>
    </w:p>
    <w:p w14:paraId="2406705B">
      <w:pPr>
        <w:jc w:val="center"/>
        <w:rPr>
          <w:rFonts w:ascii="宋体" w:hAnsi="宋体" w:cs="宋体"/>
          <w:b/>
          <w:color w:val="000000" w:themeColor="text1"/>
          <w:kern w:val="0"/>
          <w:sz w:val="32"/>
          <w:szCs w:val="32"/>
          <w:highlight w:val="none"/>
          <w14:textFill>
            <w14:solidFill>
              <w14:schemeClr w14:val="tx1"/>
            </w14:solidFill>
          </w14:textFill>
        </w:rPr>
      </w:pPr>
    </w:p>
    <w:p w14:paraId="3CBE52DC">
      <w:pPr>
        <w:rPr>
          <w:rFonts w:ascii="宋体" w:hAnsi="宋体" w:cs="宋体"/>
          <w:color w:val="000000" w:themeColor="text1"/>
          <w:highlight w:val="none"/>
          <w14:textFill>
            <w14:solidFill>
              <w14:schemeClr w14:val="tx1"/>
            </w14:solidFill>
          </w14:textFill>
        </w:rPr>
      </w:pPr>
    </w:p>
    <w:p w14:paraId="5C4482B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3E2CA0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A42C97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CA8106D">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303EBF3">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highlight w:val="none"/>
          <w14:textFill>
            <w14:solidFill>
              <w14:schemeClr w14:val="tx1"/>
            </w14:solidFill>
          </w14:textFill>
        </w:rPr>
        <w:t>的身份证明（适用于法定代表人、单位负责人或者自然人本人代表供应商参加响应）</w:t>
      </w:r>
    </w:p>
    <w:p w14:paraId="3B32A559">
      <w:pPr>
        <w:pStyle w:val="151"/>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5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9B3EE6B">
            <w:pPr>
              <w:pStyle w:val="151"/>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208158A">
            <w:pPr>
              <w:pStyle w:val="151"/>
              <w:adjustRightInd w:val="0"/>
              <w:spacing w:line="360" w:lineRule="auto"/>
              <w:rPr>
                <w:rFonts w:hAnsi="宋体" w:cs="宋体"/>
                <w:bCs/>
                <w:color w:val="000000" w:themeColor="text1"/>
                <w:sz w:val="24"/>
                <w:highlight w:val="none"/>
                <w14:textFill>
                  <w14:solidFill>
                    <w14:schemeClr w14:val="tx1"/>
                  </w14:solidFill>
                </w14:textFill>
              </w:rPr>
            </w:pPr>
          </w:p>
        </w:tc>
      </w:tr>
    </w:tbl>
    <w:p w14:paraId="4E1A1913">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8FF8F3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E65E3D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7EDE7BF">
      <w:pPr>
        <w:jc w:val="center"/>
        <w:rPr>
          <w:rFonts w:ascii="宋体" w:hAnsi="宋体" w:cs="宋体"/>
          <w:b/>
          <w:color w:val="000000" w:themeColor="text1"/>
          <w:kern w:val="0"/>
          <w:sz w:val="32"/>
          <w:szCs w:val="32"/>
          <w:highlight w:val="none"/>
          <w14:textFill>
            <w14:solidFill>
              <w14:schemeClr w14:val="tx1"/>
            </w14:solidFill>
          </w14:textFill>
        </w:rPr>
      </w:pPr>
    </w:p>
    <w:p w14:paraId="17DBBCEB">
      <w:pPr>
        <w:jc w:val="center"/>
        <w:rPr>
          <w:rFonts w:ascii="宋体" w:hAnsi="宋体" w:cs="宋体"/>
          <w:b/>
          <w:color w:val="000000" w:themeColor="text1"/>
          <w:kern w:val="0"/>
          <w:sz w:val="32"/>
          <w:szCs w:val="32"/>
          <w:highlight w:val="none"/>
          <w14:textFill>
            <w14:solidFill>
              <w14:schemeClr w14:val="tx1"/>
            </w14:solidFill>
          </w14:textFill>
        </w:rPr>
      </w:pPr>
    </w:p>
    <w:p w14:paraId="680AE739">
      <w:pPr>
        <w:jc w:val="center"/>
        <w:rPr>
          <w:rFonts w:ascii="宋体" w:hAnsi="宋体" w:cs="宋体"/>
          <w:b/>
          <w:color w:val="000000" w:themeColor="text1"/>
          <w:kern w:val="0"/>
          <w:sz w:val="32"/>
          <w:szCs w:val="32"/>
          <w:highlight w:val="none"/>
          <w14:textFill>
            <w14:solidFill>
              <w14:schemeClr w14:val="tx1"/>
            </w14:solidFill>
          </w14:textFill>
        </w:rPr>
      </w:pPr>
    </w:p>
    <w:p w14:paraId="5E64A05A">
      <w:pPr>
        <w:jc w:val="center"/>
        <w:rPr>
          <w:rFonts w:ascii="宋体" w:hAnsi="宋体" w:cs="宋体"/>
          <w:b/>
          <w:color w:val="000000" w:themeColor="text1"/>
          <w:kern w:val="0"/>
          <w:sz w:val="32"/>
          <w:szCs w:val="32"/>
          <w:highlight w:val="none"/>
          <w14:textFill>
            <w14:solidFill>
              <w14:schemeClr w14:val="tx1"/>
            </w14:solidFill>
          </w14:textFill>
        </w:rPr>
      </w:pPr>
    </w:p>
    <w:p w14:paraId="2C637552">
      <w:pPr>
        <w:jc w:val="center"/>
        <w:rPr>
          <w:rFonts w:ascii="宋体" w:hAnsi="宋体" w:cs="宋体"/>
          <w:b/>
          <w:color w:val="000000" w:themeColor="text1"/>
          <w:kern w:val="0"/>
          <w:sz w:val="32"/>
          <w:szCs w:val="32"/>
          <w:highlight w:val="none"/>
          <w14:textFill>
            <w14:solidFill>
              <w14:schemeClr w14:val="tx1"/>
            </w14:solidFill>
          </w14:textFill>
        </w:rPr>
      </w:pPr>
    </w:p>
    <w:p w14:paraId="19BCD68D">
      <w:pPr>
        <w:jc w:val="center"/>
        <w:rPr>
          <w:rFonts w:ascii="宋体" w:hAnsi="宋体" w:cs="宋体"/>
          <w:b/>
          <w:color w:val="000000" w:themeColor="text1"/>
          <w:kern w:val="0"/>
          <w:sz w:val="32"/>
          <w:szCs w:val="32"/>
          <w:highlight w:val="none"/>
          <w14:textFill>
            <w14:solidFill>
              <w14:schemeClr w14:val="tx1"/>
            </w14:solidFill>
          </w14:textFill>
        </w:rPr>
      </w:pPr>
    </w:p>
    <w:p w14:paraId="4370DD5E">
      <w:pPr>
        <w:jc w:val="center"/>
        <w:rPr>
          <w:rFonts w:ascii="宋体" w:hAnsi="宋体" w:cs="宋体"/>
          <w:b/>
          <w:color w:val="000000" w:themeColor="text1"/>
          <w:kern w:val="0"/>
          <w:sz w:val="32"/>
          <w:szCs w:val="32"/>
          <w:highlight w:val="none"/>
          <w14:textFill>
            <w14:solidFill>
              <w14:schemeClr w14:val="tx1"/>
            </w14:solidFill>
          </w14:textFill>
        </w:rPr>
      </w:pPr>
    </w:p>
    <w:p w14:paraId="7202E5F2">
      <w:pPr>
        <w:jc w:val="center"/>
        <w:rPr>
          <w:rFonts w:ascii="宋体" w:hAnsi="宋体" w:cs="宋体"/>
          <w:b/>
          <w:color w:val="000000" w:themeColor="text1"/>
          <w:kern w:val="0"/>
          <w:sz w:val="32"/>
          <w:szCs w:val="32"/>
          <w:highlight w:val="none"/>
          <w14:textFill>
            <w14:solidFill>
              <w14:schemeClr w14:val="tx1"/>
            </w14:solidFill>
          </w14:textFill>
        </w:rPr>
      </w:pPr>
    </w:p>
    <w:p w14:paraId="420A3BDC">
      <w:pPr>
        <w:jc w:val="center"/>
        <w:rPr>
          <w:rFonts w:ascii="宋体" w:hAnsi="宋体" w:cs="宋体"/>
          <w:b/>
          <w:color w:val="000000" w:themeColor="text1"/>
          <w:kern w:val="0"/>
          <w:sz w:val="32"/>
          <w:szCs w:val="32"/>
          <w:highlight w:val="none"/>
          <w14:textFill>
            <w14:solidFill>
              <w14:schemeClr w14:val="tx1"/>
            </w14:solidFill>
          </w14:textFill>
        </w:rPr>
      </w:pPr>
    </w:p>
    <w:p w14:paraId="7084FB5F">
      <w:pPr>
        <w:jc w:val="center"/>
        <w:rPr>
          <w:rFonts w:ascii="宋体" w:hAnsi="宋体" w:cs="宋体"/>
          <w:b/>
          <w:color w:val="000000" w:themeColor="text1"/>
          <w:kern w:val="0"/>
          <w:sz w:val="32"/>
          <w:szCs w:val="32"/>
          <w:highlight w:val="none"/>
          <w14:textFill>
            <w14:solidFill>
              <w14:schemeClr w14:val="tx1"/>
            </w14:solidFill>
          </w14:textFill>
        </w:rPr>
      </w:pPr>
    </w:p>
    <w:p w14:paraId="21F35D90">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BF471A2">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三、分包意向协议</w:t>
      </w:r>
    </w:p>
    <w:p w14:paraId="0140F5F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16"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16"/>
    <w:p w14:paraId="54DA183D">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0C69E4">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四、符合性审查资料</w:t>
      </w:r>
    </w:p>
    <w:p w14:paraId="3E2A3066">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58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C10923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1297A9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1551C1F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CB0387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25ADFFA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8F7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2270F24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13F8950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响应文件按照采购文件要求签署、盖章。</w:t>
            </w:r>
          </w:p>
        </w:tc>
        <w:tc>
          <w:tcPr>
            <w:tcW w:w="2551" w:type="dxa"/>
            <w:vAlign w:val="center"/>
          </w:tcPr>
          <w:p w14:paraId="2C54CE6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0D45FDE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9AD98E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301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0DA6EA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0F8A75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DA910F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2BF2B2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EC8AB15">
            <w:pPr>
              <w:pStyle w:val="3"/>
              <w:jc w:val="both"/>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14:paraId="64D1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045880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786772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07CB563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响应函</w:t>
            </w:r>
          </w:p>
        </w:tc>
        <w:tc>
          <w:tcPr>
            <w:tcW w:w="1418" w:type="dxa"/>
            <w:vAlign w:val="center"/>
          </w:tcPr>
          <w:p w14:paraId="3082FD4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F5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B232CE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427168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7BCE4DA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677D85ED">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AE33A1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AAA58DC">
      <w:pPr>
        <w:jc w:val="center"/>
        <w:rPr>
          <w:rFonts w:ascii="宋体" w:hAnsi="宋体" w:cs="宋体"/>
          <w:b/>
          <w:color w:val="000000" w:themeColor="text1"/>
          <w:kern w:val="0"/>
          <w:sz w:val="32"/>
          <w:szCs w:val="32"/>
          <w:highlight w:val="none"/>
          <w14:textFill>
            <w14:solidFill>
              <w14:schemeClr w14:val="tx1"/>
            </w14:solidFill>
          </w14:textFill>
        </w:rPr>
      </w:pPr>
    </w:p>
    <w:p w14:paraId="58CED95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A244220">
      <w:pPr>
        <w:jc w:val="center"/>
        <w:rPr>
          <w:rFonts w:ascii="宋体" w:hAnsi="宋体" w:cs="宋体"/>
          <w:b/>
          <w:color w:val="000000" w:themeColor="text1"/>
          <w:kern w:val="0"/>
          <w:sz w:val="32"/>
          <w:szCs w:val="32"/>
          <w:highlight w:val="none"/>
          <w14:textFill>
            <w14:solidFill>
              <w14:schemeClr w14:val="tx1"/>
            </w14:solidFill>
          </w14:textFill>
        </w:rPr>
      </w:pPr>
    </w:p>
    <w:p w14:paraId="18DEFF46">
      <w:pPr>
        <w:jc w:val="center"/>
        <w:rPr>
          <w:rFonts w:ascii="宋体" w:hAnsi="宋体" w:cs="宋体"/>
          <w:b/>
          <w:color w:val="000000" w:themeColor="text1"/>
          <w:kern w:val="0"/>
          <w:sz w:val="32"/>
          <w:szCs w:val="32"/>
          <w:highlight w:val="none"/>
          <w14:textFill>
            <w14:solidFill>
              <w14:schemeClr w14:val="tx1"/>
            </w14:solidFill>
          </w14:textFill>
        </w:rPr>
      </w:pPr>
    </w:p>
    <w:p w14:paraId="1687B213">
      <w:pPr>
        <w:jc w:val="center"/>
        <w:rPr>
          <w:rFonts w:ascii="宋体" w:hAnsi="宋体" w:cs="宋体"/>
          <w:b/>
          <w:color w:val="000000" w:themeColor="text1"/>
          <w:kern w:val="0"/>
          <w:sz w:val="32"/>
          <w:szCs w:val="32"/>
          <w:highlight w:val="none"/>
          <w14:textFill>
            <w14:solidFill>
              <w14:schemeClr w14:val="tx1"/>
            </w14:solidFill>
          </w14:textFill>
        </w:rPr>
      </w:pPr>
    </w:p>
    <w:p w14:paraId="702988BF">
      <w:pPr>
        <w:jc w:val="center"/>
        <w:rPr>
          <w:rFonts w:ascii="宋体" w:hAnsi="宋体" w:cs="宋体"/>
          <w:b/>
          <w:color w:val="000000" w:themeColor="text1"/>
          <w:kern w:val="0"/>
          <w:sz w:val="32"/>
          <w:szCs w:val="32"/>
          <w:highlight w:val="none"/>
          <w14:textFill>
            <w14:solidFill>
              <w14:schemeClr w14:val="tx1"/>
            </w14:solidFill>
          </w14:textFill>
        </w:rPr>
      </w:pPr>
    </w:p>
    <w:p w14:paraId="103734EA">
      <w:pPr>
        <w:jc w:val="center"/>
        <w:rPr>
          <w:rFonts w:ascii="宋体" w:hAnsi="宋体" w:cs="宋体"/>
          <w:b/>
          <w:color w:val="000000" w:themeColor="text1"/>
          <w:kern w:val="0"/>
          <w:sz w:val="32"/>
          <w:szCs w:val="32"/>
          <w:highlight w:val="none"/>
          <w14:textFill>
            <w14:solidFill>
              <w14:schemeClr w14:val="tx1"/>
            </w14:solidFill>
          </w14:textFill>
        </w:rPr>
      </w:pPr>
    </w:p>
    <w:p w14:paraId="076E6624">
      <w:pPr>
        <w:jc w:val="center"/>
        <w:rPr>
          <w:rFonts w:ascii="宋体" w:hAnsi="宋体" w:cs="宋体"/>
          <w:b/>
          <w:color w:val="000000" w:themeColor="text1"/>
          <w:kern w:val="0"/>
          <w:sz w:val="32"/>
          <w:szCs w:val="32"/>
          <w:highlight w:val="none"/>
          <w14:textFill>
            <w14:solidFill>
              <w14:schemeClr w14:val="tx1"/>
            </w14:solidFill>
          </w14:textFill>
        </w:rPr>
      </w:pPr>
    </w:p>
    <w:p w14:paraId="4FC138DC">
      <w:pPr>
        <w:jc w:val="center"/>
        <w:rPr>
          <w:rFonts w:ascii="宋体" w:hAnsi="宋体" w:cs="宋体"/>
          <w:b/>
          <w:color w:val="000000" w:themeColor="text1"/>
          <w:kern w:val="0"/>
          <w:sz w:val="32"/>
          <w:szCs w:val="32"/>
          <w:highlight w:val="none"/>
          <w14:textFill>
            <w14:solidFill>
              <w14:schemeClr w14:val="tx1"/>
            </w14:solidFill>
          </w14:textFill>
        </w:rPr>
      </w:pPr>
    </w:p>
    <w:p w14:paraId="3088C824">
      <w:pPr>
        <w:jc w:val="center"/>
        <w:rPr>
          <w:rFonts w:ascii="宋体" w:hAnsi="宋体" w:cs="宋体"/>
          <w:b/>
          <w:color w:val="000000" w:themeColor="text1"/>
          <w:kern w:val="0"/>
          <w:sz w:val="32"/>
          <w:szCs w:val="32"/>
          <w:highlight w:val="none"/>
          <w14:textFill>
            <w14:solidFill>
              <w14:schemeClr w14:val="tx1"/>
            </w14:solidFill>
          </w14:textFill>
        </w:rPr>
      </w:pPr>
    </w:p>
    <w:p w14:paraId="1A9BD916">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五、评审标准相应的商务技术资料</w:t>
      </w:r>
    </w:p>
    <w:p w14:paraId="2E4B2827">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（按采购文件第四部分评审办法前附表中“响应文件中评审标准相应的商务技术资料目录”提供资料。）</w:t>
      </w:r>
    </w:p>
    <w:p w14:paraId="48188727">
      <w:pPr>
        <w:jc w:val="center"/>
        <w:rPr>
          <w:rFonts w:ascii="宋体" w:hAnsi="宋体" w:cs="宋体"/>
          <w:b/>
          <w:color w:val="000000" w:themeColor="text1"/>
          <w:kern w:val="0"/>
          <w:sz w:val="32"/>
          <w:szCs w:val="32"/>
          <w:highlight w:val="none"/>
          <w14:textFill>
            <w14:solidFill>
              <w14:schemeClr w14:val="tx1"/>
            </w14:solidFill>
          </w14:textFill>
        </w:rPr>
      </w:pPr>
    </w:p>
    <w:p w14:paraId="6757E1AF">
      <w:pPr>
        <w:jc w:val="center"/>
        <w:rPr>
          <w:rFonts w:ascii="宋体" w:hAnsi="宋体" w:cs="宋体"/>
          <w:b/>
          <w:color w:val="000000" w:themeColor="text1"/>
          <w:kern w:val="0"/>
          <w:sz w:val="32"/>
          <w:szCs w:val="32"/>
          <w:highlight w:val="none"/>
          <w14:textFill>
            <w14:solidFill>
              <w14:schemeClr w14:val="tx1"/>
            </w14:solidFill>
          </w14:textFill>
        </w:rPr>
      </w:pPr>
    </w:p>
    <w:p w14:paraId="64AD38CE">
      <w:pPr>
        <w:jc w:val="center"/>
        <w:rPr>
          <w:rFonts w:ascii="宋体" w:hAnsi="宋体" w:cs="宋体"/>
          <w:b/>
          <w:color w:val="000000" w:themeColor="text1"/>
          <w:kern w:val="0"/>
          <w:sz w:val="32"/>
          <w:szCs w:val="32"/>
          <w:highlight w:val="none"/>
          <w14:textFill>
            <w14:solidFill>
              <w14:schemeClr w14:val="tx1"/>
            </w14:solidFill>
          </w14:textFill>
        </w:rPr>
      </w:pPr>
    </w:p>
    <w:p w14:paraId="7B788A7F">
      <w:pPr>
        <w:jc w:val="center"/>
        <w:rPr>
          <w:rFonts w:ascii="宋体" w:hAnsi="宋体" w:cs="宋体"/>
          <w:b/>
          <w:color w:val="000000" w:themeColor="text1"/>
          <w:kern w:val="0"/>
          <w:sz w:val="32"/>
          <w:szCs w:val="32"/>
          <w:highlight w:val="none"/>
          <w14:textFill>
            <w14:solidFill>
              <w14:schemeClr w14:val="tx1"/>
            </w14:solidFill>
          </w14:textFill>
        </w:rPr>
      </w:pPr>
    </w:p>
    <w:p w14:paraId="1EC8F06E">
      <w:pPr>
        <w:jc w:val="center"/>
        <w:rPr>
          <w:rFonts w:ascii="宋体" w:hAnsi="宋体" w:cs="宋体"/>
          <w:b/>
          <w:color w:val="000000" w:themeColor="text1"/>
          <w:kern w:val="0"/>
          <w:sz w:val="32"/>
          <w:szCs w:val="32"/>
          <w:highlight w:val="none"/>
          <w14:textFill>
            <w14:solidFill>
              <w14:schemeClr w14:val="tx1"/>
            </w14:solidFill>
          </w14:textFill>
        </w:rPr>
      </w:pPr>
    </w:p>
    <w:p w14:paraId="658BD2FE">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E0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D89B3A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F71934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65E5FE1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2541280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4456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3F7498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74D6740">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6D20A4C">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0FAA45A">
            <w:pPr>
              <w:jc w:val="center"/>
              <w:rPr>
                <w:rFonts w:ascii="宋体" w:hAnsi="宋体" w:cs="宋体"/>
                <w:b/>
                <w:color w:val="000000" w:themeColor="text1"/>
                <w:kern w:val="0"/>
                <w:sz w:val="32"/>
                <w:szCs w:val="32"/>
                <w:highlight w:val="none"/>
                <w14:textFill>
                  <w14:solidFill>
                    <w14:schemeClr w14:val="tx1"/>
                  </w14:solidFill>
                </w14:textFill>
              </w:rPr>
            </w:pPr>
          </w:p>
        </w:tc>
      </w:tr>
      <w:tr w14:paraId="041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141785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5164C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3CE16D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43D405D">
            <w:pPr>
              <w:jc w:val="center"/>
              <w:rPr>
                <w:rFonts w:ascii="宋体" w:hAnsi="宋体" w:cs="宋体"/>
                <w:b/>
                <w:color w:val="000000" w:themeColor="text1"/>
                <w:kern w:val="0"/>
                <w:sz w:val="32"/>
                <w:szCs w:val="32"/>
                <w:highlight w:val="none"/>
                <w14:textFill>
                  <w14:solidFill>
                    <w14:schemeClr w14:val="tx1"/>
                  </w14:solidFill>
                </w14:textFill>
              </w:rPr>
            </w:pPr>
          </w:p>
        </w:tc>
      </w:tr>
      <w:tr w14:paraId="53E2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68152E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0FB6ADCE">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70CF41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DFCF5B4">
            <w:pPr>
              <w:jc w:val="center"/>
              <w:rPr>
                <w:rFonts w:ascii="宋体" w:hAnsi="宋体" w:cs="宋体"/>
                <w:b/>
                <w:color w:val="000000" w:themeColor="text1"/>
                <w:kern w:val="0"/>
                <w:sz w:val="32"/>
                <w:szCs w:val="32"/>
                <w:highlight w:val="none"/>
                <w14:textFill>
                  <w14:solidFill>
                    <w14:schemeClr w14:val="tx1"/>
                  </w14:solidFill>
                </w14:textFill>
              </w:rPr>
            </w:pPr>
          </w:p>
        </w:tc>
      </w:tr>
    </w:tbl>
    <w:p w14:paraId="562EAC16">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供应商保证：除商务技术偏离表列出的偏离外，供应商响应采购文件的全部要求</w:t>
      </w:r>
    </w:p>
    <w:p w14:paraId="10F1A63E">
      <w:pPr>
        <w:jc w:val="center"/>
        <w:rPr>
          <w:rFonts w:ascii="宋体" w:hAnsi="宋体" w:cs="宋体"/>
          <w:b/>
          <w:color w:val="000000" w:themeColor="text1"/>
          <w:kern w:val="0"/>
          <w:sz w:val="32"/>
          <w:szCs w:val="32"/>
          <w:highlight w:val="none"/>
          <w14:textFill>
            <w14:solidFill>
              <w14:schemeClr w14:val="tx1"/>
            </w14:solidFill>
          </w14:textFill>
        </w:rPr>
      </w:pPr>
    </w:p>
    <w:p w14:paraId="3B796C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ECA2CC">
      <w:pPr>
        <w:ind w:firstLine="1906" w:firstLineChars="595"/>
        <w:rPr>
          <w:rFonts w:ascii="宋体" w:hAnsi="宋体" w:cs="宋体"/>
          <w:b/>
          <w:bCs/>
          <w:color w:val="000000" w:themeColor="text1"/>
          <w:sz w:val="32"/>
          <w:szCs w:val="32"/>
          <w:highlight w:val="none"/>
          <w14:textFill>
            <w14:solidFill>
              <w14:schemeClr w14:val="tx1"/>
            </w14:solidFill>
          </w14:textFill>
        </w:rPr>
        <w:sectPr>
          <w:footerReference r:id="rId16" w:type="first"/>
          <w:footerReference r:id="rId15" w:type="default"/>
          <w:pgSz w:w="11906" w:h="16838"/>
          <w:pgMar w:top="1440" w:right="1080" w:bottom="1440" w:left="1080" w:header="851" w:footer="992" w:gutter="0"/>
          <w:cols w:space="720" w:num="1"/>
          <w:titlePg/>
          <w:docGrid w:linePitch="312" w:charSpace="0"/>
        </w:sectPr>
      </w:pPr>
    </w:p>
    <w:p w14:paraId="77E595AE">
      <w:pPr>
        <w:snapToGrid w:val="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CA372FA">
      <w:pPr>
        <w:snapToGrid w:val="0"/>
        <w:spacing w:line="360" w:lineRule="auto"/>
        <w:rPr>
          <w:rFonts w:ascii="宋体" w:hAnsi="宋体" w:cs="宋体"/>
          <w:color w:val="000000" w:themeColor="text1"/>
          <w:sz w:val="24"/>
          <w:highlight w:val="none"/>
          <w14:textFill>
            <w14:solidFill>
              <w14:schemeClr w14:val="tx1"/>
            </w14:solidFill>
          </w14:textFill>
        </w:rPr>
      </w:pPr>
    </w:p>
    <w:p w14:paraId="072657C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5AF8EC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277B5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64D825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F028BF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084B8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AF1338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08A1540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FFD246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BF1A4A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31D28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D63EBA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2A779D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199369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77A2119">
      <w:pPr>
        <w:spacing w:line="360" w:lineRule="auto"/>
        <w:jc w:val="center"/>
        <w:rPr>
          <w:rFonts w:ascii="宋体" w:hAnsi="宋体" w:cs="宋体"/>
          <w:b/>
          <w:bCs/>
          <w:color w:val="000000" w:themeColor="text1"/>
          <w:sz w:val="24"/>
          <w:highlight w:val="none"/>
          <w14:textFill>
            <w14:solidFill>
              <w14:schemeClr w14:val="tx1"/>
            </w14:solidFill>
          </w14:textFill>
        </w:rPr>
      </w:pPr>
    </w:p>
    <w:p w14:paraId="4D918B4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F1AE673">
      <w:pPr>
        <w:spacing w:line="360" w:lineRule="auto"/>
        <w:jc w:val="center"/>
        <w:rPr>
          <w:rFonts w:ascii="宋体" w:hAnsi="宋体" w:cs="宋体"/>
          <w:b/>
          <w:bCs/>
          <w:color w:val="000000" w:themeColor="text1"/>
          <w:sz w:val="24"/>
          <w:highlight w:val="none"/>
          <w14:textFill>
            <w14:solidFill>
              <w14:schemeClr w14:val="tx1"/>
            </w14:solidFill>
          </w14:textFill>
        </w:rPr>
      </w:pPr>
    </w:p>
    <w:p w14:paraId="17D924FC">
      <w:pPr>
        <w:pStyle w:val="81"/>
        <w:rPr>
          <w:rFonts w:ascii="宋体" w:hAnsi="宋体" w:cs="宋体"/>
          <w:b/>
          <w:bCs/>
          <w:color w:val="000000" w:themeColor="text1"/>
          <w:sz w:val="24"/>
          <w:highlight w:val="none"/>
          <w14:textFill>
            <w14:solidFill>
              <w14:schemeClr w14:val="tx1"/>
            </w14:solidFill>
          </w14:textFill>
        </w:rPr>
      </w:pPr>
    </w:p>
    <w:p w14:paraId="30FD8E38">
      <w:pPr>
        <w:pStyle w:val="82"/>
        <w:rPr>
          <w:rFonts w:ascii="宋体" w:hAnsi="宋体" w:cs="宋体"/>
          <w:b/>
          <w:bCs/>
          <w:color w:val="000000" w:themeColor="text1"/>
          <w:sz w:val="24"/>
          <w:highlight w:val="none"/>
          <w14:textFill>
            <w14:solidFill>
              <w14:schemeClr w14:val="tx1"/>
            </w14:solidFill>
          </w14:textFill>
        </w:rPr>
      </w:pPr>
    </w:p>
    <w:p w14:paraId="27F4F205">
      <w:pPr>
        <w:rPr>
          <w:rFonts w:ascii="宋体" w:hAnsi="宋体" w:cs="宋体"/>
          <w:b/>
          <w:bCs/>
          <w:color w:val="000000" w:themeColor="text1"/>
          <w:sz w:val="24"/>
          <w:highlight w:val="none"/>
          <w14:textFill>
            <w14:solidFill>
              <w14:schemeClr w14:val="tx1"/>
            </w14:solidFill>
          </w14:textFill>
        </w:rPr>
      </w:pPr>
    </w:p>
    <w:p w14:paraId="122B9CF0">
      <w:pPr>
        <w:pStyle w:val="81"/>
        <w:rPr>
          <w:rFonts w:ascii="宋体" w:hAnsi="宋体" w:cs="宋体"/>
          <w:b/>
          <w:bCs/>
          <w:color w:val="000000" w:themeColor="text1"/>
          <w:sz w:val="24"/>
          <w:highlight w:val="none"/>
          <w14:textFill>
            <w14:solidFill>
              <w14:schemeClr w14:val="tx1"/>
            </w14:solidFill>
          </w14:textFill>
        </w:rPr>
      </w:pPr>
    </w:p>
    <w:p w14:paraId="49346257">
      <w:pPr>
        <w:pStyle w:val="82"/>
        <w:rPr>
          <w:rFonts w:ascii="宋体" w:hAnsi="宋体" w:cs="宋体"/>
          <w:b/>
          <w:bCs/>
          <w:color w:val="000000" w:themeColor="text1"/>
          <w:sz w:val="24"/>
          <w:highlight w:val="none"/>
          <w14:textFill>
            <w14:solidFill>
              <w14:schemeClr w14:val="tx1"/>
            </w14:solidFill>
          </w14:textFill>
        </w:rPr>
      </w:pPr>
    </w:p>
    <w:p w14:paraId="37A1FBF5">
      <w:pPr>
        <w:rPr>
          <w:rFonts w:ascii="宋体" w:hAnsi="宋体" w:cs="宋体"/>
          <w:b/>
          <w:bCs/>
          <w:color w:val="000000" w:themeColor="text1"/>
          <w:sz w:val="24"/>
          <w:highlight w:val="none"/>
          <w14:textFill>
            <w14:solidFill>
              <w14:schemeClr w14:val="tx1"/>
            </w14:solidFill>
          </w14:textFill>
        </w:rPr>
      </w:pPr>
    </w:p>
    <w:p w14:paraId="366E3B2C">
      <w:pPr>
        <w:pStyle w:val="81"/>
        <w:rPr>
          <w:rFonts w:ascii="宋体" w:hAnsi="宋体" w:cs="宋体"/>
          <w:b/>
          <w:bCs/>
          <w:color w:val="000000" w:themeColor="text1"/>
          <w:sz w:val="24"/>
          <w:highlight w:val="none"/>
          <w14:textFill>
            <w14:solidFill>
              <w14:schemeClr w14:val="tx1"/>
            </w14:solidFill>
          </w14:textFill>
        </w:rPr>
      </w:pPr>
    </w:p>
    <w:p w14:paraId="2D711DA1">
      <w:pPr>
        <w:pStyle w:val="82"/>
        <w:rPr>
          <w:rFonts w:ascii="宋体" w:hAnsi="宋体" w:cs="宋体"/>
          <w:b/>
          <w:bCs/>
          <w:color w:val="000000" w:themeColor="text1"/>
          <w:sz w:val="24"/>
          <w:highlight w:val="none"/>
          <w14:textFill>
            <w14:solidFill>
              <w14:schemeClr w14:val="tx1"/>
            </w14:solidFill>
          </w14:textFill>
        </w:rPr>
      </w:pPr>
    </w:p>
    <w:p w14:paraId="5EE62CFE">
      <w:pPr>
        <w:ind w:firstLine="482"/>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、绿色建材</w:t>
      </w:r>
      <w:r>
        <w:rPr>
          <w:rFonts w:hint="eastAsia" w:ascii="宋体" w:hAnsi="宋体" w:cs="宋体"/>
          <w:b/>
          <w:color w:val="000000" w:themeColor="text1"/>
          <w:kern w:val="0"/>
          <w:sz w:val="32"/>
          <w:szCs w:val="32"/>
          <w:highlight w:val="none"/>
          <w:lang w:val="zh-CN"/>
          <w14:textFill>
            <w14:solidFill>
              <w14:schemeClr w14:val="tx1"/>
            </w14:solidFill>
          </w14:textFill>
        </w:rPr>
        <w:t>承诺书（若有）</w:t>
      </w:r>
    </w:p>
    <w:p w14:paraId="05DA4CC4">
      <w:pPr>
        <w:snapToGrid w:val="0"/>
        <w:spacing w:line="360" w:lineRule="auto"/>
        <w:rPr>
          <w:rFonts w:ascii="宋体" w:hAnsi="宋体" w:cs="宋体"/>
          <w:color w:val="000000" w:themeColor="text1"/>
          <w:sz w:val="24"/>
          <w:highlight w:val="none"/>
          <w14:textFill>
            <w14:solidFill>
              <w14:schemeClr w14:val="tx1"/>
            </w14:solidFill>
          </w14:textFill>
        </w:rPr>
      </w:pPr>
    </w:p>
    <w:p w14:paraId="5753782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0FB81A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因项目涉及材料属于《绿色建筑和绿色建材政府采购需求标准》。依据《关于扩大政府采购支持绿色建材促进建筑品质提升政策实施范围的通知》，我单位郑重承诺：</w:t>
      </w:r>
    </w:p>
    <w:p w14:paraId="421F4D51">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严格</w:t>
      </w:r>
      <w:r>
        <w:rPr>
          <w:rFonts w:hint="eastAsia" w:ascii="宋体" w:hAnsi="宋体" w:cs="宋体"/>
          <w:color w:val="000000" w:themeColor="text1"/>
          <w:kern w:val="0"/>
          <w:sz w:val="24"/>
          <w:highlight w:val="none"/>
          <w:lang w:val="zh-CN"/>
          <w14:textFill>
            <w14:solidFill>
              <w14:schemeClr w14:val="tx1"/>
            </w14:solidFill>
          </w14:textFill>
        </w:rPr>
        <w:t>按合同约定进行施工，并采购或使用符合要求的绿色建材；</w:t>
      </w:r>
    </w:p>
    <w:p w14:paraId="12962630">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施工过程中要强化施工现场监管，确保落实绿色建筑要求，使用符合《需求标准》的绿色建材；</w:t>
      </w:r>
    </w:p>
    <w:p w14:paraId="2698236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153D5B51">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F2C95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95AB71F">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C533540">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CA5DFF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2A5BDAD">
      <w:pPr>
        <w:spacing w:line="360" w:lineRule="auto"/>
        <w:ind w:firstLine="482"/>
        <w:jc w:val="center"/>
        <w:rPr>
          <w:rFonts w:ascii="宋体" w:hAnsi="宋体" w:cs="宋体"/>
          <w:b/>
          <w:bCs/>
          <w:color w:val="000000" w:themeColor="text1"/>
          <w:sz w:val="24"/>
          <w:highlight w:val="none"/>
          <w14:textFill>
            <w14:solidFill>
              <w14:schemeClr w14:val="tx1"/>
            </w14:solidFill>
          </w14:textFill>
        </w:rPr>
      </w:pPr>
    </w:p>
    <w:p w14:paraId="07D4F9DD">
      <w:pPr>
        <w:spacing w:line="360" w:lineRule="auto"/>
        <w:ind w:right="420"/>
        <w:rPr>
          <w:rFonts w:ascii="宋体" w:hAnsi="宋体" w:cs="宋体"/>
          <w:b/>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注：按本格式和要求提</w:t>
      </w:r>
    </w:p>
    <w:p w14:paraId="16AB463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F1A0B4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D3FF13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9A3424C">
      <w:pPr>
        <w:numPr>
          <w:ilvl w:val="0"/>
          <w:numId w:val="7"/>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报价单…………………………………………………………………………（页码）</w:t>
      </w:r>
    </w:p>
    <w:p w14:paraId="5A9E0C16">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029611F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）已标价工程量清单……………………………………………………………（页码）</w:t>
      </w:r>
    </w:p>
    <w:p w14:paraId="05EADCC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）中小企业声明函………………………………………………………………（页码）</w:t>
      </w:r>
    </w:p>
    <w:p w14:paraId="7B9098FF">
      <w:pPr>
        <w:pStyle w:val="83"/>
        <w:rPr>
          <w:color w:val="000000" w:themeColor="text1"/>
          <w:highlight w:val="none"/>
          <w14:textFill>
            <w14:solidFill>
              <w14:schemeClr w14:val="tx1"/>
            </w14:solidFill>
          </w14:textFill>
        </w:rPr>
      </w:pPr>
    </w:p>
    <w:p w14:paraId="6A292E5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D817D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057DD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95486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5C487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27B2E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D1B7B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97FB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52B9B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1557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D27EB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7C456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B289C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9E42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52D773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DE3ECFF">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14:paraId="0BD596D7">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一、报价单</w:t>
      </w:r>
    </w:p>
    <w:p w14:paraId="4D3C2FA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F0AE45">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b w:val="0"/>
          <w:bCs/>
          <w:color w:val="000000" w:themeColor="text1"/>
          <w:sz w:val="24"/>
          <w:highlight w:val="none"/>
          <w14:textFill>
            <w14:solidFill>
              <w14:schemeClr w14:val="tx1"/>
            </w14:solidFill>
          </w14:textFill>
        </w:rPr>
        <w:t>中国美术学院象山校区民艺馆会议室屋面修漏工程项目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【项目编号：ZGMY-LD-2024018</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484C5ED">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73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1951" w:type="dxa"/>
            <w:vAlign w:val="center"/>
          </w:tcPr>
          <w:p w14:paraId="765EDA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43" w:type="dxa"/>
          </w:tcPr>
          <w:p w14:paraId="04FC286D">
            <w:pPr>
              <w:spacing w:line="360" w:lineRule="auto"/>
              <w:jc w:val="center"/>
              <w:rPr>
                <w:rFonts w:ascii="宋体" w:hAnsi="宋体" w:cs="宋体"/>
                <w:b/>
                <w:color w:val="000000" w:themeColor="text1"/>
                <w:sz w:val="24"/>
                <w:highlight w:val="none"/>
                <w14:textFill>
                  <w14:solidFill>
                    <w14:schemeClr w14:val="tx1"/>
                  </w14:solidFill>
                </w14:textFill>
              </w:rPr>
            </w:pPr>
          </w:p>
          <w:p w14:paraId="351B700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施工范围</w:t>
            </w:r>
          </w:p>
        </w:tc>
        <w:tc>
          <w:tcPr>
            <w:tcW w:w="3118" w:type="dxa"/>
            <w:vAlign w:val="center"/>
          </w:tcPr>
          <w:p w14:paraId="1E484D9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施工工期</w:t>
            </w:r>
          </w:p>
        </w:tc>
        <w:tc>
          <w:tcPr>
            <w:tcW w:w="2552" w:type="dxa"/>
            <w:vAlign w:val="center"/>
          </w:tcPr>
          <w:p w14:paraId="525E0E0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项目经理</w:t>
            </w:r>
          </w:p>
        </w:tc>
        <w:tc>
          <w:tcPr>
            <w:tcW w:w="1984" w:type="dxa"/>
            <w:vAlign w:val="center"/>
          </w:tcPr>
          <w:p w14:paraId="4EBFAF5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执业证书信息</w:t>
            </w:r>
          </w:p>
        </w:tc>
        <w:tc>
          <w:tcPr>
            <w:tcW w:w="3119" w:type="dxa"/>
            <w:vAlign w:val="center"/>
          </w:tcPr>
          <w:p w14:paraId="76FE57FB">
            <w:pPr>
              <w:spacing w:line="360" w:lineRule="auto"/>
              <w:jc w:val="center"/>
              <w:rPr>
                <w:rFonts w:ascii="宋体" w:hAnsi="宋体" w:cs="宋体"/>
                <w:b/>
                <w:color w:val="000000" w:themeColor="text1"/>
                <w:sz w:val="24"/>
                <w:highlight w:val="none"/>
                <w14:textFill>
                  <w14:solidFill>
                    <w14:schemeClr w14:val="tx1"/>
                  </w14:solidFill>
                </w14:textFill>
              </w:rPr>
            </w:pPr>
          </w:p>
          <w:p w14:paraId="745358F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8B1360E">
            <w:pPr>
              <w:spacing w:line="360" w:lineRule="auto"/>
              <w:jc w:val="center"/>
              <w:rPr>
                <w:rFonts w:ascii="宋体" w:hAnsi="宋体" w:cs="宋体"/>
                <w:b/>
                <w:color w:val="000000" w:themeColor="text1"/>
                <w:sz w:val="24"/>
                <w:highlight w:val="none"/>
                <w14:textFill>
                  <w14:solidFill>
                    <w14:schemeClr w14:val="tx1"/>
                  </w14:solidFill>
                </w14:textFill>
              </w:rPr>
            </w:pPr>
          </w:p>
        </w:tc>
      </w:tr>
      <w:tr w14:paraId="228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951" w:type="dxa"/>
            <w:vAlign w:val="center"/>
          </w:tcPr>
          <w:p w14:paraId="6CFE57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186597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696695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52" w:type="dxa"/>
            <w:vAlign w:val="center"/>
          </w:tcPr>
          <w:p w14:paraId="3078478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24E44F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65EE2EA">
            <w:pPr>
              <w:spacing w:line="360" w:lineRule="auto"/>
              <w:jc w:val="center"/>
              <w:rPr>
                <w:rFonts w:ascii="宋体" w:hAnsi="宋体" w:cs="宋体"/>
                <w:color w:val="000000" w:themeColor="text1"/>
                <w:sz w:val="24"/>
                <w:highlight w:val="none"/>
                <w14:textFill>
                  <w14:solidFill>
                    <w14:schemeClr w14:val="tx1"/>
                  </w14:solidFill>
                </w14:textFill>
              </w:rPr>
            </w:pPr>
          </w:p>
        </w:tc>
      </w:tr>
      <w:tr w14:paraId="4D7F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3"/>
            <w:vAlign w:val="center"/>
          </w:tcPr>
          <w:p w14:paraId="19F8A0D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磋商报价（小写）</w:t>
            </w:r>
          </w:p>
        </w:tc>
        <w:tc>
          <w:tcPr>
            <w:tcW w:w="7655" w:type="dxa"/>
            <w:gridSpan w:val="3"/>
            <w:vAlign w:val="center"/>
          </w:tcPr>
          <w:p w14:paraId="23D60599">
            <w:pPr>
              <w:spacing w:line="360" w:lineRule="auto"/>
              <w:jc w:val="center"/>
              <w:rPr>
                <w:rFonts w:ascii="宋体" w:hAnsi="宋体" w:cs="宋体"/>
                <w:color w:val="000000" w:themeColor="text1"/>
                <w:sz w:val="24"/>
                <w:highlight w:val="none"/>
                <w14:textFill>
                  <w14:solidFill>
                    <w14:schemeClr w14:val="tx1"/>
                  </w14:solidFill>
                </w14:textFill>
              </w:rPr>
            </w:pPr>
          </w:p>
        </w:tc>
      </w:tr>
      <w:tr w14:paraId="54FF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3"/>
            <w:vAlign w:val="center"/>
          </w:tcPr>
          <w:p w14:paraId="69E85AC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磋商报价（大写）</w:t>
            </w:r>
          </w:p>
        </w:tc>
        <w:tc>
          <w:tcPr>
            <w:tcW w:w="7655" w:type="dxa"/>
            <w:gridSpan w:val="3"/>
            <w:vAlign w:val="center"/>
          </w:tcPr>
          <w:p w14:paraId="27CC4E1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AC3405D">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CF4F24E">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w:t>
      </w:r>
      <w:r>
        <w:rPr>
          <w:rFonts w:hint="eastAsia" w:ascii="宋体" w:hAnsi="宋体" w:cs="宋体"/>
          <w:color w:val="000000" w:themeColor="text1"/>
          <w:kern w:val="0"/>
          <w:sz w:val="24"/>
          <w:highlight w:val="none"/>
          <w:lang w:val="zh-CN"/>
          <w14:textFill>
            <w14:solidFill>
              <w14:schemeClr w14:val="tx1"/>
            </w14:solidFill>
          </w14:textFill>
        </w:rPr>
        <w:t>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59A89B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6F5B57E">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p>
    <w:p w14:paraId="1B61C84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4CADD1">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p>
    <w:p w14:paraId="0F82BDFD">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25C10F10">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449C91C1">
      <w:pPr>
        <w:pStyle w:val="693"/>
        <w:keepNext w:val="0"/>
        <w:pageBreakBefore/>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193FCFE8">
      <w:pPr>
        <w:keepNext w:val="0"/>
        <w:pageBreakBefore w:val="0"/>
        <w:snapToGrid w:val="0"/>
        <w:spacing w:before="120" w:after="120"/>
        <w:outlineLvl w:val="9"/>
        <w:rPr>
          <w:rFonts w:hint="eastAsia"/>
          <w:color w:val="000000" w:themeColor="text1"/>
          <w:highlight w:val="none"/>
          <w:lang w:val="en-US" w:eastAsia="zh-CN"/>
          <w14:textFill>
            <w14:solidFill>
              <w14:schemeClr w14:val="tx1"/>
            </w14:solidFill>
          </w14:textFill>
        </w:rPr>
      </w:pPr>
    </w:p>
    <w:p w14:paraId="5F8D0C21">
      <w:pPr>
        <w:keepNext w:val="0"/>
        <w:pageBreakBefore w:val="0"/>
        <w:tabs>
          <w:tab w:val="left" w:pos="1313"/>
        </w:tabs>
        <w:snapToGrid w:val="0"/>
        <w:spacing w:before="120" w:after="120"/>
        <w:jc w:val="left"/>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6AEA123C">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7300ADCA">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4B8D1A4">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F09648E">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9F2B03A">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EF49E7C">
      <w:pPr>
        <w:pStyle w:val="693"/>
        <w:keepNext w:val="0"/>
        <w:pageBreakBefore/>
        <w:tabs>
          <w:tab w:val="clear" w:pos="720"/>
        </w:tabs>
        <w:snapToGrid w:val="0"/>
        <w:spacing w:before="120" w:after="120"/>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、已标价工程量清单</w:t>
      </w:r>
    </w:p>
    <w:p w14:paraId="4AAAA740">
      <w:pPr>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注：按采购文件工程量清单编制 </w:t>
      </w:r>
    </w:p>
    <w:p w14:paraId="47D3430B">
      <w:pPr>
        <w:pStyle w:val="61"/>
        <w:ind w:firstLine="480"/>
        <w:rPr>
          <w:rFonts w:cs="宋体"/>
          <w:color w:val="000000" w:themeColor="text1"/>
          <w:sz w:val="24"/>
          <w:highlight w:val="none"/>
          <w14:textFill>
            <w14:solidFill>
              <w14:schemeClr w14:val="tx1"/>
            </w14:solidFill>
          </w14:textFill>
        </w:rPr>
      </w:pPr>
    </w:p>
    <w:p w14:paraId="3F88BFA5">
      <w:pPr>
        <w:pStyle w:val="61"/>
        <w:ind w:firstLine="480"/>
        <w:rPr>
          <w:rFonts w:cs="宋体"/>
          <w:color w:val="000000" w:themeColor="text1"/>
          <w:sz w:val="24"/>
          <w:highlight w:val="none"/>
          <w14:textFill>
            <w14:solidFill>
              <w14:schemeClr w14:val="tx1"/>
            </w14:solidFill>
          </w14:textFill>
        </w:rPr>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pPr>
    </w:p>
    <w:p w14:paraId="1FD39633">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四</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17"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17"/>
    </w:p>
    <w:p w14:paraId="75710DB8">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4FC3AFD5">
      <w:pPr>
        <w:pStyle w:val="2"/>
        <w:keepNext w:val="0"/>
        <w:keepLines w:val="0"/>
        <w:pageBreakBefore/>
        <w:widowControl/>
        <w:spacing w:before="100" w:beforeAutospacing="1" w:after="100" w:afterAutospacing="1" w:line="360" w:lineRule="auto"/>
        <w:ind w:left="1290" w:firstLine="3083" w:firstLineChars="700"/>
        <w:rPr>
          <w:rFonts w:ascii="宋体" w:hAnsi="宋体" w:cs="宋体"/>
          <w:color w:val="000000" w:themeColor="text1"/>
          <w:highlight w:val="none"/>
          <w14:textFill>
            <w14:solidFill>
              <w14:schemeClr w14:val="tx1"/>
            </w14:solidFill>
          </w14:textFill>
        </w:rPr>
      </w:pPr>
      <w:bookmarkStart w:id="418" w:name="_Toc465665161"/>
      <w:r>
        <w:rPr>
          <w:rFonts w:hint="eastAsia" w:ascii="宋体" w:hAnsi="宋体" w:cs="宋体"/>
          <w:color w:val="000000" w:themeColor="text1"/>
          <w:highlight w:val="none"/>
          <w14:textFill>
            <w14:solidFill>
              <w14:schemeClr w14:val="tx1"/>
            </w14:solidFill>
          </w14:textFill>
        </w:rPr>
        <w:t>附件</w:t>
      </w:r>
      <w:bookmarkEnd w:id="418"/>
    </w:p>
    <w:p w14:paraId="4157ADE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6479A3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19" w:name="OLE_LINK13"/>
      <w:bookmarkStart w:id="420"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19"/>
    <w:bookmarkEnd w:id="420"/>
    <w:p w14:paraId="5EA7FD8C">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01B79F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2EF5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FD2E68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E340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DCE7B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048584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2428C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127AA4E">
      <w:pPr>
        <w:spacing w:line="360" w:lineRule="auto"/>
        <w:ind w:firstLine="420" w:firstLineChars="200"/>
        <w:rPr>
          <w:rFonts w:ascii="宋体" w:hAnsi="宋体" w:cs="宋体"/>
          <w:color w:val="000000" w:themeColor="text1"/>
          <w:highlight w:val="none"/>
          <w14:textFill>
            <w14:solidFill>
              <w14:schemeClr w14:val="tx1"/>
            </w14:solidFill>
          </w14:textFill>
        </w:rPr>
      </w:pPr>
    </w:p>
    <w:p w14:paraId="00CBF5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02E0FB0A">
      <w:pPr>
        <w:spacing w:line="360" w:lineRule="auto"/>
        <w:ind w:firstLine="420" w:firstLineChars="200"/>
        <w:rPr>
          <w:rFonts w:ascii="宋体" w:hAnsi="宋体" w:cs="宋体"/>
          <w:color w:val="000000" w:themeColor="text1"/>
          <w:highlight w:val="none"/>
          <w14:textFill>
            <w14:solidFill>
              <w14:schemeClr w14:val="tx1"/>
            </w14:solidFill>
          </w14:textFill>
        </w:rPr>
      </w:pPr>
    </w:p>
    <w:p w14:paraId="1D2600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DD01D22">
      <w:pPr>
        <w:spacing w:line="360" w:lineRule="auto"/>
        <w:rPr>
          <w:rFonts w:ascii="宋体" w:hAnsi="宋体" w:cs="宋体"/>
          <w:b/>
          <w:color w:val="000000" w:themeColor="text1"/>
          <w:sz w:val="24"/>
          <w:highlight w:val="none"/>
          <w14:textFill>
            <w14:solidFill>
              <w14:schemeClr w14:val="tx1"/>
            </w14:solidFill>
          </w14:textFill>
        </w:rPr>
      </w:pPr>
    </w:p>
    <w:p w14:paraId="5D508EA7">
      <w:pPr>
        <w:spacing w:line="360" w:lineRule="auto"/>
        <w:rPr>
          <w:rFonts w:ascii="宋体" w:hAnsi="宋体" w:cs="宋体"/>
          <w:b/>
          <w:color w:val="000000" w:themeColor="text1"/>
          <w:sz w:val="24"/>
          <w:highlight w:val="none"/>
          <w14:textFill>
            <w14:solidFill>
              <w14:schemeClr w14:val="tx1"/>
            </w14:solidFill>
          </w14:textFill>
        </w:rPr>
      </w:pPr>
    </w:p>
    <w:p w14:paraId="169194DE">
      <w:pPr>
        <w:spacing w:line="360" w:lineRule="auto"/>
        <w:rPr>
          <w:rFonts w:ascii="宋体" w:hAnsi="宋体" w:cs="宋体"/>
          <w:b/>
          <w:color w:val="000000" w:themeColor="text1"/>
          <w:sz w:val="24"/>
          <w:highlight w:val="none"/>
          <w14:textFill>
            <w14:solidFill>
              <w14:schemeClr w14:val="tx1"/>
            </w14:solidFill>
          </w14:textFill>
        </w:rPr>
      </w:pPr>
    </w:p>
    <w:p w14:paraId="07430D47">
      <w:pPr>
        <w:spacing w:line="360" w:lineRule="auto"/>
        <w:rPr>
          <w:rFonts w:ascii="宋体" w:hAnsi="宋体" w:cs="宋体"/>
          <w:b/>
          <w:color w:val="000000" w:themeColor="text1"/>
          <w:sz w:val="24"/>
          <w:highlight w:val="none"/>
          <w14:textFill>
            <w14:solidFill>
              <w14:schemeClr w14:val="tx1"/>
            </w14:solidFill>
          </w14:textFill>
        </w:rPr>
      </w:pPr>
    </w:p>
    <w:p w14:paraId="59DA24F3">
      <w:pPr>
        <w:spacing w:line="360" w:lineRule="auto"/>
        <w:rPr>
          <w:rFonts w:ascii="宋体" w:hAnsi="宋体" w:cs="宋体"/>
          <w:b/>
          <w:color w:val="000000" w:themeColor="text1"/>
          <w:sz w:val="24"/>
          <w:highlight w:val="none"/>
          <w14:textFill>
            <w14:solidFill>
              <w14:schemeClr w14:val="tx1"/>
            </w14:solidFill>
          </w14:textFill>
        </w:rPr>
      </w:pPr>
    </w:p>
    <w:p w14:paraId="70A739CA">
      <w:pPr>
        <w:spacing w:line="360" w:lineRule="auto"/>
        <w:rPr>
          <w:rFonts w:ascii="宋体" w:hAnsi="宋体" w:cs="宋体"/>
          <w:b/>
          <w:color w:val="000000" w:themeColor="text1"/>
          <w:sz w:val="24"/>
          <w:highlight w:val="none"/>
          <w14:textFill>
            <w14:solidFill>
              <w14:schemeClr w14:val="tx1"/>
            </w14:solidFill>
          </w14:textFill>
        </w:rPr>
      </w:pPr>
    </w:p>
    <w:p w14:paraId="58BF20D7">
      <w:pPr>
        <w:spacing w:line="360" w:lineRule="auto"/>
        <w:rPr>
          <w:rFonts w:ascii="宋体" w:hAnsi="宋体" w:cs="宋体"/>
          <w:b/>
          <w:color w:val="000000" w:themeColor="text1"/>
          <w:sz w:val="24"/>
          <w:highlight w:val="none"/>
          <w14:textFill>
            <w14:solidFill>
              <w14:schemeClr w14:val="tx1"/>
            </w14:solidFill>
          </w14:textFill>
        </w:rPr>
      </w:pPr>
    </w:p>
    <w:p w14:paraId="61916743">
      <w:pPr>
        <w:spacing w:line="360" w:lineRule="auto"/>
        <w:rPr>
          <w:rFonts w:ascii="宋体" w:hAnsi="宋体" w:cs="宋体"/>
          <w:b/>
          <w:color w:val="000000" w:themeColor="text1"/>
          <w:sz w:val="24"/>
          <w:highlight w:val="none"/>
          <w14:textFill>
            <w14:solidFill>
              <w14:schemeClr w14:val="tx1"/>
            </w14:solidFill>
          </w14:textFill>
        </w:rPr>
      </w:pPr>
    </w:p>
    <w:p w14:paraId="6309C346">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7610D9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A9F78B8">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977254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2FC59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61357F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2633A8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F8463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A71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894150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EACDA9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673B0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DCDF07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24E2402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B18734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E55FFE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9C4857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6C6E76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9CE57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28283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EB8138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009364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0660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C895B6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7BFF1B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E833E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549F4F">
      <w:pPr>
        <w:spacing w:line="360" w:lineRule="auto"/>
        <w:jc w:val="center"/>
        <w:rPr>
          <w:rFonts w:ascii="宋体" w:hAnsi="宋体" w:cs="宋体"/>
          <w:b/>
          <w:bCs/>
          <w:color w:val="000000" w:themeColor="text1"/>
          <w:sz w:val="24"/>
          <w:highlight w:val="none"/>
          <w14:textFill>
            <w14:solidFill>
              <w14:schemeClr w14:val="tx1"/>
            </w14:solidFill>
          </w14:textFill>
        </w:rPr>
      </w:pPr>
    </w:p>
    <w:p w14:paraId="1A9B0064">
      <w:pPr>
        <w:spacing w:line="360" w:lineRule="auto"/>
        <w:rPr>
          <w:rFonts w:ascii="宋体" w:hAnsi="宋体" w:cs="宋体"/>
          <w:b/>
          <w:color w:val="000000" w:themeColor="text1"/>
          <w:sz w:val="24"/>
          <w:highlight w:val="none"/>
          <w14:textFill>
            <w14:solidFill>
              <w14:schemeClr w14:val="tx1"/>
            </w14:solidFill>
          </w14:textFill>
        </w:rPr>
      </w:pPr>
    </w:p>
    <w:p w14:paraId="54961257">
      <w:pPr>
        <w:spacing w:line="360" w:lineRule="auto"/>
        <w:rPr>
          <w:rFonts w:ascii="宋体" w:hAnsi="宋体" w:cs="宋体"/>
          <w:b/>
          <w:color w:val="000000" w:themeColor="text1"/>
          <w:sz w:val="24"/>
          <w:highlight w:val="none"/>
          <w14:textFill>
            <w14:solidFill>
              <w14:schemeClr w14:val="tx1"/>
            </w14:solidFill>
          </w14:textFill>
        </w:rPr>
      </w:pPr>
    </w:p>
    <w:p w14:paraId="144FB94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5612F2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CA2B9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E39278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1FD7A3F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0DACE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3DBCCDC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7697E8B">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BBFB38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B40D37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611903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E3541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9DD4A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05A8EC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25670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E46E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D3CF2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1E3080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48608F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B892FF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4E545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E94C89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FFBC16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EFB6687">
      <w:pPr>
        <w:spacing w:line="360" w:lineRule="auto"/>
        <w:jc w:val="center"/>
        <w:rPr>
          <w:rFonts w:ascii="宋体" w:hAnsi="宋体" w:cs="宋体"/>
          <w:b/>
          <w:color w:val="000000" w:themeColor="text1"/>
          <w:sz w:val="24"/>
          <w:highlight w:val="none"/>
          <w14:textFill>
            <w14:solidFill>
              <w14:schemeClr w14:val="tx1"/>
            </w14:solidFill>
          </w14:textFill>
        </w:rPr>
      </w:pPr>
    </w:p>
    <w:p w14:paraId="43495DB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84209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93232D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919BCE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996060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2A3AC4B">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795F02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13650A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575E39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A0E5AD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4C86B9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D21C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7BE115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3EAF9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72CEB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50D599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16FED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767EB2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662C38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E8C36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62AE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189A97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1FA80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CCFFF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F225A54">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70A388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E581E6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011DD7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3A3026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677E9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27A7C6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4D792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1E912A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9E36F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CA645B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97636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8867A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696B98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E4541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452B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763AF24">
      <w:pPr>
        <w:spacing w:line="360" w:lineRule="auto"/>
        <w:rPr>
          <w:rFonts w:ascii="宋体" w:hAnsi="宋体" w:cs="宋体"/>
          <w:b/>
          <w:color w:val="000000" w:themeColor="text1"/>
          <w:sz w:val="24"/>
          <w:highlight w:val="none"/>
          <w14:textFill>
            <w14:solidFill>
              <w14:schemeClr w14:val="tx1"/>
            </w14:solidFill>
          </w14:textFill>
        </w:rPr>
      </w:pPr>
    </w:p>
    <w:p w14:paraId="5F6E4050">
      <w:pPr>
        <w:spacing w:line="360" w:lineRule="auto"/>
        <w:rPr>
          <w:rFonts w:ascii="宋体" w:hAnsi="宋体" w:cs="宋体"/>
          <w:b/>
          <w:color w:val="000000" w:themeColor="text1"/>
          <w:sz w:val="24"/>
          <w:highlight w:val="none"/>
          <w14:textFill>
            <w14:solidFill>
              <w14:schemeClr w14:val="tx1"/>
            </w14:solidFill>
          </w14:textFill>
        </w:rPr>
      </w:pPr>
    </w:p>
    <w:p w14:paraId="1986053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4CF8D0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6607FB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FEFC1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BDB4A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42C4FD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D03E3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41FB55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D0D490">
      <w:pPr>
        <w:spacing w:line="360" w:lineRule="auto"/>
        <w:rPr>
          <w:rFonts w:ascii="宋体" w:hAnsi="宋体" w:cs="宋体"/>
          <w:b/>
          <w:color w:val="000000" w:themeColor="text1"/>
          <w:sz w:val="24"/>
          <w:highlight w:val="none"/>
          <w14:textFill>
            <w14:solidFill>
              <w14:schemeClr w14:val="tx1"/>
            </w14:solidFill>
          </w14:textFill>
        </w:rPr>
      </w:pPr>
    </w:p>
    <w:p w14:paraId="15C163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DB3428">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93CA59C">
      <w:pPr>
        <w:spacing w:line="360" w:lineRule="auto"/>
        <w:rPr>
          <w:rFonts w:ascii="宋体" w:hAnsi="宋体" w:cs="宋体"/>
          <w:color w:val="000000" w:themeColor="text1"/>
          <w:sz w:val="24"/>
          <w:highlight w:val="none"/>
          <w:u w:val="single"/>
          <w14:textFill>
            <w14:solidFill>
              <w14:schemeClr w14:val="tx1"/>
            </w14:solidFill>
          </w14:textFill>
        </w:rPr>
      </w:pPr>
    </w:p>
    <w:p w14:paraId="203B98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A2CBD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你方组织的（项目名称）项目【项目编号：ZGMY-LD-2024018】</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77D3C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91B0EF1">
      <w:pPr>
        <w:spacing w:line="360" w:lineRule="auto"/>
        <w:ind w:firstLine="494"/>
        <w:rPr>
          <w:rFonts w:ascii="宋体" w:hAnsi="宋体" w:cs="宋体"/>
          <w:color w:val="000000" w:themeColor="text1"/>
          <w:sz w:val="24"/>
          <w:highlight w:val="none"/>
          <w14:textFill>
            <w14:solidFill>
              <w14:schemeClr w14:val="tx1"/>
            </w14:solidFill>
          </w14:textFill>
        </w:rPr>
      </w:pPr>
    </w:p>
    <w:p w14:paraId="34C50907">
      <w:pPr>
        <w:spacing w:line="360" w:lineRule="auto"/>
        <w:ind w:firstLine="494"/>
        <w:rPr>
          <w:rFonts w:ascii="宋体" w:hAnsi="宋体" w:cs="宋体"/>
          <w:color w:val="000000" w:themeColor="text1"/>
          <w:sz w:val="24"/>
          <w:highlight w:val="none"/>
          <w14:textFill>
            <w14:solidFill>
              <w14:schemeClr w14:val="tx1"/>
            </w14:solidFill>
          </w14:textFill>
        </w:rPr>
      </w:pPr>
    </w:p>
    <w:p w14:paraId="47D6B393">
      <w:pPr>
        <w:spacing w:line="360" w:lineRule="auto"/>
        <w:ind w:firstLine="494"/>
        <w:rPr>
          <w:rFonts w:ascii="宋体" w:hAnsi="宋体" w:cs="宋体"/>
          <w:color w:val="000000" w:themeColor="text1"/>
          <w:sz w:val="24"/>
          <w:highlight w:val="none"/>
          <w14:textFill>
            <w14:solidFill>
              <w14:schemeClr w14:val="tx1"/>
            </w14:solidFill>
          </w14:textFill>
        </w:rPr>
      </w:pPr>
    </w:p>
    <w:p w14:paraId="743D60A9">
      <w:pPr>
        <w:spacing w:line="360" w:lineRule="auto"/>
        <w:ind w:firstLine="494"/>
        <w:rPr>
          <w:rFonts w:ascii="宋体" w:hAnsi="宋体" w:cs="宋体"/>
          <w:color w:val="000000" w:themeColor="text1"/>
          <w:sz w:val="24"/>
          <w:highlight w:val="none"/>
          <w14:textFill>
            <w14:solidFill>
              <w14:schemeClr w14:val="tx1"/>
            </w14:solidFill>
          </w14:textFill>
        </w:rPr>
      </w:pPr>
    </w:p>
    <w:p w14:paraId="2A1C803C">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38BA873D">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8F648A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F795AD4">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法定名称章（印模）                供应商“XX专用章”（印模）</w:t>
      </w:r>
    </w:p>
    <w:p w14:paraId="24B1880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F36F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5383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29F9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A595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6D04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381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0C5C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15A9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AC9A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B95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5D45F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32C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6DE0E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50BB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4A6E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DA0D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CDD454">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2943F1E">
      <w:pPr>
        <w:widowControl/>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（以联合体形式参与的，提供联合协议；本项目不接受联合体或者供应商不以联合体形式参与的，则不需要提供）</w:t>
      </w:r>
    </w:p>
    <w:p w14:paraId="10EDA38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（项目名称）【项目编号：ZGMY-LD-2024018】</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F2436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6CD37A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w:t>
      </w:r>
      <w:r>
        <w:rPr>
          <w:rFonts w:hint="eastAsia" w:ascii="宋体" w:hAnsi="宋体" w:cs="宋体"/>
          <w:color w:val="000000" w:themeColor="text1"/>
          <w:kern w:val="0"/>
          <w:sz w:val="24"/>
          <w:highlight w:val="none"/>
          <w14:textFill>
            <w14:solidFill>
              <w14:schemeClr w14:val="tx1"/>
            </w14:solidFill>
          </w14:textFill>
        </w:rPr>
        <w:t>响应内容</w:t>
      </w:r>
      <w:r>
        <w:rPr>
          <w:rFonts w:hint="eastAsia" w:ascii="宋体" w:hAnsi="宋体" w:cs="宋体"/>
          <w:color w:val="000000" w:themeColor="text1"/>
          <w:kern w:val="0"/>
          <w:sz w:val="24"/>
          <w:highlight w:val="none"/>
          <w:lang w:val="zh-CN"/>
          <w14:textFill>
            <w14:solidFill>
              <w14:schemeClr w14:val="tx1"/>
            </w14:solidFill>
          </w14:textFill>
        </w:rPr>
        <w:t>而对采购人、采购代理机构所作的任何合法承诺，包括书面澄清及相应等均对联合投标各方产生约束力。</w:t>
      </w:r>
    </w:p>
    <w:p w14:paraId="3B4C80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中，分工如下：</w:t>
      </w:r>
    </w:p>
    <w:p w14:paraId="392972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21"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90A6A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78F24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21"/>
    <w:p w14:paraId="266A2B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4FEE9E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highlight w:val="none"/>
          <w14:textFill>
            <w14:solidFill>
              <w14:schemeClr w14:val="tx1"/>
            </w14:solidFill>
          </w14:textFill>
        </w:rPr>
        <w:t>磋商</w:t>
      </w:r>
      <w:r>
        <w:rPr>
          <w:rFonts w:hint="eastAsia" w:ascii="宋体" w:hAnsi="宋体" w:cs="宋体"/>
          <w:b/>
          <w:color w:val="000000" w:themeColor="text1"/>
          <w:kern w:val="0"/>
          <w:sz w:val="24"/>
          <w:highlight w:val="none"/>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0F391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731F74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五、如果成交，</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27F47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的其他事宜：</w:t>
      </w:r>
    </w:p>
    <w:p w14:paraId="677B05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8EB78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F811A0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853199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07D035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E8D918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56575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E9753E">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56CBEEA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2918C3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B2946C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C77E25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2F0BE6F">
      <w:pPr>
        <w:pStyle w:val="3"/>
        <w:ind w:left="664" w:leftChars="316" w:firstLine="228"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571690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w:t>
      </w:r>
      <w:r>
        <w:rPr>
          <w:rFonts w:hint="eastAsia" w:ascii="宋体" w:hAnsi="宋体" w:cs="宋体"/>
          <w:color w:val="000000" w:themeColor="text1"/>
          <w:kern w:val="0"/>
          <w:sz w:val="24"/>
          <w:highlight w:val="none"/>
          <w:lang w:val="zh-CN"/>
          <w14:textFill>
            <w14:solidFill>
              <w14:schemeClr w14:val="tx1"/>
            </w14:solidFill>
          </w14:textFill>
        </w:rPr>
        <w:t>中小企业合同份额</w:t>
      </w:r>
    </w:p>
    <w:p w14:paraId="18522309">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……）提供的工程全部由小微企业承建，</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01BF01DC">
      <w:pPr>
        <w:spacing w:line="400" w:lineRule="exact"/>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2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22"/>
    </w:p>
    <w:p w14:paraId="448A7B6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6999CEA">
      <w:pPr>
        <w:snapToGrid w:val="0"/>
        <w:spacing w:line="400" w:lineRule="exact"/>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11DC9F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C407A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17DB8F1">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7E608750">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EB4E9DD">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C6A4E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EAA6EC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16AB2ED">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ABD6573">
      <w:pPr>
        <w:snapToGrid w:val="0"/>
        <w:spacing w:line="400" w:lineRule="exact"/>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E027B65">
      <w:pPr>
        <w:snapToGrid w:val="0"/>
        <w:spacing w:line="400" w:lineRule="exact"/>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14:paraId="2113C9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753E0CF">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721A2DF">
      <w:pPr>
        <w:autoSpaceDE/>
        <w:autoSpaceDN/>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7</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中小企业声明函</w:t>
      </w:r>
    </w:p>
    <w:p w14:paraId="446B1E08">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A6FA1CC">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w:t>
      </w:r>
    </w:p>
    <w:p w14:paraId="3AD9D48E">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w:t>
      </w:r>
      <w:r>
        <w:rPr>
          <w:rFonts w:hint="eastAsia" w:ascii="宋体" w:hAnsi="宋体" w:cs="宋体"/>
          <w:color w:val="000000" w:themeColor="text1"/>
          <w:sz w:val="24"/>
          <w:highlight w:val="none"/>
          <w14:textFill>
            <w14:solidFill>
              <w14:schemeClr w14:val="tx1"/>
            </w14:solidFill>
          </w14:textFill>
        </w:rPr>
        <w:t>承接</w:t>
      </w:r>
      <w:r>
        <w:rPr>
          <w:rFonts w:hint="eastAsia" w:ascii="宋体" w:hAnsi="宋体" w:cs="宋体"/>
          <w:color w:val="000000" w:themeColor="text1"/>
          <w:sz w:val="24"/>
          <w:highlight w:val="none"/>
          <w14:textFill>
            <w14:solidFill>
              <w14:schemeClr w14:val="tx1"/>
            </w14:solidFill>
          </w14:textFill>
        </w:rPr>
        <w:t>）。相关企业（含联合体中的中小企业、签订分包意向协议的中小企业）的具体情况如下：</w:t>
      </w:r>
    </w:p>
    <w:p w14:paraId="4FE325A2">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36FFEB3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5EF867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F960CA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5AFE3E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28129F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8AC0AF">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2E864F1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2D59D02">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4CEE3C1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C36C009">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w:t>
      </w:r>
      <w:r>
        <w:rPr>
          <w:rFonts w:hint="eastAsia" w:ascii="宋体" w:hAnsi="宋体" w:cs="宋体"/>
          <w:color w:val="000000" w:themeColor="text1"/>
          <w:sz w:val="24"/>
          <w:highlight w:val="none"/>
          <w14:textFill>
            <w14:solidFill>
              <w14:schemeClr w14:val="tx1"/>
            </w14:solidFill>
          </w14:textFill>
        </w:rPr>
        <w:t>的指引，逐一</w:t>
      </w:r>
      <w:r>
        <w:rPr>
          <w:rFonts w:hint="eastAsia" w:ascii="宋体" w:hAnsi="宋体" w:cs="宋体"/>
          <w:color w:val="000000" w:themeColor="text1"/>
          <w:sz w:val="24"/>
          <w:highlight w:val="none"/>
          <w14:textFill>
            <w14:solidFill>
              <w14:schemeClr w14:val="tx1"/>
            </w14:solidFill>
          </w14:textFill>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80102B1">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079A6E">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369C0B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6602C9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7EF7E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E02B5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B66297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EB5D19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F2AAF2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023FA8">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01579FD">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DF7255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B57BA3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06626D3">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2F9260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F713A4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0E667E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15538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33355BB">
      <w:pPr>
        <w:spacing w:line="360" w:lineRule="auto"/>
        <w:rPr>
          <w:rFonts w:ascii="宋体" w:hAnsi="宋体" w:cs="宋体"/>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D2B0AB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附件8：工程量清单（另附）</w:t>
      </w:r>
    </w:p>
    <w:p w14:paraId="71615FBF">
      <w:pPr>
        <w:spacing w:line="360" w:lineRule="auto"/>
        <w:rPr>
          <w:rFonts w:ascii="宋体" w:hAnsi="宋体" w:cs="宋体"/>
          <w:b/>
          <w:color w:val="000000" w:themeColor="text1"/>
          <w:spacing w:val="6"/>
          <w:sz w:val="32"/>
          <w:szCs w:val="32"/>
          <w:highlight w:val="none"/>
          <w14:textFill>
            <w14:solidFill>
              <w14:schemeClr w14:val="tx1"/>
            </w14:solidFill>
          </w14:textFill>
        </w:rPr>
      </w:pPr>
    </w:p>
    <w:p w14:paraId="2C2A0FC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附件9：图纸（另附）</w:t>
      </w:r>
    </w:p>
    <w:p w14:paraId="6FF561A5">
      <w:pPr>
        <w:pStyle w:val="26"/>
        <w:rPr>
          <w:color w:val="000000" w:themeColor="text1"/>
          <w:highlight w:val="none"/>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Tahoma">
    <w:panose1 w:val="020B0804030504040204"/>
    <w:charset w:val="00"/>
    <w:family w:val="swiss"/>
    <w:pitch w:val="default"/>
    <w:sig w:usb0="E1002AFF" w:usb1="C000605B" w:usb2="00000029" w:usb3="00000000" w:csb0="200101FF" w:csb1="20280000"/>
  </w:font>
  <w:font w:name="MS Sans Serif">
    <w:altName w:val="苹方-简"/>
    <w:panose1 w:val="020B05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altName w:val="华文宋体"/>
    <w:panose1 w:val="02010509060101010101"/>
    <w:charset w:val="86"/>
    <w:family w:val="modern"/>
    <w:pitch w:val="default"/>
    <w:sig w:usb0="00000000" w:usb1="00000000" w:usb2="00000000" w:usb3="00000000" w:csb0="00040000" w:csb1="00000000"/>
  </w:font>
  <w:font w:name="Arial Narrow">
    <w:panose1 w:val="020B07060202020A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Helvetica Neue"/>
    <w:panose1 w:val="020B0604020202020204"/>
    <w:charset w:val="01"/>
    <w:family w:val="roman"/>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altName w:val="苹方-简"/>
    <w:panose1 w:val="00000000000000000000"/>
    <w:charset w:val="00"/>
    <w:family w:val="modern"/>
    <w:pitch w:val="default"/>
    <w:sig w:usb0="00000000" w:usb1="00000000" w:usb2="00000000" w:usb3="00000000" w:csb0="00040001" w:csb1="00000000"/>
  </w:font>
  <w:font w:name="MS Gothic">
    <w:altName w:val="Hiragino Sans"/>
    <w:panose1 w:val="020B0609070205080204"/>
    <w:charset w:val="80"/>
    <w:family w:val="modern"/>
    <w:pitch w:val="default"/>
    <w:sig w:usb0="00000000" w:usb1="00000000" w:usb2="08000012" w:usb3="00000000" w:csb0="4002009F" w:csb1="DFD7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报隶-简">
    <w:panose1 w:val="02010600040101010101"/>
    <w:charset w:val="86"/>
    <w:family w:val="auto"/>
    <w:pitch w:val="default"/>
    <w:sig w:usb0="80000287" w:usb1="280F3C52"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Arial">
    <w:panose1 w:val="020B0604020202090204"/>
    <w:charset w:val="00"/>
    <w:family w:val="auto"/>
    <w:pitch w:val="default"/>
    <w:sig w:usb0="E0000AFF" w:usb1="00007843" w:usb2="00000001" w:usb3="00000000" w:csb0="400001BF" w:csb1="DFF7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59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07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9745A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9B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6FF37D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BF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3F7C6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E23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3C65">
    <w:pPr>
      <w:pStyle w:val="41"/>
      <w:framePr w:wrap="around" w:vAnchor="text" w:hAnchor="margin" w:xAlign="right" w:y="1"/>
      <w:rPr>
        <w:rStyle w:val="72"/>
      </w:rPr>
    </w:pPr>
    <w:r>
      <w:fldChar w:fldCharType="begin"/>
    </w:r>
    <w:r>
      <w:rPr>
        <w:rStyle w:val="72"/>
      </w:rPr>
      <w:instrText xml:space="preserve">PAGE  </w:instrText>
    </w:r>
    <w:r>
      <w:fldChar w:fldCharType="end"/>
    </w:r>
  </w:p>
  <w:p w14:paraId="151C2370">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666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3" w:name="_Toc164085800"/>
    <w:bookmarkStart w:id="424" w:name="_Toc36110187"/>
    <w:bookmarkStart w:id="425" w:name="_Toc91899912"/>
    <w:bookmarkStart w:id="426" w:name="_Toc131845147"/>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89E6">
    <w:pPr>
      <w:pStyle w:val="41"/>
      <w:framePr w:wrap="around" w:vAnchor="text" w:hAnchor="margin" w:xAlign="right" w:y="1"/>
      <w:rPr>
        <w:rStyle w:val="72"/>
      </w:rPr>
    </w:pPr>
    <w:r>
      <w:fldChar w:fldCharType="begin"/>
    </w:r>
    <w:r>
      <w:rPr>
        <w:rStyle w:val="72"/>
      </w:rPr>
      <w:instrText xml:space="preserve">PAGE  </w:instrText>
    </w:r>
    <w:r>
      <w:fldChar w:fldCharType="end"/>
    </w:r>
  </w:p>
  <w:p w14:paraId="058FD2F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2C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52F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F5C9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3F5C9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A7C9">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085A">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57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77BA5E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54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77FE6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A8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1EA38A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5D6D">
    <w:pPr>
      <w:pStyle w:val="42"/>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2D3E">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F595">
    <w:pPr>
      <w:pStyle w:val="4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7773">
    <w:pPr>
      <w:pStyle w:val="42"/>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64F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7C34">
    <w:pPr>
      <w:pStyle w:val="42"/>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5EB13A7"/>
    <w:multiLevelType w:val="singleLevel"/>
    <w:tmpl w:val="B5EB13A7"/>
    <w:lvl w:ilvl="0" w:tentative="0">
      <w:start w:val="4"/>
      <w:numFmt w:val="decimal"/>
      <w:lvlText w:val="%1."/>
      <w:lvlJc w:val="left"/>
      <w:pPr>
        <w:tabs>
          <w:tab w:val="left" w:pos="312"/>
        </w:tabs>
      </w:pPr>
    </w:lvl>
  </w:abstractNum>
  <w:abstractNum w:abstractNumId="2">
    <w:nsid w:val="DCED49A9"/>
    <w:multiLevelType w:val="singleLevel"/>
    <w:tmpl w:val="DCED49A9"/>
    <w:lvl w:ilvl="0" w:tentative="0">
      <w:start w:val="1"/>
      <w:numFmt w:val="decimal"/>
      <w:lvlText w:val="%1."/>
      <w:lvlJc w:val="left"/>
      <w:pPr>
        <w:ind w:left="425" w:hanging="425"/>
      </w:pPr>
      <w:rPr>
        <w:rFonts w:hint="default"/>
      </w:rPr>
    </w:lvl>
  </w:abstractNum>
  <w:abstractNum w:abstractNumId="3">
    <w:nsid w:val="FA483C2E"/>
    <w:multiLevelType w:val="singleLevel"/>
    <w:tmpl w:val="FA483C2E"/>
    <w:lvl w:ilvl="0" w:tentative="0">
      <w:start w:val="1"/>
      <w:numFmt w:val="decimal"/>
      <w:lvlText w:val="%1."/>
      <w:lvlJc w:val="left"/>
      <w:pPr>
        <w:tabs>
          <w:tab w:val="left" w:pos="312"/>
        </w:tabs>
      </w:pPr>
    </w:lvl>
  </w:abstractNum>
  <w:abstractNum w:abstractNumId="4">
    <w:nsid w:val="FFFF033C"/>
    <w:multiLevelType w:val="singleLevel"/>
    <w:tmpl w:val="FFFF033C"/>
    <w:lvl w:ilvl="0" w:tentative="0">
      <w:start w:val="5"/>
      <w:numFmt w:val="decimal"/>
      <w:suff w:val="nothing"/>
      <w:lvlText w:val="%1、"/>
      <w:lvlJc w:val="left"/>
    </w:lvl>
  </w:abstractNum>
  <w:abstractNum w:abstractNumId="5">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682C4854"/>
    <w:multiLevelType w:val="singleLevel"/>
    <w:tmpl w:val="682C4854"/>
    <w:lvl w:ilvl="0" w:tentative="0">
      <w:start w:val="1"/>
      <w:numFmt w:val="chineseCounting"/>
      <w:suff w:val="space"/>
      <w:lvlText w:val="第%1部分"/>
      <w:lvlJc w:val="left"/>
      <w:rPr>
        <w:rFonts w:hint="eastAsia"/>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6613DC"/>
    <w:rsid w:val="15762120"/>
    <w:rsid w:val="16A8729C"/>
    <w:rsid w:val="16B33777"/>
    <w:rsid w:val="16BC70A7"/>
    <w:rsid w:val="16C6339E"/>
    <w:rsid w:val="172F2D79"/>
    <w:rsid w:val="17557BEF"/>
    <w:rsid w:val="176FC7EB"/>
    <w:rsid w:val="17D349C1"/>
    <w:rsid w:val="1830729E"/>
    <w:rsid w:val="185038D7"/>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99D759"/>
    <w:rsid w:val="1FE868A9"/>
    <w:rsid w:val="20034907"/>
    <w:rsid w:val="20173E4B"/>
    <w:rsid w:val="204E48BC"/>
    <w:rsid w:val="208921B3"/>
    <w:rsid w:val="20973DEB"/>
    <w:rsid w:val="20B26522"/>
    <w:rsid w:val="20B44310"/>
    <w:rsid w:val="20FC1538"/>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D1870"/>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263BA"/>
    <w:rsid w:val="2CE82D6F"/>
    <w:rsid w:val="2D343236"/>
    <w:rsid w:val="2DD15014"/>
    <w:rsid w:val="2DF72DE4"/>
    <w:rsid w:val="2E0220AF"/>
    <w:rsid w:val="2E4B082A"/>
    <w:rsid w:val="2E5D4E86"/>
    <w:rsid w:val="2E5D790B"/>
    <w:rsid w:val="2E9A3C18"/>
    <w:rsid w:val="2EBB0FEE"/>
    <w:rsid w:val="2EBE8538"/>
    <w:rsid w:val="2EC27538"/>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BE2E54"/>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25D0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D39C4"/>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F583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78670"/>
    <w:rsid w:val="3F060E16"/>
    <w:rsid w:val="3F1D1096"/>
    <w:rsid w:val="3F2F0234"/>
    <w:rsid w:val="3F6363FE"/>
    <w:rsid w:val="3F756B8F"/>
    <w:rsid w:val="3F95482B"/>
    <w:rsid w:val="3FC77DF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A75BB0"/>
    <w:rsid w:val="44DE1391"/>
    <w:rsid w:val="44FC0227"/>
    <w:rsid w:val="451B225C"/>
    <w:rsid w:val="452410C9"/>
    <w:rsid w:val="45317DFB"/>
    <w:rsid w:val="456D3CE4"/>
    <w:rsid w:val="4579042C"/>
    <w:rsid w:val="457F0571"/>
    <w:rsid w:val="45851176"/>
    <w:rsid w:val="45C55BC2"/>
    <w:rsid w:val="45C63B94"/>
    <w:rsid w:val="460E7DA5"/>
    <w:rsid w:val="46317152"/>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BF49C0"/>
    <w:rsid w:val="49D41AAC"/>
    <w:rsid w:val="49DE5C68"/>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7D16DC"/>
    <w:rsid w:val="4D905305"/>
    <w:rsid w:val="4D964A72"/>
    <w:rsid w:val="4D9C1254"/>
    <w:rsid w:val="4D9E5B15"/>
    <w:rsid w:val="4E793892"/>
    <w:rsid w:val="4E7B3BC9"/>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DDB3DC"/>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4F507C"/>
    <w:rsid w:val="566B6D1E"/>
    <w:rsid w:val="57032A2C"/>
    <w:rsid w:val="570F5219"/>
    <w:rsid w:val="57106268"/>
    <w:rsid w:val="572E78E5"/>
    <w:rsid w:val="57554E0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338A5"/>
    <w:rsid w:val="595E1678"/>
    <w:rsid w:val="596D5BD4"/>
    <w:rsid w:val="597C039B"/>
    <w:rsid w:val="597E3DD8"/>
    <w:rsid w:val="599C9CF7"/>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DC7B559"/>
    <w:rsid w:val="5E006862"/>
    <w:rsid w:val="5E0207B9"/>
    <w:rsid w:val="5E1834A1"/>
    <w:rsid w:val="5E261785"/>
    <w:rsid w:val="5E4A7017"/>
    <w:rsid w:val="5E552BBA"/>
    <w:rsid w:val="5E611C10"/>
    <w:rsid w:val="5E726876"/>
    <w:rsid w:val="5E7A0F3F"/>
    <w:rsid w:val="5EFC7377"/>
    <w:rsid w:val="5F06174D"/>
    <w:rsid w:val="5F3A3602"/>
    <w:rsid w:val="5F45733B"/>
    <w:rsid w:val="5F6277C6"/>
    <w:rsid w:val="5F6D0B1D"/>
    <w:rsid w:val="5F8D0B82"/>
    <w:rsid w:val="5FCC5339"/>
    <w:rsid w:val="5FE34A5B"/>
    <w:rsid w:val="5FF74DE1"/>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8F5A60"/>
    <w:rsid w:val="63AB60E0"/>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1BAAB"/>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9979D2"/>
    <w:rsid w:val="69C18520"/>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DFEBD07"/>
    <w:rsid w:val="6E186F73"/>
    <w:rsid w:val="6E8335BD"/>
    <w:rsid w:val="6E8E12EF"/>
    <w:rsid w:val="6E972936"/>
    <w:rsid w:val="6ECB32D5"/>
    <w:rsid w:val="6ED446C5"/>
    <w:rsid w:val="6F2A7D94"/>
    <w:rsid w:val="6F8331F1"/>
    <w:rsid w:val="6FAE1A09"/>
    <w:rsid w:val="6FD75BF8"/>
    <w:rsid w:val="6FDD8F71"/>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73466E"/>
    <w:rsid w:val="76826699"/>
    <w:rsid w:val="76C87133"/>
    <w:rsid w:val="76CD08D5"/>
    <w:rsid w:val="76DB4B92"/>
    <w:rsid w:val="77052AA4"/>
    <w:rsid w:val="77136511"/>
    <w:rsid w:val="77340A39"/>
    <w:rsid w:val="77351FD0"/>
    <w:rsid w:val="77472422"/>
    <w:rsid w:val="77545D7D"/>
    <w:rsid w:val="777F31F2"/>
    <w:rsid w:val="77D1700D"/>
    <w:rsid w:val="77EC04CC"/>
    <w:rsid w:val="78775729"/>
    <w:rsid w:val="78A42DB0"/>
    <w:rsid w:val="78A656AB"/>
    <w:rsid w:val="78B2245C"/>
    <w:rsid w:val="78BC3C1A"/>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7635D"/>
    <w:rsid w:val="7BBFE2D2"/>
    <w:rsid w:val="7BDAA156"/>
    <w:rsid w:val="7BEE0103"/>
    <w:rsid w:val="7C0A0FE4"/>
    <w:rsid w:val="7C254906"/>
    <w:rsid w:val="7C590818"/>
    <w:rsid w:val="7C7C10F6"/>
    <w:rsid w:val="7C853BEA"/>
    <w:rsid w:val="7C881368"/>
    <w:rsid w:val="7CD564F7"/>
    <w:rsid w:val="7CE27788"/>
    <w:rsid w:val="7D0C32F1"/>
    <w:rsid w:val="7D0F408D"/>
    <w:rsid w:val="7D491C6C"/>
    <w:rsid w:val="7D5429C0"/>
    <w:rsid w:val="7D6E6D43"/>
    <w:rsid w:val="7D7BF21C"/>
    <w:rsid w:val="7DB57A34"/>
    <w:rsid w:val="7DE03CA7"/>
    <w:rsid w:val="7DE60973"/>
    <w:rsid w:val="7DEF0916"/>
    <w:rsid w:val="7DFB1B31"/>
    <w:rsid w:val="7DFF490A"/>
    <w:rsid w:val="7E1E5218"/>
    <w:rsid w:val="7E6C679B"/>
    <w:rsid w:val="7E9A4E1F"/>
    <w:rsid w:val="7EA7723A"/>
    <w:rsid w:val="7EBFBFF7"/>
    <w:rsid w:val="7EF56FBB"/>
    <w:rsid w:val="7F0768EB"/>
    <w:rsid w:val="7F143BEC"/>
    <w:rsid w:val="7F362021"/>
    <w:rsid w:val="7F715AF2"/>
    <w:rsid w:val="7F73E5D4"/>
    <w:rsid w:val="7F779856"/>
    <w:rsid w:val="7F7B47F9"/>
    <w:rsid w:val="7F7D21ED"/>
    <w:rsid w:val="7F886E69"/>
    <w:rsid w:val="7F975C5A"/>
    <w:rsid w:val="7FDFFA65"/>
    <w:rsid w:val="8ED7898D"/>
    <w:rsid w:val="98344206"/>
    <w:rsid w:val="9FA99CCA"/>
    <w:rsid w:val="A73F6DC9"/>
    <w:rsid w:val="A779EEDF"/>
    <w:rsid w:val="ABBC582B"/>
    <w:rsid w:val="AE6B14D1"/>
    <w:rsid w:val="AFBB54A3"/>
    <w:rsid w:val="B7BF7CF4"/>
    <w:rsid w:val="B9F32ABC"/>
    <w:rsid w:val="BB7FA927"/>
    <w:rsid w:val="BBF30A5A"/>
    <w:rsid w:val="BEF27161"/>
    <w:rsid w:val="BF5A1473"/>
    <w:rsid w:val="BFFF9A47"/>
    <w:rsid w:val="D331C4B7"/>
    <w:rsid w:val="D7D7DCCF"/>
    <w:rsid w:val="DEB32CC3"/>
    <w:rsid w:val="DEDB72CC"/>
    <w:rsid w:val="DF66993D"/>
    <w:rsid w:val="DF768C25"/>
    <w:rsid w:val="DFFDBF47"/>
    <w:rsid w:val="E6FDD96E"/>
    <w:rsid w:val="EBBA88FA"/>
    <w:rsid w:val="EFF72F48"/>
    <w:rsid w:val="F2F781E8"/>
    <w:rsid w:val="F57F4399"/>
    <w:rsid w:val="F5FFD31F"/>
    <w:rsid w:val="F677699D"/>
    <w:rsid w:val="F7FF4181"/>
    <w:rsid w:val="FB51E1C6"/>
    <w:rsid w:val="FCE4A510"/>
    <w:rsid w:val="FCF46DF8"/>
    <w:rsid w:val="FF2FA0EA"/>
    <w:rsid w:val="FF4D7AC2"/>
    <w:rsid w:val="FFBC0FD1"/>
    <w:rsid w:val="FFCF374E"/>
    <w:rsid w:val="FFF5B78A"/>
    <w:rsid w:val="FFF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6"/>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标题 3 字符"/>
    <w:qFormat/>
    <w:uiPriority w:val="9"/>
    <w:rPr>
      <w:b/>
      <w:bCs/>
      <w:kern w:val="2"/>
      <w:sz w:val="32"/>
      <w:szCs w:val="32"/>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Calibri" w:hAnsi="Calibri" w:eastAsia="Times New Roman" w:cs="Times New Roman"/>
      <w:sz w:val="21"/>
      <w:szCs w:val="22"/>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next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25567</Words>
  <Characters>27001</Characters>
  <Lines>405</Lines>
  <Paragraphs>114</Paragraphs>
  <TotalTime>13</TotalTime>
  <ScaleCrop>false</ScaleCrop>
  <LinksUpToDate>false</LinksUpToDate>
  <CharactersWithSpaces>29621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2022-05-10T15:35:00Z</dcterms:created>
  <cp:lastPrinted>2021-12-30T19:06:00Z</cp:lastPrinted>
  <dcterms:modified xsi:type="dcterms:W3CDTF">2024-11-04T11:41:41Z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42F3CB8654F34A7A8CCE10E03D1A5773_13</vt:lpwstr>
  </property>
  <property fmtid="{D5CDD505-2E9C-101B-9397-08002B2CF9AE}" pid="5" name="commondata">
    <vt:lpwstr>eyJoZGlkIjoiNGNlMmFkMDQ1NDY0ZmRiM2Q0NjY4NTFjN2IwMTllYjMifQ==</vt:lpwstr>
  </property>
</Properties>
</file>