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990E413">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eastAsia" w:ascii="宋体" w:hAnsi="宋体" w:eastAsia="宋体" w:cs="宋体"/>
          <w:b/>
          <w:bCs/>
          <w:sz w:val="44"/>
          <w:szCs w:val="44"/>
          <w:lang w:eastAsia="zh-CN"/>
        </w:rPr>
      </w:pPr>
      <w:r>
        <w:rPr>
          <w:rFonts w:hint="eastAsia" w:cs="宋体"/>
          <w:b/>
          <w:bCs/>
          <w:sz w:val="44"/>
          <w:szCs w:val="44"/>
          <w:lang w:val="en-US" w:eastAsia="zh-CN"/>
        </w:rPr>
        <w:t>2025年长兴县实验小学画溪校区</w:t>
      </w:r>
    </w:p>
    <w:p w14:paraId="2D7CA2CA">
      <w:pPr>
        <w:keepNext w:val="0"/>
        <w:keepLines w:val="0"/>
        <w:pageBreakBefore w:val="0"/>
        <w:widowControl w:val="0"/>
        <w:kinsoku/>
        <w:wordWrap/>
        <w:overflowPunct/>
        <w:topLinePunct w:val="0"/>
        <w:autoSpaceDE/>
        <w:autoSpaceDN/>
        <w:bidi w:val="0"/>
        <w:adjustRightInd/>
        <w:snapToGrid/>
        <w:spacing w:line="700" w:lineRule="exact"/>
        <w:ind w:left="0" w:leftChars="0" w:firstLine="0" w:firstLineChars="0"/>
        <w:jc w:val="center"/>
        <w:textAlignment w:val="auto"/>
        <w:rPr>
          <w:rFonts w:hint="eastAsia" w:ascii="宋体" w:hAnsi="宋体" w:eastAsia="宋体" w:cs="宋体"/>
          <w:b/>
          <w:bCs/>
          <w:sz w:val="44"/>
          <w:szCs w:val="44"/>
          <w:lang w:eastAsia="zh-CN"/>
        </w:rPr>
      </w:pPr>
      <w:r>
        <w:rPr>
          <w:rFonts w:hint="eastAsia" w:cs="宋体"/>
          <w:b/>
          <w:bCs/>
          <w:sz w:val="44"/>
          <w:szCs w:val="44"/>
          <w:u w:val="none"/>
          <w:lang w:eastAsia="zh-CN"/>
        </w:rPr>
        <w:t>新建工程</w:t>
      </w:r>
      <w:r>
        <w:rPr>
          <w:rFonts w:hint="eastAsia" w:ascii="宋体" w:hAnsi="宋体" w:eastAsia="宋体" w:cs="宋体"/>
          <w:b/>
          <w:bCs/>
          <w:sz w:val="44"/>
          <w:szCs w:val="44"/>
          <w:u w:val="none"/>
        </w:rPr>
        <w:t>厨房设备采购项目</w:t>
      </w:r>
    </w:p>
    <w:p w14:paraId="7523A8C5">
      <w:pPr>
        <w:pStyle w:val="15"/>
        <w:rPr>
          <w:rFonts w:hint="eastAsia" w:ascii="宋体" w:hAnsi="宋体" w:eastAsia="宋体" w:cs="宋体"/>
          <w:sz w:val="24"/>
          <w:szCs w:val="24"/>
        </w:rPr>
      </w:pPr>
    </w:p>
    <w:p w14:paraId="1D571694">
      <w:pPr>
        <w:spacing w:line="600" w:lineRule="auto"/>
        <w:ind w:firstLine="1446"/>
        <w:jc w:val="both"/>
        <w:rPr>
          <w:rFonts w:hint="eastAsia" w:cs="宋体"/>
          <w:b/>
          <w:bCs/>
          <w:sz w:val="32"/>
          <w:szCs w:val="32"/>
          <w:lang w:val="en-US" w:eastAsia="zh-CN"/>
        </w:rPr>
      </w:pPr>
      <w:r>
        <w:rPr>
          <w:rFonts w:hint="eastAsia" w:cs="宋体"/>
          <w:b/>
          <w:bCs/>
          <w:sz w:val="32"/>
          <w:szCs w:val="32"/>
          <w:lang w:val="en-US" w:eastAsia="zh-CN"/>
        </w:rPr>
        <w:t xml:space="preserve">          </w:t>
      </w:r>
    </w:p>
    <w:p w14:paraId="536EF9E5">
      <w:pPr>
        <w:pStyle w:val="5"/>
        <w:rPr>
          <w:rFonts w:hint="eastAsia"/>
        </w:rPr>
      </w:pPr>
    </w:p>
    <w:p w14:paraId="5B3AB552">
      <w:pPr>
        <w:keepNext w:val="0"/>
        <w:keepLines w:val="0"/>
        <w:pageBreakBefore w:val="0"/>
        <w:widowControl w:val="0"/>
        <w:kinsoku/>
        <w:wordWrap/>
        <w:overflowPunct/>
        <w:topLinePunct w:val="0"/>
        <w:autoSpaceDE/>
        <w:autoSpaceDN/>
        <w:bidi w:val="0"/>
        <w:adjustRightInd/>
        <w:snapToGrid w:val="0"/>
        <w:spacing w:line="860" w:lineRule="exact"/>
        <w:ind w:firstLine="0" w:firstLineChars="0"/>
        <w:jc w:val="center"/>
        <w:textAlignment w:val="auto"/>
        <w:rPr>
          <w:rFonts w:hint="eastAsia" w:ascii="宋体" w:hAnsi="宋体" w:eastAsia="宋体" w:cs="宋体"/>
          <w:b/>
          <w:sz w:val="84"/>
          <w:szCs w:val="84"/>
        </w:rPr>
      </w:pPr>
      <w:r>
        <w:rPr>
          <w:rFonts w:hint="eastAsia" w:ascii="宋体" w:hAnsi="宋体" w:eastAsia="宋体" w:cs="宋体"/>
          <w:b/>
          <w:sz w:val="84"/>
          <w:szCs w:val="84"/>
        </w:rPr>
        <w:t>公开招标文件</w:t>
      </w:r>
    </w:p>
    <w:p w14:paraId="78BB7F7B">
      <w:pPr>
        <w:keepNext w:val="0"/>
        <w:keepLines w:val="0"/>
        <w:pageBreakBefore w:val="0"/>
        <w:widowControl w:val="0"/>
        <w:kinsoku/>
        <w:wordWrap/>
        <w:overflowPunct/>
        <w:topLinePunct w:val="0"/>
        <w:autoSpaceDE/>
        <w:autoSpaceDN/>
        <w:bidi w:val="0"/>
        <w:adjustRightInd/>
        <w:snapToGrid w:val="0"/>
        <w:spacing w:line="860" w:lineRule="exact"/>
        <w:ind w:firstLine="0" w:firstLineChars="0"/>
        <w:jc w:val="center"/>
        <w:textAlignment w:val="auto"/>
        <w:rPr>
          <w:rFonts w:hint="eastAsia" w:cs="宋体"/>
          <w:b/>
          <w:bCs/>
          <w:sz w:val="32"/>
          <w:szCs w:val="32"/>
          <w:lang w:val="en-US" w:eastAsia="zh-CN"/>
        </w:rPr>
      </w:pPr>
      <w:r>
        <w:rPr>
          <w:rFonts w:hint="eastAsia" w:cs="宋体"/>
          <w:b/>
          <w:sz w:val="32"/>
          <w:szCs w:val="32"/>
          <w:lang w:val="en-US" w:eastAsia="zh-CN"/>
        </w:rPr>
        <w:t>（电子交易）</w:t>
      </w:r>
    </w:p>
    <w:p w14:paraId="21792854">
      <w:pPr>
        <w:pStyle w:val="15"/>
        <w:rPr>
          <w:rFonts w:hint="eastAsia"/>
          <w:sz w:val="13"/>
          <w:szCs w:val="13"/>
          <w:lang w:val="en-US" w:eastAsia="zh-CN"/>
        </w:rPr>
      </w:pPr>
    </w:p>
    <w:p w14:paraId="6D73D19E">
      <w:pPr>
        <w:snapToGrid w:val="0"/>
        <w:ind w:left="0" w:leftChars="0" w:firstLine="0" w:firstLineChars="0"/>
        <w:jc w:val="center"/>
        <w:rPr>
          <w:rFonts w:hint="default" w:ascii="宋体" w:hAnsi="宋体" w:eastAsia="宋体" w:cs="宋体"/>
          <w:b/>
          <w:bCs/>
          <w:lang w:val="en-US" w:eastAsia="zh-CN"/>
        </w:rPr>
      </w:pPr>
      <w:r>
        <w:rPr>
          <w:rFonts w:hint="eastAsia" w:cs="宋体"/>
          <w:b/>
          <w:bCs/>
          <w:sz w:val="32"/>
          <w:szCs w:val="32"/>
          <w:lang w:val="en-US" w:eastAsia="zh-CN"/>
        </w:rPr>
        <w:t>（采购计划文号：[2025]1349号）</w:t>
      </w:r>
    </w:p>
    <w:p w14:paraId="198861D5">
      <w:pPr>
        <w:snapToGrid w:val="0"/>
        <w:ind w:firstLine="0" w:firstLineChars="0"/>
        <w:rPr>
          <w:rFonts w:hint="eastAsia" w:ascii="宋体" w:hAnsi="宋体" w:eastAsia="宋体" w:cs="宋体"/>
          <w:b/>
        </w:rPr>
      </w:pPr>
    </w:p>
    <w:p w14:paraId="6FED9C57">
      <w:pPr>
        <w:rPr>
          <w:rFonts w:hint="eastAsia"/>
        </w:rPr>
      </w:pPr>
    </w:p>
    <w:p w14:paraId="254AA130">
      <w:pPr>
        <w:pStyle w:val="5"/>
        <w:rPr>
          <w:rFonts w:hint="eastAsia"/>
        </w:rPr>
      </w:pPr>
    </w:p>
    <w:p w14:paraId="1B16AD30">
      <w:pPr>
        <w:rPr>
          <w:rFonts w:hint="eastAsia"/>
        </w:rPr>
      </w:pPr>
    </w:p>
    <w:p w14:paraId="223744E6">
      <w:pPr>
        <w:snapToGrid w:val="0"/>
        <w:ind w:firstLine="0" w:firstLineChars="0"/>
        <w:rPr>
          <w:rFonts w:hint="eastAsia" w:ascii="宋体" w:hAnsi="宋体" w:eastAsia="宋体" w:cs="宋体"/>
          <w:b/>
        </w:rPr>
      </w:pPr>
    </w:p>
    <w:p w14:paraId="4BF2D72F">
      <w:pPr>
        <w:bidi w:val="0"/>
        <w:spacing w:line="360" w:lineRule="auto"/>
        <w:ind w:left="2238" w:leftChars="266" w:hanging="1600" w:hangingChars="500"/>
        <w:rPr>
          <w:rFonts w:hint="eastAsia" w:ascii="宋体" w:hAnsi="宋体" w:eastAsia="宋体" w:cs="宋体"/>
          <w:sz w:val="32"/>
          <w:szCs w:val="32"/>
          <w:lang w:val="en-US" w:eastAsia="zh-CN"/>
        </w:rPr>
      </w:pPr>
      <w:r>
        <w:rPr>
          <w:rFonts w:hint="eastAsia" w:ascii="宋体" w:hAnsi="宋体" w:eastAsia="宋体" w:cs="宋体"/>
          <w:sz w:val="32"/>
          <w:szCs w:val="32"/>
        </w:rPr>
        <w:t>项目名称：</w:t>
      </w:r>
      <w:r>
        <w:rPr>
          <w:rFonts w:hint="eastAsia" w:cs="宋体"/>
          <w:sz w:val="32"/>
          <w:szCs w:val="32"/>
          <w:u w:val="single"/>
          <w:lang w:eastAsia="zh-CN"/>
        </w:rPr>
        <w:t>2025年长兴县实验小学画溪校区新建工程厨房设备采购项目</w:t>
      </w:r>
    </w:p>
    <w:p w14:paraId="5729510F">
      <w:pPr>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eastAsia="zh-CN"/>
        </w:rPr>
        <w:t>项目</w:t>
      </w:r>
      <w:r>
        <w:rPr>
          <w:rFonts w:hint="eastAsia" w:ascii="宋体" w:hAnsi="宋体" w:eastAsia="宋体" w:cs="宋体"/>
          <w:sz w:val="32"/>
          <w:szCs w:val="32"/>
        </w:rPr>
        <w:t>编号：</w:t>
      </w:r>
      <w:r>
        <w:rPr>
          <w:rFonts w:hint="eastAsia" w:ascii="宋体" w:hAnsi="宋体" w:eastAsia="宋体" w:cs="宋体"/>
          <w:sz w:val="32"/>
          <w:szCs w:val="32"/>
          <w:u w:val="single"/>
          <w:lang w:val="en-US" w:eastAsia="zh-CN"/>
        </w:rPr>
        <w:t>ZJZX-</w:t>
      </w:r>
      <w:r>
        <w:rPr>
          <w:rFonts w:hint="eastAsia" w:cs="宋体"/>
          <w:sz w:val="32"/>
          <w:szCs w:val="32"/>
          <w:u w:val="single"/>
          <w:lang w:val="en-US" w:eastAsia="zh-CN"/>
        </w:rPr>
        <w:t>CXSY</w:t>
      </w:r>
      <w:r>
        <w:rPr>
          <w:rFonts w:hint="eastAsia" w:ascii="宋体" w:hAnsi="宋体" w:eastAsia="宋体" w:cs="宋体"/>
          <w:sz w:val="32"/>
          <w:szCs w:val="32"/>
          <w:u w:val="single"/>
          <w:lang w:val="en-US" w:eastAsia="zh-CN"/>
        </w:rPr>
        <w:t>-202</w:t>
      </w:r>
      <w:r>
        <w:rPr>
          <w:rFonts w:hint="eastAsia" w:cs="宋体"/>
          <w:sz w:val="32"/>
          <w:szCs w:val="32"/>
          <w:u w:val="single"/>
          <w:lang w:val="en-US" w:eastAsia="zh-CN"/>
        </w:rPr>
        <w:t>5</w:t>
      </w:r>
      <w:r>
        <w:rPr>
          <w:rFonts w:hint="eastAsia" w:ascii="宋体" w:hAnsi="宋体" w:eastAsia="宋体" w:cs="宋体"/>
          <w:sz w:val="32"/>
          <w:szCs w:val="32"/>
          <w:u w:val="single"/>
          <w:lang w:val="en-US" w:eastAsia="zh-CN"/>
        </w:rPr>
        <w:t>00</w:t>
      </w:r>
      <w:r>
        <w:rPr>
          <w:rFonts w:hint="eastAsia" w:cs="宋体"/>
          <w:sz w:val="32"/>
          <w:szCs w:val="32"/>
          <w:u w:val="single"/>
          <w:lang w:val="en-US" w:eastAsia="zh-CN"/>
        </w:rPr>
        <w:t>1</w:t>
      </w:r>
      <w:r>
        <w:rPr>
          <w:rFonts w:hint="eastAsia" w:ascii="宋体" w:hAnsi="宋体" w:eastAsia="宋体" w:cs="宋体"/>
          <w:sz w:val="32"/>
          <w:szCs w:val="32"/>
          <w:lang w:val="en-US" w:eastAsia="zh-CN"/>
        </w:rPr>
        <w:t xml:space="preserve">                       </w:t>
      </w:r>
    </w:p>
    <w:p w14:paraId="49B045D6">
      <w:pPr>
        <w:bidi w:val="0"/>
        <w:spacing w:line="360" w:lineRule="auto"/>
        <w:rPr>
          <w:rFonts w:hint="eastAsia" w:ascii="宋体" w:hAnsi="宋体" w:eastAsia="宋体" w:cs="宋体"/>
          <w:sz w:val="32"/>
          <w:szCs w:val="32"/>
          <w:lang w:val="en-US" w:eastAsia="zh-CN"/>
        </w:rPr>
      </w:pPr>
      <w:r>
        <w:rPr>
          <w:rFonts w:hint="eastAsia" w:ascii="宋体" w:hAnsi="宋体" w:eastAsia="宋体" w:cs="宋体"/>
          <w:sz w:val="32"/>
          <w:szCs w:val="32"/>
          <w:lang w:eastAsia="zh-CN"/>
        </w:rPr>
        <w:t>招</w:t>
      </w:r>
      <w:r>
        <w:rPr>
          <w:rFonts w:hint="eastAsia" w:ascii="宋体" w:hAnsi="宋体" w:eastAsia="宋体" w:cs="宋体"/>
          <w:sz w:val="32"/>
          <w:szCs w:val="32"/>
        </w:rPr>
        <w:t xml:space="preserve"> </w:t>
      </w:r>
      <w:r>
        <w:rPr>
          <w:rFonts w:hint="eastAsia" w:ascii="宋体" w:hAnsi="宋体" w:eastAsia="宋体" w:cs="宋体"/>
          <w:sz w:val="32"/>
          <w:szCs w:val="32"/>
          <w:lang w:eastAsia="zh-CN"/>
        </w:rPr>
        <w:t>标</w:t>
      </w:r>
      <w:r>
        <w:rPr>
          <w:rFonts w:hint="eastAsia" w:ascii="宋体" w:hAnsi="宋体" w:eastAsia="宋体" w:cs="宋体"/>
          <w:sz w:val="32"/>
          <w:szCs w:val="32"/>
        </w:rPr>
        <w:t xml:space="preserve"> 人：</w:t>
      </w:r>
      <w:r>
        <w:rPr>
          <w:rFonts w:hint="eastAsia" w:cs="宋体"/>
          <w:sz w:val="32"/>
          <w:szCs w:val="32"/>
          <w:u w:val="single"/>
          <w:lang w:eastAsia="zh-CN"/>
        </w:rPr>
        <w:t>长兴县实验小学（盖章）</w:t>
      </w:r>
      <w:r>
        <w:rPr>
          <w:rFonts w:hint="eastAsia" w:ascii="宋体" w:hAnsi="宋体" w:eastAsia="宋体" w:cs="宋体"/>
          <w:sz w:val="32"/>
          <w:szCs w:val="32"/>
          <w:lang w:val="en-US" w:eastAsia="zh-CN"/>
        </w:rPr>
        <w:t xml:space="preserve">                       </w:t>
      </w:r>
    </w:p>
    <w:p w14:paraId="2E1212C3">
      <w:pPr>
        <w:bidi w:val="0"/>
        <w:spacing w:line="360" w:lineRule="auto"/>
        <w:rPr>
          <w:rFonts w:hint="eastAsia" w:cs="宋体"/>
          <w:b/>
          <w:bCs/>
          <w:szCs w:val="32"/>
          <w:u w:val="single"/>
          <w:lang w:val="en-US" w:eastAsia="zh-CN"/>
        </w:rPr>
      </w:pPr>
      <w:r>
        <w:rPr>
          <w:rFonts w:hint="eastAsia" w:ascii="宋体" w:hAnsi="宋体" w:eastAsia="宋体" w:cs="宋体"/>
          <w:sz w:val="32"/>
          <w:szCs w:val="32"/>
          <w:lang w:eastAsia="zh-CN"/>
        </w:rPr>
        <w:t>招标</w:t>
      </w:r>
      <w:r>
        <w:rPr>
          <w:rFonts w:hint="eastAsia" w:ascii="宋体" w:hAnsi="宋体" w:eastAsia="宋体" w:cs="宋体"/>
          <w:sz w:val="32"/>
          <w:szCs w:val="32"/>
        </w:rPr>
        <w:t>代理机构：</w:t>
      </w:r>
      <w:r>
        <w:rPr>
          <w:rFonts w:hint="eastAsia" w:ascii="宋体" w:hAnsi="宋体" w:eastAsia="宋体" w:cs="宋体"/>
          <w:sz w:val="32"/>
          <w:szCs w:val="32"/>
          <w:u w:val="single"/>
          <w:lang w:eastAsia="zh-CN"/>
        </w:rPr>
        <w:t>浙江致信招标代理有限公司</w:t>
      </w:r>
      <w:r>
        <w:rPr>
          <w:rFonts w:hint="eastAsia" w:cs="宋体"/>
          <w:sz w:val="32"/>
          <w:szCs w:val="32"/>
          <w:u w:val="single"/>
          <w:lang w:eastAsia="zh-CN"/>
        </w:rPr>
        <w:t>（盖章）</w:t>
      </w:r>
      <w:r>
        <w:rPr>
          <w:rFonts w:hint="eastAsia" w:cs="宋体"/>
          <w:b/>
          <w:bCs/>
          <w:szCs w:val="32"/>
          <w:u w:val="single"/>
          <w:lang w:val="en-US" w:eastAsia="zh-CN"/>
        </w:rPr>
        <w:t xml:space="preserve">                   </w:t>
      </w:r>
    </w:p>
    <w:p w14:paraId="4B51BC99">
      <w:pPr>
        <w:pStyle w:val="5"/>
        <w:rPr>
          <w:rFonts w:hint="eastAsia" w:cs="宋体"/>
          <w:b/>
          <w:bCs/>
          <w:sz w:val="32"/>
          <w:szCs w:val="32"/>
          <w:u w:val="single"/>
          <w:lang w:val="en-US" w:eastAsia="zh-CN"/>
        </w:rPr>
      </w:pPr>
    </w:p>
    <w:p w14:paraId="1D92AC92">
      <w:pPr>
        <w:rPr>
          <w:rFonts w:hint="eastAsia" w:cs="宋体"/>
          <w:b/>
          <w:bCs/>
          <w:sz w:val="32"/>
          <w:szCs w:val="32"/>
          <w:u w:val="single"/>
          <w:lang w:val="en-US" w:eastAsia="zh-CN"/>
        </w:rPr>
      </w:pPr>
    </w:p>
    <w:p w14:paraId="18F9FD29">
      <w:pPr>
        <w:pStyle w:val="5"/>
        <w:rPr>
          <w:rFonts w:hint="default"/>
          <w:lang w:val="en-US" w:eastAsia="zh-CN"/>
        </w:rPr>
      </w:pPr>
    </w:p>
    <w:p w14:paraId="0C000320">
      <w:pPr>
        <w:snapToGrid w:val="0"/>
        <w:ind w:left="0" w:lef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时    间：</w:t>
      </w:r>
      <w:r>
        <w:rPr>
          <w:rFonts w:hint="eastAsia" w:cs="宋体"/>
          <w:b/>
          <w:bCs/>
          <w:sz w:val="32"/>
          <w:szCs w:val="32"/>
          <w:lang w:val="en-US" w:eastAsia="zh-CN"/>
        </w:rPr>
        <w:t>2025</w:t>
      </w:r>
      <w:r>
        <w:rPr>
          <w:rFonts w:hint="eastAsia" w:ascii="宋体" w:hAnsi="宋体" w:eastAsia="宋体" w:cs="宋体"/>
          <w:b/>
          <w:bCs/>
          <w:sz w:val="32"/>
          <w:szCs w:val="32"/>
        </w:rPr>
        <w:t>年</w:t>
      </w:r>
      <w:r>
        <w:rPr>
          <w:rFonts w:hint="eastAsia" w:cs="宋体"/>
          <w:b/>
          <w:bCs/>
          <w:sz w:val="32"/>
          <w:szCs w:val="32"/>
          <w:lang w:val="en-US" w:eastAsia="zh-CN"/>
        </w:rPr>
        <w:t>4</w:t>
      </w:r>
      <w:r>
        <w:rPr>
          <w:rFonts w:hint="eastAsia" w:ascii="宋体" w:hAnsi="宋体" w:eastAsia="宋体" w:cs="宋体"/>
          <w:b/>
          <w:bCs/>
          <w:sz w:val="32"/>
          <w:szCs w:val="32"/>
        </w:rPr>
        <w:t>月</w:t>
      </w:r>
    </w:p>
    <w:p w14:paraId="19915F8F">
      <w:pPr>
        <w:pStyle w:val="79"/>
        <w:rPr>
          <w:rFonts w:hint="eastAsia" w:ascii="宋体" w:hAnsi="宋体" w:eastAsia="宋体" w:cs="宋体"/>
          <w:color w:val="auto"/>
        </w:rPr>
      </w:pPr>
    </w:p>
    <w:p w14:paraId="73F50865">
      <w:pPr>
        <w:snapToGrid w:val="0"/>
        <w:ind w:firstLine="482"/>
        <w:rPr>
          <w:rFonts w:hint="eastAsia" w:ascii="宋体" w:hAnsi="宋体" w:eastAsia="宋体" w:cs="宋体"/>
          <w:b/>
          <w:bCs/>
        </w:rPr>
        <w:sectPr>
          <w:headerReference r:id="rId7" w:type="first"/>
          <w:footerReference r:id="rId10" w:type="first"/>
          <w:headerReference r:id="rId5" w:type="default"/>
          <w:footerReference r:id="rId8" w:type="default"/>
          <w:headerReference r:id="rId6" w:type="even"/>
          <w:footerReference r:id="rId9" w:type="even"/>
          <w:type w:val="continuous"/>
          <w:pgSz w:w="11906" w:h="16838"/>
          <w:pgMar w:top="1247" w:right="1247" w:bottom="1247" w:left="1247" w:header="851" w:footer="992" w:gutter="0"/>
          <w:pgNumType w:start="1"/>
          <w:cols w:space="720" w:num="1"/>
          <w:docGrid w:type="lines" w:linePitch="312" w:charSpace="0"/>
        </w:sectPr>
      </w:pPr>
    </w:p>
    <w:p w14:paraId="54F8DAF1">
      <w:pPr>
        <w:pStyle w:val="35"/>
        <w:tabs>
          <w:tab w:val="right" w:leader="dot" w:pos="8306"/>
          <w:tab w:val="clear" w:pos="8296"/>
        </w:tabs>
        <w:ind w:left="480" w:firstLine="3614" w:firstLineChars="1000"/>
        <w:jc w:val="both"/>
        <w:rPr>
          <w:rFonts w:hint="eastAsia" w:ascii="宋体" w:hAnsi="宋体" w:eastAsia="宋体" w:cs="宋体"/>
          <w:b/>
          <w:bCs/>
          <w:sz w:val="36"/>
          <w:szCs w:val="36"/>
          <w:lang w:val="zh-CN"/>
        </w:rPr>
      </w:pPr>
      <w:bookmarkStart w:id="0" w:name="_Toc32639"/>
      <w:r>
        <w:rPr>
          <w:rFonts w:hint="eastAsia" w:ascii="宋体" w:hAnsi="宋体" w:eastAsia="宋体" w:cs="宋体"/>
          <w:b/>
          <w:bCs/>
          <w:sz w:val="36"/>
          <w:szCs w:val="36"/>
          <w:lang w:val="zh-CN"/>
        </w:rPr>
        <w:t>目</w:t>
      </w:r>
      <w:r>
        <w:rPr>
          <w:rFonts w:hint="eastAsia" w:ascii="宋体" w:hAnsi="宋体" w:eastAsia="宋体" w:cs="宋体"/>
          <w:b/>
          <w:bCs/>
          <w:sz w:val="36"/>
          <w:szCs w:val="36"/>
        </w:rPr>
        <w:t xml:space="preserve">  </w:t>
      </w:r>
      <w:r>
        <w:rPr>
          <w:rFonts w:hint="eastAsia" w:ascii="宋体" w:hAnsi="宋体" w:eastAsia="宋体" w:cs="宋体"/>
          <w:b/>
          <w:bCs/>
          <w:sz w:val="36"/>
          <w:szCs w:val="36"/>
          <w:lang w:val="zh-CN"/>
        </w:rPr>
        <w:t>录</w:t>
      </w:r>
      <w:bookmarkEnd w:id="0"/>
    </w:p>
    <w:p w14:paraId="772F371B">
      <w:pPr>
        <w:pStyle w:val="35"/>
        <w:tabs>
          <w:tab w:val="right" w:leader="dot" w:pos="8306"/>
          <w:tab w:val="clear" w:pos="8296"/>
        </w:tabs>
        <w:ind w:left="480"/>
        <w:jc w:val="center"/>
        <w:rPr>
          <w:rFonts w:hint="eastAsia" w:ascii="宋体" w:hAnsi="宋体" w:eastAsia="宋体" w:cs="宋体"/>
        </w:rPr>
      </w:pPr>
      <w:r>
        <w:rPr>
          <w:rFonts w:hint="eastAsia" w:ascii="宋体" w:hAnsi="宋体" w:eastAsia="宋体" w:cs="宋体"/>
        </w:rPr>
        <w:fldChar w:fldCharType="begin"/>
      </w:r>
      <w:r>
        <w:rPr>
          <w:rFonts w:hint="eastAsia" w:ascii="宋体" w:hAnsi="宋体" w:eastAsia="宋体" w:cs="宋体"/>
        </w:rPr>
        <w:instrText xml:space="preserve"> TOC \o "1-2" \h \z \u </w:instrText>
      </w:r>
      <w:r>
        <w:rPr>
          <w:rFonts w:hint="eastAsia" w:ascii="宋体" w:hAnsi="宋体" w:eastAsia="宋体" w:cs="宋体"/>
        </w:rPr>
        <w:fldChar w:fldCharType="separate"/>
      </w:r>
    </w:p>
    <w:p w14:paraId="04E8B51E">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eastAsia" w:ascii="宋体" w:hAnsi="宋体" w:eastAsia="宋体" w:cs="宋体"/>
          <w:sz w:val="30"/>
          <w:szCs w:val="30"/>
          <w:lang w:val="en-US" w:eastAsia="zh-CN"/>
        </w:rPr>
      </w:pPr>
      <w:r>
        <w:rPr>
          <w:rFonts w:hint="eastAsia" w:ascii="宋体" w:hAnsi="宋体" w:eastAsia="宋体" w:cs="宋体"/>
        </w:rPr>
        <w:fldChar w:fldCharType="begin"/>
      </w:r>
      <w:r>
        <w:rPr>
          <w:rFonts w:hint="eastAsia" w:ascii="宋体" w:hAnsi="宋体" w:eastAsia="宋体" w:cs="宋体"/>
        </w:rPr>
        <w:instrText xml:space="preserve"> TOC \o "1-3" \h \z \u </w:instrText>
      </w:r>
      <w:r>
        <w:rPr>
          <w:rFonts w:hint="eastAsia" w:ascii="宋体" w:hAnsi="宋体" w:eastAsia="宋体" w:cs="宋体"/>
        </w:rPr>
        <w:fldChar w:fldCharType="separate"/>
      </w: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"_Toc96595266"</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第一章 招标公告</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eastAsia="宋体" w:cs="宋体"/>
          <w:sz w:val="30"/>
          <w:szCs w:val="30"/>
          <w:lang w:val="en-US" w:eastAsia="zh-CN"/>
        </w:rPr>
        <w:t>1</w:t>
      </w:r>
    </w:p>
    <w:p w14:paraId="411E0129">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eastAsia"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"_Toc96595267"</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第二章 采购需求</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eastAsia="宋体" w:cs="宋体"/>
          <w:sz w:val="30"/>
          <w:szCs w:val="30"/>
          <w:lang w:val="en-US" w:eastAsia="zh-CN"/>
        </w:rPr>
        <w:t>5</w:t>
      </w:r>
    </w:p>
    <w:p w14:paraId="5E8FAC4C">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"_Toc96595268"</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 xml:space="preserve">第三章 </w:t>
      </w:r>
      <w:r>
        <w:rPr>
          <w:rStyle w:val="52"/>
          <w:rFonts w:hint="eastAsia" w:ascii="宋体" w:hAnsi="宋体" w:eastAsia="宋体" w:cs="宋体"/>
          <w:sz w:val="30"/>
          <w:szCs w:val="30"/>
          <w:lang w:eastAsia="zh-CN"/>
        </w:rPr>
        <w:t>投标人</w:t>
      </w:r>
      <w:r>
        <w:rPr>
          <w:rStyle w:val="52"/>
          <w:rFonts w:hint="eastAsia" w:ascii="宋体" w:hAnsi="宋体" w:eastAsia="宋体" w:cs="宋体"/>
          <w:sz w:val="30"/>
          <w:szCs w:val="30"/>
        </w:rPr>
        <w:t>须知</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38</w:t>
      </w:r>
    </w:p>
    <w:p w14:paraId="563C0210">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"_Toc96595269"</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val="en-US" w:eastAsia="zh-CN"/>
        </w:rPr>
        <w:t xml:space="preserve">    </w:t>
      </w:r>
      <w:r>
        <w:rPr>
          <w:rStyle w:val="52"/>
          <w:rFonts w:hint="eastAsia" w:ascii="宋体" w:hAnsi="宋体" w:eastAsia="宋体" w:cs="宋体"/>
          <w:sz w:val="30"/>
          <w:szCs w:val="30"/>
        </w:rPr>
        <w:t>前附表</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38</w:t>
      </w:r>
    </w:p>
    <w:p w14:paraId="16B52F1A">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"_Toc96595270"</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一、总则</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41</w:t>
      </w:r>
    </w:p>
    <w:p w14:paraId="1C6F6F0D">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"_Toc96595271"</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二、招标文件</w:t>
      </w:r>
      <w:r>
        <w:rPr>
          <w:rStyle w:val="52"/>
          <w:rFonts w:hint="eastAsia" w:ascii="宋体" w:hAnsi="宋体" w:eastAsia="宋体" w:cs="宋体"/>
          <w:sz w:val="30"/>
          <w:szCs w:val="30"/>
          <w:lang w:eastAsia="zh-CN"/>
        </w:rPr>
        <w:t>的组成、澄清、修改</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44</w:t>
      </w:r>
    </w:p>
    <w:p w14:paraId="692CF32F">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"_Toc96595272"</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三、投标文件</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44</w:t>
      </w:r>
    </w:p>
    <w:p w14:paraId="623EFE48">
      <w:pPr>
        <w:keepNext w:val="0"/>
        <w:keepLines w:val="0"/>
        <w:pageBreakBefore w:val="0"/>
        <w:widowControl w:val="0"/>
        <w:tabs>
          <w:tab w:val="right" w:leader="dot" w:pos="9060"/>
        </w:tabs>
        <w:kinsoku/>
        <w:wordWrap/>
        <w:overflowPunct/>
        <w:topLinePunct w:val="0"/>
        <w:autoSpaceDE/>
        <w:autoSpaceDN/>
        <w:bidi w:val="0"/>
        <w:adjustRightInd/>
        <w:snapToGrid/>
        <w:ind w:left="0" w:leftChars="0" w:firstLine="480" w:firstLineChars="160"/>
        <w:textAlignment w:val="auto"/>
        <w:rPr>
          <w:rStyle w:val="52"/>
          <w:rFonts w:hint="eastAsia" w:ascii="宋体" w:hAnsi="宋体" w:eastAsia="宋体" w:cs="宋体"/>
          <w:sz w:val="30"/>
          <w:szCs w:val="30"/>
          <w:lang w:val="en-US" w:eastAsia="zh-CN"/>
        </w:rPr>
      </w:pPr>
      <w:r>
        <w:rPr>
          <w:rStyle w:val="52"/>
          <w:rFonts w:hint="eastAsia" w:ascii="宋体" w:hAnsi="宋体" w:eastAsia="宋体" w:cs="宋体"/>
          <w:sz w:val="30"/>
          <w:szCs w:val="30"/>
          <w:lang w:eastAsia="zh-CN"/>
        </w:rPr>
        <w:t>四、投标文件的递交</w:t>
      </w:r>
      <w:r>
        <w:rPr>
          <w:rStyle w:val="52"/>
          <w:rFonts w:hint="eastAsia" w:ascii="宋体" w:hAnsi="宋体" w:eastAsia="宋体" w:cs="宋体"/>
          <w:sz w:val="30"/>
          <w:szCs w:val="30"/>
          <w:lang w:val="en-US" w:eastAsia="zh-CN"/>
        </w:rPr>
        <w:tab/>
      </w:r>
      <w:r>
        <w:rPr>
          <w:rStyle w:val="52"/>
          <w:rFonts w:hint="eastAsia" w:ascii="宋体" w:hAnsi="宋体" w:eastAsia="宋体" w:cs="宋体"/>
          <w:sz w:val="30"/>
          <w:szCs w:val="30"/>
          <w:lang w:val="en-US" w:eastAsia="zh-CN"/>
        </w:rPr>
        <w:t>48</w:t>
      </w:r>
    </w:p>
    <w:p w14:paraId="2CE13ACE">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"_Toc96595273"</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五</w:t>
      </w:r>
      <w:r>
        <w:rPr>
          <w:rStyle w:val="52"/>
          <w:rFonts w:hint="eastAsia" w:ascii="宋体" w:hAnsi="宋体" w:eastAsia="宋体" w:cs="宋体"/>
          <w:sz w:val="30"/>
          <w:szCs w:val="30"/>
        </w:rPr>
        <w:t>、开标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49</w:t>
      </w:r>
    </w:p>
    <w:p w14:paraId="7B7B39CC">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"_Toc96595274"</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六</w:t>
      </w:r>
      <w:r>
        <w:rPr>
          <w:rStyle w:val="52"/>
          <w:rFonts w:hint="eastAsia" w:ascii="宋体" w:hAnsi="宋体" w:eastAsia="宋体" w:cs="宋体"/>
          <w:sz w:val="30"/>
          <w:szCs w:val="30"/>
        </w:rPr>
        <w:t>、评标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51</w:t>
      </w:r>
    </w:p>
    <w:p w14:paraId="591528C1">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"_Toc96595275"</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七</w:t>
      </w:r>
      <w:r>
        <w:rPr>
          <w:rStyle w:val="52"/>
          <w:rFonts w:hint="eastAsia" w:ascii="宋体" w:hAnsi="宋体" w:eastAsia="宋体" w:cs="宋体"/>
          <w:sz w:val="30"/>
          <w:szCs w:val="30"/>
        </w:rPr>
        <w:t>、定标</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54</w:t>
      </w:r>
    </w:p>
    <w:p w14:paraId="339F5979">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"_Toc96595276"</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八</w:t>
      </w:r>
      <w:r>
        <w:rPr>
          <w:rStyle w:val="52"/>
          <w:rFonts w:hint="eastAsia" w:ascii="宋体" w:hAnsi="宋体" w:eastAsia="宋体" w:cs="宋体"/>
          <w:sz w:val="30"/>
          <w:szCs w:val="30"/>
        </w:rPr>
        <w:t>、授予</w:t>
      </w:r>
      <w:r>
        <w:rPr>
          <w:rStyle w:val="52"/>
          <w:rFonts w:hint="eastAsia" w:ascii="宋体" w:hAnsi="宋体" w:eastAsia="宋体" w:cs="宋体"/>
          <w:sz w:val="30"/>
          <w:szCs w:val="30"/>
          <w:lang w:eastAsia="zh-CN"/>
        </w:rPr>
        <w:t>合同</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54</w:t>
      </w:r>
    </w:p>
    <w:p w14:paraId="0AEA17EA">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60"/>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"_Toc96595277"</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Fonts w:hint="eastAsia" w:ascii="宋体" w:hAnsi="宋体" w:eastAsia="宋体" w:cs="宋体"/>
          <w:sz w:val="30"/>
          <w:szCs w:val="30"/>
          <w:lang w:eastAsia="zh-CN"/>
        </w:rPr>
        <w:t>九</w:t>
      </w:r>
      <w:r>
        <w:rPr>
          <w:rStyle w:val="52"/>
          <w:rFonts w:hint="eastAsia" w:ascii="宋体" w:hAnsi="宋体" w:eastAsia="宋体" w:cs="宋体"/>
          <w:sz w:val="30"/>
          <w:szCs w:val="30"/>
        </w:rPr>
        <w:t>、</w:t>
      </w:r>
      <w:r>
        <w:rPr>
          <w:rStyle w:val="52"/>
          <w:rFonts w:hint="eastAsia" w:ascii="宋体" w:hAnsi="宋体" w:eastAsia="宋体" w:cs="宋体"/>
          <w:sz w:val="30"/>
          <w:szCs w:val="30"/>
          <w:lang w:eastAsia="zh-CN"/>
        </w:rPr>
        <w:t>电子交易活动的中止</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55</w:t>
      </w:r>
    </w:p>
    <w:p w14:paraId="42EFF416">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"_Toc96595278"</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第四章 评标办法及评分标准</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56</w:t>
      </w:r>
    </w:p>
    <w:p w14:paraId="76F8B988">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"_Toc96595279"</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第五章 合同主要</w:t>
      </w:r>
      <w:r>
        <w:rPr>
          <w:rStyle w:val="52"/>
          <w:rFonts w:hint="eastAsia" w:ascii="宋体" w:hAnsi="宋体" w:cs="宋体"/>
          <w:sz w:val="30"/>
          <w:szCs w:val="30"/>
          <w:lang w:eastAsia="zh-CN"/>
        </w:rPr>
        <w:t>格式及</w:t>
      </w:r>
      <w:r>
        <w:rPr>
          <w:rStyle w:val="52"/>
          <w:rFonts w:hint="eastAsia" w:ascii="宋体" w:hAnsi="宋体" w:eastAsia="宋体" w:cs="宋体"/>
          <w:sz w:val="30"/>
          <w:szCs w:val="30"/>
        </w:rPr>
        <w:t>条款</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59</w:t>
      </w:r>
    </w:p>
    <w:p w14:paraId="59511047">
      <w:pPr>
        <w:pStyle w:val="29"/>
        <w:keepNext w:val="0"/>
        <w:keepLines w:val="0"/>
        <w:pageBreakBefore w:val="0"/>
        <w:widowControl w:val="0"/>
        <w:tabs>
          <w:tab w:val="right" w:leader="dot" w:pos="9060"/>
          <w:tab w:val="clear" w:pos="8296"/>
        </w:tabs>
        <w:kinsoku/>
        <w:wordWrap/>
        <w:overflowPunct/>
        <w:topLinePunct w:val="0"/>
        <w:autoSpaceDE/>
        <w:autoSpaceDN/>
        <w:bidi w:val="0"/>
        <w:adjustRightInd/>
        <w:snapToGrid/>
        <w:textAlignment w:val="auto"/>
        <w:rPr>
          <w:rFonts w:hint="default" w:ascii="宋体" w:hAnsi="宋体" w:eastAsia="宋体" w:cs="宋体"/>
          <w:sz w:val="30"/>
          <w:szCs w:val="30"/>
          <w:lang w:val="en-US" w:eastAsia="zh-CN"/>
        </w:rPr>
      </w:pPr>
      <w:r>
        <w:rPr>
          <w:rFonts w:hint="eastAsia" w:ascii="宋体" w:hAnsi="宋体" w:eastAsia="宋体" w:cs="宋体"/>
          <w:sz w:val="30"/>
          <w:szCs w:val="30"/>
        </w:rPr>
        <w:fldChar w:fldCharType="begin"/>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"_Toc96595280"</w:instrText>
      </w:r>
      <w:r>
        <w:rPr>
          <w:rStyle w:val="52"/>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52"/>
          <w:rFonts w:hint="eastAsia" w:ascii="宋体" w:hAnsi="宋体" w:eastAsia="宋体" w:cs="宋体"/>
          <w:sz w:val="30"/>
          <w:szCs w:val="30"/>
        </w:rPr>
        <w:t>第六章 投标文件格式</w:t>
      </w:r>
      <w:r>
        <w:rPr>
          <w:rFonts w:hint="eastAsia" w:ascii="宋体" w:hAnsi="宋体" w:eastAsia="宋体" w:cs="宋体"/>
          <w:sz w:val="30"/>
          <w:szCs w:val="30"/>
        </w:rPr>
        <w:tab/>
      </w:r>
      <w:r>
        <w:rPr>
          <w:rFonts w:hint="eastAsia" w:ascii="宋体" w:hAnsi="宋体" w:eastAsia="宋体" w:cs="宋体"/>
          <w:sz w:val="30"/>
          <w:szCs w:val="30"/>
        </w:rPr>
        <w:fldChar w:fldCharType="end"/>
      </w:r>
      <w:r>
        <w:rPr>
          <w:rFonts w:hint="eastAsia" w:ascii="宋体" w:hAnsi="宋体" w:cs="宋体"/>
          <w:sz w:val="30"/>
          <w:szCs w:val="30"/>
          <w:lang w:val="en-US" w:eastAsia="zh-CN"/>
        </w:rPr>
        <w:t>65</w:t>
      </w:r>
    </w:p>
    <w:p w14:paraId="22197CBF">
      <w:pPr>
        <w:pStyle w:val="35"/>
        <w:keepNext w:val="0"/>
        <w:keepLines w:val="0"/>
        <w:pageBreakBefore w:val="0"/>
        <w:widowControl w:val="0"/>
        <w:tabs>
          <w:tab w:val="right" w:leader="dot" w:pos="9060"/>
          <w:tab w:val="clear" w:pos="8296"/>
        </w:tabs>
        <w:kinsoku/>
        <w:wordWrap/>
        <w:overflowPunct/>
        <w:topLinePunct w:val="0"/>
        <w:autoSpaceDE/>
        <w:autoSpaceDN/>
        <w:bidi w:val="0"/>
        <w:adjustRightInd/>
        <w:snapToGrid/>
        <w:ind w:left="480"/>
        <w:jc w:val="center"/>
        <w:textAlignment w:val="auto"/>
        <w:rPr>
          <w:rFonts w:hint="eastAsia" w:ascii="宋体" w:hAnsi="宋体" w:eastAsia="宋体" w:cs="宋体"/>
        </w:rPr>
      </w:pPr>
      <w:r>
        <w:rPr>
          <w:rFonts w:hint="eastAsia" w:ascii="宋体" w:hAnsi="宋体" w:eastAsia="宋体" w:cs="宋体"/>
          <w:b/>
          <w:bCs/>
          <w:lang w:val="zh-CN"/>
        </w:rPr>
        <w:fldChar w:fldCharType="end"/>
      </w:r>
      <w:r>
        <w:rPr>
          <w:rFonts w:hint="eastAsia" w:ascii="宋体" w:hAnsi="宋体" w:eastAsia="宋体" w:cs="宋体"/>
        </w:rPr>
        <w:fldChar w:fldCharType="end"/>
      </w:r>
    </w:p>
    <w:p w14:paraId="1C9E4EF6">
      <w:pPr>
        <w:pStyle w:val="2"/>
        <w:rPr>
          <w:rFonts w:hint="eastAsia" w:ascii="宋体" w:hAnsi="宋体" w:eastAsia="宋体" w:cs="宋体"/>
        </w:rPr>
        <w:sectPr>
          <w:footerReference r:id="rId11" w:type="default"/>
          <w:pgSz w:w="11906" w:h="16838"/>
          <w:pgMar w:top="1247" w:right="1247" w:bottom="1247" w:left="1247" w:header="170" w:footer="567" w:gutter="0"/>
          <w:pgNumType w:start="1"/>
          <w:cols w:space="720" w:num="1"/>
          <w:docGrid w:linePitch="381" w:charSpace="0"/>
        </w:sectPr>
      </w:pPr>
      <w:bookmarkStart w:id="1" w:name="_Toc12653"/>
      <w:bookmarkStart w:id="2" w:name="_Toc4470"/>
      <w:bookmarkStart w:id="3" w:name="_Toc452457411"/>
    </w:p>
    <w:p w14:paraId="059AB525">
      <w:pPr>
        <w:pStyle w:val="2"/>
        <w:spacing w:line="480" w:lineRule="auto"/>
        <w:rPr>
          <w:rFonts w:hint="eastAsia" w:ascii="宋体" w:hAnsi="宋体" w:eastAsia="宋体" w:cs="宋体"/>
          <w:highlight w:val="none"/>
        </w:rPr>
      </w:pPr>
      <w:r>
        <w:rPr>
          <w:rFonts w:hint="eastAsia" w:ascii="宋体" w:hAnsi="宋体" w:eastAsia="宋体" w:cs="宋体"/>
          <w:highlight w:val="none"/>
        </w:rPr>
        <w:t>电子交易须知</w:t>
      </w:r>
    </w:p>
    <w:p w14:paraId="3578B4B6">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1、本次采购采用电子交易方式，电子交易平台为“政府采购云平台（www.zcygov.cn）”。供应商参与本项目电子交易活动前，应注册成为政府采购云平台正式供应商。编制电子</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文件前需申领CA证书并绑定帐号。供应商应充分考虑完成平台注册、申领CA证书等所需的时间。</w:t>
      </w:r>
    </w:p>
    <w:p w14:paraId="52427EF0">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2、供应商编制电子</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文件应安装“电子交易客户端”软件，并按照本</w:t>
      </w:r>
      <w:r>
        <w:rPr>
          <w:rFonts w:hint="eastAsia" w:cs="宋体"/>
          <w:b/>
          <w:bCs/>
          <w:spacing w:val="-6"/>
          <w:sz w:val="24"/>
          <w:szCs w:val="24"/>
          <w:highlight w:val="none"/>
          <w:lang w:eastAsia="zh-CN"/>
        </w:rPr>
        <w:t>招标</w:t>
      </w:r>
      <w:r>
        <w:rPr>
          <w:rFonts w:hint="eastAsia" w:ascii="宋体" w:hAnsi="宋体" w:eastAsia="宋体" w:cs="宋体"/>
          <w:b/>
          <w:bCs/>
          <w:spacing w:val="-6"/>
          <w:sz w:val="24"/>
          <w:szCs w:val="24"/>
          <w:highlight w:val="none"/>
        </w:rPr>
        <w:t>文件和电子交易平台的要求编制并加密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文件。未按规定加密的</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文件，将被电子交易平台拒收。“电子交易客户端”请供应商自行前往“浙江政府采购网（zfcg.czt.zj.gov.cn）—下载专区—电子交易客户端”版块获取。</w:t>
      </w:r>
    </w:p>
    <w:p w14:paraId="0E08BB73">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3、供应商应当在递交</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文件截止时间前，将“电子交易客户端”生成的“电子加密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文件”上传电子交易平台。</w:t>
      </w:r>
    </w:p>
    <w:p w14:paraId="61EC816F">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4、“电子备份</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文件”是指与“电子加密</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文件”同时生成的数据电文形式的</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。供应商在电子交易平台上传“电子加密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”后，还可以邮寄或送达的方式在递交</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截止时间前提交以介质（U盘）存储的“电子备份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”应当密封包装并在包装上标注采购项目编号、项目名称、</w:t>
      </w:r>
      <w:r>
        <w:rPr>
          <w:rFonts w:hint="eastAsia" w:cs="宋体"/>
          <w:b/>
          <w:bCs/>
          <w:spacing w:val="-6"/>
          <w:sz w:val="24"/>
          <w:szCs w:val="24"/>
          <w:highlight w:val="none"/>
          <w:lang w:eastAsia="zh-CN"/>
        </w:rPr>
        <w:t>投标人</w:t>
      </w:r>
      <w:r>
        <w:rPr>
          <w:rFonts w:hint="eastAsia" w:ascii="宋体" w:hAnsi="宋体" w:eastAsia="宋体" w:cs="宋体"/>
          <w:b/>
          <w:bCs/>
          <w:spacing w:val="-6"/>
          <w:sz w:val="24"/>
          <w:szCs w:val="24"/>
          <w:highlight w:val="none"/>
        </w:rPr>
        <w:t>名称等并加盖公章。</w:t>
      </w:r>
    </w:p>
    <w:p w14:paraId="19909126">
      <w:pPr>
        <w:spacing w:line="480" w:lineRule="auto"/>
        <w:ind w:firstLine="458"/>
        <w:jc w:val="left"/>
        <w:rPr>
          <w:rFonts w:hint="eastAsia" w:ascii="宋体" w:hAnsi="宋体" w:eastAsia="宋体" w:cs="宋体"/>
          <w:b/>
          <w:bCs/>
          <w:spacing w:val="-6"/>
          <w:sz w:val="24"/>
          <w:szCs w:val="24"/>
          <w:highlight w:val="none"/>
        </w:rPr>
      </w:pPr>
      <w:r>
        <w:rPr>
          <w:rFonts w:hint="eastAsia" w:ascii="宋体" w:hAnsi="宋体" w:eastAsia="宋体" w:cs="宋体"/>
          <w:b/>
          <w:bCs/>
          <w:spacing w:val="-6"/>
          <w:sz w:val="24"/>
          <w:szCs w:val="24"/>
          <w:highlight w:val="none"/>
        </w:rPr>
        <w:t>5、通过“政府采购云平台”递交的“电子加密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”如无法按时解密，供应商提交了“电子备份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”的，则由采购组织机构按“政府采购云平台”操作规范将“电子备份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”上传至“政府采购云平台”，上传成功后，以“电子备份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”参与评审，“电子加密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”自动失效。</w:t>
      </w:r>
      <w:r>
        <w:rPr>
          <w:rFonts w:hint="eastAsia" w:cs="宋体"/>
          <w:b/>
          <w:bCs/>
          <w:spacing w:val="-6"/>
          <w:sz w:val="24"/>
          <w:szCs w:val="24"/>
          <w:highlight w:val="none"/>
          <w:lang w:eastAsia="zh-CN"/>
        </w:rPr>
        <w:t>招标人、招标代理机构不强制或变相强制投标人提交</w:t>
      </w:r>
      <w:r>
        <w:rPr>
          <w:rFonts w:hint="eastAsia" w:ascii="宋体" w:hAnsi="宋体" w:eastAsia="宋体" w:cs="宋体"/>
          <w:b/>
          <w:bCs/>
          <w:spacing w:val="-6"/>
          <w:sz w:val="24"/>
          <w:szCs w:val="24"/>
          <w:highlight w:val="none"/>
        </w:rPr>
        <w:t>“电子备份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”。未上传“电子加密</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”，仅提交“电子备份</w:t>
      </w:r>
      <w:r>
        <w:rPr>
          <w:rFonts w:hint="eastAsia" w:cs="宋体"/>
          <w:b/>
          <w:bCs/>
          <w:spacing w:val="-6"/>
          <w:sz w:val="24"/>
          <w:szCs w:val="24"/>
          <w:highlight w:val="none"/>
          <w:lang w:eastAsia="zh-CN"/>
        </w:rPr>
        <w:t>投标文件</w:t>
      </w:r>
      <w:r>
        <w:rPr>
          <w:rFonts w:hint="eastAsia" w:ascii="宋体" w:hAnsi="宋体" w:eastAsia="宋体" w:cs="宋体"/>
          <w:b/>
          <w:bCs/>
          <w:spacing w:val="-6"/>
          <w:sz w:val="24"/>
          <w:szCs w:val="24"/>
          <w:highlight w:val="none"/>
        </w:rPr>
        <w:t>”的，</w:t>
      </w:r>
      <w:r>
        <w:rPr>
          <w:rFonts w:hint="eastAsia" w:cs="宋体"/>
          <w:b/>
          <w:bCs/>
          <w:spacing w:val="-6"/>
          <w:sz w:val="24"/>
          <w:szCs w:val="24"/>
          <w:highlight w:val="none"/>
          <w:lang w:eastAsia="zh-CN"/>
        </w:rPr>
        <w:t>投标</w:t>
      </w:r>
      <w:r>
        <w:rPr>
          <w:rFonts w:hint="eastAsia" w:ascii="宋体" w:hAnsi="宋体" w:eastAsia="宋体" w:cs="宋体"/>
          <w:b/>
          <w:bCs/>
          <w:spacing w:val="-6"/>
          <w:sz w:val="24"/>
          <w:szCs w:val="24"/>
          <w:highlight w:val="none"/>
        </w:rPr>
        <w:t>无效。</w:t>
      </w:r>
    </w:p>
    <w:p w14:paraId="3A0A4AEA">
      <w:pPr>
        <w:spacing w:line="480" w:lineRule="auto"/>
        <w:ind w:firstLine="458"/>
        <w:jc w:val="left"/>
        <w:rPr>
          <w:rFonts w:hint="eastAsia" w:cs="宋体"/>
          <w:sz w:val="24"/>
          <w:szCs w:val="24"/>
          <w:lang w:val="en-US" w:eastAsia="zh-CN"/>
        </w:rPr>
      </w:pPr>
      <w:r>
        <w:rPr>
          <w:rFonts w:hint="eastAsia" w:ascii="宋体" w:hAnsi="宋体" w:eastAsia="宋体" w:cs="宋体"/>
          <w:b/>
          <w:bCs/>
          <w:spacing w:val="-6"/>
          <w:sz w:val="24"/>
          <w:szCs w:val="24"/>
          <w:highlight w:val="none"/>
        </w:rPr>
        <w:t>6、供应商在参加电子交易过程中,可登录电子交易平台“帮助文档”版面获取《电子交易管理操作指南》，或致电平台</w:t>
      </w:r>
      <w:r>
        <w:rPr>
          <w:rFonts w:hint="eastAsia" w:cs="宋体"/>
          <w:b/>
          <w:bCs/>
          <w:spacing w:val="-6"/>
          <w:sz w:val="24"/>
          <w:szCs w:val="24"/>
          <w:highlight w:val="none"/>
          <w:lang w:val="en-US" w:eastAsia="zh-CN"/>
        </w:rPr>
        <w:t>95763</w:t>
      </w:r>
      <w:r>
        <w:rPr>
          <w:rFonts w:hint="eastAsia" w:ascii="宋体" w:hAnsi="宋体" w:eastAsia="宋体" w:cs="宋体"/>
          <w:b/>
          <w:bCs/>
          <w:spacing w:val="-6"/>
          <w:sz w:val="24"/>
          <w:szCs w:val="24"/>
          <w:highlight w:val="none"/>
        </w:rPr>
        <w:t>获取相关服务支持。</w:t>
      </w:r>
      <w:r>
        <w:rPr>
          <w:rFonts w:hint="eastAsia" w:cs="宋体"/>
          <w:sz w:val="24"/>
          <w:szCs w:val="24"/>
          <w:lang w:val="en-US" w:eastAsia="zh-CN"/>
        </w:rPr>
        <w:t xml:space="preserve"> </w:t>
      </w:r>
    </w:p>
    <w:p w14:paraId="32C65ABB">
      <w:pPr>
        <w:pStyle w:val="2"/>
        <w:numPr>
          <w:ilvl w:val="0"/>
          <w:numId w:val="4"/>
        </w:numPr>
        <w:rPr>
          <w:rFonts w:hint="eastAsia" w:ascii="宋体" w:hAnsi="宋体" w:eastAsia="宋体" w:cs="宋体"/>
        </w:rPr>
        <w:sectPr>
          <w:footerReference r:id="rId12" w:type="default"/>
          <w:pgSz w:w="11906" w:h="16838"/>
          <w:pgMar w:top="1247" w:right="1247" w:bottom="1247" w:left="1247" w:header="170" w:footer="567" w:gutter="0"/>
          <w:pgNumType w:start="1"/>
          <w:cols w:space="720" w:num="1"/>
          <w:docGrid w:linePitch="381" w:charSpace="0"/>
        </w:sectPr>
      </w:pPr>
    </w:p>
    <w:p w14:paraId="0F2DFA4D">
      <w:pPr>
        <w:pStyle w:val="2"/>
        <w:numPr>
          <w:ilvl w:val="0"/>
          <w:numId w:val="0"/>
        </w:numPr>
        <w:jc w:val="center"/>
        <w:rPr>
          <w:rFonts w:hint="eastAsia" w:ascii="宋体" w:hAnsi="宋体" w:eastAsia="宋体" w:cs="宋体"/>
          <w:sz w:val="36"/>
          <w:szCs w:val="36"/>
        </w:rPr>
      </w:pPr>
      <w:r>
        <w:rPr>
          <w:rFonts w:hint="eastAsia" w:cs="宋体"/>
          <w:sz w:val="36"/>
          <w:szCs w:val="36"/>
          <w:lang w:eastAsia="zh-CN"/>
        </w:rPr>
        <w:t>第一章</w:t>
      </w:r>
      <w:r>
        <w:rPr>
          <w:rFonts w:hint="eastAsia" w:cs="宋体"/>
          <w:sz w:val="36"/>
          <w:szCs w:val="36"/>
          <w:lang w:val="en-US" w:eastAsia="zh-CN"/>
        </w:rPr>
        <w:t xml:space="preserve">  </w:t>
      </w:r>
      <w:r>
        <w:rPr>
          <w:rFonts w:hint="eastAsia" w:ascii="宋体" w:hAnsi="宋体" w:eastAsia="宋体" w:cs="宋体"/>
          <w:sz w:val="36"/>
          <w:szCs w:val="36"/>
        </w:rPr>
        <w:t>招标公告</w:t>
      </w:r>
      <w:bookmarkEnd w:id="1"/>
      <w:bookmarkEnd w:id="2"/>
    </w:p>
    <w:tbl>
      <w:tblPr>
        <w:tblStyle w:val="45"/>
        <w:tblW w:w="10065" w:type="dxa"/>
        <w:tblInd w:w="-9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65"/>
      </w:tblGrid>
      <w:tr w14:paraId="28615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4" w:hRule="atLeast"/>
        </w:trPr>
        <w:tc>
          <w:tcPr>
            <w:tcW w:w="10065" w:type="dxa"/>
            <w:vAlign w:val="top"/>
          </w:tcPr>
          <w:p w14:paraId="56CE5CAE">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lang w:eastAsia="zh-CN"/>
              </w:rPr>
            </w:pPr>
            <w:r>
              <w:rPr>
                <w:rFonts w:hint="eastAsia" w:ascii="宋体" w:hAnsi="宋体" w:eastAsia="宋体" w:cs="宋体"/>
                <w:lang w:eastAsia="zh-CN"/>
              </w:rPr>
              <w:t>项目概况</w:t>
            </w:r>
          </w:p>
          <w:p w14:paraId="176C5C9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cs="宋体"/>
                <w:sz w:val="24"/>
                <w:szCs w:val="24"/>
                <w:u w:val="none"/>
                <w:lang w:eastAsia="zh-CN"/>
              </w:rPr>
              <w:t>2025年长兴县实验小学画溪校区新建工程厨房设备采购项目</w:t>
            </w:r>
            <w:r>
              <w:rPr>
                <w:rFonts w:hint="eastAsia" w:ascii="宋体" w:hAnsi="宋体" w:eastAsia="宋体" w:cs="宋体"/>
                <w:lang w:eastAsia="zh-CN"/>
              </w:rPr>
              <w:t>的潜在投标人应在浙江政府采购网</w:t>
            </w:r>
            <w:r>
              <w:rPr>
                <w:rFonts w:hint="eastAsia" w:ascii="宋体" w:hAnsi="宋体" w:eastAsia="宋体" w:cs="宋体"/>
              </w:rPr>
              <w:t>（http://zfcg.czt.zj.gov.cn）</w:t>
            </w:r>
            <w:r>
              <w:rPr>
                <w:rFonts w:hint="eastAsia" w:ascii="宋体" w:hAnsi="宋体" w:eastAsia="宋体" w:cs="宋体"/>
                <w:lang w:eastAsia="zh-CN"/>
              </w:rPr>
              <w:t>获取（下载）招标文件，</w:t>
            </w:r>
            <w:r>
              <w:rPr>
                <w:rFonts w:hint="eastAsia" w:ascii="宋体" w:hAnsi="宋体" w:eastAsia="宋体" w:cs="宋体"/>
              </w:rPr>
              <w:t>并于</w:t>
            </w:r>
            <w:r>
              <w:rPr>
                <w:rFonts w:hint="eastAsia" w:ascii="宋体" w:hAnsi="宋体" w:eastAsia="宋体" w:cs="宋体"/>
                <w:highlight w:val="none"/>
              </w:rPr>
              <w:t>202</w:t>
            </w:r>
            <w:r>
              <w:rPr>
                <w:rFonts w:hint="eastAsia" w:cs="宋体"/>
                <w:highlight w:val="none"/>
                <w:lang w:val="en-US" w:eastAsia="zh-CN"/>
              </w:rPr>
              <w:t>5</w:t>
            </w:r>
            <w:r>
              <w:rPr>
                <w:rFonts w:hint="eastAsia" w:ascii="宋体" w:hAnsi="宋体" w:eastAsia="宋体" w:cs="宋体"/>
                <w:highlight w:val="none"/>
              </w:rPr>
              <w:t>年</w:t>
            </w:r>
            <w:r>
              <w:rPr>
                <w:rFonts w:hint="eastAsia" w:cs="宋体"/>
                <w:highlight w:val="none"/>
                <w:lang w:val="en-US" w:eastAsia="zh-CN"/>
              </w:rPr>
              <w:t>5</w:t>
            </w:r>
            <w:r>
              <w:rPr>
                <w:rFonts w:hint="eastAsia" w:ascii="宋体" w:hAnsi="宋体" w:eastAsia="宋体" w:cs="宋体"/>
                <w:highlight w:val="none"/>
              </w:rPr>
              <w:t>月</w:t>
            </w:r>
            <w:r>
              <w:rPr>
                <w:rFonts w:hint="eastAsia" w:cs="宋体"/>
                <w:highlight w:val="none"/>
                <w:lang w:val="en-US" w:eastAsia="zh-CN"/>
              </w:rPr>
              <w:t>13</w:t>
            </w:r>
            <w:r>
              <w:rPr>
                <w:rFonts w:hint="eastAsia" w:ascii="宋体" w:hAnsi="宋体" w:eastAsia="宋体" w:cs="宋体"/>
                <w:highlight w:val="none"/>
                <w:lang w:val="en-US" w:eastAsia="zh-CN"/>
              </w:rPr>
              <w:t>日</w:t>
            </w:r>
            <w:r>
              <w:rPr>
                <w:rFonts w:hint="eastAsia" w:cs="宋体"/>
                <w:lang w:val="en-US" w:eastAsia="zh-CN"/>
              </w:rPr>
              <w:t>上午09</w:t>
            </w:r>
            <w:r>
              <w:rPr>
                <w:rFonts w:hint="eastAsia" w:ascii="宋体" w:hAnsi="宋体" w:eastAsia="宋体" w:cs="宋体"/>
              </w:rPr>
              <w:t>:</w:t>
            </w:r>
            <w:r>
              <w:rPr>
                <w:rFonts w:hint="eastAsia" w:cs="宋体"/>
                <w:lang w:val="en-US" w:eastAsia="zh-CN"/>
              </w:rPr>
              <w:t>00</w:t>
            </w:r>
            <w:r>
              <w:rPr>
                <w:rFonts w:hint="eastAsia" w:ascii="宋体" w:hAnsi="宋体" w:eastAsia="宋体" w:cs="宋体"/>
              </w:rPr>
              <w:t>（北京时间）前</w:t>
            </w:r>
            <w:r>
              <w:rPr>
                <w:rFonts w:hint="eastAsia" w:cs="宋体"/>
                <w:lang w:eastAsia="zh-CN"/>
              </w:rPr>
              <w:t>提</w:t>
            </w:r>
            <w:r>
              <w:rPr>
                <w:rFonts w:hint="eastAsia" w:ascii="宋体" w:hAnsi="宋体" w:eastAsia="宋体" w:cs="宋体"/>
              </w:rPr>
              <w:t>交（上传）</w:t>
            </w:r>
            <w:r>
              <w:rPr>
                <w:rFonts w:hint="eastAsia" w:ascii="宋体" w:hAnsi="宋体" w:eastAsia="宋体" w:cs="宋体"/>
                <w:lang w:eastAsia="zh-CN"/>
              </w:rPr>
              <w:t>投标</w:t>
            </w:r>
            <w:r>
              <w:rPr>
                <w:rFonts w:hint="eastAsia" w:ascii="宋体" w:hAnsi="宋体" w:eastAsia="宋体" w:cs="宋体"/>
              </w:rPr>
              <w:t>文件</w:t>
            </w:r>
            <w:r>
              <w:rPr>
                <w:rFonts w:hint="eastAsia" w:ascii="宋体" w:hAnsi="宋体" w:eastAsia="宋体" w:cs="宋体"/>
                <w:lang w:eastAsia="zh-CN"/>
              </w:rPr>
              <w:t>。</w:t>
            </w:r>
          </w:p>
        </w:tc>
      </w:tr>
    </w:tbl>
    <w:p w14:paraId="0BBF06C7">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4" w:name="_Toc29586"/>
      <w:r>
        <w:rPr>
          <w:rFonts w:hint="eastAsia"/>
          <w:b/>
          <w:bCs/>
          <w:lang w:eastAsia="zh-CN"/>
        </w:rPr>
        <w:t>一、项目</w:t>
      </w:r>
      <w:bookmarkEnd w:id="4"/>
      <w:r>
        <w:rPr>
          <w:rFonts w:hint="eastAsia"/>
          <w:b/>
          <w:bCs/>
          <w:lang w:eastAsia="zh-CN"/>
        </w:rPr>
        <w:t>基本情况</w:t>
      </w:r>
    </w:p>
    <w:p w14:paraId="6AA55B2A">
      <w:pPr>
        <w:keepNext w:val="0"/>
        <w:keepLines w:val="0"/>
        <w:pageBreakBefore w:val="0"/>
        <w:widowControl w:val="0"/>
        <w:kinsoku/>
        <w:wordWrap/>
        <w:overflowPunct/>
        <w:topLinePunct w:val="0"/>
        <w:autoSpaceDE/>
        <w:autoSpaceDN/>
        <w:bidi w:val="0"/>
        <w:adjustRightInd/>
        <w:snapToGrid/>
        <w:spacing w:line="440" w:lineRule="exact"/>
        <w:ind w:left="0" w:leftChars="0" w:firstLine="480" w:firstLineChars="200"/>
        <w:textAlignment w:val="auto"/>
        <w:rPr>
          <w:rFonts w:hint="default"/>
          <w:lang w:val="en-US" w:eastAsia="zh-CN"/>
        </w:rPr>
      </w:pPr>
      <w:r>
        <w:rPr>
          <w:rFonts w:hint="eastAsia"/>
        </w:rPr>
        <w:t>项目</w:t>
      </w:r>
      <w:r>
        <w:rPr>
          <w:rFonts w:hint="eastAsia"/>
          <w:lang w:eastAsia="zh-CN"/>
        </w:rPr>
        <w:t>编号</w:t>
      </w:r>
      <w:r>
        <w:rPr>
          <w:rFonts w:hint="eastAsia"/>
        </w:rPr>
        <w:t>：</w:t>
      </w:r>
      <w:r>
        <w:rPr>
          <w:rFonts w:hint="eastAsia"/>
          <w:lang w:val="en-US" w:eastAsia="zh-CN"/>
        </w:rPr>
        <w:t>ZJZX-CXSY-2025001</w:t>
      </w:r>
    </w:p>
    <w:p w14:paraId="7D855447">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bookmarkStart w:id="5" w:name="_Toc11203"/>
      <w:r>
        <w:rPr>
          <w:rFonts w:hint="eastAsia"/>
          <w:lang w:eastAsia="zh-CN"/>
        </w:rPr>
        <w:t>项目名称</w:t>
      </w:r>
      <w:r>
        <w:rPr>
          <w:rFonts w:hint="eastAsia"/>
        </w:rPr>
        <w:t>：</w:t>
      </w:r>
      <w:bookmarkEnd w:id="5"/>
      <w:r>
        <w:rPr>
          <w:rFonts w:hint="eastAsia" w:cs="宋体"/>
          <w:sz w:val="24"/>
          <w:szCs w:val="24"/>
          <w:u w:val="none"/>
          <w:lang w:eastAsia="zh-CN"/>
        </w:rPr>
        <w:t>2025年长兴县实验小学画溪校区新建工程厨房设备采购项目</w:t>
      </w:r>
    </w:p>
    <w:p w14:paraId="3EA804E7">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highlight w:val="none"/>
          <w:lang w:val="en-US" w:eastAsia="zh-CN"/>
        </w:rPr>
      </w:pPr>
      <w:r>
        <w:rPr>
          <w:rFonts w:hint="eastAsia"/>
          <w:lang w:eastAsia="zh-CN"/>
        </w:rPr>
        <w:t>预算金额（元）：</w:t>
      </w:r>
      <w:r>
        <w:rPr>
          <w:rFonts w:hint="eastAsia"/>
          <w:highlight w:val="none"/>
          <w:lang w:val="en-US" w:eastAsia="zh-CN"/>
        </w:rPr>
        <w:t>1100000</w:t>
      </w:r>
    </w:p>
    <w:p w14:paraId="7456B21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none"/>
          <w:lang w:val="en-US" w:eastAsia="zh-CN"/>
        </w:rPr>
      </w:pPr>
      <w:r>
        <w:rPr>
          <w:rFonts w:hint="eastAsia"/>
          <w:highlight w:val="none"/>
          <w:lang w:eastAsia="zh-CN"/>
        </w:rPr>
        <w:t>最高限价（元）：</w:t>
      </w:r>
      <w:r>
        <w:rPr>
          <w:rFonts w:hint="eastAsia"/>
          <w:highlight w:val="none"/>
          <w:lang w:val="en-US" w:eastAsia="zh-CN"/>
        </w:rPr>
        <w:t>1100000</w:t>
      </w:r>
    </w:p>
    <w:p w14:paraId="162BF5C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ighlight w:val="none"/>
          <w:lang w:eastAsia="zh-CN"/>
        </w:rPr>
      </w:pPr>
      <w:r>
        <w:rPr>
          <w:rFonts w:hint="eastAsia"/>
          <w:highlight w:val="none"/>
          <w:lang w:eastAsia="zh-CN"/>
        </w:rPr>
        <w:t>采购需求：</w:t>
      </w:r>
    </w:p>
    <w:p w14:paraId="2AF6E0C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ighlight w:val="none"/>
          <w:lang w:eastAsia="zh-CN"/>
        </w:rPr>
      </w:pPr>
      <w:r>
        <w:rPr>
          <w:rFonts w:hint="eastAsia"/>
          <w:highlight w:val="none"/>
          <w:lang w:eastAsia="zh-CN"/>
        </w:rPr>
        <w:t>标项一：</w:t>
      </w:r>
    </w:p>
    <w:p w14:paraId="3A0D6A2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highlight w:val="none"/>
          <w:lang w:eastAsia="zh-CN"/>
        </w:rPr>
      </w:pPr>
      <w:r>
        <w:rPr>
          <w:rFonts w:hint="eastAsia"/>
          <w:highlight w:val="none"/>
          <w:lang w:eastAsia="zh-CN"/>
        </w:rPr>
        <w:t>标项名称：</w:t>
      </w:r>
      <w:r>
        <w:rPr>
          <w:rFonts w:hint="eastAsia" w:cs="宋体"/>
          <w:sz w:val="24"/>
          <w:szCs w:val="24"/>
          <w:highlight w:val="none"/>
          <w:u w:val="none"/>
          <w:lang w:eastAsia="zh-CN"/>
        </w:rPr>
        <w:t>2025年长兴县实验小学画溪校区新建工程厨房设备采购项目</w:t>
      </w:r>
    </w:p>
    <w:p w14:paraId="1A38ADE5">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none"/>
          <w:lang w:val="en-US" w:eastAsia="zh-CN"/>
        </w:rPr>
      </w:pPr>
      <w:r>
        <w:rPr>
          <w:rFonts w:hint="eastAsia"/>
          <w:highlight w:val="none"/>
          <w:lang w:eastAsia="zh-CN"/>
        </w:rPr>
        <w:t>数量：</w:t>
      </w:r>
      <w:r>
        <w:rPr>
          <w:rFonts w:hint="eastAsia"/>
          <w:highlight w:val="none"/>
          <w:lang w:val="en-US" w:eastAsia="zh-CN"/>
        </w:rPr>
        <w:t>1</w:t>
      </w:r>
    </w:p>
    <w:p w14:paraId="177E752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highlight w:val="none"/>
          <w:lang w:val="en-US" w:eastAsia="zh-CN"/>
        </w:rPr>
      </w:pPr>
      <w:r>
        <w:rPr>
          <w:rFonts w:hint="eastAsia"/>
          <w:highlight w:val="none"/>
          <w:lang w:eastAsia="zh-CN"/>
        </w:rPr>
        <w:t>预算金额（元）：</w:t>
      </w:r>
      <w:r>
        <w:rPr>
          <w:rFonts w:hint="eastAsia"/>
          <w:highlight w:val="none"/>
          <w:lang w:val="en-US" w:eastAsia="zh-CN"/>
        </w:rPr>
        <w:t>1100000</w:t>
      </w:r>
    </w:p>
    <w:p w14:paraId="4074862E">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highlight w:val="none"/>
          <w:lang w:val="en-US" w:eastAsia="zh-CN"/>
        </w:rPr>
      </w:pPr>
      <w:r>
        <w:rPr>
          <w:rFonts w:hint="eastAsia"/>
          <w:highlight w:val="none"/>
          <w:lang w:eastAsia="zh-CN"/>
        </w:rPr>
        <w:t>最高限价（元）：</w:t>
      </w:r>
      <w:r>
        <w:rPr>
          <w:rFonts w:hint="eastAsia"/>
          <w:highlight w:val="none"/>
          <w:lang w:val="en-US" w:eastAsia="zh-CN"/>
        </w:rPr>
        <w:t>1100000</w:t>
      </w:r>
    </w:p>
    <w:p w14:paraId="0A9174AF">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简要规格描述或项目基本概况介绍、用途：详见</w:t>
      </w:r>
      <w:r>
        <w:rPr>
          <w:rFonts w:hint="eastAsia"/>
          <w:lang w:eastAsia="zh-CN"/>
        </w:rPr>
        <w:t>“</w:t>
      </w:r>
      <w:r>
        <w:rPr>
          <w:rFonts w:hint="eastAsia"/>
        </w:rPr>
        <w:t>招标文件</w:t>
      </w:r>
      <w:r>
        <w:rPr>
          <w:rFonts w:hint="eastAsia"/>
          <w:lang w:val="en-US" w:eastAsia="zh-CN"/>
        </w:rPr>
        <w:t>-采购需求</w:t>
      </w:r>
      <w:r>
        <w:rPr>
          <w:rFonts w:hint="eastAsia"/>
          <w:lang w:eastAsia="zh-CN"/>
        </w:rPr>
        <w:t>”</w:t>
      </w:r>
    </w:p>
    <w:p w14:paraId="63344FEB">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eastAsia="zh-CN"/>
        </w:rPr>
        <w:t>备注：</w:t>
      </w:r>
      <w:r>
        <w:rPr>
          <w:rFonts w:hint="eastAsia"/>
          <w:lang w:val="en-US" w:eastAsia="zh-CN"/>
        </w:rPr>
        <w:t>/</w:t>
      </w:r>
    </w:p>
    <w:p w14:paraId="0097DB6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lang w:val="en-US" w:eastAsia="zh-CN"/>
        </w:rPr>
      </w:pPr>
      <w:r>
        <w:rPr>
          <w:rFonts w:hint="eastAsia" w:ascii="宋体" w:hAnsi="宋体" w:eastAsia="宋体" w:cs="宋体"/>
          <w:lang w:eastAsia="zh-CN"/>
        </w:rPr>
        <w:t>合同履约期限：</w:t>
      </w:r>
      <w:r>
        <w:rPr>
          <w:rFonts w:hint="eastAsia" w:cs="宋体"/>
          <w:lang w:eastAsia="zh-CN"/>
        </w:rPr>
        <w:t>合同签订后</w:t>
      </w:r>
      <w:r>
        <w:rPr>
          <w:rFonts w:hint="eastAsia" w:cs="宋体"/>
          <w:lang w:val="en-US" w:eastAsia="zh-CN"/>
        </w:rPr>
        <w:t>30日内</w:t>
      </w:r>
      <w:r>
        <w:rPr>
          <w:rFonts w:hint="eastAsia"/>
          <w:lang w:val="en-US" w:eastAsia="zh-CN"/>
        </w:rPr>
        <w:t>完成供货、安装、调试</w:t>
      </w:r>
      <w:r>
        <w:rPr>
          <w:rFonts w:hint="eastAsia" w:ascii="宋体" w:hAnsi="宋体" w:eastAsia="宋体" w:cs="宋体"/>
          <w:lang w:val="en-US" w:eastAsia="zh-CN"/>
        </w:rPr>
        <w:t>。</w:t>
      </w:r>
    </w:p>
    <w:p w14:paraId="6DE6FD00">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Cs w:val="24"/>
          <w:highlight w:val="yellow"/>
          <w:lang w:eastAsia="zh-CN"/>
        </w:rPr>
      </w:pPr>
      <w:r>
        <w:rPr>
          <w:rFonts w:hint="eastAsia" w:ascii="宋体" w:hAnsi="宋体" w:eastAsia="宋体" w:cs="宋体"/>
          <w:highlight w:val="none"/>
          <w:lang w:eastAsia="zh-CN"/>
        </w:rPr>
        <w:t>本项目不接受联合体投标。</w:t>
      </w:r>
    </w:p>
    <w:p w14:paraId="0B7A8490">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6" w:name="_Toc24393"/>
      <w:r>
        <w:rPr>
          <w:rFonts w:hint="eastAsia"/>
          <w:b/>
          <w:bCs/>
          <w:lang w:eastAsia="zh-CN"/>
        </w:rPr>
        <w:t>二、申请</w:t>
      </w:r>
      <w:r>
        <w:rPr>
          <w:rFonts w:hint="eastAsia"/>
          <w:b/>
          <w:bCs/>
        </w:rPr>
        <w:t>人</w:t>
      </w:r>
      <w:r>
        <w:rPr>
          <w:rFonts w:hint="eastAsia"/>
          <w:b/>
          <w:bCs/>
          <w:lang w:eastAsia="zh-CN"/>
        </w:rPr>
        <w:t>的</w:t>
      </w:r>
      <w:r>
        <w:rPr>
          <w:rFonts w:hint="eastAsia"/>
          <w:b/>
          <w:bCs/>
        </w:rPr>
        <w:t>资格要求:</w:t>
      </w:r>
      <w:bookmarkEnd w:id="6"/>
    </w:p>
    <w:p w14:paraId="6964368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1.满足《中华人民共和国政府采购法》第二十二条规定；未被“信用中国”（www.creditchina.gov.cn)、中国政府采购网（www.ccgp.gov.cn）列入失信被执行人、重大税收违法失信主体、政府采购严重违法失信行为记录名单。</w:t>
      </w:r>
    </w:p>
    <w:p w14:paraId="5B1BFFCD">
      <w:pPr>
        <w:keepNext w:val="0"/>
        <w:keepLines w:val="0"/>
        <w:pageBreakBefore w:val="0"/>
        <w:widowControl w:val="0"/>
        <w:kinsoku/>
        <w:wordWrap/>
        <w:overflowPunct/>
        <w:topLinePunct w:val="0"/>
        <w:autoSpaceDE/>
        <w:autoSpaceDN/>
        <w:bidi w:val="0"/>
        <w:adjustRightInd/>
        <w:snapToGrid/>
        <w:spacing w:line="440" w:lineRule="exact"/>
        <w:textAlignment w:val="auto"/>
        <w:rPr>
          <w:rStyle w:val="47"/>
          <w:rFonts w:hint="eastAsia" w:ascii="宋体" w:hAnsi="宋体" w:eastAsia="宋体" w:cs="宋体"/>
          <w:b w:val="0"/>
          <w:bCs/>
          <w:lang w:val="en-US" w:eastAsia="zh-CN"/>
        </w:rPr>
      </w:pPr>
      <w:r>
        <w:rPr>
          <w:rFonts w:hint="eastAsia"/>
        </w:rPr>
        <w:t>2.落实政府采购政策需满足的资格要求：</w:t>
      </w:r>
    </w:p>
    <w:p w14:paraId="3248AD1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无；</w:t>
      </w:r>
    </w:p>
    <w:p w14:paraId="462BB10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cs="宋体"/>
          <w:sz w:val="24"/>
        </w:rPr>
      </w:pPr>
      <w:r>
        <w:rPr>
          <w:rFonts w:hint="eastAsia" w:cs="宋体"/>
          <w:color w:val="000000"/>
          <w:lang w:eastAsia="zh-CN"/>
        </w:rPr>
        <w:t>☑</w:t>
      </w:r>
      <w:r>
        <w:rPr>
          <w:rFonts w:hint="eastAsia" w:ascii="宋体" w:hAnsi="宋体" w:cs="宋体"/>
          <w:kern w:val="0"/>
          <w:sz w:val="24"/>
        </w:rPr>
        <w:t>专</w:t>
      </w:r>
      <w:r>
        <w:rPr>
          <w:rFonts w:hint="eastAsia" w:ascii="宋体" w:hAnsi="宋体" w:cs="宋体"/>
          <w:sz w:val="24"/>
        </w:rPr>
        <w:t>门面向中小企业</w:t>
      </w:r>
    </w:p>
    <w:p w14:paraId="5C3AA885">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u w:val="single"/>
        </w:rPr>
      </w:pPr>
      <w:r>
        <w:rPr>
          <w:rFonts w:hint="eastAsia" w:cs="宋体"/>
          <w:color w:val="000000"/>
          <w:lang w:eastAsia="zh-CN"/>
        </w:rPr>
        <w:t>☑</w:t>
      </w:r>
      <w:r>
        <w:rPr>
          <w:rFonts w:hint="eastAsia" w:ascii="宋体" w:hAnsi="宋体" w:cs="宋体"/>
          <w:sz w:val="24"/>
        </w:rPr>
        <w:t>货物全部由符合政策要求的中小企业制造，提供中小企业声明函；</w:t>
      </w:r>
    </w:p>
    <w:p w14:paraId="0934C83F">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货物全部由符合政策要求的小微企业制造，提供中小企业声明函；</w:t>
      </w:r>
    </w:p>
    <w:p w14:paraId="654F5F07">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服务全部由符合政策要求的中小企业承接，提供中小企业声明函；</w:t>
      </w:r>
    </w:p>
    <w:p w14:paraId="6FC4E0E2">
      <w:pPr>
        <w:keepNext w:val="0"/>
        <w:keepLines w:val="0"/>
        <w:pageBreakBefore w:val="0"/>
        <w:widowControl w:val="0"/>
        <w:kinsoku/>
        <w:wordWrap/>
        <w:overflowPunct/>
        <w:topLinePunct w:val="0"/>
        <w:autoSpaceDE/>
        <w:autoSpaceDN/>
        <w:bidi w:val="0"/>
        <w:adjustRightInd/>
        <w:snapToGrid/>
        <w:spacing w:line="440" w:lineRule="exact"/>
        <w:ind w:firstLine="897" w:firstLineChars="374"/>
        <w:textAlignment w:val="auto"/>
        <w:rPr>
          <w:rFonts w:hint="eastAsia" w:ascii="宋体" w:hAnsi="宋体" w:cs="宋体"/>
          <w:sz w:val="24"/>
        </w:rPr>
      </w:pPr>
      <w:r>
        <w:rPr>
          <w:rFonts w:hint="eastAsia" w:cs="宋体"/>
          <w:color w:val="000000"/>
          <w:lang w:eastAsia="zh-CN"/>
        </w:rPr>
        <w:t>□</w:t>
      </w:r>
      <w:r>
        <w:rPr>
          <w:rFonts w:hint="eastAsia" w:ascii="宋体" w:hAnsi="宋体" w:cs="宋体"/>
          <w:sz w:val="24"/>
        </w:rPr>
        <w:t>服务全部由符合政策要求的小微企业承接，提供中小企业声明函；</w:t>
      </w:r>
    </w:p>
    <w:p w14:paraId="42473AB1">
      <w:pPr>
        <w:keepNext w:val="0"/>
        <w:keepLines w:val="0"/>
        <w:pageBreakBefore w:val="0"/>
        <w:widowControl w:val="0"/>
        <w:kinsoku/>
        <w:wordWrap/>
        <w:overflowPunct/>
        <w:topLinePunct w:val="0"/>
        <w:autoSpaceDE/>
        <w:autoSpaceDN/>
        <w:bidi w:val="0"/>
        <w:adjustRightInd/>
        <w:snapToGrid/>
        <w:spacing w:line="440" w:lineRule="exact"/>
        <w:textAlignment w:val="auto"/>
        <w:rPr>
          <w:rStyle w:val="47"/>
          <w:rFonts w:hint="eastAsia" w:ascii="宋体" w:hAnsi="宋体" w:eastAsia="宋体" w:cs="宋体"/>
          <w:b w:val="0"/>
          <w:bCs/>
          <w:lang w:eastAsia="zh-CN"/>
        </w:rPr>
      </w:pPr>
      <w:r>
        <w:rPr>
          <w:rFonts w:hint="eastAsia"/>
        </w:rPr>
        <w:t>3.本项目的特定资格要求：</w:t>
      </w:r>
      <w:r>
        <w:rPr>
          <w:rFonts w:hint="eastAsia"/>
          <w:lang w:eastAsia="zh-CN"/>
        </w:rPr>
        <w:t>无。</w:t>
      </w:r>
    </w:p>
    <w:p w14:paraId="1814622C">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r>
        <w:rPr>
          <w:rFonts w:hint="eastAsia"/>
          <w:b/>
          <w:bCs/>
          <w:lang w:eastAsia="zh-CN"/>
        </w:rPr>
        <w:t>三</w:t>
      </w:r>
      <w:r>
        <w:rPr>
          <w:rFonts w:hint="eastAsia"/>
          <w:b/>
          <w:bCs/>
        </w:rPr>
        <w:t>、获取</w:t>
      </w:r>
      <w:r>
        <w:rPr>
          <w:rFonts w:hint="eastAsia"/>
          <w:b/>
          <w:bCs/>
          <w:lang w:eastAsia="zh-CN"/>
        </w:rPr>
        <w:t>（下载）</w:t>
      </w:r>
      <w:r>
        <w:rPr>
          <w:rFonts w:hint="eastAsia"/>
          <w:b/>
          <w:bCs/>
        </w:rPr>
        <w:t>招标文件</w:t>
      </w:r>
    </w:p>
    <w:p w14:paraId="09B4664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1.时间：/至</w:t>
      </w:r>
      <w:r>
        <w:rPr>
          <w:rFonts w:hint="eastAsia"/>
          <w:highlight w:val="none"/>
          <w:u w:val="single"/>
        </w:rPr>
        <w:t>202</w:t>
      </w:r>
      <w:r>
        <w:rPr>
          <w:rFonts w:hint="eastAsia"/>
          <w:highlight w:val="none"/>
          <w:u w:val="single"/>
          <w:lang w:val="en-US" w:eastAsia="zh-CN"/>
        </w:rPr>
        <w:t>5</w:t>
      </w:r>
      <w:r>
        <w:rPr>
          <w:rFonts w:hint="eastAsia"/>
          <w:highlight w:val="none"/>
          <w:u w:val="single"/>
        </w:rPr>
        <w:t>年</w:t>
      </w:r>
      <w:r>
        <w:rPr>
          <w:rFonts w:hint="eastAsia"/>
          <w:highlight w:val="none"/>
          <w:u w:val="single"/>
          <w:lang w:val="en-US" w:eastAsia="zh-CN"/>
        </w:rPr>
        <w:t>5</w:t>
      </w:r>
      <w:r>
        <w:rPr>
          <w:rFonts w:hint="eastAsia"/>
          <w:highlight w:val="none"/>
          <w:u w:val="single"/>
        </w:rPr>
        <w:t>月</w:t>
      </w:r>
      <w:r>
        <w:rPr>
          <w:rFonts w:hint="eastAsia"/>
          <w:highlight w:val="none"/>
          <w:u w:val="single"/>
          <w:lang w:val="en-US" w:eastAsia="zh-CN"/>
        </w:rPr>
        <w:t>13</w:t>
      </w:r>
      <w:r>
        <w:rPr>
          <w:rFonts w:hint="eastAsia"/>
          <w:highlight w:val="none"/>
          <w:u w:val="single"/>
        </w:rPr>
        <w:t>日</w:t>
      </w:r>
      <w:r>
        <w:rPr>
          <w:rFonts w:hint="eastAsia"/>
        </w:rPr>
        <w:t>，每天上午00:00至12:00，下午12:00至23:59（北京时间，线上获取法定节假日均可</w:t>
      </w:r>
      <w:r>
        <w:rPr>
          <w:rFonts w:hint="eastAsia"/>
          <w:lang w:eastAsia="zh-CN"/>
        </w:rPr>
        <w:t>，</w:t>
      </w:r>
      <w:r>
        <w:rPr>
          <w:rFonts w:hint="eastAsia"/>
        </w:rPr>
        <w:t>线下获取文件法定节假日除外）</w:t>
      </w:r>
      <w:r>
        <w:rPr>
          <w:rFonts w:hint="eastAsia"/>
          <w:lang w:eastAsia="zh-CN"/>
        </w:rPr>
        <w:t>。</w:t>
      </w:r>
    </w:p>
    <w:p w14:paraId="019CCCA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2.</w:t>
      </w:r>
      <w:r>
        <w:rPr>
          <w:rFonts w:hint="eastAsia"/>
        </w:rPr>
        <w:t>地点（网址）：浙江政府采购网（http://zfcg.czt.zj.gov.cn）</w:t>
      </w:r>
    </w:p>
    <w:p w14:paraId="1FFF3B9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3.</w:t>
      </w:r>
      <w:r>
        <w:rPr>
          <w:rFonts w:hint="eastAsia"/>
        </w:rPr>
        <w:t>方式：供应商登录政采云平台https://www.zcygov.cn/在线申请获取</w:t>
      </w:r>
      <w:r>
        <w:rPr>
          <w:rFonts w:hint="eastAsia"/>
          <w:lang w:eastAsia="zh-CN"/>
        </w:rPr>
        <w:t>招标文件</w:t>
      </w:r>
      <w:r>
        <w:rPr>
          <w:rFonts w:hint="eastAsia"/>
        </w:rPr>
        <w:t>（进入“项目采购”应用，在获取</w:t>
      </w:r>
      <w:r>
        <w:rPr>
          <w:rFonts w:hint="eastAsia"/>
          <w:lang w:eastAsia="zh-CN"/>
        </w:rPr>
        <w:t>招标文件</w:t>
      </w:r>
      <w:r>
        <w:rPr>
          <w:rFonts w:hint="eastAsia"/>
        </w:rPr>
        <w:t>菜单中选择项目，申请获取</w:t>
      </w:r>
      <w:r>
        <w:rPr>
          <w:rFonts w:hint="eastAsia"/>
          <w:lang w:eastAsia="zh-CN"/>
        </w:rPr>
        <w:t>招标文件</w:t>
      </w:r>
      <w:r>
        <w:rPr>
          <w:rFonts w:hint="eastAsia"/>
        </w:rPr>
        <w:t>）</w:t>
      </w:r>
    </w:p>
    <w:p w14:paraId="13F01F0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lang w:val="en-US" w:eastAsia="zh-CN"/>
        </w:rPr>
        <w:t>4</w:t>
      </w:r>
      <w:r>
        <w:rPr>
          <w:rFonts w:hint="eastAsia"/>
        </w:rPr>
        <w:t>.售价</w:t>
      </w:r>
      <w:r>
        <w:rPr>
          <w:rFonts w:hint="eastAsia"/>
          <w:lang w:eastAsia="zh-CN"/>
        </w:rPr>
        <w:t>（元）</w:t>
      </w:r>
      <w:r>
        <w:rPr>
          <w:rFonts w:hint="eastAsia"/>
        </w:rPr>
        <w:t>：</w:t>
      </w:r>
      <w:r>
        <w:rPr>
          <w:rFonts w:hint="eastAsia"/>
          <w:lang w:val="en-US" w:eastAsia="zh-CN"/>
        </w:rPr>
        <w:t>0</w:t>
      </w:r>
    </w:p>
    <w:p w14:paraId="2D47B81B">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7" w:name="_Toc1080"/>
      <w:r>
        <w:rPr>
          <w:rFonts w:hint="eastAsia"/>
          <w:b/>
          <w:bCs/>
          <w:lang w:eastAsia="zh-CN"/>
        </w:rPr>
        <w:t>四</w:t>
      </w:r>
      <w:r>
        <w:rPr>
          <w:rFonts w:hint="eastAsia"/>
          <w:b/>
          <w:bCs/>
        </w:rPr>
        <w:t>、投标</w:t>
      </w:r>
      <w:r>
        <w:rPr>
          <w:rFonts w:hint="eastAsia"/>
          <w:b/>
          <w:bCs/>
          <w:lang w:eastAsia="zh-CN"/>
        </w:rPr>
        <w:t>文件提交（上传）</w:t>
      </w:r>
      <w:r>
        <w:rPr>
          <w:rFonts w:hint="eastAsia"/>
          <w:b/>
          <w:bCs/>
        </w:rPr>
        <w:t>截止时间、开标时间</w:t>
      </w:r>
      <w:r>
        <w:rPr>
          <w:rFonts w:hint="eastAsia"/>
          <w:b/>
          <w:bCs/>
          <w:lang w:eastAsia="zh-CN"/>
        </w:rPr>
        <w:t>和</w:t>
      </w:r>
      <w:r>
        <w:rPr>
          <w:rFonts w:hint="eastAsia"/>
          <w:b/>
          <w:bCs/>
        </w:rPr>
        <w:t>地点</w:t>
      </w:r>
      <w:bookmarkEnd w:id="7"/>
    </w:p>
    <w:p w14:paraId="5A2F7EC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bookmarkStart w:id="8" w:name="_Toc2231"/>
      <w:r>
        <w:rPr>
          <w:rFonts w:hint="eastAsia"/>
        </w:rPr>
        <w:t>1.</w:t>
      </w:r>
      <w:r>
        <w:rPr>
          <w:rFonts w:hint="eastAsia"/>
          <w:lang w:eastAsia="zh-CN"/>
        </w:rPr>
        <w:t>提交（上传）</w:t>
      </w:r>
      <w:r>
        <w:rPr>
          <w:rFonts w:hint="eastAsia"/>
        </w:rPr>
        <w:t>截止时间：</w:t>
      </w:r>
      <w:r>
        <w:rPr>
          <w:rFonts w:hint="eastAsia"/>
          <w:b/>
          <w:bCs/>
          <w:highlight w:val="none"/>
          <w:u w:val="single"/>
        </w:rPr>
        <w:t>202</w:t>
      </w:r>
      <w:r>
        <w:rPr>
          <w:rFonts w:hint="eastAsia"/>
          <w:b/>
          <w:bCs/>
          <w:highlight w:val="none"/>
          <w:u w:val="single"/>
          <w:lang w:val="en-US" w:eastAsia="zh-CN"/>
        </w:rPr>
        <w:t>5</w:t>
      </w:r>
      <w:r>
        <w:rPr>
          <w:rFonts w:hint="eastAsia"/>
          <w:b/>
          <w:bCs/>
          <w:highlight w:val="none"/>
          <w:u w:val="single"/>
        </w:rPr>
        <w:t>年</w:t>
      </w:r>
      <w:r>
        <w:rPr>
          <w:rFonts w:hint="eastAsia"/>
          <w:b/>
          <w:bCs/>
          <w:highlight w:val="none"/>
          <w:u w:val="single"/>
          <w:lang w:val="en-US" w:eastAsia="zh-CN"/>
        </w:rPr>
        <w:t>5</w:t>
      </w:r>
      <w:r>
        <w:rPr>
          <w:rFonts w:hint="eastAsia"/>
          <w:b/>
          <w:bCs/>
          <w:highlight w:val="none"/>
          <w:u w:val="single"/>
        </w:rPr>
        <w:t>月</w:t>
      </w:r>
      <w:r>
        <w:rPr>
          <w:rFonts w:hint="eastAsia"/>
          <w:b/>
          <w:bCs/>
          <w:highlight w:val="none"/>
          <w:u w:val="single"/>
          <w:lang w:val="en-US" w:eastAsia="zh-CN"/>
        </w:rPr>
        <w:t>13</w:t>
      </w:r>
      <w:r>
        <w:rPr>
          <w:rFonts w:hint="eastAsia"/>
          <w:b/>
          <w:bCs/>
          <w:highlight w:val="none"/>
          <w:u w:val="single"/>
        </w:rPr>
        <w:t>日</w:t>
      </w:r>
      <w:r>
        <w:rPr>
          <w:rFonts w:hint="eastAsia"/>
          <w:b/>
          <w:bCs/>
          <w:highlight w:val="none"/>
          <w:u w:val="single"/>
          <w:lang w:eastAsia="zh-CN"/>
        </w:rPr>
        <w:t>上午</w:t>
      </w:r>
      <w:r>
        <w:rPr>
          <w:rFonts w:hint="eastAsia"/>
          <w:b/>
          <w:bCs/>
          <w:highlight w:val="none"/>
          <w:u w:val="single"/>
          <w:lang w:val="en-US" w:eastAsia="zh-CN"/>
        </w:rPr>
        <w:t>09</w:t>
      </w:r>
      <w:r>
        <w:rPr>
          <w:rFonts w:hint="eastAsia"/>
          <w:b/>
          <w:bCs/>
          <w:highlight w:val="none"/>
          <w:u w:val="single"/>
        </w:rPr>
        <w:t>:</w:t>
      </w:r>
      <w:r>
        <w:rPr>
          <w:rFonts w:hint="eastAsia"/>
          <w:b/>
          <w:bCs/>
          <w:highlight w:val="none"/>
          <w:u w:val="single"/>
          <w:lang w:val="en-US" w:eastAsia="zh-CN"/>
        </w:rPr>
        <w:t>0</w:t>
      </w:r>
      <w:r>
        <w:rPr>
          <w:rFonts w:hint="eastAsia"/>
          <w:b/>
          <w:bCs/>
          <w:u w:val="single"/>
          <w:lang w:val="en-US" w:eastAsia="zh-CN"/>
        </w:rPr>
        <w:t>0</w:t>
      </w:r>
      <w:r>
        <w:rPr>
          <w:rFonts w:hint="eastAsia"/>
        </w:rPr>
        <w:t>（北京时间）</w:t>
      </w:r>
    </w:p>
    <w:p w14:paraId="31C4DEAD">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lang w:val="en-US" w:eastAsia="zh-CN"/>
        </w:rPr>
        <w:t>2.投标地点（网址）：</w:t>
      </w:r>
      <w:r>
        <w:rPr>
          <w:rFonts w:hint="eastAsia" w:ascii="宋体" w:hAnsi="宋体" w:cs="宋体"/>
          <w:sz w:val="24"/>
          <w:u w:val="single"/>
        </w:rPr>
        <w:t>政采云平台（https://www.zcygov.cn/）</w:t>
      </w:r>
      <w:r>
        <w:rPr>
          <w:rFonts w:hint="eastAsia"/>
          <w:lang w:val="en-US" w:eastAsia="zh-CN"/>
        </w:rPr>
        <w:t xml:space="preserve">                    </w:t>
      </w:r>
    </w:p>
    <w:p w14:paraId="5614D8E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3</w:t>
      </w:r>
      <w:r>
        <w:rPr>
          <w:rFonts w:hint="eastAsia"/>
        </w:rPr>
        <w:t>.开标时间：</w:t>
      </w:r>
      <w:r>
        <w:rPr>
          <w:rFonts w:hint="eastAsia"/>
          <w:b/>
          <w:bCs/>
          <w:highlight w:val="none"/>
          <w:u w:val="single"/>
        </w:rPr>
        <w:t>202</w:t>
      </w:r>
      <w:r>
        <w:rPr>
          <w:rFonts w:hint="eastAsia"/>
          <w:b/>
          <w:bCs/>
          <w:highlight w:val="none"/>
          <w:u w:val="single"/>
          <w:lang w:val="en-US" w:eastAsia="zh-CN"/>
        </w:rPr>
        <w:t>5</w:t>
      </w:r>
      <w:r>
        <w:rPr>
          <w:rFonts w:hint="eastAsia"/>
          <w:b/>
          <w:bCs/>
          <w:highlight w:val="none"/>
          <w:u w:val="single"/>
        </w:rPr>
        <w:t>年</w:t>
      </w:r>
      <w:r>
        <w:rPr>
          <w:rFonts w:hint="eastAsia"/>
          <w:b/>
          <w:bCs/>
          <w:highlight w:val="none"/>
          <w:u w:val="single"/>
          <w:lang w:val="en-US" w:eastAsia="zh-CN"/>
        </w:rPr>
        <w:t>5</w:t>
      </w:r>
      <w:r>
        <w:rPr>
          <w:rFonts w:hint="eastAsia"/>
          <w:b/>
          <w:bCs/>
          <w:highlight w:val="none"/>
          <w:u w:val="single"/>
        </w:rPr>
        <w:t>月</w:t>
      </w:r>
      <w:r>
        <w:rPr>
          <w:rFonts w:hint="eastAsia"/>
          <w:b/>
          <w:bCs/>
          <w:highlight w:val="none"/>
          <w:u w:val="single"/>
          <w:lang w:val="en-US" w:eastAsia="zh-CN"/>
        </w:rPr>
        <w:t>13</w:t>
      </w:r>
      <w:r>
        <w:rPr>
          <w:rFonts w:hint="eastAsia"/>
          <w:b/>
          <w:bCs/>
          <w:highlight w:val="none"/>
          <w:u w:val="single"/>
        </w:rPr>
        <w:t>日</w:t>
      </w:r>
      <w:r>
        <w:rPr>
          <w:rFonts w:hint="eastAsia"/>
          <w:b/>
          <w:bCs/>
          <w:highlight w:val="none"/>
          <w:u w:val="single"/>
          <w:lang w:eastAsia="zh-CN"/>
        </w:rPr>
        <w:t>上午</w:t>
      </w:r>
      <w:r>
        <w:rPr>
          <w:rFonts w:hint="eastAsia"/>
          <w:b/>
          <w:bCs/>
          <w:highlight w:val="none"/>
          <w:u w:val="single"/>
          <w:lang w:val="en-US" w:eastAsia="zh-CN"/>
        </w:rPr>
        <w:t>09</w:t>
      </w:r>
      <w:r>
        <w:rPr>
          <w:rFonts w:hint="eastAsia"/>
          <w:b/>
          <w:bCs/>
          <w:highlight w:val="none"/>
          <w:u w:val="single"/>
        </w:rPr>
        <w:t>:</w:t>
      </w:r>
      <w:r>
        <w:rPr>
          <w:rFonts w:hint="eastAsia"/>
          <w:b/>
          <w:bCs/>
          <w:highlight w:val="none"/>
          <w:u w:val="single"/>
          <w:lang w:val="en-US" w:eastAsia="zh-CN"/>
        </w:rPr>
        <w:t>00</w:t>
      </w:r>
      <w:r>
        <w:rPr>
          <w:rFonts w:hint="eastAsia"/>
          <w:highlight w:val="none"/>
        </w:rPr>
        <w:t>（</w:t>
      </w:r>
      <w:r>
        <w:rPr>
          <w:rFonts w:hint="eastAsia"/>
        </w:rPr>
        <w:t>北京时间）</w:t>
      </w:r>
    </w:p>
    <w:p w14:paraId="54C2AE2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sz w:val="24"/>
          <w:u w:val="single"/>
        </w:rPr>
      </w:pPr>
      <w:r>
        <w:rPr>
          <w:rFonts w:hint="eastAsia"/>
          <w:lang w:val="en-US" w:eastAsia="zh-CN"/>
        </w:rPr>
        <w:t>4</w:t>
      </w:r>
      <w:r>
        <w:rPr>
          <w:rFonts w:hint="eastAsia"/>
        </w:rPr>
        <w:t>.开标地点</w:t>
      </w:r>
      <w:r>
        <w:rPr>
          <w:rFonts w:hint="eastAsia"/>
          <w:lang w:eastAsia="zh-CN"/>
        </w:rPr>
        <w:t>（网址）</w:t>
      </w:r>
      <w:r>
        <w:rPr>
          <w:rFonts w:hint="eastAsia"/>
        </w:rPr>
        <w:t>：</w:t>
      </w:r>
      <w:bookmarkEnd w:id="8"/>
      <w:r>
        <w:rPr>
          <w:rFonts w:hint="eastAsia" w:ascii="宋体" w:hAnsi="宋体" w:cs="宋体"/>
          <w:sz w:val="24"/>
          <w:u w:val="single"/>
        </w:rPr>
        <w:t>政采云平台（https://www.zcygov.cn/）</w:t>
      </w:r>
    </w:p>
    <w:p w14:paraId="690ABB12">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lang w:val="en-US" w:eastAsia="zh-CN"/>
        </w:rPr>
      </w:pPr>
      <w:r>
        <w:rPr>
          <w:rFonts w:hint="eastAsia"/>
          <w:b/>
          <w:bCs/>
          <w:lang w:val="en-US" w:eastAsia="zh-CN"/>
        </w:rPr>
        <w:t>五、公告期限</w:t>
      </w:r>
    </w:p>
    <w:p w14:paraId="71419FC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val="en-US" w:eastAsia="zh-CN"/>
        </w:rPr>
      </w:pPr>
      <w:r>
        <w:rPr>
          <w:rFonts w:hint="eastAsia"/>
        </w:rPr>
        <w:t>自本公告发布之日起5个工作日。</w:t>
      </w:r>
    </w:p>
    <w:p w14:paraId="6726BA06">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b/>
          <w:bCs/>
        </w:rPr>
      </w:pPr>
      <w:bookmarkStart w:id="9" w:name="_Toc6191"/>
      <w:r>
        <w:rPr>
          <w:rFonts w:hint="eastAsia"/>
          <w:b/>
          <w:bCs/>
          <w:lang w:eastAsia="zh-CN"/>
        </w:rPr>
        <w:t>六</w:t>
      </w:r>
      <w:r>
        <w:rPr>
          <w:rFonts w:hint="eastAsia"/>
          <w:b/>
          <w:bCs/>
        </w:rPr>
        <w:t>、其他</w:t>
      </w:r>
      <w:r>
        <w:rPr>
          <w:rFonts w:hint="eastAsia"/>
          <w:b/>
          <w:bCs/>
          <w:lang w:eastAsia="zh-CN"/>
        </w:rPr>
        <w:t>补充事宜</w:t>
      </w:r>
      <w:r>
        <w:rPr>
          <w:rFonts w:hint="eastAsia"/>
          <w:b/>
          <w:bCs/>
        </w:rPr>
        <w:t>：</w:t>
      </w:r>
      <w:bookmarkEnd w:id="9"/>
    </w:p>
    <w:p w14:paraId="2A0EAE2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000000"/>
          <w:lang w:bidi="ar"/>
        </w:rPr>
        <w:t>1.</w:t>
      </w:r>
      <w:r>
        <w:rPr>
          <w:rFonts w:hint="eastAsia" w:ascii="宋体" w:hAnsi="宋体" w:eastAsia="宋体" w:cs="宋体"/>
          <w:i w:val="0"/>
          <w:iCs w:val="0"/>
          <w:caps w:val="0"/>
          <w:color w:val="000000"/>
          <w:spacing w:val="0"/>
          <w:sz w:val="24"/>
          <w:szCs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5D0C97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i w:val="0"/>
          <w:iCs w:val="0"/>
          <w:caps w:val="0"/>
          <w:color w:val="000000"/>
          <w:spacing w:val="0"/>
          <w:sz w:val="24"/>
          <w:szCs w:val="24"/>
        </w:rPr>
      </w:pPr>
      <w:r>
        <w:rPr>
          <w:rFonts w:hint="eastAsia" w:ascii="宋体" w:hAnsi="宋体" w:eastAsia="宋体" w:cs="宋体"/>
          <w:color w:val="000000"/>
          <w:lang w:bidi="ar"/>
        </w:rPr>
        <w:t>2.</w:t>
      </w:r>
      <w:r>
        <w:rPr>
          <w:rFonts w:hint="eastAsia" w:ascii="宋体" w:hAnsi="宋体" w:eastAsia="宋体" w:cs="宋体"/>
          <w:i w:val="0"/>
          <w:iCs w:val="0"/>
          <w:caps w:val="0"/>
          <w:color w:val="000000"/>
          <w:spacing w:val="0"/>
          <w:sz w:val="24"/>
          <w:szCs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3201FD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lang w:val="en-US" w:eastAsia="zh-CN"/>
        </w:rPr>
        <w:t>3.</w:t>
      </w:r>
      <w:r>
        <w:rPr>
          <w:rFonts w:hint="eastAsia"/>
        </w:rPr>
        <w:t>供应商认为</w:t>
      </w:r>
      <w:r>
        <w:rPr>
          <w:rFonts w:hint="eastAsia"/>
          <w:lang w:eastAsia="zh-CN"/>
        </w:rPr>
        <w:t>招标文件</w:t>
      </w:r>
      <w:r>
        <w:rPr>
          <w:rFonts w:hint="eastAsia"/>
        </w:rPr>
        <w:t>使自己的权益受到损害的，可以自获取</w:t>
      </w:r>
      <w:r>
        <w:rPr>
          <w:rFonts w:hint="eastAsia"/>
          <w:lang w:eastAsia="zh-CN"/>
        </w:rPr>
        <w:t>招标文件</w:t>
      </w:r>
      <w:r>
        <w:rPr>
          <w:rFonts w:hint="eastAsia"/>
        </w:rPr>
        <w:t>之日或者采购公告期限届满之日（公告期限届满后获取</w:t>
      </w:r>
      <w:r>
        <w:rPr>
          <w:rFonts w:hint="eastAsia"/>
          <w:lang w:eastAsia="zh-CN"/>
        </w:rPr>
        <w:t>招标文件</w:t>
      </w:r>
      <w:r>
        <w:rPr>
          <w:rFonts w:hint="eastAsia"/>
        </w:rPr>
        <w:t>的，以公告期限届满之日为准）起7个工作日内，对</w:t>
      </w:r>
      <w:r>
        <w:rPr>
          <w:rFonts w:hint="eastAsia"/>
          <w:lang w:eastAsia="zh-CN"/>
        </w:rPr>
        <w:t>招标文件</w:t>
      </w:r>
      <w:r>
        <w:rPr>
          <w:rFonts w:hint="eastAsia"/>
        </w:rPr>
        <w:t>需求以书面形式向</w:t>
      </w:r>
      <w:r>
        <w:rPr>
          <w:rFonts w:hint="eastAsia"/>
          <w:lang w:eastAsia="zh-CN"/>
        </w:rPr>
        <w:t>招标人</w:t>
      </w:r>
      <w:r>
        <w:rPr>
          <w:rFonts w:hint="eastAsia"/>
        </w:rPr>
        <w:t>提出质疑，对其他内容以书面形式向</w:t>
      </w:r>
      <w:r>
        <w:rPr>
          <w:rFonts w:hint="eastAsia"/>
          <w:lang w:eastAsia="zh-CN"/>
        </w:rPr>
        <w:t>招标人</w:t>
      </w:r>
      <w:r>
        <w:rPr>
          <w:rFonts w:hint="eastAsia"/>
        </w:rPr>
        <w:t>和</w:t>
      </w:r>
      <w:r>
        <w:rPr>
          <w:rFonts w:hint="eastAsia"/>
          <w:lang w:eastAsia="zh-CN"/>
        </w:rPr>
        <w:t>招标代理机构</w:t>
      </w:r>
      <w:r>
        <w:rPr>
          <w:rFonts w:hint="eastAsia"/>
        </w:rPr>
        <w:t>提出质疑。质疑供应商对</w:t>
      </w:r>
      <w:r>
        <w:rPr>
          <w:rFonts w:hint="eastAsia"/>
          <w:lang w:eastAsia="zh-CN"/>
        </w:rPr>
        <w:t>招标人</w:t>
      </w:r>
      <w:r>
        <w:rPr>
          <w:rFonts w:hint="eastAsia"/>
        </w:rPr>
        <w:t>、</w:t>
      </w:r>
      <w:r>
        <w:rPr>
          <w:rFonts w:hint="eastAsia"/>
          <w:lang w:eastAsia="zh-CN"/>
        </w:rPr>
        <w:t>招标代理机构</w:t>
      </w:r>
      <w:r>
        <w:rPr>
          <w:rFonts w:hint="eastAsia"/>
        </w:rPr>
        <w:t>的答复不满意或</w:t>
      </w:r>
      <w:r>
        <w:rPr>
          <w:rFonts w:hint="eastAsia"/>
          <w:lang w:eastAsia="zh-CN"/>
        </w:rPr>
        <w:t>招标人</w:t>
      </w:r>
      <w:r>
        <w:rPr>
          <w:rFonts w:hint="eastAsia"/>
        </w:rPr>
        <w:t>、</w:t>
      </w:r>
      <w:r>
        <w:rPr>
          <w:rFonts w:hint="eastAsia"/>
          <w:lang w:eastAsia="zh-CN"/>
        </w:rPr>
        <w:t>招标代理机构</w:t>
      </w:r>
      <w:r>
        <w:rPr>
          <w:rFonts w:hint="eastAsia"/>
        </w:rPr>
        <w:t>未在规定的时间内作出答复的，可以在答复期满后十五个工作日内向同级政府采购监督管理部门投诉。质疑函范本、投诉书范本请到浙江政府采购网下载专区下载。</w:t>
      </w:r>
    </w:p>
    <w:p w14:paraId="35DF41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lang w:val="en-US" w:eastAsia="zh-CN"/>
        </w:rPr>
        <w:t>4.</w:t>
      </w:r>
      <w:r>
        <w:rPr>
          <w:rFonts w:hint="eastAsia" w:ascii="宋体" w:hAnsi="宋体" w:eastAsia="宋体" w:cs="宋体"/>
          <w:i w:val="0"/>
          <w:iCs w:val="0"/>
          <w:caps w:val="0"/>
          <w:color w:val="000000"/>
          <w:spacing w:val="0"/>
          <w:sz w:val="24"/>
          <w:szCs w:val="24"/>
        </w:rPr>
        <w:t>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p>
    <w:p w14:paraId="393E8D7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ascii="宋体" w:hAnsi="宋体" w:eastAsia="宋体" w:cs="宋体"/>
          <w:i w:val="0"/>
          <w:iCs w:val="0"/>
          <w:caps w:val="0"/>
          <w:color w:val="000000"/>
          <w:spacing w:val="0"/>
          <w:sz w:val="24"/>
          <w:szCs w:val="24"/>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p>
    <w:p w14:paraId="6226EAC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i w:val="0"/>
          <w:iCs w:val="0"/>
          <w:caps w:val="0"/>
          <w:color w:val="000000"/>
          <w:spacing w:val="0"/>
          <w:sz w:val="24"/>
          <w:szCs w:val="24"/>
          <w:lang w:eastAsia="zh-CN"/>
        </w:rPr>
      </w:pPr>
      <w:r>
        <w:rPr>
          <w:rFonts w:hint="eastAsia" w:ascii="宋体" w:hAnsi="宋体" w:eastAsia="宋体" w:cs="宋体"/>
          <w:i w:val="0"/>
          <w:iCs w:val="0"/>
          <w:caps w:val="0"/>
          <w:color w:val="000000"/>
          <w:spacing w:val="0"/>
          <w:sz w:val="24"/>
          <w:szCs w:val="24"/>
        </w:rPr>
        <w:t>（3）单位负责人为同一人或者存在直接控股、管理关系的不同供应商，不得同时参加同一合同项下的投标。</w:t>
      </w:r>
    </w:p>
    <w:p w14:paraId="70A7B24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sz w:val="24"/>
          <w:szCs w:val="24"/>
          <w:lang w:val="en-US" w:eastAsia="zh-CN"/>
        </w:rPr>
      </w:pPr>
      <w:r>
        <w:rPr>
          <w:rFonts w:hint="eastAsia" w:ascii="宋体" w:hAnsi="宋体" w:eastAsia="宋体" w:cs="宋体"/>
          <w:i w:val="0"/>
          <w:iCs w:val="0"/>
          <w:caps w:val="0"/>
          <w:color w:val="000000"/>
          <w:spacing w:val="0"/>
          <w:sz w:val="24"/>
          <w:szCs w:val="24"/>
        </w:rPr>
        <w:t>（4）为项目提供整体设计、规范编制或者项目管理、监理、检测等服务的供应商，不得参加该项目的投标。</w:t>
      </w:r>
    </w:p>
    <w:p w14:paraId="333F3489">
      <w:pPr>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textAlignment w:val="auto"/>
        <w:rPr>
          <w:rFonts w:hint="eastAsia"/>
          <w:lang w:eastAsia="zh-CN"/>
        </w:rPr>
      </w:pPr>
      <w:bookmarkStart w:id="10" w:name="_Toc5293"/>
      <w:r>
        <w:rPr>
          <w:rFonts w:hint="eastAsia"/>
          <w:b/>
          <w:bCs/>
          <w:lang w:eastAsia="zh-CN"/>
        </w:rPr>
        <w:t>七</w:t>
      </w:r>
      <w:r>
        <w:rPr>
          <w:rFonts w:hint="eastAsia"/>
          <w:b/>
          <w:bCs/>
        </w:rPr>
        <w:t>、</w:t>
      </w:r>
      <w:bookmarkEnd w:id="10"/>
      <w:r>
        <w:rPr>
          <w:rFonts w:hint="eastAsia"/>
          <w:b/>
          <w:bCs/>
        </w:rPr>
        <w:t>对本次</w:t>
      </w:r>
      <w:r>
        <w:rPr>
          <w:rFonts w:hint="eastAsia"/>
          <w:b/>
          <w:bCs/>
          <w:lang w:eastAsia="zh-CN"/>
        </w:rPr>
        <w:t>招标</w:t>
      </w:r>
      <w:r>
        <w:rPr>
          <w:rFonts w:hint="eastAsia"/>
          <w:b/>
          <w:bCs/>
        </w:rPr>
        <w:t>提出询问、质疑、投诉，请按以下方式联系</w:t>
      </w:r>
    </w:p>
    <w:p w14:paraId="6AA6510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1.</w:t>
      </w:r>
      <w:r>
        <w:rPr>
          <w:rFonts w:hint="eastAsia"/>
          <w:lang w:eastAsia="zh-CN"/>
        </w:rPr>
        <w:t>采购人</w:t>
      </w:r>
      <w:r>
        <w:rPr>
          <w:rFonts w:hint="eastAsia"/>
        </w:rPr>
        <w:t>信息</w:t>
      </w:r>
    </w:p>
    <w:p w14:paraId="294B40A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rPr>
        <w:t>名称：</w:t>
      </w:r>
      <w:r>
        <w:rPr>
          <w:rFonts w:hint="eastAsia"/>
          <w:lang w:eastAsia="zh-CN"/>
        </w:rPr>
        <w:t>长兴县实验小学</w:t>
      </w:r>
    </w:p>
    <w:p w14:paraId="38DFA24A">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rPr>
        <w:t>地址：</w:t>
      </w:r>
      <w:r>
        <w:rPr>
          <w:rFonts w:hint="eastAsia"/>
          <w:lang w:eastAsia="zh-CN"/>
        </w:rPr>
        <w:t>长兴县金陵北路</w:t>
      </w:r>
      <w:r>
        <w:rPr>
          <w:rFonts w:hint="eastAsia"/>
          <w:lang w:val="en-US" w:eastAsia="zh-CN"/>
        </w:rPr>
        <w:t>87号</w:t>
      </w:r>
    </w:p>
    <w:p w14:paraId="4D3FB6A1">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val="en-US" w:eastAsia="zh-CN"/>
        </w:rPr>
      </w:pPr>
      <w:r>
        <w:rPr>
          <w:rFonts w:hint="eastAsia"/>
        </w:rPr>
        <w:t>项目联系人（询问）：</w:t>
      </w:r>
      <w:r>
        <w:rPr>
          <w:rFonts w:hint="eastAsia"/>
          <w:lang w:eastAsia="zh-CN"/>
        </w:rPr>
        <w:t>刘老师</w:t>
      </w:r>
    </w:p>
    <w:p w14:paraId="10EBAF21">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ascii="宋体" w:hAnsi="宋体" w:eastAsia="宋体" w:cs="宋体"/>
          <w:sz w:val="24"/>
          <w:szCs w:val="24"/>
        </w:rPr>
        <w:t>项目联系方式（询问）：</w:t>
      </w:r>
      <w:r>
        <w:rPr>
          <w:rFonts w:hint="eastAsia" w:ascii="宋体" w:hAnsi="宋体" w:eastAsia="宋体" w:cs="宋体"/>
          <w:i w:val="0"/>
          <w:iCs w:val="0"/>
          <w:caps w:val="0"/>
          <w:color w:val="333333"/>
          <w:spacing w:val="0"/>
          <w:sz w:val="24"/>
          <w:szCs w:val="24"/>
          <w:shd w:val="clear" w:fill="FFFFFF"/>
        </w:rPr>
        <w:t>0572-6985192</w:t>
      </w:r>
    </w:p>
    <w:p w14:paraId="5455BE7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eastAsia="宋体"/>
          <w:lang w:eastAsia="zh-CN"/>
        </w:rPr>
      </w:pPr>
      <w:r>
        <w:rPr>
          <w:rFonts w:hint="eastAsia"/>
        </w:rPr>
        <w:t>质疑联系人：</w:t>
      </w:r>
      <w:r>
        <w:rPr>
          <w:rFonts w:hint="eastAsia"/>
          <w:lang w:eastAsia="zh-CN"/>
        </w:rPr>
        <w:t>郑老师</w:t>
      </w:r>
    </w:p>
    <w:p w14:paraId="4BD9211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ascii="宋体" w:hAnsi="宋体" w:eastAsia="宋体" w:cs="宋体"/>
          <w:sz w:val="24"/>
          <w:szCs w:val="24"/>
        </w:rPr>
        <w:t>质疑联系方式：</w:t>
      </w:r>
      <w:r>
        <w:rPr>
          <w:rFonts w:hint="eastAsia" w:ascii="宋体" w:hAnsi="宋体" w:eastAsia="宋体" w:cs="宋体"/>
          <w:i w:val="0"/>
          <w:iCs w:val="0"/>
          <w:caps w:val="0"/>
          <w:color w:val="333333"/>
          <w:spacing w:val="0"/>
          <w:sz w:val="24"/>
          <w:szCs w:val="24"/>
          <w:shd w:val="clear" w:fill="FFFFFF"/>
        </w:rPr>
        <w:t>0572-6985192</w:t>
      </w:r>
    </w:p>
    <w:p w14:paraId="06D008F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rPr>
      </w:pPr>
      <w:r>
        <w:rPr>
          <w:rFonts w:hint="eastAsia"/>
        </w:rPr>
        <w:t>2.</w:t>
      </w:r>
      <w:r>
        <w:rPr>
          <w:rFonts w:hint="eastAsia"/>
          <w:lang w:eastAsia="zh-CN"/>
        </w:rPr>
        <w:t>采购代理机构</w:t>
      </w:r>
      <w:r>
        <w:rPr>
          <w:rFonts w:hint="eastAsia"/>
        </w:rPr>
        <w:t>信息</w:t>
      </w:r>
    </w:p>
    <w:p w14:paraId="4347054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名称：</w:t>
      </w:r>
      <w:r>
        <w:rPr>
          <w:rFonts w:hint="eastAsia"/>
          <w:lang w:eastAsia="zh-CN"/>
        </w:rPr>
        <w:t>浙江致信招标代理有限公司</w:t>
      </w:r>
    </w:p>
    <w:p w14:paraId="5D780110">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地址：</w:t>
      </w:r>
      <w:r>
        <w:rPr>
          <w:rFonts w:hint="eastAsia"/>
          <w:lang w:eastAsia="zh-CN"/>
        </w:rPr>
        <w:t>湖州市康山街道嘉年华国际广场</w:t>
      </w:r>
      <w:r>
        <w:rPr>
          <w:rFonts w:hint="eastAsia"/>
          <w:lang w:val="en-US" w:eastAsia="zh-CN"/>
        </w:rPr>
        <w:t>C座C1805室</w:t>
      </w:r>
    </w:p>
    <w:p w14:paraId="389001E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项目联系人（询问）：</w:t>
      </w:r>
      <w:r>
        <w:rPr>
          <w:rFonts w:hint="eastAsia"/>
          <w:lang w:eastAsia="zh-CN"/>
        </w:rPr>
        <w:t>徐工</w:t>
      </w:r>
    </w:p>
    <w:p w14:paraId="1254BEE1">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项目联系方式（询问）：</w:t>
      </w:r>
      <w:r>
        <w:rPr>
          <w:rFonts w:hint="eastAsia"/>
          <w:lang w:val="en-US" w:eastAsia="zh-CN"/>
        </w:rPr>
        <w:t>0572-2038559</w:t>
      </w:r>
    </w:p>
    <w:p w14:paraId="52C90302">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lang w:eastAsia="zh-CN"/>
        </w:rPr>
      </w:pPr>
      <w:r>
        <w:rPr>
          <w:rFonts w:hint="eastAsia"/>
        </w:rPr>
        <w:t>质疑联系人：</w:t>
      </w:r>
      <w:r>
        <w:rPr>
          <w:rFonts w:hint="eastAsia"/>
          <w:lang w:eastAsia="zh-CN"/>
        </w:rPr>
        <w:t>俞工</w:t>
      </w:r>
    </w:p>
    <w:p w14:paraId="5B19DED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lang w:val="en-US" w:eastAsia="zh-CN"/>
        </w:rPr>
      </w:pPr>
      <w:r>
        <w:rPr>
          <w:rFonts w:hint="eastAsia"/>
        </w:rPr>
        <w:t>质疑联系方式：</w:t>
      </w:r>
      <w:r>
        <w:rPr>
          <w:rFonts w:hint="eastAsia"/>
          <w:lang w:val="en-US" w:eastAsia="zh-CN"/>
        </w:rPr>
        <w:t>0571-88026807</w:t>
      </w:r>
    </w:p>
    <w:p w14:paraId="74136C26">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同级政府采购监督管理部门</w:t>
      </w:r>
    </w:p>
    <w:p w14:paraId="777BD1F4">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名称：</w:t>
      </w:r>
      <w:r>
        <w:rPr>
          <w:rFonts w:hint="eastAsia" w:cs="宋体"/>
          <w:sz w:val="24"/>
          <w:szCs w:val="24"/>
          <w:lang w:eastAsia="zh-CN"/>
        </w:rPr>
        <w:t>长兴县</w:t>
      </w:r>
      <w:r>
        <w:rPr>
          <w:rFonts w:hint="eastAsia" w:ascii="宋体" w:hAnsi="宋体" w:eastAsia="宋体" w:cs="宋体"/>
          <w:sz w:val="24"/>
          <w:szCs w:val="24"/>
        </w:rPr>
        <w:t>财政局</w:t>
      </w:r>
    </w:p>
    <w:p w14:paraId="500DB6D9">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地址：</w:t>
      </w:r>
      <w:r>
        <w:rPr>
          <w:rFonts w:hint="eastAsia" w:cs="宋体"/>
          <w:color w:val="auto"/>
          <w:highlight w:val="none"/>
        </w:rPr>
        <w:t>长兴县龙山街道锦绣路6号兴国商务楼1号楼1305室</w:t>
      </w:r>
    </w:p>
    <w:p w14:paraId="59F42AC9">
      <w:pPr>
        <w:keepNext w:val="0"/>
        <w:keepLines w:val="0"/>
        <w:pageBreakBefore w:val="0"/>
        <w:widowControl w:val="0"/>
        <w:kinsoku/>
        <w:wordWrap/>
        <w:overflowPunct/>
        <w:topLinePunct w:val="0"/>
        <w:autoSpaceDE/>
        <w:autoSpaceDN/>
        <w:bidi w:val="0"/>
        <w:adjustRightInd/>
        <w:snapToGrid/>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联系人：</w:t>
      </w:r>
      <w:r>
        <w:rPr>
          <w:rFonts w:hint="eastAsia" w:cs="宋体"/>
          <w:color w:val="auto"/>
          <w:highlight w:val="none"/>
        </w:rPr>
        <w:t>佘</w:t>
      </w:r>
      <w:r>
        <w:rPr>
          <w:rFonts w:hint="eastAsia" w:cs="宋体"/>
          <w:color w:val="auto"/>
          <w:highlight w:val="none"/>
          <w:lang w:val="en-US" w:eastAsia="zh-CN"/>
        </w:rPr>
        <w:t>科</w:t>
      </w:r>
    </w:p>
    <w:p w14:paraId="3D52F7BF">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eastAsia="宋体"/>
          <w:lang w:val="en-US" w:eastAsia="zh-CN"/>
        </w:rPr>
      </w:pPr>
      <w:r>
        <w:rPr>
          <w:rFonts w:hint="eastAsia" w:ascii="宋体" w:hAnsi="宋体" w:eastAsia="宋体" w:cs="宋体"/>
          <w:sz w:val="24"/>
          <w:szCs w:val="24"/>
        </w:rPr>
        <w:t>监督投诉电话：</w:t>
      </w:r>
      <w:r>
        <w:rPr>
          <w:rFonts w:hint="eastAsia" w:cs="宋体"/>
          <w:color w:val="auto"/>
          <w:highlight w:val="none"/>
        </w:rPr>
        <w:t>0572-6027789</w:t>
      </w:r>
    </w:p>
    <w:p w14:paraId="39532A94">
      <w:pPr>
        <w:keepNext w:val="0"/>
        <w:keepLines w:val="0"/>
        <w:pageBreakBefore w:val="0"/>
        <w:widowControl w:val="0"/>
        <w:kinsoku/>
        <w:wordWrap/>
        <w:overflowPunct/>
        <w:topLinePunct w:val="0"/>
        <w:autoSpaceDE/>
        <w:autoSpaceDN/>
        <w:bidi w:val="0"/>
        <w:adjustRightInd/>
        <w:snapToGrid/>
        <w:spacing w:line="480" w:lineRule="exact"/>
        <w:ind w:left="0" w:leftChars="0" w:firstLine="480" w:firstLineChars="200"/>
        <w:textAlignment w:val="auto"/>
        <w:rPr>
          <w:rFonts w:hint="eastAsia" w:cs="宋体"/>
          <w:highlight w:val="none"/>
          <w:lang w:val="en-US" w:eastAsia="zh-CN"/>
        </w:rPr>
      </w:pPr>
    </w:p>
    <w:p w14:paraId="2D0D5BEE">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textAlignment w:val="auto"/>
        <w:rPr>
          <w:rFonts w:hint="eastAsia" w:ascii="宋体" w:hAnsi="宋体" w:cs="宋体"/>
          <w:sz w:val="24"/>
        </w:rPr>
      </w:pPr>
      <w:r>
        <w:rPr>
          <w:rFonts w:hint="eastAsia" w:cs="宋体"/>
          <w:highlight w:val="none"/>
          <w:lang w:val="en-US" w:eastAsia="zh-CN"/>
        </w:rPr>
        <w:t>提示：</w:t>
      </w: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cs="宋体"/>
          <w:sz w:val="24"/>
          <w:lang w:val="en-US" w:eastAsia="zh-CN"/>
        </w:rPr>
        <w:t>95763</w:t>
      </w:r>
      <w:r>
        <w:rPr>
          <w:rFonts w:hint="eastAsia" w:ascii="宋体" w:hAnsi="宋体" w:cs="宋体"/>
          <w:sz w:val="24"/>
        </w:rPr>
        <w:t>获取热线服务帮助。</w:t>
      </w:r>
    </w:p>
    <w:p w14:paraId="42C468FD">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宋体" w:hAnsi="宋体" w:eastAsia="宋体" w:cs="宋体"/>
          <w:highlight w:val="none"/>
          <w:lang w:val="en-US" w:eastAsia="zh-CN"/>
        </w:rPr>
      </w:pPr>
      <w:r>
        <w:rPr>
          <w:rFonts w:hint="eastAsia"/>
        </w:rPr>
        <w:t>CA问题联系电话（人工）：汇信CA 400-888-4636；天谷CA 400-087-8198</w:t>
      </w:r>
    </w:p>
    <w:p w14:paraId="65BB1617">
      <w:pPr>
        <w:pStyle w:val="79"/>
        <w:rPr>
          <w:rFonts w:hint="default" w:ascii="宋体" w:hAnsi="宋体" w:eastAsia="宋体" w:cs="宋体"/>
          <w:color w:val="auto"/>
          <w:lang w:val="en-US" w:eastAsia="zh-CN"/>
        </w:rPr>
      </w:pPr>
      <w:r>
        <w:rPr>
          <w:rFonts w:hint="eastAsia" w:ascii="宋体" w:hAnsi="宋体" w:eastAsia="宋体" w:cs="宋体"/>
          <w:color w:val="auto"/>
          <w:lang w:val="en-US" w:eastAsia="zh-CN"/>
        </w:rPr>
        <w:t xml:space="preserve">   </w:t>
      </w:r>
    </w:p>
    <w:p w14:paraId="731C2E68">
      <w:pPr>
        <w:pStyle w:val="79"/>
        <w:rPr>
          <w:rFonts w:hint="eastAsia" w:ascii="宋体" w:hAnsi="宋体" w:eastAsia="宋体" w:cs="宋体"/>
          <w:color w:val="auto"/>
        </w:rPr>
        <w:sectPr>
          <w:footerReference r:id="rId13" w:type="default"/>
          <w:pgSz w:w="11906" w:h="16838"/>
          <w:pgMar w:top="1247" w:right="1134" w:bottom="1247" w:left="1134" w:header="170" w:footer="567" w:gutter="0"/>
          <w:pgNumType w:fmt="decimal" w:start="1"/>
          <w:cols w:space="720" w:num="1"/>
          <w:docGrid w:linePitch="381" w:charSpace="0"/>
        </w:sectPr>
      </w:pPr>
    </w:p>
    <w:bookmarkEnd w:id="3"/>
    <w:p w14:paraId="5007E144">
      <w:pPr>
        <w:pStyle w:val="2"/>
        <w:numPr>
          <w:ilvl w:val="0"/>
          <w:numId w:val="0"/>
        </w:numPr>
        <w:jc w:val="center"/>
        <w:rPr>
          <w:rFonts w:hint="eastAsia" w:ascii="宋体" w:hAnsi="宋体" w:eastAsia="宋体" w:cs="宋体"/>
          <w:sz w:val="36"/>
          <w:szCs w:val="36"/>
        </w:rPr>
      </w:pPr>
      <w:bookmarkStart w:id="11" w:name="_Toc8514"/>
      <w:r>
        <w:rPr>
          <w:rFonts w:hint="eastAsia" w:cs="宋体"/>
          <w:sz w:val="36"/>
          <w:szCs w:val="36"/>
          <w:lang w:eastAsia="zh-CN"/>
        </w:rPr>
        <w:t>第二章</w:t>
      </w:r>
      <w:r>
        <w:rPr>
          <w:rFonts w:hint="eastAsia" w:cs="宋体"/>
          <w:sz w:val="36"/>
          <w:szCs w:val="36"/>
          <w:lang w:val="en-US" w:eastAsia="zh-CN"/>
        </w:rPr>
        <w:t xml:space="preserve">  </w:t>
      </w:r>
      <w:r>
        <w:rPr>
          <w:rFonts w:hint="eastAsia" w:cs="宋体"/>
          <w:sz w:val="36"/>
          <w:szCs w:val="36"/>
          <w:lang w:eastAsia="zh-CN"/>
        </w:rPr>
        <w:t>采购</w:t>
      </w:r>
      <w:r>
        <w:rPr>
          <w:rFonts w:hint="eastAsia" w:ascii="宋体" w:hAnsi="宋体" w:eastAsia="宋体" w:cs="宋体"/>
          <w:sz w:val="36"/>
          <w:szCs w:val="36"/>
        </w:rPr>
        <w:t>需求</w:t>
      </w:r>
      <w:bookmarkEnd w:id="11"/>
    </w:p>
    <w:p w14:paraId="7475263E">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rPr>
          <w:rFonts w:hint="eastAsia" w:ascii="宋体" w:hAnsi="宋体" w:eastAsia="宋体" w:cs="宋体"/>
          <w:b/>
          <w:bCs/>
          <w:lang w:eastAsia="zh-CN"/>
        </w:rPr>
      </w:pPr>
      <w:bookmarkStart w:id="12" w:name="_Toc18187"/>
      <w:bookmarkStart w:id="13" w:name="_Toc21112"/>
      <w:bookmarkStart w:id="14" w:name="_Toc450840085"/>
      <w:r>
        <w:rPr>
          <w:rFonts w:hint="eastAsia" w:ascii="宋体" w:hAnsi="宋体" w:eastAsia="宋体" w:cs="宋体"/>
          <w:b/>
          <w:bCs/>
        </w:rPr>
        <w:t>一、</w:t>
      </w:r>
      <w:r>
        <w:rPr>
          <w:rFonts w:hint="eastAsia" w:ascii="宋体" w:hAnsi="宋体" w:eastAsia="宋体" w:cs="宋体"/>
          <w:b/>
          <w:bCs/>
          <w:lang w:eastAsia="zh-CN"/>
        </w:rPr>
        <w:t>项目概况</w:t>
      </w:r>
    </w:p>
    <w:tbl>
      <w:tblPr>
        <w:tblStyle w:val="44"/>
        <w:tblW w:w="10323" w:type="dxa"/>
        <w:tblInd w:w="-2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2209"/>
        <w:gridCol w:w="709"/>
        <w:gridCol w:w="764"/>
        <w:gridCol w:w="2427"/>
        <w:gridCol w:w="1582"/>
        <w:gridCol w:w="1800"/>
      </w:tblGrid>
      <w:tr w14:paraId="07448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832" w:type="dxa"/>
            <w:noWrap w:val="0"/>
            <w:vAlign w:val="center"/>
          </w:tcPr>
          <w:p w14:paraId="28F0B99C">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cs="仿宋"/>
                <w:b/>
                <w:bCs/>
                <w:sz w:val="24"/>
                <w:lang w:eastAsia="zh-CN"/>
              </w:rPr>
              <w:t>序号</w:t>
            </w:r>
          </w:p>
        </w:tc>
        <w:tc>
          <w:tcPr>
            <w:tcW w:w="2209" w:type="dxa"/>
            <w:noWrap w:val="0"/>
            <w:vAlign w:val="center"/>
          </w:tcPr>
          <w:p w14:paraId="6DDA31DB">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eastAsia="zh-CN"/>
              </w:rPr>
              <w:t>采购内容</w:t>
            </w:r>
          </w:p>
        </w:tc>
        <w:tc>
          <w:tcPr>
            <w:tcW w:w="709" w:type="dxa"/>
            <w:noWrap w:val="0"/>
            <w:vAlign w:val="center"/>
          </w:tcPr>
          <w:p w14:paraId="4D230CEC">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数量</w:t>
            </w:r>
          </w:p>
        </w:tc>
        <w:tc>
          <w:tcPr>
            <w:tcW w:w="764" w:type="dxa"/>
            <w:noWrap w:val="0"/>
            <w:vAlign w:val="center"/>
          </w:tcPr>
          <w:p w14:paraId="15E4E271">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单位</w:t>
            </w:r>
          </w:p>
        </w:tc>
        <w:tc>
          <w:tcPr>
            <w:tcW w:w="2427" w:type="dxa"/>
            <w:noWrap w:val="0"/>
            <w:vAlign w:val="center"/>
          </w:tcPr>
          <w:p w14:paraId="5372DA1B">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lang w:eastAsia="zh-CN"/>
              </w:rPr>
            </w:pPr>
            <w:r>
              <w:rPr>
                <w:rFonts w:hint="eastAsia" w:ascii="宋体" w:hAnsi="宋体" w:eastAsia="宋体" w:cs="仿宋"/>
                <w:b/>
                <w:bCs/>
                <w:sz w:val="24"/>
                <w:highlight w:val="none"/>
                <w:lang w:val="en-US" w:eastAsia="zh-CN"/>
              </w:rPr>
              <w:t>简要规格描述</w:t>
            </w:r>
          </w:p>
        </w:tc>
        <w:tc>
          <w:tcPr>
            <w:tcW w:w="1582" w:type="dxa"/>
            <w:noWrap w:val="0"/>
            <w:vAlign w:val="center"/>
          </w:tcPr>
          <w:p w14:paraId="508FC359">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default" w:ascii="宋体" w:hAnsi="宋体" w:eastAsia="宋体" w:cs="仿宋"/>
                <w:b/>
                <w:bCs/>
                <w:sz w:val="24"/>
                <w:lang w:val="en-US" w:eastAsia="zh-CN"/>
              </w:rPr>
            </w:pPr>
            <w:r>
              <w:rPr>
                <w:rFonts w:hint="eastAsia" w:ascii="宋体" w:hAnsi="宋体" w:eastAsia="宋体" w:cs="仿宋"/>
                <w:b/>
                <w:bCs/>
                <w:sz w:val="24"/>
                <w:highlight w:val="none"/>
                <w:lang w:eastAsia="zh-CN"/>
              </w:rPr>
              <w:t>预算</w:t>
            </w:r>
            <w:r>
              <w:rPr>
                <w:rFonts w:hint="eastAsia" w:ascii="宋体" w:hAnsi="宋体" w:eastAsia="宋体" w:cs="仿宋"/>
                <w:b/>
                <w:bCs/>
                <w:sz w:val="24"/>
                <w:highlight w:val="none"/>
                <w:lang w:val="en-US" w:eastAsia="zh-CN"/>
              </w:rPr>
              <w:t>金额</w:t>
            </w:r>
          </w:p>
        </w:tc>
        <w:tc>
          <w:tcPr>
            <w:tcW w:w="1800" w:type="dxa"/>
            <w:noWrap w:val="0"/>
            <w:vAlign w:val="center"/>
          </w:tcPr>
          <w:p w14:paraId="21781437">
            <w:pPr>
              <w:keepNext w:val="0"/>
              <w:keepLines w:val="0"/>
              <w:pageBreakBefore w:val="0"/>
              <w:kinsoku/>
              <w:wordWrap/>
              <w:overflowPunct/>
              <w:topLinePunct w:val="0"/>
              <w:bidi w:val="0"/>
              <w:adjustRightInd/>
              <w:snapToGrid/>
              <w:spacing w:line="420" w:lineRule="exact"/>
              <w:ind w:left="0" w:leftChars="0" w:firstLine="0" w:firstLineChars="0"/>
              <w:jc w:val="center"/>
              <w:textAlignment w:val="auto"/>
              <w:rPr>
                <w:rFonts w:hint="eastAsia" w:ascii="宋体" w:hAnsi="宋体" w:eastAsia="宋体" w:cs="仿宋"/>
                <w:b/>
                <w:bCs/>
                <w:sz w:val="24"/>
                <w:highlight w:val="none"/>
                <w:lang w:eastAsia="zh-CN"/>
              </w:rPr>
            </w:pPr>
            <w:r>
              <w:rPr>
                <w:rFonts w:hint="eastAsia" w:ascii="宋体" w:hAnsi="宋体" w:eastAsia="宋体" w:cs="仿宋"/>
                <w:b/>
                <w:bCs/>
                <w:sz w:val="24"/>
                <w:highlight w:val="none"/>
                <w:lang w:val="en-US" w:eastAsia="zh-CN"/>
              </w:rPr>
              <w:t>交货期限</w:t>
            </w:r>
          </w:p>
        </w:tc>
      </w:tr>
      <w:tr w14:paraId="726D3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trPr>
        <w:tc>
          <w:tcPr>
            <w:tcW w:w="832" w:type="dxa"/>
            <w:noWrap w:val="0"/>
            <w:vAlign w:val="center"/>
          </w:tcPr>
          <w:p w14:paraId="7776BA3A">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仿宋"/>
                <w:sz w:val="24"/>
                <w:lang w:val="en-US" w:eastAsia="zh-CN"/>
              </w:rPr>
            </w:pPr>
            <w:r>
              <w:rPr>
                <w:rFonts w:hint="eastAsia" w:cs="仿宋"/>
                <w:sz w:val="24"/>
                <w:lang w:val="en-US" w:eastAsia="zh-CN"/>
              </w:rPr>
              <w:t>1</w:t>
            </w:r>
          </w:p>
        </w:tc>
        <w:tc>
          <w:tcPr>
            <w:tcW w:w="2209" w:type="dxa"/>
            <w:noWrap w:val="0"/>
            <w:vAlign w:val="center"/>
          </w:tcPr>
          <w:p w14:paraId="783C8A64">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lang w:val="en-US" w:eastAsia="zh-CN"/>
              </w:rPr>
            </w:pPr>
            <w:r>
              <w:rPr>
                <w:rFonts w:hint="eastAsia" w:cs="宋体"/>
                <w:b w:val="0"/>
                <w:bCs/>
                <w:color w:val="auto"/>
                <w:kern w:val="0"/>
                <w:sz w:val="24"/>
                <w:szCs w:val="24"/>
                <w:lang w:val="en-US" w:eastAsia="zh-CN" w:bidi="ar-SA"/>
              </w:rPr>
              <w:t>画溪校区新建工程厨房设备采购</w:t>
            </w:r>
          </w:p>
        </w:tc>
        <w:tc>
          <w:tcPr>
            <w:tcW w:w="709" w:type="dxa"/>
            <w:noWrap w:val="0"/>
            <w:vAlign w:val="center"/>
          </w:tcPr>
          <w:p w14:paraId="2103300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lang w:val="en-US" w:eastAsia="zh-CN"/>
              </w:rPr>
            </w:pPr>
            <w:r>
              <w:rPr>
                <w:rFonts w:hint="eastAsia" w:ascii="宋体" w:hAnsi="宋体" w:eastAsia="宋体" w:cs="仿宋"/>
                <w:sz w:val="24"/>
                <w:lang w:val="en-US" w:eastAsia="zh-CN"/>
              </w:rPr>
              <w:t>1</w:t>
            </w:r>
          </w:p>
        </w:tc>
        <w:tc>
          <w:tcPr>
            <w:tcW w:w="764" w:type="dxa"/>
            <w:noWrap w:val="0"/>
            <w:vAlign w:val="center"/>
          </w:tcPr>
          <w:p w14:paraId="08BC2938">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w:t>
            </w:r>
          </w:p>
        </w:tc>
        <w:tc>
          <w:tcPr>
            <w:tcW w:w="2427" w:type="dxa"/>
            <w:noWrap w:val="0"/>
            <w:vAlign w:val="center"/>
          </w:tcPr>
          <w:p w14:paraId="3140D73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详见“采购</w:t>
            </w:r>
            <w:r>
              <w:rPr>
                <w:rFonts w:hint="eastAsia" w:cs="宋体"/>
                <w:sz w:val="24"/>
                <w:szCs w:val="24"/>
                <w:lang w:val="en-US" w:eastAsia="zh-CN"/>
              </w:rPr>
              <w:t>内容</w:t>
            </w:r>
            <w:r>
              <w:rPr>
                <w:rFonts w:hint="eastAsia" w:ascii="宋体" w:hAnsi="宋体" w:eastAsia="宋体" w:cs="宋体"/>
                <w:sz w:val="24"/>
                <w:szCs w:val="24"/>
                <w:lang w:val="en-US" w:eastAsia="zh-CN"/>
              </w:rPr>
              <w:t>清单”</w:t>
            </w:r>
          </w:p>
        </w:tc>
        <w:tc>
          <w:tcPr>
            <w:tcW w:w="1582" w:type="dxa"/>
            <w:noWrap w:val="0"/>
            <w:vAlign w:val="center"/>
          </w:tcPr>
          <w:p w14:paraId="29ACF01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仿宋"/>
                <w:sz w:val="24"/>
                <w:highlight w:val="none"/>
                <w:lang w:val="en-US" w:eastAsia="zh-CN"/>
              </w:rPr>
            </w:pPr>
            <w:r>
              <w:rPr>
                <w:rFonts w:hint="eastAsia"/>
                <w:highlight w:val="none"/>
                <w:lang w:val="en-US" w:eastAsia="zh-CN"/>
              </w:rPr>
              <w:t>1100000元</w:t>
            </w:r>
          </w:p>
        </w:tc>
        <w:tc>
          <w:tcPr>
            <w:tcW w:w="1800" w:type="dxa"/>
            <w:noWrap w:val="0"/>
            <w:vAlign w:val="center"/>
          </w:tcPr>
          <w:p w14:paraId="43E53BEF">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both"/>
              <w:textAlignment w:val="auto"/>
              <w:rPr>
                <w:rFonts w:hint="default" w:ascii="宋体" w:hAnsi="宋体" w:eastAsia="宋体" w:cs="宋体"/>
                <w:sz w:val="24"/>
                <w:szCs w:val="24"/>
                <w:highlight w:val="none"/>
                <w:lang w:val="en-US" w:eastAsia="zh-CN"/>
              </w:rPr>
            </w:pPr>
            <w:r>
              <w:rPr>
                <w:rFonts w:hint="eastAsia" w:cs="宋体"/>
                <w:lang w:eastAsia="zh-CN"/>
              </w:rPr>
              <w:t>合同签订后</w:t>
            </w:r>
            <w:r>
              <w:rPr>
                <w:rFonts w:hint="eastAsia" w:cs="宋体"/>
                <w:lang w:val="en-US" w:eastAsia="zh-CN"/>
              </w:rPr>
              <w:t>30日内</w:t>
            </w:r>
            <w:r>
              <w:rPr>
                <w:rFonts w:hint="eastAsia"/>
                <w:lang w:val="en-US" w:eastAsia="zh-CN"/>
              </w:rPr>
              <w:t>完成供货、安装、调试</w:t>
            </w:r>
          </w:p>
        </w:tc>
      </w:tr>
    </w:tbl>
    <w:p w14:paraId="21A41FF2">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sz w:val="11"/>
          <w:szCs w:val="11"/>
          <w:lang w:val="en-US" w:eastAsia="zh-CN"/>
        </w:rPr>
      </w:pPr>
    </w:p>
    <w:p w14:paraId="72C7F7D6">
      <w:pPr>
        <w:keepNext w:val="0"/>
        <w:keepLines w:val="0"/>
        <w:pageBreakBefore w:val="0"/>
        <w:widowControl w:val="0"/>
        <w:kinsoku/>
        <w:wordWrap/>
        <w:overflowPunct/>
        <w:topLinePunct w:val="0"/>
        <w:autoSpaceDE/>
        <w:autoSpaceDN/>
        <w:bidi w:val="0"/>
        <w:adjustRightInd/>
        <w:snapToGrid/>
        <w:spacing w:line="480" w:lineRule="auto"/>
        <w:ind w:left="0" w:leftChars="0" w:firstLine="0" w:firstLineChars="0"/>
        <w:textAlignment w:val="auto"/>
        <w:rPr>
          <w:rFonts w:hint="default" w:ascii="宋体" w:hAnsi="宋体" w:eastAsia="宋体" w:cs="宋体"/>
          <w:b/>
          <w:bCs/>
          <w:szCs w:val="24"/>
          <w:lang w:val="en-US" w:eastAsia="zh-CN"/>
        </w:rPr>
      </w:pPr>
      <w:r>
        <w:rPr>
          <w:rFonts w:hint="eastAsia" w:ascii="宋体" w:hAnsi="宋体" w:eastAsia="宋体" w:cs="宋体"/>
          <w:b/>
          <w:bCs/>
          <w:lang w:val="en-US" w:eastAsia="zh-CN"/>
        </w:rPr>
        <w:t>二、</w:t>
      </w:r>
      <w:r>
        <w:rPr>
          <w:rFonts w:hint="eastAsia" w:cs="宋体"/>
          <w:b/>
          <w:bCs/>
          <w:lang w:val="en-US" w:eastAsia="zh-CN"/>
        </w:rPr>
        <w:t xml:space="preserve">采购说明                                            </w:t>
      </w:r>
    </w:p>
    <w:p w14:paraId="492B2E45">
      <w:pPr>
        <w:spacing w:line="480" w:lineRule="auto"/>
        <w:ind w:firstLine="480" w:firstLineChars="200"/>
        <w:rPr>
          <w:rFonts w:cs="宋体"/>
          <w:color w:val="auto"/>
        </w:rPr>
      </w:pPr>
      <w:r>
        <w:rPr>
          <w:rFonts w:hint="eastAsia" w:cs="宋体"/>
        </w:rPr>
        <w:t>1.本技术规范要求提出的是最低限度的基本技术要求，并未对所有技术细节作出规定，</w:t>
      </w:r>
      <w:r>
        <w:rPr>
          <w:rFonts w:hint="eastAsia" w:cs="宋体"/>
          <w:color w:val="auto"/>
        </w:rPr>
        <w:t>投标人应根据拟投产品（设备）实际情况提供准确技术参数和性能指标（配置），且不得低于招标要求。</w:t>
      </w:r>
      <w:r>
        <w:rPr>
          <w:rFonts w:hint="eastAsia" w:cs="宋体"/>
          <w:color w:val="auto"/>
          <w:highlight w:val="none"/>
        </w:rPr>
        <w:t>带“▲”条款为实质性要求条款（必须满足），“★”指重要要求条款</w:t>
      </w:r>
      <w:r>
        <w:rPr>
          <w:rFonts w:hint="eastAsia" w:cs="宋体"/>
          <w:color w:val="auto"/>
        </w:rPr>
        <w:t>。</w:t>
      </w:r>
    </w:p>
    <w:p w14:paraId="1DA994E5">
      <w:pPr>
        <w:spacing w:line="480" w:lineRule="auto"/>
        <w:ind w:firstLine="480"/>
        <w:rPr>
          <w:rFonts w:cs="宋体"/>
        </w:rPr>
      </w:pPr>
      <w:r>
        <w:rPr>
          <w:rFonts w:hint="eastAsia" w:cs="宋体"/>
          <w:lang w:val="en-US" w:eastAsia="zh-CN"/>
        </w:rPr>
        <w:t>2.</w:t>
      </w:r>
      <w:r>
        <w:rPr>
          <w:rFonts w:hint="eastAsia" w:cs="宋体"/>
        </w:rPr>
        <w:t xml:space="preserve">供应商提供的产品应标明所执行的质量标准，若同一标准已颁发新标准，则按最新标准执行。若同一产品同时有几个标准（国际标准、国家标准、行业标准、企业标准等），则按最高层次的标准执行。 </w:t>
      </w:r>
    </w:p>
    <w:p w14:paraId="097243BE">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eastAsia="宋体"/>
          <w:szCs w:val="10"/>
          <w:lang w:eastAsia="zh-CN"/>
        </w:rPr>
      </w:pPr>
      <w:r>
        <w:rPr>
          <w:rFonts w:hint="eastAsia" w:cs="宋体"/>
        </w:rPr>
        <w:t>3.</w:t>
      </w:r>
      <w:r>
        <w:rPr>
          <w:rFonts w:hAnsi="宋体"/>
          <w:sz w:val="24"/>
        </w:rPr>
        <w:t>投标人应保证所供设备的</w:t>
      </w:r>
      <w:r>
        <w:rPr>
          <w:rFonts w:hint="eastAsia"/>
          <w:color w:val="auto"/>
          <w:sz w:val="24"/>
          <w:lang w:val="en-US" w:eastAsia="zh-CN"/>
        </w:rPr>
        <w:t>原厂性</w:t>
      </w:r>
      <w:r>
        <w:rPr>
          <w:rFonts w:hint="eastAsia"/>
          <w:sz w:val="24"/>
          <w:lang w:val="en-US" w:eastAsia="zh-CN"/>
        </w:rPr>
        <w:t>、</w:t>
      </w:r>
      <w:r>
        <w:rPr>
          <w:rFonts w:hAnsi="宋体"/>
          <w:sz w:val="24"/>
        </w:rPr>
        <w:t>先进性、可靠性和适用性；</w:t>
      </w:r>
      <w:r>
        <w:rPr>
          <w:rFonts w:hAnsi="宋体"/>
          <w:bCs/>
          <w:sz w:val="24"/>
        </w:rPr>
        <w:t>投标人提供的设备各组成部分必须是完整的、全新的、功能全的单元，同时应是全新的、高质量和工艺精良的产品，所用的原材料必须无任何缺陷</w:t>
      </w:r>
      <w:r>
        <w:rPr>
          <w:rFonts w:hint="eastAsia" w:hAnsi="宋体"/>
          <w:bCs/>
          <w:sz w:val="24"/>
          <w:lang w:eastAsia="zh-CN"/>
        </w:rPr>
        <w:t>。</w:t>
      </w:r>
    </w:p>
    <w:p w14:paraId="0B2E3951">
      <w:pPr>
        <w:keepNext w:val="0"/>
        <w:keepLines w:val="0"/>
        <w:pageBreakBefore w:val="0"/>
        <w:widowControl w:val="0"/>
        <w:kinsoku/>
        <w:wordWrap/>
        <w:overflowPunct/>
        <w:topLinePunct w:val="0"/>
        <w:autoSpaceDE/>
        <w:autoSpaceDN/>
        <w:bidi w:val="0"/>
        <w:adjustRightInd/>
        <w:snapToGrid/>
        <w:spacing w:line="480" w:lineRule="auto"/>
        <w:ind w:left="0" w:leftChars="0" w:firstLine="480" w:firstLineChars="200"/>
        <w:textAlignment w:val="auto"/>
        <w:rPr>
          <w:rFonts w:hint="default"/>
          <w:b w:val="0"/>
          <w:bCs w:val="0"/>
          <w:lang w:val="en-US" w:eastAsia="zh-CN"/>
        </w:rPr>
      </w:pPr>
      <w:r>
        <w:rPr>
          <w:rFonts w:hint="eastAsia"/>
          <w:b w:val="0"/>
          <w:bCs w:val="0"/>
          <w:lang w:val="en-US" w:eastAsia="zh-CN"/>
        </w:rPr>
        <w:t>4.</w:t>
      </w:r>
      <w:r>
        <w:rPr>
          <w:rFonts w:hint="eastAsia" w:cs="宋体"/>
          <w:color w:val="auto"/>
          <w:highlight w:val="none"/>
        </w:rPr>
        <w:t>供应商须按国家有关规定及标准完成本次采购产品的供货、运输、装卸、就位、安装、调试、技术培训、检验、通过有关部门验收、维保期服务、产品维修等各项工作，并保证产品使用的安全性。</w:t>
      </w:r>
      <w:r>
        <w:rPr>
          <w:rFonts w:hint="eastAsia" w:cs="宋体"/>
          <w:color w:val="auto"/>
          <w:highlight w:val="none"/>
          <w:lang w:eastAsia="zh-CN"/>
        </w:rPr>
        <w:t>中标人</w:t>
      </w:r>
      <w:r>
        <w:rPr>
          <w:rFonts w:hint="eastAsia" w:cs="宋体"/>
          <w:color w:val="auto"/>
          <w:highlight w:val="none"/>
        </w:rPr>
        <w:t>及制造商对中标产品的安全性能与可靠性负全部责任。</w:t>
      </w:r>
      <w:r>
        <w:rPr>
          <w:rFonts w:hint="eastAsia" w:cs="宋体"/>
          <w:color w:val="auto"/>
          <w:highlight w:val="none"/>
          <w:lang w:eastAsia="zh-CN"/>
        </w:rPr>
        <w:t>中标人</w:t>
      </w:r>
      <w:r>
        <w:rPr>
          <w:rFonts w:hint="eastAsia" w:cs="宋体"/>
          <w:color w:val="auto"/>
          <w:highlight w:val="none"/>
        </w:rPr>
        <w:t>须随产品提供出厂合格证书、安装及使用维护保养说明书、零部件质量合格证明和符合国家有关规定的行政许可证明文件等技术资料</w:t>
      </w:r>
      <w:r>
        <w:rPr>
          <w:rFonts w:hAnsi="宋体"/>
          <w:sz w:val="24"/>
        </w:rPr>
        <w:t>。</w:t>
      </w:r>
    </w:p>
    <w:p w14:paraId="2E2F3AE4">
      <w:pPr>
        <w:bidi w:val="0"/>
        <w:spacing w:line="480" w:lineRule="auto"/>
        <w:ind w:left="0" w:leftChars="0" w:firstLine="0" w:firstLineChars="0"/>
        <w:jc w:val="left"/>
        <w:rPr>
          <w:rFonts w:hint="eastAsia" w:cs="宋体"/>
          <w:b/>
          <w:bCs/>
          <w:lang w:val="en-US" w:eastAsia="zh-CN"/>
        </w:rPr>
        <w:sectPr>
          <w:footerReference r:id="rId14" w:type="default"/>
          <w:pgSz w:w="11906" w:h="16838"/>
          <w:pgMar w:top="1247" w:right="1134" w:bottom="1247" w:left="1134" w:header="170" w:footer="567" w:gutter="0"/>
          <w:pgNumType w:fmt="decimal"/>
          <w:cols w:space="720" w:num="1"/>
          <w:docGrid w:linePitch="381" w:charSpace="0"/>
        </w:sectPr>
      </w:pPr>
      <w:r>
        <w:rPr>
          <w:rFonts w:hint="eastAsia" w:cs="宋体"/>
          <w:b/>
          <w:bCs/>
          <w:lang w:val="en-US" w:eastAsia="zh-CN"/>
        </w:rPr>
        <w:t>三</w:t>
      </w:r>
      <w:r>
        <w:rPr>
          <w:rFonts w:hint="eastAsia" w:ascii="宋体" w:hAnsi="宋体" w:eastAsia="宋体" w:cs="宋体"/>
          <w:b/>
          <w:bCs/>
          <w:lang w:val="en-US" w:eastAsia="zh-CN"/>
        </w:rPr>
        <w:t>、</w:t>
      </w:r>
      <w:r>
        <w:rPr>
          <w:rFonts w:hint="eastAsia" w:cs="宋体"/>
          <w:b/>
          <w:bCs/>
          <w:lang w:val="en-US" w:eastAsia="zh-CN"/>
        </w:rPr>
        <w:t>采购内容清单（见下表）</w:t>
      </w:r>
    </w:p>
    <w:tbl>
      <w:tblPr>
        <w:tblStyle w:val="44"/>
        <w:tblW w:w="14441" w:type="dxa"/>
        <w:tblInd w:w="3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5"/>
        <w:gridCol w:w="2078"/>
        <w:gridCol w:w="5395"/>
        <w:gridCol w:w="3096"/>
        <w:gridCol w:w="750"/>
        <w:gridCol w:w="859"/>
        <w:gridCol w:w="1568"/>
      </w:tblGrid>
      <w:tr w14:paraId="41999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127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序号</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F5D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设备名称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B558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技术参数</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EA6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lang w:eastAsia="zh-CN"/>
              </w:rPr>
            </w:pPr>
            <w:r>
              <w:rPr>
                <w:rFonts w:hint="eastAsia" w:ascii="宋体" w:hAnsi="宋体" w:eastAsia="宋体" w:cs="宋体"/>
                <w:b/>
                <w:bCs/>
                <w:i w:val="0"/>
                <w:iCs w:val="0"/>
                <w:color w:val="000000"/>
                <w:kern w:val="0"/>
                <w:sz w:val="21"/>
                <w:szCs w:val="21"/>
                <w:u w:val="none"/>
                <w:shd w:val="clear" w:color="auto" w:fill="auto"/>
                <w:lang w:val="en-US" w:eastAsia="zh-CN" w:bidi="ar"/>
              </w:rPr>
              <w:t>尺寸（L×W×H）</w:t>
            </w:r>
            <w:r>
              <w:rPr>
                <w:rFonts w:hint="eastAsia" w:cs="宋体"/>
                <w:b/>
                <w:bCs/>
                <w:i w:val="0"/>
                <w:iCs w:val="0"/>
                <w:color w:val="000000"/>
                <w:kern w:val="0"/>
                <w:sz w:val="21"/>
                <w:szCs w:val="21"/>
                <w:u w:val="none"/>
                <w:shd w:val="clear" w:color="auto" w:fill="auto"/>
                <w:lang w:val="en-US" w:eastAsia="zh-CN" w:bidi="ar"/>
              </w:rPr>
              <w:t>（mm）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1F9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单位</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5B4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数量</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5F5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b/>
                <w:bCs/>
                <w:i w:val="0"/>
                <w:iCs w:val="0"/>
                <w:color w:val="000000"/>
                <w:sz w:val="21"/>
                <w:szCs w:val="21"/>
                <w:u w:val="none"/>
                <w:shd w:val="clear" w:color="auto" w:fill="auto"/>
              </w:rPr>
            </w:pPr>
            <w:r>
              <w:rPr>
                <w:rFonts w:hint="eastAsia" w:ascii="宋体" w:hAnsi="宋体" w:eastAsia="宋体" w:cs="宋体"/>
                <w:b/>
                <w:bCs/>
                <w:i w:val="0"/>
                <w:iCs w:val="0"/>
                <w:color w:val="000000"/>
                <w:kern w:val="0"/>
                <w:sz w:val="21"/>
                <w:szCs w:val="21"/>
                <w:u w:val="none"/>
                <w:shd w:val="clear" w:color="auto" w:fill="auto"/>
                <w:lang w:val="en-US" w:eastAsia="zh-CN" w:bidi="ar"/>
              </w:rPr>
              <w:t>参考图片</w:t>
            </w:r>
          </w:p>
        </w:tc>
      </w:tr>
      <w:tr w14:paraId="57B8E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704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ED5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0DD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298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约1800×182×221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14D0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1AB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0DF5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68580</wp:posOffset>
                  </wp:positionH>
                  <wp:positionV relativeFrom="paragraph">
                    <wp:posOffset>52070</wp:posOffset>
                  </wp:positionV>
                  <wp:extent cx="749935" cy="438785"/>
                  <wp:effectExtent l="0" t="0" r="12065" b="18415"/>
                  <wp:wrapNone/>
                  <wp:docPr id="3" name="图片_756"/>
                  <wp:cNvGraphicFramePr/>
                  <a:graphic xmlns:a="http://schemas.openxmlformats.org/drawingml/2006/main">
                    <a:graphicData uri="http://schemas.openxmlformats.org/drawingml/2006/picture">
                      <pic:pic xmlns:pic="http://schemas.openxmlformats.org/drawingml/2006/picture">
                        <pic:nvPicPr>
                          <pic:cNvPr id="3" name="图片_756"/>
                          <pic:cNvPicPr/>
                        </pic:nvPicPr>
                        <pic:blipFill>
                          <a:blip r:embed="rId24"/>
                          <a:stretch>
                            <a:fillRect/>
                          </a:stretch>
                        </pic:blipFill>
                        <pic:spPr>
                          <a:xfrm>
                            <a:off x="0" y="0"/>
                            <a:ext cx="749935" cy="438785"/>
                          </a:xfrm>
                          <a:prstGeom prst="rect">
                            <a:avLst/>
                          </a:prstGeom>
                          <a:noFill/>
                          <a:ln>
                            <a:noFill/>
                          </a:ln>
                        </pic:spPr>
                      </pic:pic>
                    </a:graphicData>
                  </a:graphic>
                </wp:anchor>
              </w:drawing>
            </w:r>
          </w:p>
        </w:tc>
      </w:tr>
      <w:tr w14:paraId="7CF4C4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4DDF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A48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C028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53C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4648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DB71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863D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103505</wp:posOffset>
                  </wp:positionH>
                  <wp:positionV relativeFrom="paragraph">
                    <wp:posOffset>6350</wp:posOffset>
                  </wp:positionV>
                  <wp:extent cx="637540" cy="325755"/>
                  <wp:effectExtent l="0" t="0" r="10160" b="17145"/>
                  <wp:wrapNone/>
                  <wp:docPr id="2" name="图片_756_SpCnt_1"/>
                  <wp:cNvGraphicFramePr/>
                  <a:graphic xmlns:a="http://schemas.openxmlformats.org/drawingml/2006/main">
                    <a:graphicData uri="http://schemas.openxmlformats.org/drawingml/2006/picture">
                      <pic:pic xmlns:pic="http://schemas.openxmlformats.org/drawingml/2006/picture">
                        <pic:nvPicPr>
                          <pic:cNvPr id="2" name="图片_756_SpCnt_1"/>
                          <pic:cNvPicPr/>
                        </pic:nvPicPr>
                        <pic:blipFill>
                          <a:blip r:embed="rId24"/>
                          <a:stretch>
                            <a:fillRect/>
                          </a:stretch>
                        </pic:blipFill>
                        <pic:spPr>
                          <a:xfrm>
                            <a:off x="0" y="0"/>
                            <a:ext cx="637540" cy="325755"/>
                          </a:xfrm>
                          <a:prstGeom prst="rect">
                            <a:avLst/>
                          </a:prstGeom>
                          <a:noFill/>
                          <a:ln>
                            <a:noFill/>
                          </a:ln>
                        </pic:spPr>
                      </pic:pic>
                    </a:graphicData>
                  </a:graphic>
                </wp:anchor>
              </w:drawing>
            </w:r>
          </w:p>
        </w:tc>
      </w:tr>
      <w:tr w14:paraId="6A0D09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25C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2B9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B92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EA3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约900×182×221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A10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A59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3F76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120650</wp:posOffset>
                  </wp:positionH>
                  <wp:positionV relativeFrom="paragraph">
                    <wp:posOffset>24130</wp:posOffset>
                  </wp:positionV>
                  <wp:extent cx="628650" cy="360045"/>
                  <wp:effectExtent l="0" t="0" r="0" b="1905"/>
                  <wp:wrapNone/>
                  <wp:docPr id="4" name="图片_756_SpCnt_2"/>
                  <wp:cNvGraphicFramePr/>
                  <a:graphic xmlns:a="http://schemas.openxmlformats.org/drawingml/2006/main">
                    <a:graphicData uri="http://schemas.openxmlformats.org/drawingml/2006/picture">
                      <pic:pic xmlns:pic="http://schemas.openxmlformats.org/drawingml/2006/picture">
                        <pic:nvPicPr>
                          <pic:cNvPr id="4" name="图片_756_SpCnt_2"/>
                          <pic:cNvPicPr/>
                        </pic:nvPicPr>
                        <pic:blipFill>
                          <a:blip r:embed="rId24"/>
                          <a:stretch>
                            <a:fillRect/>
                          </a:stretch>
                        </pic:blipFill>
                        <pic:spPr>
                          <a:xfrm>
                            <a:off x="0" y="0"/>
                            <a:ext cx="628650" cy="360045"/>
                          </a:xfrm>
                          <a:prstGeom prst="rect">
                            <a:avLst/>
                          </a:prstGeom>
                          <a:noFill/>
                          <a:ln>
                            <a:noFill/>
                          </a:ln>
                        </pic:spPr>
                      </pic:pic>
                    </a:graphicData>
                  </a:graphic>
                </wp:anchor>
              </w:drawing>
            </w:r>
          </w:p>
        </w:tc>
      </w:tr>
      <w:tr w14:paraId="7D5F9F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7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3A6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9C5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840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F80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6EE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1B3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D3AF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5715</wp:posOffset>
                  </wp:positionV>
                  <wp:extent cx="545465" cy="495935"/>
                  <wp:effectExtent l="0" t="0" r="6985" b="18415"/>
                  <wp:wrapNone/>
                  <wp:docPr id="10" name="图片_2"/>
                  <wp:cNvGraphicFramePr/>
                  <a:graphic xmlns:a="http://schemas.openxmlformats.org/drawingml/2006/main">
                    <a:graphicData uri="http://schemas.openxmlformats.org/drawingml/2006/picture">
                      <pic:pic xmlns:pic="http://schemas.openxmlformats.org/drawingml/2006/picture">
                        <pic:nvPicPr>
                          <pic:cNvPr id="10" name="图片_2"/>
                          <pic:cNvPicPr/>
                        </pic:nvPicPr>
                        <pic:blipFill>
                          <a:blip r:embed="rId25"/>
                          <a:stretch>
                            <a:fillRect/>
                          </a:stretch>
                        </pic:blipFill>
                        <pic:spPr>
                          <a:xfrm>
                            <a:off x="0" y="0"/>
                            <a:ext cx="545465" cy="495935"/>
                          </a:xfrm>
                          <a:prstGeom prst="rect">
                            <a:avLst/>
                          </a:prstGeom>
                          <a:noFill/>
                          <a:ln>
                            <a:noFill/>
                          </a:ln>
                        </pic:spPr>
                      </pic:pic>
                    </a:graphicData>
                  </a:graphic>
                </wp:anchor>
              </w:drawing>
            </w:r>
          </w:p>
        </w:tc>
      </w:tr>
      <w:tr w14:paraId="72771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DAE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95A5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落地电子秤</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BB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-内置可充电蓄电池，充电时可以开机使用。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-开机自动置零；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-零点自动跟踪；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-累计次数1~30次；</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991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0～300Kg</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234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FE7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6DF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218440</wp:posOffset>
                  </wp:positionH>
                  <wp:positionV relativeFrom="paragraph">
                    <wp:posOffset>87630</wp:posOffset>
                  </wp:positionV>
                  <wp:extent cx="448310" cy="597535"/>
                  <wp:effectExtent l="0" t="0" r="8890" b="12065"/>
                  <wp:wrapNone/>
                  <wp:docPr id="11" name="图片_747"/>
                  <wp:cNvGraphicFramePr/>
                  <a:graphic xmlns:a="http://schemas.openxmlformats.org/drawingml/2006/main">
                    <a:graphicData uri="http://schemas.openxmlformats.org/drawingml/2006/picture">
                      <pic:pic xmlns:pic="http://schemas.openxmlformats.org/drawingml/2006/picture">
                        <pic:nvPicPr>
                          <pic:cNvPr id="11" name="图片_747"/>
                          <pic:cNvPicPr/>
                        </pic:nvPicPr>
                        <pic:blipFill>
                          <a:blip r:embed="rId26"/>
                          <a:stretch>
                            <a:fillRect/>
                          </a:stretch>
                        </pic:blipFill>
                        <pic:spPr>
                          <a:xfrm>
                            <a:off x="0" y="0"/>
                            <a:ext cx="448310" cy="597535"/>
                          </a:xfrm>
                          <a:prstGeom prst="rect">
                            <a:avLst/>
                          </a:prstGeom>
                          <a:noFill/>
                          <a:ln>
                            <a:noFill/>
                          </a:ln>
                        </pic:spPr>
                      </pic:pic>
                    </a:graphicData>
                  </a:graphic>
                </wp:anchor>
              </w:drawing>
            </w:r>
          </w:p>
        </w:tc>
      </w:tr>
      <w:tr w14:paraId="2FD58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CB7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9F1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045E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E62F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BF3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EC9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5A5E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253365</wp:posOffset>
                  </wp:positionH>
                  <wp:positionV relativeFrom="paragraph">
                    <wp:posOffset>53340</wp:posOffset>
                  </wp:positionV>
                  <wp:extent cx="374650" cy="468630"/>
                  <wp:effectExtent l="0" t="0" r="6350" b="7620"/>
                  <wp:wrapNone/>
                  <wp:docPr id="12" name="图片_1"/>
                  <wp:cNvGraphicFramePr/>
                  <a:graphic xmlns:a="http://schemas.openxmlformats.org/drawingml/2006/main">
                    <a:graphicData uri="http://schemas.openxmlformats.org/drawingml/2006/picture">
                      <pic:pic xmlns:pic="http://schemas.openxmlformats.org/drawingml/2006/picture">
                        <pic:nvPicPr>
                          <pic:cNvPr id="12" name="图片_1"/>
                          <pic:cNvPicPr/>
                        </pic:nvPicPr>
                        <pic:blipFill>
                          <a:blip r:embed="rId27"/>
                          <a:stretch>
                            <a:fillRect/>
                          </a:stretch>
                        </pic:blipFill>
                        <pic:spPr>
                          <a:xfrm>
                            <a:off x="0" y="0"/>
                            <a:ext cx="374650" cy="468630"/>
                          </a:xfrm>
                          <a:prstGeom prst="rect">
                            <a:avLst/>
                          </a:prstGeom>
                          <a:noFill/>
                          <a:ln>
                            <a:noFill/>
                          </a:ln>
                        </pic:spPr>
                      </pic:pic>
                    </a:graphicData>
                  </a:graphic>
                </wp:anchor>
              </w:drawing>
            </w:r>
          </w:p>
        </w:tc>
      </w:tr>
      <w:tr w14:paraId="7CCA3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6C63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649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挂墙洗手池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7CA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-配优质落水器及拦渣篮，感应水龙头另计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4359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410×410×(200+100)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03F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E17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2CA5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164465</wp:posOffset>
                  </wp:positionH>
                  <wp:positionV relativeFrom="paragraph">
                    <wp:posOffset>67945</wp:posOffset>
                  </wp:positionV>
                  <wp:extent cx="548640" cy="482600"/>
                  <wp:effectExtent l="0" t="0" r="3810" b="12700"/>
                  <wp:wrapNone/>
                  <wp:docPr id="13" name="图片_130"/>
                  <wp:cNvGraphicFramePr/>
                  <a:graphic xmlns:a="http://schemas.openxmlformats.org/drawingml/2006/main">
                    <a:graphicData uri="http://schemas.openxmlformats.org/drawingml/2006/picture">
                      <pic:pic xmlns:pic="http://schemas.openxmlformats.org/drawingml/2006/picture">
                        <pic:nvPicPr>
                          <pic:cNvPr id="13" name="图片_130"/>
                          <pic:cNvPicPr/>
                        </pic:nvPicPr>
                        <pic:blipFill>
                          <a:blip r:embed="rId28"/>
                          <a:stretch>
                            <a:fillRect/>
                          </a:stretch>
                        </pic:blipFill>
                        <pic:spPr>
                          <a:xfrm>
                            <a:off x="0" y="0"/>
                            <a:ext cx="548640" cy="482600"/>
                          </a:xfrm>
                          <a:prstGeom prst="rect">
                            <a:avLst/>
                          </a:prstGeom>
                          <a:noFill/>
                          <a:ln>
                            <a:noFill/>
                          </a:ln>
                        </pic:spPr>
                      </pic:pic>
                    </a:graphicData>
                  </a:graphic>
                </wp:anchor>
              </w:drawing>
            </w:r>
          </w:p>
        </w:tc>
      </w:tr>
      <w:tr w14:paraId="7ED848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1278A">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6510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61B4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1.外形尺寸：160×62×169(mm)±5%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2.工作电压：1.5V×4（四节五号干电池）；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3.工作水压：0.1-0.6MP55 可接冷热混水，出水温度可调；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4.开孔径：32mm；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5.台式安装黄铜铸造水嘴，表面镀铬处理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C2DED">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617B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3EC1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9F84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119380</wp:posOffset>
                  </wp:positionH>
                  <wp:positionV relativeFrom="paragraph">
                    <wp:posOffset>12065</wp:posOffset>
                  </wp:positionV>
                  <wp:extent cx="628015" cy="644525"/>
                  <wp:effectExtent l="0" t="0" r="635" b="3175"/>
                  <wp:wrapNone/>
                  <wp:docPr id="14" name="图片_1_SpCnt_1"/>
                  <wp:cNvGraphicFramePr/>
                  <a:graphic xmlns:a="http://schemas.openxmlformats.org/drawingml/2006/main">
                    <a:graphicData uri="http://schemas.openxmlformats.org/drawingml/2006/picture">
                      <pic:pic xmlns:pic="http://schemas.openxmlformats.org/drawingml/2006/picture">
                        <pic:nvPicPr>
                          <pic:cNvPr id="14" name="图片_1_SpCnt_1"/>
                          <pic:cNvPicPr/>
                        </pic:nvPicPr>
                        <pic:blipFill>
                          <a:blip r:embed="rId29"/>
                          <a:stretch>
                            <a:fillRect/>
                          </a:stretch>
                        </pic:blipFill>
                        <pic:spPr>
                          <a:xfrm>
                            <a:off x="0" y="0"/>
                            <a:ext cx="628015" cy="644525"/>
                          </a:xfrm>
                          <a:prstGeom prst="rect">
                            <a:avLst/>
                          </a:prstGeom>
                          <a:noFill/>
                          <a:ln>
                            <a:noFill/>
                          </a:ln>
                        </pic:spPr>
                      </pic:pic>
                    </a:graphicData>
                  </a:graphic>
                </wp:anchor>
              </w:drawing>
            </w:r>
          </w:p>
        </w:tc>
      </w:tr>
      <w:tr w14:paraId="3ABA6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EC46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D458">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感应烘手器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93BB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-配备红外自动感应系统和高级芯片控制技术，性能稳定，控制效果精准。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-连续感应测试超过30万次运全新轻巧设计，款式时尚。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-高速动力设计，干手使用5~9秒。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-采用防火工程塑料。环保、安全、超时保暖。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-可切换凉风/热风，因不同季节调节。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66888">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约250×165×470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119EA">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B327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508E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173990</wp:posOffset>
                  </wp:positionH>
                  <wp:positionV relativeFrom="paragraph">
                    <wp:posOffset>-56515</wp:posOffset>
                  </wp:positionV>
                  <wp:extent cx="504825" cy="741045"/>
                  <wp:effectExtent l="0" t="0" r="9525" b="1905"/>
                  <wp:wrapNone/>
                  <wp:docPr id="15" name="图片_566"/>
                  <wp:cNvGraphicFramePr/>
                  <a:graphic xmlns:a="http://schemas.openxmlformats.org/drawingml/2006/main">
                    <a:graphicData uri="http://schemas.openxmlformats.org/drawingml/2006/picture">
                      <pic:pic xmlns:pic="http://schemas.openxmlformats.org/drawingml/2006/picture">
                        <pic:nvPicPr>
                          <pic:cNvPr id="15" name="图片_566"/>
                          <pic:cNvPicPr/>
                        </pic:nvPicPr>
                        <pic:blipFill>
                          <a:blip r:embed="rId30"/>
                          <a:stretch>
                            <a:fillRect/>
                          </a:stretch>
                        </pic:blipFill>
                        <pic:spPr>
                          <a:xfrm>
                            <a:off x="0" y="0"/>
                            <a:ext cx="504825" cy="741045"/>
                          </a:xfrm>
                          <a:prstGeom prst="rect">
                            <a:avLst/>
                          </a:prstGeom>
                          <a:noFill/>
                          <a:ln>
                            <a:noFill/>
                          </a:ln>
                        </pic:spPr>
                      </pic:pic>
                    </a:graphicData>
                  </a:graphic>
                </wp:anchor>
              </w:drawing>
            </w:r>
          </w:p>
        </w:tc>
      </w:tr>
      <w:tr w14:paraId="2FD8BD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DDC9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691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感应式酒精喷雾手部消毒器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02E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-容量：1500ml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-智能感应，定量喷淋，健康安全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FA6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约230×150×600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1AC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4619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324C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252095</wp:posOffset>
                  </wp:positionH>
                  <wp:positionV relativeFrom="paragraph">
                    <wp:posOffset>46355</wp:posOffset>
                  </wp:positionV>
                  <wp:extent cx="328930" cy="474345"/>
                  <wp:effectExtent l="0" t="0" r="13970" b="1905"/>
                  <wp:wrapNone/>
                  <wp:docPr id="16" name="图片_613"/>
                  <wp:cNvGraphicFramePr/>
                  <a:graphic xmlns:a="http://schemas.openxmlformats.org/drawingml/2006/main">
                    <a:graphicData uri="http://schemas.openxmlformats.org/drawingml/2006/picture">
                      <pic:pic xmlns:pic="http://schemas.openxmlformats.org/drawingml/2006/picture">
                        <pic:nvPicPr>
                          <pic:cNvPr id="16" name="图片_613"/>
                          <pic:cNvPicPr/>
                        </pic:nvPicPr>
                        <pic:blipFill>
                          <a:blip r:embed="rId31"/>
                          <a:stretch>
                            <a:fillRect/>
                          </a:stretch>
                        </pic:blipFill>
                        <pic:spPr>
                          <a:xfrm>
                            <a:off x="0" y="0"/>
                            <a:ext cx="328930" cy="474345"/>
                          </a:xfrm>
                          <a:prstGeom prst="rect">
                            <a:avLst/>
                          </a:prstGeom>
                          <a:noFill/>
                          <a:ln>
                            <a:noFill/>
                          </a:ln>
                        </pic:spPr>
                      </pic:pic>
                    </a:graphicData>
                  </a:graphic>
                </wp:anchor>
              </w:drawing>
            </w:r>
          </w:p>
        </w:tc>
      </w:tr>
      <w:tr w14:paraId="633CAB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85D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B27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挂衣架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10901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-圆管δ=1.0mm ，固定在墙面</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ECB6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D31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70B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24B3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220345</wp:posOffset>
                  </wp:positionH>
                  <wp:positionV relativeFrom="paragraph">
                    <wp:posOffset>23495</wp:posOffset>
                  </wp:positionV>
                  <wp:extent cx="442595" cy="279400"/>
                  <wp:effectExtent l="0" t="0" r="14605" b="6350"/>
                  <wp:wrapNone/>
                  <wp:docPr id="17" name="图片_108"/>
                  <wp:cNvGraphicFramePr/>
                  <a:graphic xmlns:a="http://schemas.openxmlformats.org/drawingml/2006/main">
                    <a:graphicData uri="http://schemas.openxmlformats.org/drawingml/2006/picture">
                      <pic:pic xmlns:pic="http://schemas.openxmlformats.org/drawingml/2006/picture">
                        <pic:nvPicPr>
                          <pic:cNvPr id="17" name="图片_108"/>
                          <pic:cNvPicPr/>
                        </pic:nvPicPr>
                        <pic:blipFill>
                          <a:blip r:embed="rId32"/>
                          <a:stretch>
                            <a:fillRect/>
                          </a:stretch>
                        </pic:blipFill>
                        <pic:spPr>
                          <a:xfrm>
                            <a:off x="0" y="0"/>
                            <a:ext cx="442595" cy="279400"/>
                          </a:xfrm>
                          <a:prstGeom prst="rect">
                            <a:avLst/>
                          </a:prstGeom>
                          <a:noFill/>
                          <a:ln>
                            <a:noFill/>
                          </a:ln>
                        </pic:spPr>
                      </pic:pic>
                    </a:graphicData>
                  </a:graphic>
                </wp:anchor>
              </w:drawing>
            </w:r>
          </w:p>
        </w:tc>
      </w:tr>
      <w:tr w14:paraId="0EB8CB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5E4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196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六格更衣柜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BB00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选用SUS304-2B优质不锈钢板制作，δ=1.0mm。侧板采用δ=0.8mm不锈钢板，加强筋采用δ=1.0mm不锈钢板,配六扇门（带锁）、配挂衣杆。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A9A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1200×450×1800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B9C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9957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62E4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271780</wp:posOffset>
                  </wp:positionH>
                  <wp:positionV relativeFrom="paragraph">
                    <wp:posOffset>41910</wp:posOffset>
                  </wp:positionV>
                  <wp:extent cx="299085" cy="492760"/>
                  <wp:effectExtent l="0" t="0" r="5715" b="2540"/>
                  <wp:wrapNone/>
                  <wp:docPr id="18" name="图片_34"/>
                  <wp:cNvGraphicFramePr/>
                  <a:graphic xmlns:a="http://schemas.openxmlformats.org/drawingml/2006/main">
                    <a:graphicData uri="http://schemas.openxmlformats.org/drawingml/2006/picture">
                      <pic:pic xmlns:pic="http://schemas.openxmlformats.org/drawingml/2006/picture">
                        <pic:nvPicPr>
                          <pic:cNvPr id="18" name="图片_34"/>
                          <pic:cNvPicPr/>
                        </pic:nvPicPr>
                        <pic:blipFill>
                          <a:blip r:embed="rId33"/>
                          <a:stretch>
                            <a:fillRect/>
                          </a:stretch>
                        </pic:blipFill>
                        <pic:spPr>
                          <a:xfrm>
                            <a:off x="0" y="0"/>
                            <a:ext cx="299085" cy="492760"/>
                          </a:xfrm>
                          <a:prstGeom prst="rect">
                            <a:avLst/>
                          </a:prstGeom>
                          <a:noFill/>
                          <a:ln>
                            <a:noFill/>
                          </a:ln>
                        </pic:spPr>
                      </pic:pic>
                    </a:graphicData>
                  </a:graphic>
                </wp:anchor>
              </w:drawing>
            </w:r>
          </w:p>
        </w:tc>
      </w:tr>
      <w:tr w14:paraId="2E2B5F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948C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CF3E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C6C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E4A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964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E5A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2614B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256540</wp:posOffset>
                  </wp:positionH>
                  <wp:positionV relativeFrom="paragraph">
                    <wp:posOffset>17145</wp:posOffset>
                  </wp:positionV>
                  <wp:extent cx="361315" cy="462280"/>
                  <wp:effectExtent l="0" t="0" r="635" b="13970"/>
                  <wp:wrapNone/>
                  <wp:docPr id="19" name="图片_97"/>
                  <wp:cNvGraphicFramePr/>
                  <a:graphic xmlns:a="http://schemas.openxmlformats.org/drawingml/2006/main">
                    <a:graphicData uri="http://schemas.openxmlformats.org/drawingml/2006/picture">
                      <pic:pic xmlns:pic="http://schemas.openxmlformats.org/drawingml/2006/picture">
                        <pic:nvPicPr>
                          <pic:cNvPr id="19" name="图片_97"/>
                          <pic:cNvPicPr/>
                        </pic:nvPicPr>
                        <pic:blipFill>
                          <a:blip r:embed="rId34"/>
                          <a:stretch>
                            <a:fillRect/>
                          </a:stretch>
                        </pic:blipFill>
                        <pic:spPr>
                          <a:xfrm>
                            <a:off x="0" y="0"/>
                            <a:ext cx="361315" cy="462280"/>
                          </a:xfrm>
                          <a:prstGeom prst="rect">
                            <a:avLst/>
                          </a:prstGeom>
                          <a:noFill/>
                          <a:ln>
                            <a:noFill/>
                          </a:ln>
                        </pic:spPr>
                      </pic:pic>
                    </a:graphicData>
                  </a:graphic>
                </wp:anchor>
              </w:drawing>
            </w:r>
          </w:p>
        </w:tc>
      </w:tr>
      <w:tr w14:paraId="4181D2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47B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9490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F50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3F6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2FD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1C5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687C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240030</wp:posOffset>
                  </wp:positionH>
                  <wp:positionV relativeFrom="paragraph">
                    <wp:posOffset>30480</wp:posOffset>
                  </wp:positionV>
                  <wp:extent cx="378460" cy="464820"/>
                  <wp:effectExtent l="0" t="0" r="2540" b="11430"/>
                  <wp:wrapNone/>
                  <wp:docPr id="20" name="图片_97_SpCnt_1"/>
                  <wp:cNvGraphicFramePr/>
                  <a:graphic xmlns:a="http://schemas.openxmlformats.org/drawingml/2006/main">
                    <a:graphicData uri="http://schemas.openxmlformats.org/drawingml/2006/picture">
                      <pic:pic xmlns:pic="http://schemas.openxmlformats.org/drawingml/2006/picture">
                        <pic:nvPicPr>
                          <pic:cNvPr id="20" name="图片_97_SpCnt_1"/>
                          <pic:cNvPicPr/>
                        </pic:nvPicPr>
                        <pic:blipFill>
                          <a:blip r:embed="rId35"/>
                          <a:stretch>
                            <a:fillRect/>
                          </a:stretch>
                        </pic:blipFill>
                        <pic:spPr>
                          <a:xfrm>
                            <a:off x="0" y="0"/>
                            <a:ext cx="378460" cy="464820"/>
                          </a:xfrm>
                          <a:prstGeom prst="rect">
                            <a:avLst/>
                          </a:prstGeom>
                          <a:noFill/>
                          <a:ln>
                            <a:noFill/>
                          </a:ln>
                        </pic:spPr>
                      </pic:pic>
                    </a:graphicData>
                  </a:graphic>
                </wp:anchor>
              </w:drawing>
            </w:r>
          </w:p>
        </w:tc>
      </w:tr>
      <w:tr w14:paraId="2ADD5D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B14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4A2F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平板车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467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-加重型，配承重静音脚轮，其中两只带刹车掣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6D5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900×600×900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FB8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567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2BB8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200025</wp:posOffset>
                  </wp:positionH>
                  <wp:positionV relativeFrom="paragraph">
                    <wp:posOffset>31115</wp:posOffset>
                  </wp:positionV>
                  <wp:extent cx="472440" cy="447040"/>
                  <wp:effectExtent l="0" t="0" r="3810" b="10160"/>
                  <wp:wrapNone/>
                  <wp:docPr id="21" name="图片_569"/>
                  <wp:cNvGraphicFramePr/>
                  <a:graphic xmlns:a="http://schemas.openxmlformats.org/drawingml/2006/main">
                    <a:graphicData uri="http://schemas.openxmlformats.org/drawingml/2006/picture">
                      <pic:pic xmlns:pic="http://schemas.openxmlformats.org/drawingml/2006/picture">
                        <pic:nvPicPr>
                          <pic:cNvPr id="21" name="图片_569"/>
                          <pic:cNvPicPr/>
                        </pic:nvPicPr>
                        <pic:blipFill>
                          <a:blip r:embed="rId36"/>
                          <a:stretch>
                            <a:fillRect/>
                          </a:stretch>
                        </pic:blipFill>
                        <pic:spPr>
                          <a:xfrm>
                            <a:off x="0" y="0"/>
                            <a:ext cx="472440" cy="447040"/>
                          </a:xfrm>
                          <a:prstGeom prst="rect">
                            <a:avLst/>
                          </a:prstGeom>
                          <a:noFill/>
                          <a:ln>
                            <a:noFill/>
                          </a:ln>
                        </pic:spPr>
                      </pic:pic>
                    </a:graphicData>
                  </a:graphic>
                </wp:anchor>
              </w:drawing>
            </w:r>
          </w:p>
        </w:tc>
      </w:tr>
      <w:tr w14:paraId="3E6530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AFB8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D1A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挡鼠板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81E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958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1BBB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1BE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AE19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140970</wp:posOffset>
                  </wp:positionH>
                  <wp:positionV relativeFrom="paragraph">
                    <wp:posOffset>20320</wp:posOffset>
                  </wp:positionV>
                  <wp:extent cx="586105" cy="291465"/>
                  <wp:effectExtent l="0" t="0" r="4445" b="13335"/>
                  <wp:wrapNone/>
                  <wp:docPr id="22" name="图片_80"/>
                  <wp:cNvGraphicFramePr/>
                  <a:graphic xmlns:a="http://schemas.openxmlformats.org/drawingml/2006/main">
                    <a:graphicData uri="http://schemas.openxmlformats.org/drawingml/2006/picture">
                      <pic:pic xmlns:pic="http://schemas.openxmlformats.org/drawingml/2006/picture">
                        <pic:nvPicPr>
                          <pic:cNvPr id="22" name="图片_80"/>
                          <pic:cNvPicPr/>
                        </pic:nvPicPr>
                        <pic:blipFill>
                          <a:blip r:embed="rId37"/>
                          <a:stretch>
                            <a:fillRect/>
                          </a:stretch>
                        </pic:blipFill>
                        <pic:spPr>
                          <a:xfrm>
                            <a:off x="0" y="0"/>
                            <a:ext cx="586105" cy="291465"/>
                          </a:xfrm>
                          <a:prstGeom prst="rect">
                            <a:avLst/>
                          </a:prstGeom>
                          <a:noFill/>
                          <a:ln>
                            <a:noFill/>
                          </a:ln>
                        </pic:spPr>
                      </pic:pic>
                    </a:graphicData>
                  </a:graphic>
                </wp:anchor>
              </w:drawing>
            </w:r>
          </w:p>
        </w:tc>
      </w:tr>
      <w:tr w14:paraId="1BE99CC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7AA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FA7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大双星水池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020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42F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63C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2E15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E57F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185420</wp:posOffset>
                  </wp:positionH>
                  <wp:positionV relativeFrom="paragraph">
                    <wp:posOffset>-19685</wp:posOffset>
                  </wp:positionV>
                  <wp:extent cx="483870" cy="631825"/>
                  <wp:effectExtent l="0" t="0" r="11430" b="15875"/>
                  <wp:wrapNone/>
                  <wp:docPr id="23" name="图片_62"/>
                  <wp:cNvGraphicFramePr/>
                  <a:graphic xmlns:a="http://schemas.openxmlformats.org/drawingml/2006/main">
                    <a:graphicData uri="http://schemas.openxmlformats.org/drawingml/2006/picture">
                      <pic:pic xmlns:pic="http://schemas.openxmlformats.org/drawingml/2006/picture">
                        <pic:nvPicPr>
                          <pic:cNvPr id="23" name="图片_62"/>
                          <pic:cNvPicPr/>
                        </pic:nvPicPr>
                        <pic:blipFill>
                          <a:blip r:embed="rId38"/>
                          <a:stretch>
                            <a:fillRect/>
                          </a:stretch>
                        </pic:blipFill>
                        <pic:spPr>
                          <a:xfrm>
                            <a:off x="0" y="0"/>
                            <a:ext cx="483870" cy="631825"/>
                          </a:xfrm>
                          <a:prstGeom prst="rect">
                            <a:avLst/>
                          </a:prstGeom>
                          <a:noFill/>
                          <a:ln>
                            <a:noFill/>
                          </a:ln>
                        </pic:spPr>
                      </pic:pic>
                    </a:graphicData>
                  </a:graphic>
                </wp:anchor>
              </w:drawing>
            </w:r>
          </w:p>
        </w:tc>
      </w:tr>
      <w:tr w14:paraId="5FD01E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463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4C9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420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52C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D0F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C4D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C509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142875</wp:posOffset>
                  </wp:positionH>
                  <wp:positionV relativeFrom="paragraph">
                    <wp:posOffset>75565</wp:posOffset>
                  </wp:positionV>
                  <wp:extent cx="577215" cy="538480"/>
                  <wp:effectExtent l="0" t="0" r="13335" b="13970"/>
                  <wp:wrapNone/>
                  <wp:docPr id="24" name="图片_46"/>
                  <wp:cNvGraphicFramePr/>
                  <a:graphic xmlns:a="http://schemas.openxmlformats.org/drawingml/2006/main">
                    <a:graphicData uri="http://schemas.openxmlformats.org/drawingml/2006/picture">
                      <pic:pic xmlns:pic="http://schemas.openxmlformats.org/drawingml/2006/picture">
                        <pic:nvPicPr>
                          <pic:cNvPr id="24" name="图片_46"/>
                          <pic:cNvPicPr/>
                        </pic:nvPicPr>
                        <pic:blipFill>
                          <a:blip r:embed="rId39"/>
                          <a:stretch>
                            <a:fillRect/>
                          </a:stretch>
                        </pic:blipFill>
                        <pic:spPr>
                          <a:xfrm>
                            <a:off x="0" y="0"/>
                            <a:ext cx="577215" cy="538480"/>
                          </a:xfrm>
                          <a:prstGeom prst="rect">
                            <a:avLst/>
                          </a:prstGeom>
                          <a:noFill/>
                          <a:ln>
                            <a:noFill/>
                          </a:ln>
                        </pic:spPr>
                      </pic:pic>
                    </a:graphicData>
                  </a:graphic>
                </wp:anchor>
              </w:drawing>
            </w:r>
          </w:p>
        </w:tc>
      </w:tr>
      <w:tr w14:paraId="2060A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3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76A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362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050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A09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C4D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B44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5707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160655</wp:posOffset>
                  </wp:positionH>
                  <wp:positionV relativeFrom="paragraph">
                    <wp:posOffset>67310</wp:posOffset>
                  </wp:positionV>
                  <wp:extent cx="577215" cy="572770"/>
                  <wp:effectExtent l="0" t="0" r="13335" b="17780"/>
                  <wp:wrapNone/>
                  <wp:docPr id="25" name="图片_46_SpCnt_1"/>
                  <wp:cNvGraphicFramePr/>
                  <a:graphic xmlns:a="http://schemas.openxmlformats.org/drawingml/2006/main">
                    <a:graphicData uri="http://schemas.openxmlformats.org/drawingml/2006/picture">
                      <pic:pic xmlns:pic="http://schemas.openxmlformats.org/drawingml/2006/picture">
                        <pic:nvPicPr>
                          <pic:cNvPr id="25" name="图片_46_SpCnt_1"/>
                          <pic:cNvPicPr/>
                        </pic:nvPicPr>
                        <pic:blipFill>
                          <a:blip r:embed="rId39"/>
                          <a:stretch>
                            <a:fillRect/>
                          </a:stretch>
                        </pic:blipFill>
                        <pic:spPr>
                          <a:xfrm>
                            <a:off x="0" y="0"/>
                            <a:ext cx="577215" cy="572770"/>
                          </a:xfrm>
                          <a:prstGeom prst="rect">
                            <a:avLst/>
                          </a:prstGeom>
                          <a:noFill/>
                          <a:ln>
                            <a:noFill/>
                          </a:ln>
                        </pic:spPr>
                      </pic:pic>
                    </a:graphicData>
                  </a:graphic>
                </wp:anchor>
              </w:drawing>
            </w:r>
          </w:p>
        </w:tc>
      </w:tr>
      <w:tr w14:paraId="57E6E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A4E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DF0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028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F3FD4">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616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3A2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196A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303530</wp:posOffset>
                  </wp:positionH>
                  <wp:positionV relativeFrom="paragraph">
                    <wp:posOffset>25400</wp:posOffset>
                  </wp:positionV>
                  <wp:extent cx="271145" cy="447675"/>
                  <wp:effectExtent l="0" t="0" r="14605" b="9525"/>
                  <wp:wrapNone/>
                  <wp:docPr id="26" name="图片_19"/>
                  <wp:cNvGraphicFramePr/>
                  <a:graphic xmlns:a="http://schemas.openxmlformats.org/drawingml/2006/main">
                    <a:graphicData uri="http://schemas.openxmlformats.org/drawingml/2006/picture">
                      <pic:pic xmlns:pic="http://schemas.openxmlformats.org/drawingml/2006/picture">
                        <pic:nvPicPr>
                          <pic:cNvPr id="26" name="图片_19"/>
                          <pic:cNvPicPr/>
                        </pic:nvPicPr>
                        <pic:blipFill>
                          <a:blip r:embed="rId40"/>
                          <a:stretch>
                            <a:fillRect/>
                          </a:stretch>
                        </pic:blipFill>
                        <pic:spPr>
                          <a:xfrm>
                            <a:off x="0" y="0"/>
                            <a:ext cx="271145" cy="447675"/>
                          </a:xfrm>
                          <a:prstGeom prst="rect">
                            <a:avLst/>
                          </a:prstGeom>
                          <a:noFill/>
                          <a:ln>
                            <a:noFill/>
                          </a:ln>
                        </pic:spPr>
                      </pic:pic>
                    </a:graphicData>
                  </a:graphic>
                </wp:anchor>
              </w:drawing>
            </w:r>
          </w:p>
        </w:tc>
      </w:tr>
      <w:tr w14:paraId="0DBE3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9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153B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82CA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高压花洒龙头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C2A7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1.座台式双孔双温高压花洒，两孔中心距203mm,黄铜铸造表面抛光镀铬处理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2.直管采用快速安装设计，安装简单高效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3.150mm±5%长的墙上托架；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4.工作高度：980mm±5%；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5.进水口配有止回阀，防止回水倒流；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E95F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1C8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8CF9F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8DD4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241300</wp:posOffset>
                  </wp:positionH>
                  <wp:positionV relativeFrom="paragraph">
                    <wp:posOffset>3810</wp:posOffset>
                  </wp:positionV>
                  <wp:extent cx="390525" cy="453390"/>
                  <wp:effectExtent l="0" t="0" r="9525" b="3810"/>
                  <wp:wrapNone/>
                  <wp:docPr id="27" name="图片_7"/>
                  <wp:cNvGraphicFramePr/>
                  <a:graphic xmlns:a="http://schemas.openxmlformats.org/drawingml/2006/main">
                    <a:graphicData uri="http://schemas.openxmlformats.org/drawingml/2006/picture">
                      <pic:pic xmlns:pic="http://schemas.openxmlformats.org/drawingml/2006/picture">
                        <pic:nvPicPr>
                          <pic:cNvPr id="27" name="图片_7"/>
                          <pic:cNvPicPr/>
                        </pic:nvPicPr>
                        <pic:blipFill>
                          <a:blip r:embed="rId41"/>
                          <a:stretch>
                            <a:fillRect/>
                          </a:stretch>
                        </pic:blipFill>
                        <pic:spPr>
                          <a:xfrm>
                            <a:off x="0" y="0"/>
                            <a:ext cx="390525" cy="453390"/>
                          </a:xfrm>
                          <a:prstGeom prst="rect">
                            <a:avLst/>
                          </a:prstGeom>
                          <a:noFill/>
                          <a:ln>
                            <a:noFill/>
                          </a:ln>
                        </pic:spPr>
                      </pic:pic>
                    </a:graphicData>
                  </a:graphic>
                </wp:anchor>
              </w:drawing>
            </w:r>
          </w:p>
        </w:tc>
      </w:tr>
      <w:tr w14:paraId="2AFC5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441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2FB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CBC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 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B22EA">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4D9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9FA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8FD5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161925</wp:posOffset>
                  </wp:positionH>
                  <wp:positionV relativeFrom="paragraph">
                    <wp:posOffset>-43180</wp:posOffset>
                  </wp:positionV>
                  <wp:extent cx="569595" cy="361950"/>
                  <wp:effectExtent l="0" t="0" r="1905" b="0"/>
                  <wp:wrapNone/>
                  <wp:docPr id="28" name="图片_2_SpCnt_1"/>
                  <wp:cNvGraphicFramePr/>
                  <a:graphic xmlns:a="http://schemas.openxmlformats.org/drawingml/2006/main">
                    <a:graphicData uri="http://schemas.openxmlformats.org/drawingml/2006/picture">
                      <pic:pic xmlns:pic="http://schemas.openxmlformats.org/drawingml/2006/picture">
                        <pic:nvPicPr>
                          <pic:cNvPr id="28" name="图片_2_SpCnt_1"/>
                          <pic:cNvPicPr/>
                        </pic:nvPicPr>
                        <pic:blipFill>
                          <a:blip r:embed="rId42"/>
                          <a:stretch>
                            <a:fillRect/>
                          </a:stretch>
                        </pic:blipFill>
                        <pic:spPr>
                          <a:xfrm>
                            <a:off x="0" y="0"/>
                            <a:ext cx="569595" cy="361950"/>
                          </a:xfrm>
                          <a:prstGeom prst="rect">
                            <a:avLst/>
                          </a:prstGeom>
                          <a:noFill/>
                          <a:ln>
                            <a:noFill/>
                          </a:ln>
                        </pic:spPr>
                      </pic:pic>
                    </a:graphicData>
                  </a:graphic>
                </wp:anchor>
              </w:drawing>
            </w:r>
          </w:p>
        </w:tc>
      </w:tr>
      <w:tr w14:paraId="1ADE45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69F6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732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全自动电热</w:t>
            </w:r>
          </w:p>
          <w:p w14:paraId="4EA936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开水器连底座</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6F7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-容量：80L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-供水量：120L/h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 功率/电压：12KW/380V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-采用优质304不锈钢制造，绝对是开水，杜绝阴阳水，磁化保健；                                                           -外向新颖，防干烧，双层盖防蒸汽滴水</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-采用全包围技术结构及聚氨发泡保温，表面接近常温,保温效果良好</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-全自动控制，无需看表，看灯，随时放心饮用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E394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约520×560×1480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A00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FDBB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A633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278765</wp:posOffset>
                  </wp:positionH>
                  <wp:positionV relativeFrom="paragraph">
                    <wp:posOffset>154305</wp:posOffset>
                  </wp:positionV>
                  <wp:extent cx="364490" cy="850265"/>
                  <wp:effectExtent l="0" t="0" r="16510" b="6985"/>
                  <wp:wrapNone/>
                  <wp:docPr id="29" name="图片_610"/>
                  <wp:cNvGraphicFramePr/>
                  <a:graphic xmlns:a="http://schemas.openxmlformats.org/drawingml/2006/main">
                    <a:graphicData uri="http://schemas.openxmlformats.org/drawingml/2006/picture">
                      <pic:pic xmlns:pic="http://schemas.openxmlformats.org/drawingml/2006/picture">
                        <pic:nvPicPr>
                          <pic:cNvPr id="29" name="图片_610"/>
                          <pic:cNvPicPr/>
                        </pic:nvPicPr>
                        <pic:blipFill>
                          <a:blip r:embed="rId43"/>
                          <a:stretch>
                            <a:fillRect/>
                          </a:stretch>
                        </pic:blipFill>
                        <pic:spPr>
                          <a:xfrm>
                            <a:off x="0" y="0"/>
                            <a:ext cx="364490" cy="850265"/>
                          </a:xfrm>
                          <a:prstGeom prst="rect">
                            <a:avLst/>
                          </a:prstGeom>
                          <a:noFill/>
                          <a:ln>
                            <a:noFill/>
                          </a:ln>
                        </pic:spPr>
                      </pic:pic>
                    </a:graphicData>
                  </a:graphic>
                </wp:anchor>
              </w:drawing>
            </w:r>
          </w:p>
        </w:tc>
      </w:tr>
      <w:tr w14:paraId="07F72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926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C4A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8BD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E914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797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7DA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B783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209550</wp:posOffset>
                  </wp:positionH>
                  <wp:positionV relativeFrom="paragraph">
                    <wp:posOffset>19050</wp:posOffset>
                  </wp:positionV>
                  <wp:extent cx="469900" cy="487045"/>
                  <wp:effectExtent l="0" t="0" r="6350" b="8255"/>
                  <wp:wrapNone/>
                  <wp:docPr id="30" name="图片_1_SpCnt_2"/>
                  <wp:cNvGraphicFramePr/>
                  <a:graphic xmlns:a="http://schemas.openxmlformats.org/drawingml/2006/main">
                    <a:graphicData uri="http://schemas.openxmlformats.org/drawingml/2006/picture">
                      <pic:pic xmlns:pic="http://schemas.openxmlformats.org/drawingml/2006/picture">
                        <pic:nvPicPr>
                          <pic:cNvPr id="30" name="图片_1_SpCnt_2"/>
                          <pic:cNvPicPr/>
                        </pic:nvPicPr>
                        <pic:blipFill>
                          <a:blip r:embed="rId27"/>
                          <a:stretch>
                            <a:fillRect/>
                          </a:stretch>
                        </pic:blipFill>
                        <pic:spPr>
                          <a:xfrm>
                            <a:off x="0" y="0"/>
                            <a:ext cx="469900" cy="487045"/>
                          </a:xfrm>
                          <a:prstGeom prst="rect">
                            <a:avLst/>
                          </a:prstGeom>
                          <a:noFill/>
                          <a:ln>
                            <a:noFill/>
                          </a:ln>
                        </pic:spPr>
                      </pic:pic>
                    </a:graphicData>
                  </a:graphic>
                </wp:anchor>
              </w:drawing>
            </w:r>
          </w:p>
        </w:tc>
      </w:tr>
      <w:tr w14:paraId="263C3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0F2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299C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毛刷清洗去皮机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DAA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电压功率：380v/2KW</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清洗能力:500-600KG/HR</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毛棍数量: 6根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毛刷长度: 1000MM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毛刷材质:尼龙丝101材质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机器净重::220KG</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产品功能：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毛刷辊旋转刷洗原料并使其不断翻转，同时排水管不断地喷淋，把从原料上刷洗下来的污物冲洗干净:适用于胡萝卜、马铃薯、红薯、苹果、梨红果等根茎类果蔬的清洗。</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EF5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约1300×830×1000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CED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498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9435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78105</wp:posOffset>
                  </wp:positionH>
                  <wp:positionV relativeFrom="paragraph">
                    <wp:posOffset>109855</wp:posOffset>
                  </wp:positionV>
                  <wp:extent cx="694055" cy="747395"/>
                  <wp:effectExtent l="0" t="0" r="10795" b="14605"/>
                  <wp:wrapNone/>
                  <wp:docPr id="31" name="图片_19_SpCnt_1"/>
                  <wp:cNvGraphicFramePr/>
                  <a:graphic xmlns:a="http://schemas.openxmlformats.org/drawingml/2006/main">
                    <a:graphicData uri="http://schemas.openxmlformats.org/drawingml/2006/picture">
                      <pic:pic xmlns:pic="http://schemas.openxmlformats.org/drawingml/2006/picture">
                        <pic:nvPicPr>
                          <pic:cNvPr id="31" name="图片_19_SpCnt_1"/>
                          <pic:cNvPicPr/>
                        </pic:nvPicPr>
                        <pic:blipFill>
                          <a:blip r:embed="rId44"/>
                          <a:stretch>
                            <a:fillRect/>
                          </a:stretch>
                        </pic:blipFill>
                        <pic:spPr>
                          <a:xfrm>
                            <a:off x="0" y="0"/>
                            <a:ext cx="694055" cy="747395"/>
                          </a:xfrm>
                          <a:prstGeom prst="rect">
                            <a:avLst/>
                          </a:prstGeom>
                          <a:noFill/>
                          <a:ln>
                            <a:noFill/>
                          </a:ln>
                        </pic:spPr>
                      </pic:pic>
                    </a:graphicData>
                  </a:graphic>
                </wp:anchor>
              </w:drawing>
            </w:r>
          </w:p>
        </w:tc>
      </w:tr>
      <w:tr w14:paraId="5BB224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820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173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E59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BCF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5FB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0AC4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B65D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80645</wp:posOffset>
                  </wp:positionH>
                  <wp:positionV relativeFrom="paragraph">
                    <wp:posOffset>49530</wp:posOffset>
                  </wp:positionV>
                  <wp:extent cx="685165" cy="424180"/>
                  <wp:effectExtent l="0" t="0" r="635" b="13970"/>
                  <wp:wrapNone/>
                  <wp:docPr id="32" name="图片_73"/>
                  <wp:cNvGraphicFramePr/>
                  <a:graphic xmlns:a="http://schemas.openxmlformats.org/drawingml/2006/main">
                    <a:graphicData uri="http://schemas.openxmlformats.org/drawingml/2006/picture">
                      <pic:pic xmlns:pic="http://schemas.openxmlformats.org/drawingml/2006/picture">
                        <pic:nvPicPr>
                          <pic:cNvPr id="32" name="图片_73"/>
                          <pic:cNvPicPr/>
                        </pic:nvPicPr>
                        <pic:blipFill>
                          <a:blip r:embed="rId45"/>
                          <a:stretch>
                            <a:fillRect/>
                          </a:stretch>
                        </pic:blipFill>
                        <pic:spPr>
                          <a:xfrm>
                            <a:off x="0" y="0"/>
                            <a:ext cx="685165" cy="424180"/>
                          </a:xfrm>
                          <a:prstGeom prst="rect">
                            <a:avLst/>
                          </a:prstGeom>
                          <a:noFill/>
                          <a:ln>
                            <a:noFill/>
                          </a:ln>
                        </pic:spPr>
                      </pic:pic>
                    </a:graphicData>
                  </a:graphic>
                </wp:anchor>
              </w:drawing>
            </w:r>
          </w:p>
        </w:tc>
      </w:tr>
      <w:tr w14:paraId="753EA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C92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794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沥水推车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924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  ；带沥水口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1E2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760×560×800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A0D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8D5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FB11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177165</wp:posOffset>
                  </wp:positionH>
                  <wp:positionV relativeFrom="paragraph">
                    <wp:posOffset>30480</wp:posOffset>
                  </wp:positionV>
                  <wp:extent cx="535940" cy="465455"/>
                  <wp:effectExtent l="0" t="0" r="16510" b="10795"/>
                  <wp:wrapNone/>
                  <wp:docPr id="33" name="图片_8"/>
                  <wp:cNvGraphicFramePr/>
                  <a:graphic xmlns:a="http://schemas.openxmlformats.org/drawingml/2006/main">
                    <a:graphicData uri="http://schemas.openxmlformats.org/drawingml/2006/picture">
                      <pic:pic xmlns:pic="http://schemas.openxmlformats.org/drawingml/2006/picture">
                        <pic:nvPicPr>
                          <pic:cNvPr id="33" name="图片_8"/>
                          <pic:cNvPicPr/>
                        </pic:nvPicPr>
                        <pic:blipFill>
                          <a:blip r:embed="rId46"/>
                          <a:stretch>
                            <a:fillRect/>
                          </a:stretch>
                        </pic:blipFill>
                        <pic:spPr>
                          <a:xfrm>
                            <a:off x="0" y="0"/>
                            <a:ext cx="535940" cy="465455"/>
                          </a:xfrm>
                          <a:prstGeom prst="rect">
                            <a:avLst/>
                          </a:prstGeom>
                          <a:noFill/>
                          <a:ln>
                            <a:noFill/>
                          </a:ln>
                        </pic:spPr>
                      </pic:pic>
                    </a:graphicData>
                  </a:graphic>
                </wp:anchor>
              </w:drawing>
            </w:r>
          </w:p>
        </w:tc>
      </w:tr>
      <w:tr w14:paraId="78542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3DCB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958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ACB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ED60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ABD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7D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7ECF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33020</wp:posOffset>
                  </wp:positionV>
                  <wp:extent cx="511175" cy="408940"/>
                  <wp:effectExtent l="0" t="0" r="3175" b="10160"/>
                  <wp:wrapNone/>
                  <wp:docPr id="34" name="图片_2_SpCnt_2"/>
                  <wp:cNvGraphicFramePr/>
                  <a:graphic xmlns:a="http://schemas.openxmlformats.org/drawingml/2006/main">
                    <a:graphicData uri="http://schemas.openxmlformats.org/drawingml/2006/picture">
                      <pic:pic xmlns:pic="http://schemas.openxmlformats.org/drawingml/2006/picture">
                        <pic:nvPicPr>
                          <pic:cNvPr id="34" name="图片_2_SpCnt_2"/>
                          <pic:cNvPicPr/>
                        </pic:nvPicPr>
                        <pic:blipFill>
                          <a:blip r:embed="rId25"/>
                          <a:stretch>
                            <a:fillRect/>
                          </a:stretch>
                        </pic:blipFill>
                        <pic:spPr>
                          <a:xfrm>
                            <a:off x="0" y="0"/>
                            <a:ext cx="511175" cy="408940"/>
                          </a:xfrm>
                          <a:prstGeom prst="rect">
                            <a:avLst/>
                          </a:prstGeom>
                          <a:noFill/>
                          <a:ln>
                            <a:noFill/>
                          </a:ln>
                        </pic:spPr>
                      </pic:pic>
                    </a:graphicData>
                  </a:graphic>
                </wp:anchor>
              </w:drawing>
            </w:r>
          </w:p>
        </w:tc>
      </w:tr>
      <w:tr w14:paraId="57259A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B8CD7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AFA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0817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459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A22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66F0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44F3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233680</wp:posOffset>
                  </wp:positionH>
                  <wp:positionV relativeFrom="paragraph">
                    <wp:posOffset>34925</wp:posOffset>
                  </wp:positionV>
                  <wp:extent cx="398145" cy="339090"/>
                  <wp:effectExtent l="0" t="0" r="1905" b="3810"/>
                  <wp:wrapNone/>
                  <wp:docPr id="35" name="图片_13"/>
                  <wp:cNvGraphicFramePr/>
                  <a:graphic xmlns:a="http://schemas.openxmlformats.org/drawingml/2006/main">
                    <a:graphicData uri="http://schemas.openxmlformats.org/drawingml/2006/picture">
                      <pic:pic xmlns:pic="http://schemas.openxmlformats.org/drawingml/2006/picture">
                        <pic:nvPicPr>
                          <pic:cNvPr id="35" name="图片_13"/>
                          <pic:cNvPicPr/>
                        </pic:nvPicPr>
                        <pic:blipFill>
                          <a:blip r:embed="rId47"/>
                          <a:stretch>
                            <a:fillRect/>
                          </a:stretch>
                        </pic:blipFill>
                        <pic:spPr>
                          <a:xfrm>
                            <a:off x="0" y="0"/>
                            <a:ext cx="398145" cy="339090"/>
                          </a:xfrm>
                          <a:prstGeom prst="rect">
                            <a:avLst/>
                          </a:prstGeom>
                          <a:noFill/>
                          <a:ln>
                            <a:noFill/>
                          </a:ln>
                        </pic:spPr>
                      </pic:pic>
                    </a:graphicData>
                  </a:graphic>
                </wp:anchor>
              </w:drawing>
            </w:r>
          </w:p>
        </w:tc>
      </w:tr>
      <w:tr w14:paraId="71098C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1A8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19E3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商用</w:t>
            </w:r>
            <w:r>
              <w:rPr>
                <w:rFonts w:hint="eastAsia" w:ascii="宋体" w:hAnsi="宋体" w:eastAsia="宋体" w:cs="宋体"/>
                <w:i w:val="0"/>
                <w:iCs w:val="0"/>
                <w:color w:val="000000"/>
                <w:kern w:val="0"/>
                <w:sz w:val="21"/>
                <w:szCs w:val="21"/>
                <w:u w:val="none"/>
                <w:lang w:val="en-US" w:eastAsia="zh-CN" w:bidi="ar"/>
              </w:rPr>
              <w:t>四门冷藏柜</w:t>
            </w:r>
          </w:p>
          <w:p w14:paraId="64A388F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CF9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lang w:eastAsia="zh-CN"/>
              </w:rPr>
            </w:pPr>
            <w:r>
              <w:rPr>
                <w:rFonts w:hint="eastAsia" w:ascii="宋体" w:hAnsi="宋体" w:eastAsia="宋体" w:cs="宋体"/>
                <w:i w:val="0"/>
                <w:iCs w:val="0"/>
                <w:color w:val="000000"/>
                <w:kern w:val="0"/>
                <w:sz w:val="21"/>
                <w:szCs w:val="21"/>
                <w:u w:val="none"/>
                <w:lang w:val="en-US" w:eastAsia="zh-CN" w:bidi="ar"/>
              </w:rPr>
              <w:t>-温度范围：-6℃～15℃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不锈钢门拉手、美观、坚固、耐用，可与客户不锈</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钢制品更好的搭配。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箱体发泡层厚度≧60mm，门板发泡厚度≧55mm，门板与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通风窗齐平，≧45时自动回归，且必须采用平口设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计拉手，配专用门锁，以保证食品安全。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环保制冷剂R134A或R404A，避免大气污染，环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无烷无氟环保60mm厚高密度发泡保温层、保温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性能更好。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D599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约1200×760×2000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B0D9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F5E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3D1F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212725</wp:posOffset>
                  </wp:positionH>
                  <wp:positionV relativeFrom="paragraph">
                    <wp:posOffset>28575</wp:posOffset>
                  </wp:positionV>
                  <wp:extent cx="441325" cy="866775"/>
                  <wp:effectExtent l="0" t="0" r="15875" b="9525"/>
                  <wp:wrapNone/>
                  <wp:docPr id="154" name="图片_5"/>
                  <wp:cNvGraphicFramePr/>
                  <a:graphic xmlns:a="http://schemas.openxmlformats.org/drawingml/2006/main">
                    <a:graphicData uri="http://schemas.openxmlformats.org/drawingml/2006/picture">
                      <pic:pic xmlns:pic="http://schemas.openxmlformats.org/drawingml/2006/picture">
                        <pic:nvPicPr>
                          <pic:cNvPr id="154" name="图片_5"/>
                          <pic:cNvPicPr/>
                        </pic:nvPicPr>
                        <pic:blipFill>
                          <a:blip r:embed="rId48"/>
                          <a:stretch>
                            <a:fillRect/>
                          </a:stretch>
                        </pic:blipFill>
                        <pic:spPr>
                          <a:xfrm>
                            <a:off x="0" y="0"/>
                            <a:ext cx="441325" cy="866775"/>
                          </a:xfrm>
                          <a:prstGeom prst="rect">
                            <a:avLst/>
                          </a:prstGeom>
                          <a:noFill/>
                          <a:ln>
                            <a:noFill/>
                          </a:ln>
                        </pic:spPr>
                      </pic:pic>
                    </a:graphicData>
                  </a:graphic>
                </wp:anchor>
              </w:drawing>
            </w:r>
          </w:p>
        </w:tc>
      </w:tr>
      <w:tr w14:paraId="66678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73C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9FB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商用</w:t>
            </w:r>
            <w:r>
              <w:rPr>
                <w:rFonts w:hint="eastAsia" w:ascii="宋体" w:hAnsi="宋体" w:eastAsia="宋体" w:cs="宋体"/>
                <w:i w:val="0"/>
                <w:iCs w:val="0"/>
                <w:color w:val="000000"/>
                <w:kern w:val="0"/>
                <w:sz w:val="21"/>
                <w:szCs w:val="21"/>
                <w:u w:val="none"/>
                <w:lang w:val="en-US" w:eastAsia="zh-CN" w:bidi="ar"/>
              </w:rPr>
              <w:t>四门冷冻柜</w:t>
            </w:r>
          </w:p>
          <w:p w14:paraId="009180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0A8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-温度范围：-18℃</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不锈钢门拉手、美观、坚固、耐用，可与客户不锈</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钢制品更好的搭配。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箱体发泡层厚度≧60mm，门板发泡厚度≧55mm，门板与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通风窗齐平，≧45时自动回归，且必须采用平口设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计拉手，配专用门锁，以保证食品安全。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环保制冷剂R134A或R404A，避免大气污染，环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无烷无氟环保60mm厚高密度发泡保温层、保温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性能更好。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E794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约1200×760×2000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92E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1DB9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4830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196215</wp:posOffset>
                  </wp:positionH>
                  <wp:positionV relativeFrom="paragraph">
                    <wp:posOffset>55880</wp:posOffset>
                  </wp:positionV>
                  <wp:extent cx="481330" cy="718185"/>
                  <wp:effectExtent l="0" t="0" r="13970" b="5715"/>
                  <wp:wrapNone/>
                  <wp:docPr id="155" name="图片_5_SpCnt_1"/>
                  <wp:cNvGraphicFramePr/>
                  <a:graphic xmlns:a="http://schemas.openxmlformats.org/drawingml/2006/main">
                    <a:graphicData uri="http://schemas.openxmlformats.org/drawingml/2006/picture">
                      <pic:pic xmlns:pic="http://schemas.openxmlformats.org/drawingml/2006/picture">
                        <pic:nvPicPr>
                          <pic:cNvPr id="155" name="图片_5_SpCnt_1"/>
                          <pic:cNvPicPr/>
                        </pic:nvPicPr>
                        <pic:blipFill>
                          <a:blip r:embed="rId49"/>
                          <a:stretch>
                            <a:fillRect/>
                          </a:stretch>
                        </pic:blipFill>
                        <pic:spPr>
                          <a:xfrm>
                            <a:off x="0" y="0"/>
                            <a:ext cx="481330" cy="718185"/>
                          </a:xfrm>
                          <a:prstGeom prst="rect">
                            <a:avLst/>
                          </a:prstGeom>
                          <a:noFill/>
                          <a:ln>
                            <a:noFill/>
                          </a:ln>
                        </pic:spPr>
                      </pic:pic>
                    </a:graphicData>
                  </a:graphic>
                </wp:anchor>
              </w:drawing>
            </w:r>
          </w:p>
        </w:tc>
      </w:tr>
      <w:tr w14:paraId="788AD8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2C6AD">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C276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刀砧板毛巾消毒柜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86551">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-柜体δ=1.2mm；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-刀具存放箱，砧板存放架；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-带紫外线杀菌灯，配2扇开门，配毛巾开门柜配有重力脚φ50×150；</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7827F">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1500×760×800+1200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894E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0F44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cs="宋体"/>
                <w:i w:val="0"/>
                <w:iCs w:val="0"/>
                <w:color w:val="000000"/>
                <w:kern w:val="0"/>
                <w:sz w:val="21"/>
                <w:szCs w:val="21"/>
                <w:highlight w:val="none"/>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942FD">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168275</wp:posOffset>
                  </wp:positionH>
                  <wp:positionV relativeFrom="paragraph">
                    <wp:posOffset>61595</wp:posOffset>
                  </wp:positionV>
                  <wp:extent cx="535305" cy="598170"/>
                  <wp:effectExtent l="0" t="0" r="17145" b="11430"/>
                  <wp:wrapNone/>
                  <wp:docPr id="156" name="图片_2_SpCnt_3"/>
                  <wp:cNvGraphicFramePr/>
                  <a:graphic xmlns:a="http://schemas.openxmlformats.org/drawingml/2006/main">
                    <a:graphicData uri="http://schemas.openxmlformats.org/drawingml/2006/picture">
                      <pic:pic xmlns:pic="http://schemas.openxmlformats.org/drawingml/2006/picture">
                        <pic:nvPicPr>
                          <pic:cNvPr id="156" name="图片_2_SpCnt_3"/>
                          <pic:cNvPicPr/>
                        </pic:nvPicPr>
                        <pic:blipFill>
                          <a:blip r:embed="rId50"/>
                          <a:stretch>
                            <a:fillRect/>
                          </a:stretch>
                        </pic:blipFill>
                        <pic:spPr>
                          <a:xfrm>
                            <a:off x="0" y="0"/>
                            <a:ext cx="535305" cy="598170"/>
                          </a:xfrm>
                          <a:prstGeom prst="rect">
                            <a:avLst/>
                          </a:prstGeom>
                          <a:noFill/>
                          <a:ln>
                            <a:noFill/>
                          </a:ln>
                        </pic:spPr>
                      </pic:pic>
                    </a:graphicData>
                  </a:graphic>
                </wp:anchor>
              </w:drawing>
            </w:r>
          </w:p>
        </w:tc>
      </w:tr>
      <w:tr w14:paraId="598D1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5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924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AB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4BC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A1C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065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287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AB32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151130</wp:posOffset>
                  </wp:positionH>
                  <wp:positionV relativeFrom="paragraph">
                    <wp:posOffset>32385</wp:posOffset>
                  </wp:positionV>
                  <wp:extent cx="577215" cy="538480"/>
                  <wp:effectExtent l="0" t="0" r="13335" b="13970"/>
                  <wp:wrapNone/>
                  <wp:docPr id="157" name="图片_46_SpCnt_2"/>
                  <wp:cNvGraphicFramePr/>
                  <a:graphic xmlns:a="http://schemas.openxmlformats.org/drawingml/2006/main">
                    <a:graphicData uri="http://schemas.openxmlformats.org/drawingml/2006/picture">
                      <pic:pic xmlns:pic="http://schemas.openxmlformats.org/drawingml/2006/picture">
                        <pic:nvPicPr>
                          <pic:cNvPr id="157" name="图片_46_SpCnt_2"/>
                          <pic:cNvPicPr/>
                        </pic:nvPicPr>
                        <pic:blipFill>
                          <a:blip r:embed="rId39"/>
                          <a:stretch>
                            <a:fillRect/>
                          </a:stretch>
                        </pic:blipFill>
                        <pic:spPr>
                          <a:xfrm>
                            <a:off x="0" y="0"/>
                            <a:ext cx="577215" cy="538480"/>
                          </a:xfrm>
                          <a:prstGeom prst="rect">
                            <a:avLst/>
                          </a:prstGeom>
                          <a:noFill/>
                          <a:ln>
                            <a:noFill/>
                          </a:ln>
                        </pic:spPr>
                      </pic:pic>
                    </a:graphicData>
                  </a:graphic>
                </wp:anchor>
              </w:drawing>
            </w:r>
          </w:p>
        </w:tc>
      </w:tr>
      <w:tr w14:paraId="1B4008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355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619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765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3641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1E6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348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C589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277495</wp:posOffset>
                  </wp:positionH>
                  <wp:positionV relativeFrom="paragraph">
                    <wp:posOffset>60960</wp:posOffset>
                  </wp:positionV>
                  <wp:extent cx="271145" cy="447675"/>
                  <wp:effectExtent l="0" t="0" r="14605" b="9525"/>
                  <wp:wrapNone/>
                  <wp:docPr id="158" name="图片_19_SpCnt_2"/>
                  <wp:cNvGraphicFramePr/>
                  <a:graphic xmlns:a="http://schemas.openxmlformats.org/drawingml/2006/main">
                    <a:graphicData uri="http://schemas.openxmlformats.org/drawingml/2006/picture">
                      <pic:pic xmlns:pic="http://schemas.openxmlformats.org/drawingml/2006/picture">
                        <pic:nvPicPr>
                          <pic:cNvPr id="158" name="图片_19_SpCnt_2"/>
                          <pic:cNvPicPr/>
                        </pic:nvPicPr>
                        <pic:blipFill>
                          <a:blip r:embed="rId40"/>
                          <a:stretch>
                            <a:fillRect/>
                          </a:stretch>
                        </pic:blipFill>
                        <pic:spPr>
                          <a:xfrm>
                            <a:off x="0" y="0"/>
                            <a:ext cx="271145" cy="447675"/>
                          </a:xfrm>
                          <a:prstGeom prst="rect">
                            <a:avLst/>
                          </a:prstGeom>
                          <a:noFill/>
                          <a:ln>
                            <a:noFill/>
                          </a:ln>
                        </pic:spPr>
                      </pic:pic>
                    </a:graphicData>
                  </a:graphic>
                </wp:anchor>
              </w:drawing>
            </w:r>
          </w:p>
        </w:tc>
      </w:tr>
      <w:tr w14:paraId="545E5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ABB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472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D93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B66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C373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CA03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282F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218440</wp:posOffset>
                  </wp:positionH>
                  <wp:positionV relativeFrom="paragraph">
                    <wp:posOffset>15240</wp:posOffset>
                  </wp:positionV>
                  <wp:extent cx="434975" cy="452755"/>
                  <wp:effectExtent l="0" t="0" r="3175" b="4445"/>
                  <wp:wrapNone/>
                  <wp:docPr id="159" name="图片_1_SpCnt_3"/>
                  <wp:cNvGraphicFramePr/>
                  <a:graphic xmlns:a="http://schemas.openxmlformats.org/drawingml/2006/main">
                    <a:graphicData uri="http://schemas.openxmlformats.org/drawingml/2006/picture">
                      <pic:pic xmlns:pic="http://schemas.openxmlformats.org/drawingml/2006/picture">
                        <pic:nvPicPr>
                          <pic:cNvPr id="159" name="图片_1_SpCnt_3"/>
                          <pic:cNvPicPr/>
                        </pic:nvPicPr>
                        <pic:blipFill>
                          <a:blip r:embed="rId27"/>
                          <a:stretch>
                            <a:fillRect/>
                          </a:stretch>
                        </pic:blipFill>
                        <pic:spPr>
                          <a:xfrm>
                            <a:off x="0" y="0"/>
                            <a:ext cx="434975" cy="452755"/>
                          </a:xfrm>
                          <a:prstGeom prst="rect">
                            <a:avLst/>
                          </a:prstGeom>
                          <a:noFill/>
                          <a:ln>
                            <a:noFill/>
                          </a:ln>
                        </pic:spPr>
                      </pic:pic>
                    </a:graphicData>
                  </a:graphic>
                </wp:anchor>
              </w:drawing>
            </w:r>
          </w:p>
        </w:tc>
      </w:tr>
      <w:tr w14:paraId="5CA4D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604D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01A8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双层切配工作台</w:t>
            </w:r>
          </w:p>
          <w:p w14:paraId="6371A08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（三边围板）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D03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2BE83">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3B07B">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94E4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E859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137795</wp:posOffset>
                  </wp:positionH>
                  <wp:positionV relativeFrom="paragraph">
                    <wp:posOffset>53975</wp:posOffset>
                  </wp:positionV>
                  <wp:extent cx="559435" cy="608965"/>
                  <wp:effectExtent l="0" t="0" r="12065" b="635"/>
                  <wp:wrapNone/>
                  <wp:docPr id="160" name="图片_10"/>
                  <wp:cNvGraphicFramePr/>
                  <a:graphic xmlns:a="http://schemas.openxmlformats.org/drawingml/2006/main">
                    <a:graphicData uri="http://schemas.openxmlformats.org/drawingml/2006/picture">
                      <pic:pic xmlns:pic="http://schemas.openxmlformats.org/drawingml/2006/picture">
                        <pic:nvPicPr>
                          <pic:cNvPr id="160" name="图片_10"/>
                          <pic:cNvPicPr/>
                        </pic:nvPicPr>
                        <pic:blipFill>
                          <a:blip r:embed="rId51"/>
                          <a:stretch>
                            <a:fillRect/>
                          </a:stretch>
                        </pic:blipFill>
                        <pic:spPr>
                          <a:xfrm>
                            <a:off x="0" y="0"/>
                            <a:ext cx="559435" cy="608965"/>
                          </a:xfrm>
                          <a:prstGeom prst="rect">
                            <a:avLst/>
                          </a:prstGeom>
                          <a:noFill/>
                          <a:ln>
                            <a:noFill/>
                          </a:ln>
                        </pic:spPr>
                      </pic:pic>
                    </a:graphicData>
                  </a:graphic>
                </wp:anchor>
              </w:drawing>
            </w:r>
          </w:p>
        </w:tc>
      </w:tr>
      <w:tr w14:paraId="758D5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CE30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00AB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双层切配工作台</w:t>
            </w:r>
          </w:p>
          <w:p w14:paraId="5C3B6465">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（三边围板）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CE4A9">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26B8">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1600×800×800+100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D481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6842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A4D1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172085</wp:posOffset>
                  </wp:positionH>
                  <wp:positionV relativeFrom="paragraph">
                    <wp:posOffset>43815</wp:posOffset>
                  </wp:positionV>
                  <wp:extent cx="559435" cy="523240"/>
                  <wp:effectExtent l="0" t="0" r="12065" b="10160"/>
                  <wp:wrapNone/>
                  <wp:docPr id="161" name="图片_10_SpCnt_1"/>
                  <wp:cNvGraphicFramePr/>
                  <a:graphic xmlns:a="http://schemas.openxmlformats.org/drawingml/2006/main">
                    <a:graphicData uri="http://schemas.openxmlformats.org/drawingml/2006/picture">
                      <pic:pic xmlns:pic="http://schemas.openxmlformats.org/drawingml/2006/picture">
                        <pic:nvPicPr>
                          <pic:cNvPr id="161" name="图片_10_SpCnt_1"/>
                          <pic:cNvPicPr/>
                        </pic:nvPicPr>
                        <pic:blipFill>
                          <a:blip r:embed="rId51"/>
                          <a:stretch>
                            <a:fillRect/>
                          </a:stretch>
                        </pic:blipFill>
                        <pic:spPr>
                          <a:xfrm>
                            <a:off x="0" y="0"/>
                            <a:ext cx="559435" cy="523240"/>
                          </a:xfrm>
                          <a:prstGeom prst="rect">
                            <a:avLst/>
                          </a:prstGeom>
                          <a:noFill/>
                          <a:ln>
                            <a:noFill/>
                          </a:ln>
                        </pic:spPr>
                      </pic:pic>
                    </a:graphicData>
                  </a:graphic>
                </wp:anchor>
              </w:drawing>
            </w:r>
          </w:p>
        </w:tc>
      </w:tr>
      <w:tr w14:paraId="681552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C07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04C0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沥水推车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EA2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2AD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760×560×800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126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97E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3912E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210820</wp:posOffset>
                  </wp:positionH>
                  <wp:positionV relativeFrom="paragraph">
                    <wp:posOffset>54610</wp:posOffset>
                  </wp:positionV>
                  <wp:extent cx="458470" cy="465455"/>
                  <wp:effectExtent l="0" t="0" r="17780" b="10795"/>
                  <wp:wrapNone/>
                  <wp:docPr id="162" name="图片_8_SpCnt_1"/>
                  <wp:cNvGraphicFramePr/>
                  <a:graphic xmlns:a="http://schemas.openxmlformats.org/drawingml/2006/main">
                    <a:graphicData uri="http://schemas.openxmlformats.org/drawingml/2006/picture">
                      <pic:pic xmlns:pic="http://schemas.openxmlformats.org/drawingml/2006/picture">
                        <pic:nvPicPr>
                          <pic:cNvPr id="162" name="图片_8_SpCnt_1"/>
                          <pic:cNvPicPr/>
                        </pic:nvPicPr>
                        <pic:blipFill>
                          <a:blip r:embed="rId46"/>
                          <a:stretch>
                            <a:fillRect/>
                          </a:stretch>
                        </pic:blipFill>
                        <pic:spPr>
                          <a:xfrm>
                            <a:off x="0" y="0"/>
                            <a:ext cx="458470" cy="465455"/>
                          </a:xfrm>
                          <a:prstGeom prst="rect">
                            <a:avLst/>
                          </a:prstGeom>
                          <a:noFill/>
                          <a:ln>
                            <a:noFill/>
                          </a:ln>
                        </pic:spPr>
                      </pic:pic>
                    </a:graphicData>
                  </a:graphic>
                </wp:anchor>
              </w:drawing>
            </w:r>
          </w:p>
        </w:tc>
      </w:tr>
      <w:tr w14:paraId="6040CA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637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513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1FB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444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F0C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BF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CB49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241935</wp:posOffset>
                  </wp:positionH>
                  <wp:positionV relativeFrom="paragraph">
                    <wp:posOffset>26670</wp:posOffset>
                  </wp:positionV>
                  <wp:extent cx="398145" cy="305435"/>
                  <wp:effectExtent l="0" t="0" r="1905" b="18415"/>
                  <wp:wrapNone/>
                  <wp:docPr id="163" name="图片_13_SpCnt_1"/>
                  <wp:cNvGraphicFramePr/>
                  <a:graphic xmlns:a="http://schemas.openxmlformats.org/drawingml/2006/main">
                    <a:graphicData uri="http://schemas.openxmlformats.org/drawingml/2006/picture">
                      <pic:pic xmlns:pic="http://schemas.openxmlformats.org/drawingml/2006/picture">
                        <pic:nvPicPr>
                          <pic:cNvPr id="163" name="图片_13_SpCnt_1"/>
                          <pic:cNvPicPr/>
                        </pic:nvPicPr>
                        <pic:blipFill>
                          <a:blip r:embed="rId47"/>
                          <a:stretch>
                            <a:fillRect/>
                          </a:stretch>
                        </pic:blipFill>
                        <pic:spPr>
                          <a:xfrm>
                            <a:off x="0" y="0"/>
                            <a:ext cx="398145" cy="305435"/>
                          </a:xfrm>
                          <a:prstGeom prst="rect">
                            <a:avLst/>
                          </a:prstGeom>
                          <a:noFill/>
                          <a:ln>
                            <a:noFill/>
                          </a:ln>
                        </pic:spPr>
                      </pic:pic>
                    </a:graphicData>
                  </a:graphic>
                </wp:anchor>
              </w:drawing>
            </w:r>
          </w:p>
        </w:tc>
      </w:tr>
      <w:tr w14:paraId="075E4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57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4B0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7C9A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炊用燃气大锅灶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82D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1、额定电压：AC220V-240V，额定频率：50/60Hz，额定热负荷：35kW，额定功率：42W，额定气压：2.0kPa，进气口：DN20，进水管：DN15，排水管：DN25；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优质SUS304-2B不锈钢板制造，面板、前脸板厚δ＝1.2mm,台面一次压制成型；外旁板、后立板201J1/J4，板厚δ＝1.0mm,龙骨架国标不锈钢方管25*38厚1.2mm；衬板电解镀锌钢板厚δ＝1.2mm,灶身双层热轧钢板，隔热层厚40,炉膛50厚耐高温材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3、炉膛采用不锈钢合金材料，一次成型，厚度2.0内配稀土贵金属聚能网；配全预混式节能炉头，一键启动；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4、产品符合GB35848-2024《商用燃气燃烧器具》要求；所投设备额定热负荷35KW*2，热负荷准确度±10%以内，能源合理利用率76%以上；</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★5、具有熄火保护装置+泄压安全装罝，自动燃烧器控制系统，在点火不成功时，应再点火再启动或锁定</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无刷直流风机额定电压36V</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6、无刷直流风机额定电压36V,采用燃气比例阀额定电压24V，点火开关额定电压5V</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7、</w:t>
            </w:r>
            <w:r>
              <w:rPr>
                <w:rFonts w:hint="eastAsia" w:cs="宋体"/>
                <w:i w:val="0"/>
                <w:iCs w:val="0"/>
                <w:color w:val="000000"/>
                <w:kern w:val="0"/>
                <w:sz w:val="21"/>
                <w:szCs w:val="21"/>
                <w:u w:val="none"/>
                <w:lang w:val="en-US" w:eastAsia="zh-CN" w:bidi="ar"/>
              </w:rPr>
              <w:t>具</w:t>
            </w:r>
            <w:r>
              <w:rPr>
                <w:rFonts w:hint="eastAsia" w:ascii="宋体" w:hAnsi="宋体" w:eastAsia="宋体" w:cs="宋体"/>
                <w:i w:val="0"/>
                <w:iCs w:val="0"/>
                <w:color w:val="000000"/>
                <w:kern w:val="0"/>
                <w:sz w:val="21"/>
                <w:szCs w:val="21"/>
                <w:u w:val="none"/>
                <w:lang w:val="en-US" w:eastAsia="zh-CN" w:bidi="ar"/>
              </w:rPr>
              <w:t>有流量统计功能(设定每一档的流量值，通过软件自动计算出当天燃气耗气量，并能通过手机或控制面板查询)；</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8、设备有风机功率调节及转速显示功能(通过设定风机的转速的数值，可自由调节每一档风机的功率，通过主板的风机模块检测风机转速数值，在显示屏或小程序上显示)；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9、设备有火焰检测（熄火保护功能），(自动检测火焰，遇到意外熄火时，会自动关闭电磁阀并报警，在显示屏显示故障代码)</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C60C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约2200×1200×(800+450)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388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7ED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EE6D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101600</wp:posOffset>
                  </wp:positionH>
                  <wp:positionV relativeFrom="paragraph">
                    <wp:posOffset>-10160</wp:posOffset>
                  </wp:positionV>
                  <wp:extent cx="652145" cy="1049655"/>
                  <wp:effectExtent l="0" t="0" r="14605" b="17145"/>
                  <wp:wrapNone/>
                  <wp:docPr id="164" name="图片_3"/>
                  <wp:cNvGraphicFramePr/>
                  <a:graphic xmlns:a="http://schemas.openxmlformats.org/drawingml/2006/main">
                    <a:graphicData uri="http://schemas.openxmlformats.org/drawingml/2006/picture">
                      <pic:pic xmlns:pic="http://schemas.openxmlformats.org/drawingml/2006/picture">
                        <pic:nvPicPr>
                          <pic:cNvPr id="164" name="图片_3"/>
                          <pic:cNvPicPr/>
                        </pic:nvPicPr>
                        <pic:blipFill>
                          <a:blip r:embed="rId52"/>
                          <a:stretch>
                            <a:fillRect/>
                          </a:stretch>
                        </pic:blipFill>
                        <pic:spPr>
                          <a:xfrm>
                            <a:off x="0" y="0"/>
                            <a:ext cx="652145" cy="1049655"/>
                          </a:xfrm>
                          <a:prstGeom prst="rect">
                            <a:avLst/>
                          </a:prstGeom>
                          <a:noFill/>
                          <a:ln>
                            <a:noFill/>
                          </a:ln>
                        </pic:spPr>
                      </pic:pic>
                    </a:graphicData>
                  </a:graphic>
                </wp:anchor>
              </w:drawing>
            </w:r>
          </w:p>
        </w:tc>
      </w:tr>
      <w:tr w14:paraId="47970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AEA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E4A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炊用燃气大锅灶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11E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1、额定电压：AC220V-240V，额定频率：50/60Hz，额定热负荷：35kW，额定功率：42W，额定气压：2.0kPa，进气口：DN20，进水管：DN15，排水管：DN25；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优质SUS304-2B不锈钢板制造，面板、前脸板厚δ＝1.2mm,台面一次压制成型；外旁板、后立板201J1/J4，板厚δ＝1.0mm,龙骨架国标不锈钢方管25*38厚1.2mm；衬板电解镀锌钢板厚δ＝1.2mm,灶身双层热轧钢板，隔热层厚40,炉膛50厚耐高温材料；</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3、炉膛采用不锈钢合金材料，一次成型，厚度2.0内配稀土贵金属聚能网；配全预混式节能炉头，一键启动；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4、产品符合GB35848-2024《商用燃气燃烧器具》要求；所投设备额定热负荷35KW，热负荷准确度±10%以内，能源合理利用率76%以上；</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★5、具有熄火保护装置+泄压安全装罝，自动燃烧器控制系统，在点火不成功时，应再点火再启动或锁定.无刷直流风机额定电压36V,                                                                                                                                             6、无刷直流风机额定电压36V,   采用燃气比例阀额定电压24V，点火开关额定电压5V,                                                                                                                                                                                                                     7、设备有流量统计功能(设定每一档的流量值，通过软件自动计算出当天燃气耗气量，并能通过手机或控制面板查询)；</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8、设备有风机功率调节及转速显示功能(通过设定风机的转速的数值，可自由调节每一档风机的功率，通过主板的风机模块检测风机转速数值，在显示屏或小程序上显示)；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9、设备有火焰检测（熄火保护功能），(自动检测火焰，遇到意外熄火时，会自动关闭电磁阀并报警，在显示屏显示故障代码)；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504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约1000×1200×(800+450)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6FA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F7C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7127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182245</wp:posOffset>
                  </wp:positionH>
                  <wp:positionV relativeFrom="paragraph">
                    <wp:posOffset>-77470</wp:posOffset>
                  </wp:positionV>
                  <wp:extent cx="532130" cy="984885"/>
                  <wp:effectExtent l="0" t="0" r="1270" b="5715"/>
                  <wp:wrapNone/>
                  <wp:docPr id="165" name="图片_10_SpCnt_2"/>
                  <wp:cNvGraphicFramePr/>
                  <a:graphic xmlns:a="http://schemas.openxmlformats.org/drawingml/2006/main">
                    <a:graphicData uri="http://schemas.openxmlformats.org/drawingml/2006/picture">
                      <pic:pic xmlns:pic="http://schemas.openxmlformats.org/drawingml/2006/picture">
                        <pic:nvPicPr>
                          <pic:cNvPr id="165" name="图片_10_SpCnt_2"/>
                          <pic:cNvPicPr/>
                        </pic:nvPicPr>
                        <pic:blipFill>
                          <a:blip r:embed="rId53"/>
                          <a:stretch>
                            <a:fillRect/>
                          </a:stretch>
                        </pic:blipFill>
                        <pic:spPr>
                          <a:xfrm>
                            <a:off x="0" y="0"/>
                            <a:ext cx="532130" cy="984885"/>
                          </a:xfrm>
                          <a:prstGeom prst="rect">
                            <a:avLst/>
                          </a:prstGeom>
                          <a:noFill/>
                          <a:ln>
                            <a:noFill/>
                          </a:ln>
                        </pic:spPr>
                      </pic:pic>
                    </a:graphicData>
                  </a:graphic>
                </wp:anchor>
              </w:drawing>
            </w:r>
          </w:p>
        </w:tc>
      </w:tr>
      <w:tr w14:paraId="77827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0B7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A02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调料平台</w:t>
            </w:r>
          </w:p>
          <w:p w14:paraId="15AE80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（配套炉灶外形）</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BC6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DAA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450×1200×(800+450)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F4EC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8199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7D1C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194310</wp:posOffset>
                  </wp:positionH>
                  <wp:positionV relativeFrom="paragraph">
                    <wp:posOffset>83185</wp:posOffset>
                  </wp:positionV>
                  <wp:extent cx="485775" cy="554355"/>
                  <wp:effectExtent l="0" t="0" r="9525" b="17145"/>
                  <wp:wrapNone/>
                  <wp:docPr id="166" name="图片_76"/>
                  <wp:cNvGraphicFramePr/>
                  <a:graphic xmlns:a="http://schemas.openxmlformats.org/drawingml/2006/main">
                    <a:graphicData uri="http://schemas.openxmlformats.org/drawingml/2006/picture">
                      <pic:pic xmlns:pic="http://schemas.openxmlformats.org/drawingml/2006/picture">
                        <pic:nvPicPr>
                          <pic:cNvPr id="166" name="图片_76"/>
                          <pic:cNvPicPr/>
                        </pic:nvPicPr>
                        <pic:blipFill>
                          <a:blip r:embed="rId54"/>
                          <a:stretch>
                            <a:fillRect/>
                          </a:stretch>
                        </pic:blipFill>
                        <pic:spPr>
                          <a:xfrm>
                            <a:off x="0" y="0"/>
                            <a:ext cx="485775" cy="554355"/>
                          </a:xfrm>
                          <a:prstGeom prst="rect">
                            <a:avLst/>
                          </a:prstGeom>
                          <a:noFill/>
                          <a:ln>
                            <a:noFill/>
                          </a:ln>
                        </pic:spPr>
                      </pic:pic>
                    </a:graphicData>
                  </a:graphic>
                </wp:anchor>
              </w:drawing>
            </w:r>
          </w:p>
        </w:tc>
      </w:tr>
      <w:tr w14:paraId="72036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5D5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3D4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单向移门工作柜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C05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-单侧单移门，内分两层，重力脚φ50×150×1.2mm。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F31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C66E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2B0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EE5C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125730</wp:posOffset>
                  </wp:positionH>
                  <wp:positionV relativeFrom="paragraph">
                    <wp:posOffset>43180</wp:posOffset>
                  </wp:positionV>
                  <wp:extent cx="617855" cy="412750"/>
                  <wp:effectExtent l="0" t="0" r="10795" b="6350"/>
                  <wp:wrapNone/>
                  <wp:docPr id="167" name="图片_50"/>
                  <wp:cNvGraphicFramePr/>
                  <a:graphic xmlns:a="http://schemas.openxmlformats.org/drawingml/2006/main">
                    <a:graphicData uri="http://schemas.openxmlformats.org/drawingml/2006/picture">
                      <pic:pic xmlns:pic="http://schemas.openxmlformats.org/drawingml/2006/picture">
                        <pic:nvPicPr>
                          <pic:cNvPr id="167" name="图片_50"/>
                          <pic:cNvPicPr/>
                        </pic:nvPicPr>
                        <pic:blipFill>
                          <a:blip r:embed="rId55"/>
                          <a:stretch>
                            <a:fillRect/>
                          </a:stretch>
                        </pic:blipFill>
                        <pic:spPr>
                          <a:xfrm>
                            <a:off x="0" y="0"/>
                            <a:ext cx="617855" cy="412750"/>
                          </a:xfrm>
                          <a:prstGeom prst="rect">
                            <a:avLst/>
                          </a:prstGeom>
                          <a:noFill/>
                          <a:ln>
                            <a:noFill/>
                          </a:ln>
                        </pic:spPr>
                      </pic:pic>
                    </a:graphicData>
                  </a:graphic>
                </wp:anchor>
              </w:drawing>
            </w:r>
          </w:p>
        </w:tc>
      </w:tr>
      <w:tr w14:paraId="4C350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C2F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913ED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3936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A2D2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D8F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2971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7C79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106680</wp:posOffset>
                  </wp:positionH>
                  <wp:positionV relativeFrom="paragraph">
                    <wp:posOffset>45720</wp:posOffset>
                  </wp:positionV>
                  <wp:extent cx="685165" cy="466725"/>
                  <wp:effectExtent l="0" t="0" r="635" b="9525"/>
                  <wp:wrapNone/>
                  <wp:docPr id="168" name="图片_73_SpCnt_1"/>
                  <wp:cNvGraphicFramePr/>
                  <a:graphic xmlns:a="http://schemas.openxmlformats.org/drawingml/2006/main">
                    <a:graphicData uri="http://schemas.openxmlformats.org/drawingml/2006/picture">
                      <pic:pic xmlns:pic="http://schemas.openxmlformats.org/drawingml/2006/picture">
                        <pic:nvPicPr>
                          <pic:cNvPr id="168" name="图片_73_SpCnt_1"/>
                          <pic:cNvPicPr/>
                        </pic:nvPicPr>
                        <pic:blipFill>
                          <a:blip r:embed="rId45"/>
                          <a:stretch>
                            <a:fillRect/>
                          </a:stretch>
                        </pic:blipFill>
                        <pic:spPr>
                          <a:xfrm>
                            <a:off x="0" y="0"/>
                            <a:ext cx="685165" cy="466725"/>
                          </a:xfrm>
                          <a:prstGeom prst="rect">
                            <a:avLst/>
                          </a:prstGeom>
                          <a:noFill/>
                          <a:ln>
                            <a:noFill/>
                          </a:ln>
                        </pic:spPr>
                      </pic:pic>
                    </a:graphicData>
                  </a:graphic>
                </wp:anchor>
              </w:drawing>
            </w:r>
          </w:p>
        </w:tc>
      </w:tr>
      <w:tr w14:paraId="380BB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592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D480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F5A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3F4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FDC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0402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9DDB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226695</wp:posOffset>
                  </wp:positionH>
                  <wp:positionV relativeFrom="paragraph">
                    <wp:posOffset>50800</wp:posOffset>
                  </wp:positionV>
                  <wp:extent cx="443230" cy="434975"/>
                  <wp:effectExtent l="0" t="0" r="13970" b="3175"/>
                  <wp:wrapNone/>
                  <wp:docPr id="169" name="图片_1_SpCnt_4"/>
                  <wp:cNvGraphicFramePr/>
                  <a:graphic xmlns:a="http://schemas.openxmlformats.org/drawingml/2006/main">
                    <a:graphicData uri="http://schemas.openxmlformats.org/drawingml/2006/picture">
                      <pic:pic xmlns:pic="http://schemas.openxmlformats.org/drawingml/2006/picture">
                        <pic:nvPicPr>
                          <pic:cNvPr id="169" name="图片_1_SpCnt_4"/>
                          <pic:cNvPicPr/>
                        </pic:nvPicPr>
                        <pic:blipFill>
                          <a:blip r:embed="rId27"/>
                          <a:stretch>
                            <a:fillRect/>
                          </a:stretch>
                        </pic:blipFill>
                        <pic:spPr>
                          <a:xfrm>
                            <a:off x="0" y="0"/>
                            <a:ext cx="443230" cy="434975"/>
                          </a:xfrm>
                          <a:prstGeom prst="rect">
                            <a:avLst/>
                          </a:prstGeom>
                          <a:noFill/>
                          <a:ln>
                            <a:noFill/>
                          </a:ln>
                        </pic:spPr>
                      </pic:pic>
                    </a:graphicData>
                  </a:graphic>
                </wp:anchor>
              </w:drawing>
            </w:r>
          </w:p>
        </w:tc>
      </w:tr>
      <w:tr w14:paraId="551BA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715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9A7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D5C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28F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BAD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625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DDB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226695</wp:posOffset>
                  </wp:positionH>
                  <wp:positionV relativeFrom="paragraph">
                    <wp:posOffset>51435</wp:posOffset>
                  </wp:positionV>
                  <wp:extent cx="451485" cy="443230"/>
                  <wp:effectExtent l="0" t="0" r="5715" b="13970"/>
                  <wp:wrapNone/>
                  <wp:docPr id="170" name="图片_1_SpCnt_5"/>
                  <wp:cNvGraphicFramePr/>
                  <a:graphic xmlns:a="http://schemas.openxmlformats.org/drawingml/2006/main">
                    <a:graphicData uri="http://schemas.openxmlformats.org/drawingml/2006/picture">
                      <pic:pic xmlns:pic="http://schemas.openxmlformats.org/drawingml/2006/picture">
                        <pic:nvPicPr>
                          <pic:cNvPr id="170" name="图片_1_SpCnt_5"/>
                          <pic:cNvPicPr/>
                        </pic:nvPicPr>
                        <pic:blipFill>
                          <a:blip r:embed="rId27"/>
                          <a:stretch>
                            <a:fillRect/>
                          </a:stretch>
                        </pic:blipFill>
                        <pic:spPr>
                          <a:xfrm>
                            <a:off x="0" y="0"/>
                            <a:ext cx="451485" cy="443230"/>
                          </a:xfrm>
                          <a:prstGeom prst="rect">
                            <a:avLst/>
                          </a:prstGeom>
                          <a:noFill/>
                          <a:ln>
                            <a:noFill/>
                          </a:ln>
                        </pic:spPr>
                      </pic:pic>
                    </a:graphicData>
                  </a:graphic>
                </wp:anchor>
              </w:drawing>
            </w:r>
          </w:p>
        </w:tc>
      </w:tr>
      <w:tr w14:paraId="69BB47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E00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28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7BA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56E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D04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754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77FA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187325</wp:posOffset>
                  </wp:positionH>
                  <wp:positionV relativeFrom="paragraph">
                    <wp:posOffset>16510</wp:posOffset>
                  </wp:positionV>
                  <wp:extent cx="507365" cy="535305"/>
                  <wp:effectExtent l="0" t="0" r="6985" b="17145"/>
                  <wp:wrapNone/>
                  <wp:docPr id="171" name="图片_56"/>
                  <wp:cNvGraphicFramePr/>
                  <a:graphic xmlns:a="http://schemas.openxmlformats.org/drawingml/2006/main">
                    <a:graphicData uri="http://schemas.openxmlformats.org/drawingml/2006/picture">
                      <pic:pic xmlns:pic="http://schemas.openxmlformats.org/drawingml/2006/picture">
                        <pic:nvPicPr>
                          <pic:cNvPr id="171" name="图片_56"/>
                          <pic:cNvPicPr/>
                        </pic:nvPicPr>
                        <pic:blipFill>
                          <a:blip r:embed="rId56"/>
                          <a:stretch>
                            <a:fillRect/>
                          </a:stretch>
                        </pic:blipFill>
                        <pic:spPr>
                          <a:xfrm>
                            <a:off x="0" y="0"/>
                            <a:ext cx="507365" cy="535305"/>
                          </a:xfrm>
                          <a:prstGeom prst="rect">
                            <a:avLst/>
                          </a:prstGeom>
                          <a:noFill/>
                          <a:ln>
                            <a:noFill/>
                          </a:ln>
                        </pic:spPr>
                      </pic:pic>
                    </a:graphicData>
                  </a:graphic>
                </wp:anchor>
              </w:drawing>
            </w:r>
          </w:p>
        </w:tc>
      </w:tr>
      <w:tr w14:paraId="3F93F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1C0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07C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696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46994">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7A9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9FC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79FD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303530</wp:posOffset>
                  </wp:positionH>
                  <wp:positionV relativeFrom="paragraph">
                    <wp:posOffset>11430</wp:posOffset>
                  </wp:positionV>
                  <wp:extent cx="271145" cy="447675"/>
                  <wp:effectExtent l="0" t="0" r="14605" b="9525"/>
                  <wp:wrapNone/>
                  <wp:docPr id="172" name="图片_19_SpCnt_3"/>
                  <wp:cNvGraphicFramePr/>
                  <a:graphic xmlns:a="http://schemas.openxmlformats.org/drawingml/2006/main">
                    <a:graphicData uri="http://schemas.openxmlformats.org/drawingml/2006/picture">
                      <pic:pic xmlns:pic="http://schemas.openxmlformats.org/drawingml/2006/picture">
                        <pic:nvPicPr>
                          <pic:cNvPr id="172" name="图片_19_SpCnt_3"/>
                          <pic:cNvPicPr/>
                        </pic:nvPicPr>
                        <pic:blipFill>
                          <a:blip r:embed="rId40"/>
                          <a:stretch>
                            <a:fillRect/>
                          </a:stretch>
                        </pic:blipFill>
                        <pic:spPr>
                          <a:xfrm>
                            <a:off x="0" y="0"/>
                            <a:ext cx="271145" cy="447675"/>
                          </a:xfrm>
                          <a:prstGeom prst="rect">
                            <a:avLst/>
                          </a:prstGeom>
                          <a:noFill/>
                          <a:ln>
                            <a:noFill/>
                          </a:ln>
                        </pic:spPr>
                      </pic:pic>
                    </a:graphicData>
                  </a:graphic>
                </wp:anchor>
              </w:drawing>
            </w:r>
          </w:p>
        </w:tc>
      </w:tr>
      <w:tr w14:paraId="623FF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3A8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C72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569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66A8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B4E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4DF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E9CB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187960</wp:posOffset>
                  </wp:positionH>
                  <wp:positionV relativeFrom="paragraph">
                    <wp:posOffset>88900</wp:posOffset>
                  </wp:positionV>
                  <wp:extent cx="501015" cy="474980"/>
                  <wp:effectExtent l="0" t="0" r="13335" b="1270"/>
                  <wp:wrapNone/>
                  <wp:docPr id="173" name="图片_2_SpCnt_4"/>
                  <wp:cNvGraphicFramePr/>
                  <a:graphic xmlns:a="http://schemas.openxmlformats.org/drawingml/2006/main">
                    <a:graphicData uri="http://schemas.openxmlformats.org/drawingml/2006/picture">
                      <pic:pic xmlns:pic="http://schemas.openxmlformats.org/drawingml/2006/picture">
                        <pic:nvPicPr>
                          <pic:cNvPr id="173" name="图片_2_SpCnt_4"/>
                          <pic:cNvPicPr/>
                        </pic:nvPicPr>
                        <pic:blipFill>
                          <a:blip r:embed="rId42"/>
                          <a:stretch>
                            <a:fillRect/>
                          </a:stretch>
                        </pic:blipFill>
                        <pic:spPr>
                          <a:xfrm>
                            <a:off x="0" y="0"/>
                            <a:ext cx="501015" cy="474980"/>
                          </a:xfrm>
                          <a:prstGeom prst="rect">
                            <a:avLst/>
                          </a:prstGeom>
                          <a:noFill/>
                          <a:ln>
                            <a:noFill/>
                          </a:ln>
                        </pic:spPr>
                      </pic:pic>
                    </a:graphicData>
                  </a:graphic>
                </wp:anchor>
              </w:drawing>
            </w:r>
          </w:p>
        </w:tc>
      </w:tr>
      <w:tr w14:paraId="5BC75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9F8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A6C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183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4D0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5FE0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E88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EFA3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22860</wp:posOffset>
                  </wp:positionV>
                  <wp:extent cx="511175" cy="461010"/>
                  <wp:effectExtent l="0" t="0" r="3175" b="15240"/>
                  <wp:wrapNone/>
                  <wp:docPr id="174" name="图片_2_SpCnt_5"/>
                  <wp:cNvGraphicFramePr/>
                  <a:graphic xmlns:a="http://schemas.openxmlformats.org/drawingml/2006/main">
                    <a:graphicData uri="http://schemas.openxmlformats.org/drawingml/2006/picture">
                      <pic:pic xmlns:pic="http://schemas.openxmlformats.org/drawingml/2006/picture">
                        <pic:nvPicPr>
                          <pic:cNvPr id="174" name="图片_2_SpCnt_5"/>
                          <pic:cNvPicPr/>
                        </pic:nvPicPr>
                        <pic:blipFill>
                          <a:blip r:embed="rId25"/>
                          <a:stretch>
                            <a:fillRect/>
                          </a:stretch>
                        </pic:blipFill>
                        <pic:spPr>
                          <a:xfrm>
                            <a:off x="0" y="0"/>
                            <a:ext cx="511175" cy="461010"/>
                          </a:xfrm>
                          <a:prstGeom prst="rect">
                            <a:avLst/>
                          </a:prstGeom>
                          <a:noFill/>
                          <a:ln>
                            <a:noFill/>
                          </a:ln>
                        </pic:spPr>
                      </pic:pic>
                    </a:graphicData>
                  </a:graphic>
                </wp:anchor>
              </w:drawing>
            </w:r>
          </w:p>
        </w:tc>
      </w:tr>
      <w:tr w14:paraId="2ED071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CF58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886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方形脱排油烟罩</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BD8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-罩体δ=1.2mm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-配双层隔油烟排，积油杯，防爆灯。(风机、风柜及风管另计)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862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2900×1300×500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DE0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38E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59A9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167005</wp:posOffset>
                  </wp:positionH>
                  <wp:positionV relativeFrom="paragraph">
                    <wp:posOffset>29210</wp:posOffset>
                  </wp:positionV>
                  <wp:extent cx="525780" cy="489585"/>
                  <wp:effectExtent l="0" t="0" r="7620" b="5715"/>
                  <wp:wrapNone/>
                  <wp:docPr id="175" name="图片_741"/>
                  <wp:cNvGraphicFramePr/>
                  <a:graphic xmlns:a="http://schemas.openxmlformats.org/drawingml/2006/main">
                    <a:graphicData uri="http://schemas.openxmlformats.org/drawingml/2006/picture">
                      <pic:pic xmlns:pic="http://schemas.openxmlformats.org/drawingml/2006/picture">
                        <pic:nvPicPr>
                          <pic:cNvPr id="175" name="图片_741"/>
                          <pic:cNvPicPr/>
                        </pic:nvPicPr>
                        <pic:blipFill>
                          <a:blip r:embed="rId57"/>
                          <a:stretch>
                            <a:fillRect/>
                          </a:stretch>
                        </pic:blipFill>
                        <pic:spPr>
                          <a:xfrm>
                            <a:off x="0" y="0"/>
                            <a:ext cx="525780" cy="489585"/>
                          </a:xfrm>
                          <a:prstGeom prst="rect">
                            <a:avLst/>
                          </a:prstGeom>
                          <a:noFill/>
                          <a:ln>
                            <a:noFill/>
                          </a:ln>
                        </pic:spPr>
                      </pic:pic>
                    </a:graphicData>
                  </a:graphic>
                </wp:anchor>
              </w:drawing>
            </w:r>
          </w:p>
        </w:tc>
      </w:tr>
      <w:tr w14:paraId="4A6BE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7613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497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方形脱排油烟罩</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DCD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-罩体δ=1.2mm；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-配双层隔油烟排，积油杯，防爆灯。(风机、风柜及风管另计)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E9F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6350×1300×500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B71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A9F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AC5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149860</wp:posOffset>
                  </wp:positionH>
                  <wp:positionV relativeFrom="paragraph">
                    <wp:posOffset>81280</wp:posOffset>
                  </wp:positionV>
                  <wp:extent cx="525780" cy="489585"/>
                  <wp:effectExtent l="0" t="0" r="7620" b="5715"/>
                  <wp:wrapNone/>
                  <wp:docPr id="176" name="图片_741_SpCnt_1"/>
                  <wp:cNvGraphicFramePr/>
                  <a:graphic xmlns:a="http://schemas.openxmlformats.org/drawingml/2006/main">
                    <a:graphicData uri="http://schemas.openxmlformats.org/drawingml/2006/picture">
                      <pic:pic xmlns:pic="http://schemas.openxmlformats.org/drawingml/2006/picture">
                        <pic:nvPicPr>
                          <pic:cNvPr id="176" name="图片_741_SpCnt_1"/>
                          <pic:cNvPicPr/>
                        </pic:nvPicPr>
                        <pic:blipFill>
                          <a:blip r:embed="rId57"/>
                          <a:stretch>
                            <a:fillRect/>
                          </a:stretch>
                        </pic:blipFill>
                        <pic:spPr>
                          <a:xfrm>
                            <a:off x="0" y="0"/>
                            <a:ext cx="525780" cy="489585"/>
                          </a:xfrm>
                          <a:prstGeom prst="rect">
                            <a:avLst/>
                          </a:prstGeom>
                          <a:noFill/>
                          <a:ln>
                            <a:noFill/>
                          </a:ln>
                        </pic:spPr>
                      </pic:pic>
                    </a:graphicData>
                  </a:graphic>
                </wp:anchor>
              </w:drawing>
            </w:r>
          </w:p>
        </w:tc>
      </w:tr>
      <w:tr w14:paraId="437AF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C91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356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灶后封墙钢</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359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 ；涉及燃气泄爆口的，设置可开门式封板。</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9E26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E04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9CD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4002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140970</wp:posOffset>
                  </wp:positionH>
                  <wp:positionV relativeFrom="paragraph">
                    <wp:posOffset>37465</wp:posOffset>
                  </wp:positionV>
                  <wp:extent cx="559435" cy="311150"/>
                  <wp:effectExtent l="0" t="0" r="12065" b="12700"/>
                  <wp:wrapNone/>
                  <wp:docPr id="177" name="图片_591"/>
                  <wp:cNvGraphicFramePr/>
                  <a:graphic xmlns:a="http://schemas.openxmlformats.org/drawingml/2006/main">
                    <a:graphicData uri="http://schemas.openxmlformats.org/drawingml/2006/picture">
                      <pic:pic xmlns:pic="http://schemas.openxmlformats.org/drawingml/2006/picture">
                        <pic:nvPicPr>
                          <pic:cNvPr id="177" name="图片_591"/>
                          <pic:cNvPicPr/>
                        </pic:nvPicPr>
                        <pic:blipFill>
                          <a:blip r:embed="rId58"/>
                          <a:stretch>
                            <a:fillRect/>
                          </a:stretch>
                        </pic:blipFill>
                        <pic:spPr>
                          <a:xfrm>
                            <a:off x="0" y="0"/>
                            <a:ext cx="559435" cy="311150"/>
                          </a:xfrm>
                          <a:prstGeom prst="rect">
                            <a:avLst/>
                          </a:prstGeom>
                          <a:noFill/>
                          <a:ln>
                            <a:noFill/>
                          </a:ln>
                        </pic:spPr>
                      </pic:pic>
                    </a:graphicData>
                  </a:graphic>
                </wp:anchor>
              </w:drawing>
            </w:r>
          </w:p>
        </w:tc>
      </w:tr>
      <w:tr w14:paraId="238228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E4E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116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烟罩上封板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5BCC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91E31">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F49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66D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C43E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140970</wp:posOffset>
                  </wp:positionH>
                  <wp:positionV relativeFrom="paragraph">
                    <wp:posOffset>64135</wp:posOffset>
                  </wp:positionV>
                  <wp:extent cx="559435" cy="327660"/>
                  <wp:effectExtent l="0" t="0" r="12065" b="15240"/>
                  <wp:wrapNone/>
                  <wp:docPr id="178" name="图片_591_SpCnt_1"/>
                  <wp:cNvGraphicFramePr/>
                  <a:graphic xmlns:a="http://schemas.openxmlformats.org/drawingml/2006/main">
                    <a:graphicData uri="http://schemas.openxmlformats.org/drawingml/2006/picture">
                      <pic:pic xmlns:pic="http://schemas.openxmlformats.org/drawingml/2006/picture">
                        <pic:nvPicPr>
                          <pic:cNvPr id="178" name="图片_591_SpCnt_1"/>
                          <pic:cNvPicPr/>
                        </pic:nvPicPr>
                        <pic:blipFill>
                          <a:blip r:embed="rId58"/>
                          <a:stretch>
                            <a:fillRect/>
                          </a:stretch>
                        </pic:blipFill>
                        <pic:spPr>
                          <a:xfrm>
                            <a:off x="0" y="0"/>
                            <a:ext cx="559435" cy="327660"/>
                          </a:xfrm>
                          <a:prstGeom prst="rect">
                            <a:avLst/>
                          </a:prstGeom>
                          <a:noFill/>
                          <a:ln>
                            <a:noFill/>
                          </a:ln>
                        </pic:spPr>
                      </pic:pic>
                    </a:graphicData>
                  </a:graphic>
                </wp:anchor>
              </w:drawing>
            </w:r>
          </w:p>
        </w:tc>
      </w:tr>
      <w:tr w14:paraId="2B723D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F09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99C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厨房设备灭火装置（双瓶）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0A3A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1、启动方式：机械启动、机械感温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2、控制盘外接电源220V±20,控制盘电源12V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3、感应温度185±3℃</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4、机械驱动力≥300N</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5、食用油专用灭火剂充装质量：10L/瓶；保存期≥3年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6、驱动气体介质：N2容积：≥1.2L工作压力：≥12MPa</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7、灭火药剂为无污染、易清洗、无毒产品</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8、灭火的同时具备良好的抗飞溅性能，灭火同时无油点飞溅出来</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9、灭火药剂应具备良好的扑灭效果，灭火时间≤1秒</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10、设备为一体化设备。在不开启主机箱破坏封条的情况下可查看驱动压力和维保、药剂到期时间</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11、设备具备离人报警、网页端集成管理和微信公众号报警推送功能</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12、提供离人报警电脑端、微信公众号和短信推送功能；</w:t>
            </w:r>
            <w:r>
              <w:rPr>
                <w:rFonts w:hint="eastAsia" w:ascii="宋体" w:hAnsi="宋体" w:eastAsia="宋体" w:cs="宋体"/>
                <w:i w:val="0"/>
                <w:iCs w:val="0"/>
                <w:color w:val="000000"/>
                <w:kern w:val="0"/>
                <w:sz w:val="21"/>
                <w:szCs w:val="21"/>
                <w:highlight w:val="none"/>
                <w:u w:val="none"/>
                <w:lang w:val="en-US" w:eastAsia="zh-CN" w:bidi="ar"/>
              </w:rPr>
              <w:br w:type="textWrapping"/>
            </w:r>
            <w:r>
              <w:rPr>
                <w:rFonts w:hint="eastAsia" w:ascii="宋体" w:hAnsi="宋体" w:eastAsia="宋体" w:cs="宋体"/>
                <w:i w:val="0"/>
                <w:iCs w:val="0"/>
                <w:color w:val="000000"/>
                <w:kern w:val="0"/>
                <w:sz w:val="21"/>
                <w:szCs w:val="21"/>
                <w:highlight w:val="none"/>
                <w:u w:val="none"/>
                <w:lang w:val="en-US" w:eastAsia="zh-CN" w:bidi="ar"/>
              </w:rPr>
              <w:t>13、报警分贝应≥85分贝</w:t>
            </w:r>
            <w:r>
              <w:rPr>
                <w:rFonts w:hint="eastAsia" w:cs="宋体"/>
                <w:i w:val="0"/>
                <w:iCs w:val="0"/>
                <w:color w:val="000000"/>
                <w:kern w:val="0"/>
                <w:sz w:val="21"/>
                <w:szCs w:val="21"/>
                <w:highlight w:val="none"/>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BFA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约680×220×615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17B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184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7AC6D8">
            <w:pPr>
              <w:keepNext w:val="0"/>
              <w:keepLines w:val="0"/>
              <w:pageBreakBefore w:val="0"/>
              <w:widowControl/>
              <w:suppressLineNumbers w:val="0"/>
              <w:kinsoku/>
              <w:wordWrap/>
              <w:overflowPunct/>
              <w:topLinePunct w:val="0"/>
              <w:autoSpaceDE/>
              <w:autoSpaceDN/>
              <w:bidi w:val="0"/>
              <w:adjustRightInd/>
              <w:snapToGrid/>
              <w:spacing w:line="300" w:lineRule="exact"/>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197485</wp:posOffset>
                  </wp:positionH>
                  <wp:positionV relativeFrom="paragraph">
                    <wp:posOffset>183515</wp:posOffset>
                  </wp:positionV>
                  <wp:extent cx="461010" cy="949325"/>
                  <wp:effectExtent l="0" t="0" r="15240" b="3175"/>
                  <wp:wrapNone/>
                  <wp:docPr id="179" name="IM_2"/>
                  <wp:cNvGraphicFramePr/>
                  <a:graphic xmlns:a="http://schemas.openxmlformats.org/drawingml/2006/main">
                    <a:graphicData uri="http://schemas.openxmlformats.org/drawingml/2006/picture">
                      <pic:pic xmlns:pic="http://schemas.openxmlformats.org/drawingml/2006/picture">
                        <pic:nvPicPr>
                          <pic:cNvPr id="179" name="IM_2"/>
                          <pic:cNvPicPr/>
                        </pic:nvPicPr>
                        <pic:blipFill>
                          <a:blip r:embed="rId59"/>
                          <a:stretch>
                            <a:fillRect/>
                          </a:stretch>
                        </pic:blipFill>
                        <pic:spPr>
                          <a:xfrm>
                            <a:off x="0" y="0"/>
                            <a:ext cx="461010" cy="949325"/>
                          </a:xfrm>
                          <a:prstGeom prst="rect">
                            <a:avLst/>
                          </a:prstGeom>
                          <a:noFill/>
                          <a:ln>
                            <a:noFill/>
                          </a:ln>
                        </pic:spPr>
                      </pic:pic>
                    </a:graphicData>
                  </a:graphic>
                </wp:anchor>
              </w:drawing>
            </w:r>
          </w:p>
        </w:tc>
      </w:tr>
      <w:tr w14:paraId="7EB0D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DBE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CEFB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低位拖把池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24E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5EB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600×600×(800+150)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89C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F44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4EDC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143510</wp:posOffset>
                  </wp:positionH>
                  <wp:positionV relativeFrom="paragraph">
                    <wp:posOffset>0</wp:posOffset>
                  </wp:positionV>
                  <wp:extent cx="579755" cy="615950"/>
                  <wp:effectExtent l="0" t="0" r="10795" b="12700"/>
                  <wp:wrapNone/>
                  <wp:docPr id="180" name="图片_75"/>
                  <wp:cNvGraphicFramePr/>
                  <a:graphic xmlns:a="http://schemas.openxmlformats.org/drawingml/2006/main">
                    <a:graphicData uri="http://schemas.openxmlformats.org/drawingml/2006/picture">
                      <pic:pic xmlns:pic="http://schemas.openxmlformats.org/drawingml/2006/picture">
                        <pic:nvPicPr>
                          <pic:cNvPr id="180" name="图片_75"/>
                          <pic:cNvPicPr/>
                        </pic:nvPicPr>
                        <pic:blipFill>
                          <a:blip r:embed="rId60"/>
                          <a:stretch>
                            <a:fillRect/>
                          </a:stretch>
                        </pic:blipFill>
                        <pic:spPr>
                          <a:xfrm>
                            <a:off x="0" y="0"/>
                            <a:ext cx="579755" cy="615950"/>
                          </a:xfrm>
                          <a:prstGeom prst="rect">
                            <a:avLst/>
                          </a:prstGeom>
                          <a:noFill/>
                          <a:ln>
                            <a:noFill/>
                          </a:ln>
                        </pic:spPr>
                      </pic:pic>
                    </a:graphicData>
                  </a:graphic>
                </wp:anchor>
              </w:drawing>
            </w:r>
          </w:p>
        </w:tc>
      </w:tr>
      <w:tr w14:paraId="5C0EE3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2E50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6C4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CFF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716F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848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8C8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8102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286385</wp:posOffset>
                  </wp:positionH>
                  <wp:positionV relativeFrom="paragraph">
                    <wp:posOffset>-26035</wp:posOffset>
                  </wp:positionV>
                  <wp:extent cx="323215" cy="516890"/>
                  <wp:effectExtent l="0" t="0" r="635" b="16510"/>
                  <wp:wrapNone/>
                  <wp:docPr id="181" name="图片_19_SpCnt_4"/>
                  <wp:cNvGraphicFramePr/>
                  <a:graphic xmlns:a="http://schemas.openxmlformats.org/drawingml/2006/main">
                    <a:graphicData uri="http://schemas.openxmlformats.org/drawingml/2006/picture">
                      <pic:pic xmlns:pic="http://schemas.openxmlformats.org/drawingml/2006/picture">
                        <pic:nvPicPr>
                          <pic:cNvPr id="181" name="图片_19_SpCnt_4"/>
                          <pic:cNvPicPr/>
                        </pic:nvPicPr>
                        <pic:blipFill>
                          <a:blip r:embed="rId40"/>
                          <a:stretch>
                            <a:fillRect/>
                          </a:stretch>
                        </pic:blipFill>
                        <pic:spPr>
                          <a:xfrm>
                            <a:off x="0" y="0"/>
                            <a:ext cx="323215" cy="516890"/>
                          </a:xfrm>
                          <a:prstGeom prst="rect">
                            <a:avLst/>
                          </a:prstGeom>
                          <a:noFill/>
                          <a:ln>
                            <a:noFill/>
                          </a:ln>
                        </pic:spPr>
                      </pic:pic>
                    </a:graphicData>
                  </a:graphic>
                </wp:anchor>
              </w:drawing>
            </w:r>
          </w:p>
        </w:tc>
      </w:tr>
      <w:tr w14:paraId="7EB91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4C2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6A3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拖把沥干池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FF2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-配挂钩；配优质落水器及拦渣篮</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DEEE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1500×500×1800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A0F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08C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1D3C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190500</wp:posOffset>
                  </wp:positionH>
                  <wp:positionV relativeFrom="paragraph">
                    <wp:posOffset>9525</wp:posOffset>
                  </wp:positionV>
                  <wp:extent cx="480060" cy="397510"/>
                  <wp:effectExtent l="0" t="0" r="15240" b="2540"/>
                  <wp:wrapNone/>
                  <wp:docPr id="182" name="图片_50_SpCnt_1"/>
                  <wp:cNvGraphicFramePr/>
                  <a:graphic xmlns:a="http://schemas.openxmlformats.org/drawingml/2006/main">
                    <a:graphicData uri="http://schemas.openxmlformats.org/drawingml/2006/picture">
                      <pic:pic xmlns:pic="http://schemas.openxmlformats.org/drawingml/2006/picture">
                        <pic:nvPicPr>
                          <pic:cNvPr id="182" name="图片_50_SpCnt_1"/>
                          <pic:cNvPicPr/>
                        </pic:nvPicPr>
                        <pic:blipFill>
                          <a:blip r:embed="rId61"/>
                          <a:stretch>
                            <a:fillRect/>
                          </a:stretch>
                        </pic:blipFill>
                        <pic:spPr>
                          <a:xfrm>
                            <a:off x="0" y="0"/>
                            <a:ext cx="480060" cy="397510"/>
                          </a:xfrm>
                          <a:prstGeom prst="rect">
                            <a:avLst/>
                          </a:prstGeom>
                          <a:noFill/>
                          <a:ln>
                            <a:noFill/>
                          </a:ln>
                        </pic:spPr>
                      </pic:pic>
                    </a:graphicData>
                  </a:graphic>
                </wp:anchor>
              </w:drawing>
            </w:r>
          </w:p>
        </w:tc>
      </w:tr>
      <w:tr w14:paraId="05052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2BC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30EB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E6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DC8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2F7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21C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F65B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-28575</wp:posOffset>
                  </wp:positionV>
                  <wp:extent cx="554355" cy="461010"/>
                  <wp:effectExtent l="0" t="0" r="17145" b="15240"/>
                  <wp:wrapNone/>
                  <wp:docPr id="183" name="图片_2_SpCnt_6"/>
                  <wp:cNvGraphicFramePr/>
                  <a:graphic xmlns:a="http://schemas.openxmlformats.org/drawingml/2006/main">
                    <a:graphicData uri="http://schemas.openxmlformats.org/drawingml/2006/picture">
                      <pic:pic xmlns:pic="http://schemas.openxmlformats.org/drawingml/2006/picture">
                        <pic:nvPicPr>
                          <pic:cNvPr id="183" name="图片_2_SpCnt_6"/>
                          <pic:cNvPicPr/>
                        </pic:nvPicPr>
                        <pic:blipFill>
                          <a:blip r:embed="rId25"/>
                          <a:stretch>
                            <a:fillRect/>
                          </a:stretch>
                        </pic:blipFill>
                        <pic:spPr>
                          <a:xfrm>
                            <a:off x="0" y="0"/>
                            <a:ext cx="554355" cy="461010"/>
                          </a:xfrm>
                          <a:prstGeom prst="rect">
                            <a:avLst/>
                          </a:prstGeom>
                          <a:noFill/>
                          <a:ln>
                            <a:noFill/>
                          </a:ln>
                        </pic:spPr>
                      </pic:pic>
                    </a:graphicData>
                  </a:graphic>
                </wp:anchor>
              </w:drawing>
            </w:r>
          </w:p>
        </w:tc>
      </w:tr>
      <w:tr w14:paraId="6B978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596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1ADB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自动洗米水池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ADD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全不锈钢台面，最大程度保证卫生和清洁；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全自动电控设计操作更方便更省心；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一键排水，排完水自动关闭。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配备一台高质量增压泵，水压更强劲，清洗更快速。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电控系统采用国内</w:t>
            </w:r>
            <w:r>
              <w:rPr>
                <w:rFonts w:hint="eastAsia" w:cs="宋体"/>
                <w:i w:val="0"/>
                <w:iCs w:val="0"/>
                <w:color w:val="000000"/>
                <w:kern w:val="0"/>
                <w:sz w:val="21"/>
                <w:szCs w:val="21"/>
                <w:u w:val="none"/>
                <w:lang w:val="en-US" w:eastAsia="zh-CN" w:bidi="ar"/>
              </w:rPr>
              <w:t>优质产</w:t>
            </w:r>
            <w:r>
              <w:rPr>
                <w:rFonts w:hint="eastAsia" w:cs="宋体"/>
                <w:i w:val="0"/>
                <w:iCs w:val="0"/>
                <w:color w:val="000000"/>
                <w:kern w:val="0"/>
                <w:sz w:val="21"/>
                <w:szCs w:val="21"/>
                <w:highlight w:val="none"/>
                <w:u w:val="none"/>
                <w:lang w:val="en-US" w:eastAsia="zh-CN" w:bidi="ar"/>
              </w:rPr>
              <w:t>品。</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柜体式设计，与其他厨房设备更好匹配，更美观。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功率/电压：约0.5KW/220V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504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约800×760×(800+150)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9591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DB9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D861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227330</wp:posOffset>
                  </wp:positionH>
                  <wp:positionV relativeFrom="paragraph">
                    <wp:posOffset>121285</wp:posOffset>
                  </wp:positionV>
                  <wp:extent cx="418465" cy="661035"/>
                  <wp:effectExtent l="0" t="0" r="635" b="5715"/>
                  <wp:wrapNone/>
                  <wp:docPr id="184" name="图片_56_SpCnt_1"/>
                  <wp:cNvGraphicFramePr/>
                  <a:graphic xmlns:a="http://schemas.openxmlformats.org/drawingml/2006/main">
                    <a:graphicData uri="http://schemas.openxmlformats.org/drawingml/2006/picture">
                      <pic:pic xmlns:pic="http://schemas.openxmlformats.org/drawingml/2006/picture">
                        <pic:nvPicPr>
                          <pic:cNvPr id="184" name="图片_56_SpCnt_1"/>
                          <pic:cNvPicPr/>
                        </pic:nvPicPr>
                        <pic:blipFill>
                          <a:blip r:embed="rId62"/>
                          <a:stretch>
                            <a:fillRect/>
                          </a:stretch>
                        </pic:blipFill>
                        <pic:spPr>
                          <a:xfrm>
                            <a:off x="0" y="0"/>
                            <a:ext cx="418465" cy="661035"/>
                          </a:xfrm>
                          <a:prstGeom prst="rect">
                            <a:avLst/>
                          </a:prstGeom>
                          <a:noFill/>
                          <a:ln>
                            <a:noFill/>
                          </a:ln>
                        </pic:spPr>
                      </pic:pic>
                    </a:graphicData>
                  </a:graphic>
                </wp:anchor>
              </w:drawing>
            </w:r>
          </w:p>
        </w:tc>
      </w:tr>
      <w:tr w14:paraId="33EF94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503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304B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4F3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 ，下衬12mm防潮板减噪；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FE9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5C22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0FE8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7F90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173355</wp:posOffset>
                  </wp:positionH>
                  <wp:positionV relativeFrom="paragraph">
                    <wp:posOffset>3810</wp:posOffset>
                  </wp:positionV>
                  <wp:extent cx="553085" cy="510540"/>
                  <wp:effectExtent l="0" t="0" r="18415" b="3810"/>
                  <wp:wrapNone/>
                  <wp:docPr id="185" name="图片_74"/>
                  <wp:cNvGraphicFramePr/>
                  <a:graphic xmlns:a="http://schemas.openxmlformats.org/drawingml/2006/main">
                    <a:graphicData uri="http://schemas.openxmlformats.org/drawingml/2006/picture">
                      <pic:pic xmlns:pic="http://schemas.openxmlformats.org/drawingml/2006/picture">
                        <pic:nvPicPr>
                          <pic:cNvPr id="185" name="图片_74"/>
                          <pic:cNvPicPr/>
                        </pic:nvPicPr>
                        <pic:blipFill>
                          <a:blip r:embed="rId63"/>
                          <a:stretch>
                            <a:fillRect/>
                          </a:stretch>
                        </pic:blipFill>
                        <pic:spPr>
                          <a:xfrm>
                            <a:off x="0" y="0"/>
                            <a:ext cx="553085" cy="510540"/>
                          </a:xfrm>
                          <a:prstGeom prst="rect">
                            <a:avLst/>
                          </a:prstGeom>
                          <a:noFill/>
                          <a:ln>
                            <a:noFill/>
                          </a:ln>
                        </pic:spPr>
                      </pic:pic>
                    </a:graphicData>
                  </a:graphic>
                </wp:anchor>
              </w:drawing>
            </w:r>
          </w:p>
        </w:tc>
      </w:tr>
      <w:tr w14:paraId="34615F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DA6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3E2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A30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087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5892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695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518E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149860</wp:posOffset>
                  </wp:positionH>
                  <wp:positionV relativeFrom="paragraph">
                    <wp:posOffset>35560</wp:posOffset>
                  </wp:positionV>
                  <wp:extent cx="583565" cy="531495"/>
                  <wp:effectExtent l="0" t="0" r="6985" b="1905"/>
                  <wp:wrapNone/>
                  <wp:docPr id="186" name="图片_51"/>
                  <wp:cNvGraphicFramePr/>
                  <a:graphic xmlns:a="http://schemas.openxmlformats.org/drawingml/2006/main">
                    <a:graphicData uri="http://schemas.openxmlformats.org/drawingml/2006/picture">
                      <pic:pic xmlns:pic="http://schemas.openxmlformats.org/drawingml/2006/picture">
                        <pic:nvPicPr>
                          <pic:cNvPr id="186" name="图片_51"/>
                          <pic:cNvPicPr/>
                        </pic:nvPicPr>
                        <pic:blipFill>
                          <a:blip r:embed="rId64"/>
                          <a:stretch>
                            <a:fillRect/>
                          </a:stretch>
                        </pic:blipFill>
                        <pic:spPr>
                          <a:xfrm>
                            <a:off x="0" y="0"/>
                            <a:ext cx="583565" cy="531495"/>
                          </a:xfrm>
                          <a:prstGeom prst="rect">
                            <a:avLst/>
                          </a:prstGeom>
                          <a:noFill/>
                          <a:ln>
                            <a:noFill/>
                          </a:ln>
                        </pic:spPr>
                      </pic:pic>
                    </a:graphicData>
                  </a:graphic>
                </wp:anchor>
              </w:drawing>
            </w:r>
          </w:p>
        </w:tc>
      </w:tr>
      <w:tr w14:paraId="16C160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63D2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EA7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8CC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49680">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7606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EC7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7CC8D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285750</wp:posOffset>
                  </wp:positionH>
                  <wp:positionV relativeFrom="paragraph">
                    <wp:posOffset>-5715</wp:posOffset>
                  </wp:positionV>
                  <wp:extent cx="304800" cy="482600"/>
                  <wp:effectExtent l="0" t="0" r="0" b="12700"/>
                  <wp:wrapNone/>
                  <wp:docPr id="187" name="图片_19_SpCnt_5"/>
                  <wp:cNvGraphicFramePr/>
                  <a:graphic xmlns:a="http://schemas.openxmlformats.org/drawingml/2006/main">
                    <a:graphicData uri="http://schemas.openxmlformats.org/drawingml/2006/picture">
                      <pic:pic xmlns:pic="http://schemas.openxmlformats.org/drawingml/2006/picture">
                        <pic:nvPicPr>
                          <pic:cNvPr id="187" name="图片_19_SpCnt_5"/>
                          <pic:cNvPicPr/>
                        </pic:nvPicPr>
                        <pic:blipFill>
                          <a:blip r:embed="rId40"/>
                          <a:stretch>
                            <a:fillRect/>
                          </a:stretch>
                        </pic:blipFill>
                        <pic:spPr>
                          <a:xfrm>
                            <a:off x="0" y="0"/>
                            <a:ext cx="304800" cy="482600"/>
                          </a:xfrm>
                          <a:prstGeom prst="rect">
                            <a:avLst/>
                          </a:prstGeom>
                          <a:noFill/>
                          <a:ln>
                            <a:noFill/>
                          </a:ln>
                        </pic:spPr>
                      </pic:pic>
                    </a:graphicData>
                  </a:graphic>
                </wp:anchor>
              </w:drawing>
            </w:r>
          </w:p>
        </w:tc>
      </w:tr>
      <w:tr w14:paraId="4FD22E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82B7D">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FF85C">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F4FD0">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929BF">
            <w:pPr>
              <w:keepNext w:val="0"/>
              <w:keepLines w:val="0"/>
              <w:pageBreakBefore w:val="0"/>
              <w:widowControl/>
              <w:kinsoku/>
              <w:wordWrap/>
              <w:overflowPunct/>
              <w:topLinePunct w:val="0"/>
              <w:autoSpaceDE/>
              <w:autoSpaceDN/>
              <w:bidi w:val="0"/>
              <w:adjustRightInd/>
              <w:snapToGrid/>
              <w:spacing w:line="28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FF874">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C78C1">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F2E6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179070</wp:posOffset>
                  </wp:positionH>
                  <wp:positionV relativeFrom="paragraph">
                    <wp:posOffset>139700</wp:posOffset>
                  </wp:positionV>
                  <wp:extent cx="483870" cy="458470"/>
                  <wp:effectExtent l="0" t="0" r="11430" b="17780"/>
                  <wp:wrapNone/>
                  <wp:docPr id="188" name="图片_2_SpCnt_7"/>
                  <wp:cNvGraphicFramePr/>
                  <a:graphic xmlns:a="http://schemas.openxmlformats.org/drawingml/2006/main">
                    <a:graphicData uri="http://schemas.openxmlformats.org/drawingml/2006/picture">
                      <pic:pic xmlns:pic="http://schemas.openxmlformats.org/drawingml/2006/picture">
                        <pic:nvPicPr>
                          <pic:cNvPr id="188" name="图片_2_SpCnt_7"/>
                          <pic:cNvPicPr/>
                        </pic:nvPicPr>
                        <pic:blipFill>
                          <a:blip r:embed="rId42"/>
                          <a:stretch>
                            <a:fillRect/>
                          </a:stretch>
                        </pic:blipFill>
                        <pic:spPr>
                          <a:xfrm>
                            <a:off x="0" y="0"/>
                            <a:ext cx="483870" cy="458470"/>
                          </a:xfrm>
                          <a:prstGeom prst="rect">
                            <a:avLst/>
                          </a:prstGeom>
                          <a:noFill/>
                          <a:ln>
                            <a:noFill/>
                          </a:ln>
                        </pic:spPr>
                      </pic:pic>
                    </a:graphicData>
                  </a:graphic>
                </wp:anchor>
              </w:drawing>
            </w:r>
          </w:p>
        </w:tc>
      </w:tr>
      <w:tr w14:paraId="78E48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7CFE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924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活动双层工作台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7531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79AB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172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891D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3ED2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149225</wp:posOffset>
                  </wp:positionH>
                  <wp:positionV relativeFrom="paragraph">
                    <wp:posOffset>21590</wp:posOffset>
                  </wp:positionV>
                  <wp:extent cx="544195" cy="429895"/>
                  <wp:effectExtent l="0" t="0" r="8255" b="8255"/>
                  <wp:wrapNone/>
                  <wp:docPr id="119" name="图片_79"/>
                  <wp:cNvGraphicFramePr/>
                  <a:graphic xmlns:a="http://schemas.openxmlformats.org/drawingml/2006/main">
                    <a:graphicData uri="http://schemas.openxmlformats.org/drawingml/2006/picture">
                      <pic:pic xmlns:pic="http://schemas.openxmlformats.org/drawingml/2006/picture">
                        <pic:nvPicPr>
                          <pic:cNvPr id="119" name="图片_79"/>
                          <pic:cNvPicPr/>
                        </pic:nvPicPr>
                        <pic:blipFill>
                          <a:blip r:embed="rId65"/>
                          <a:stretch>
                            <a:fillRect/>
                          </a:stretch>
                        </pic:blipFill>
                        <pic:spPr>
                          <a:xfrm>
                            <a:off x="0" y="0"/>
                            <a:ext cx="544195" cy="429895"/>
                          </a:xfrm>
                          <a:prstGeom prst="rect">
                            <a:avLst/>
                          </a:prstGeom>
                          <a:noFill/>
                          <a:ln>
                            <a:noFill/>
                          </a:ln>
                        </pic:spPr>
                      </pic:pic>
                    </a:graphicData>
                  </a:graphic>
                </wp:anchor>
              </w:drawing>
            </w:r>
          </w:p>
        </w:tc>
      </w:tr>
      <w:tr w14:paraId="577D4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FB3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427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商用电热蒸饭箱</w:t>
            </w:r>
          </w:p>
          <w:p w14:paraId="693EDBC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30E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-内胆δ=1.2mm，实厚δ≥1.14mm；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-内部骨架均采用不锈钢型钢焊接；</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-内置B1级阻燃隔热保温板双层保温；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-不接受发泡型结构产品，配全不锈钢渐进式手轮门铰链；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-配3根4KW不锈钢发热管，自动浮球进补水；</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-配模压饭盘24只，竖向插盘；</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-可定时定温，缺水保护，过热保护；</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-电源电压：交流380V，50Hz 功率/电压：2×12KW/380V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15A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24盘/120KG/次</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55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89E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78F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155575</wp:posOffset>
                  </wp:positionH>
                  <wp:positionV relativeFrom="paragraph">
                    <wp:posOffset>-11430</wp:posOffset>
                  </wp:positionV>
                  <wp:extent cx="537210" cy="838835"/>
                  <wp:effectExtent l="0" t="0" r="15240" b="18415"/>
                  <wp:wrapNone/>
                  <wp:docPr id="120" name="图片_4"/>
                  <wp:cNvGraphicFramePr/>
                  <a:graphic xmlns:a="http://schemas.openxmlformats.org/drawingml/2006/main">
                    <a:graphicData uri="http://schemas.openxmlformats.org/drawingml/2006/picture">
                      <pic:pic xmlns:pic="http://schemas.openxmlformats.org/drawingml/2006/picture">
                        <pic:nvPicPr>
                          <pic:cNvPr id="120" name="图片_4"/>
                          <pic:cNvPicPr/>
                        </pic:nvPicPr>
                        <pic:blipFill>
                          <a:blip r:embed="rId66"/>
                          <a:stretch>
                            <a:fillRect/>
                          </a:stretch>
                        </pic:blipFill>
                        <pic:spPr>
                          <a:xfrm>
                            <a:off x="0" y="0"/>
                            <a:ext cx="537210" cy="838835"/>
                          </a:xfrm>
                          <a:prstGeom prst="rect">
                            <a:avLst/>
                          </a:prstGeom>
                          <a:noFill/>
                          <a:ln>
                            <a:noFill/>
                          </a:ln>
                        </pic:spPr>
                      </pic:pic>
                    </a:graphicData>
                  </a:graphic>
                </wp:anchor>
              </w:drawing>
            </w:r>
          </w:p>
        </w:tc>
      </w:tr>
      <w:tr w14:paraId="24385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52C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B90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饭盘</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B50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选用SUS304-2B优质不锈钢板制作，板厚0.8mm，一次拉伸成型。</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7A9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约600×400×48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4892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364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B015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194310</wp:posOffset>
                  </wp:positionH>
                  <wp:positionV relativeFrom="paragraph">
                    <wp:posOffset>17145</wp:posOffset>
                  </wp:positionV>
                  <wp:extent cx="459740" cy="330200"/>
                  <wp:effectExtent l="0" t="0" r="16510" b="12700"/>
                  <wp:wrapNone/>
                  <wp:docPr id="121" name="图片_83"/>
                  <wp:cNvGraphicFramePr/>
                  <a:graphic xmlns:a="http://schemas.openxmlformats.org/drawingml/2006/main">
                    <a:graphicData uri="http://schemas.openxmlformats.org/drawingml/2006/picture">
                      <pic:pic xmlns:pic="http://schemas.openxmlformats.org/drawingml/2006/picture">
                        <pic:nvPicPr>
                          <pic:cNvPr id="121" name="图片_83"/>
                          <pic:cNvPicPr/>
                        </pic:nvPicPr>
                        <pic:blipFill>
                          <a:blip r:embed="rId67"/>
                          <a:stretch>
                            <a:fillRect/>
                          </a:stretch>
                        </pic:blipFill>
                        <pic:spPr>
                          <a:xfrm>
                            <a:off x="0" y="0"/>
                            <a:ext cx="459740" cy="330200"/>
                          </a:xfrm>
                          <a:prstGeom prst="rect">
                            <a:avLst/>
                          </a:prstGeom>
                          <a:noFill/>
                          <a:ln>
                            <a:noFill/>
                          </a:ln>
                        </pic:spPr>
                      </pic:pic>
                    </a:graphicData>
                  </a:graphic>
                </wp:anchor>
              </w:drawing>
            </w:r>
          </w:p>
        </w:tc>
      </w:tr>
      <w:tr w14:paraId="2DDC5C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3957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53C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方形集汽罩</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303F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-罩体δ=1.2mm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18F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7500×1200×500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210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F8F8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F6ED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243205</wp:posOffset>
                  </wp:positionH>
                  <wp:positionV relativeFrom="paragraph">
                    <wp:posOffset>-15875</wp:posOffset>
                  </wp:positionV>
                  <wp:extent cx="407035" cy="436880"/>
                  <wp:effectExtent l="0" t="0" r="12065" b="1270"/>
                  <wp:wrapNone/>
                  <wp:docPr id="122" name="图片_741_SpCnt_2"/>
                  <wp:cNvGraphicFramePr/>
                  <a:graphic xmlns:a="http://schemas.openxmlformats.org/drawingml/2006/main">
                    <a:graphicData uri="http://schemas.openxmlformats.org/drawingml/2006/picture">
                      <pic:pic xmlns:pic="http://schemas.openxmlformats.org/drawingml/2006/picture">
                        <pic:nvPicPr>
                          <pic:cNvPr id="122" name="图片_741_SpCnt_2"/>
                          <pic:cNvPicPr/>
                        </pic:nvPicPr>
                        <pic:blipFill>
                          <a:blip r:embed="rId68"/>
                          <a:stretch>
                            <a:fillRect/>
                          </a:stretch>
                        </pic:blipFill>
                        <pic:spPr>
                          <a:xfrm>
                            <a:off x="0" y="0"/>
                            <a:ext cx="407035" cy="436880"/>
                          </a:xfrm>
                          <a:prstGeom prst="rect">
                            <a:avLst/>
                          </a:prstGeom>
                          <a:noFill/>
                          <a:ln>
                            <a:noFill/>
                          </a:ln>
                        </pic:spPr>
                      </pic:pic>
                    </a:graphicData>
                  </a:graphic>
                </wp:anchor>
              </w:drawing>
            </w:r>
          </w:p>
        </w:tc>
      </w:tr>
      <w:tr w14:paraId="123E1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726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8C3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烟罩上封板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AF5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CC60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4F72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492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4047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187325</wp:posOffset>
                  </wp:positionH>
                  <wp:positionV relativeFrom="paragraph">
                    <wp:posOffset>9525</wp:posOffset>
                  </wp:positionV>
                  <wp:extent cx="518795" cy="319405"/>
                  <wp:effectExtent l="0" t="0" r="14605" b="4445"/>
                  <wp:wrapNone/>
                  <wp:docPr id="123" name="图片_591_SpCnt_2"/>
                  <wp:cNvGraphicFramePr/>
                  <a:graphic xmlns:a="http://schemas.openxmlformats.org/drawingml/2006/main">
                    <a:graphicData uri="http://schemas.openxmlformats.org/drawingml/2006/picture">
                      <pic:pic xmlns:pic="http://schemas.openxmlformats.org/drawingml/2006/picture">
                        <pic:nvPicPr>
                          <pic:cNvPr id="123" name="图片_591_SpCnt_2"/>
                          <pic:cNvPicPr/>
                        </pic:nvPicPr>
                        <pic:blipFill>
                          <a:blip r:embed="rId69"/>
                          <a:stretch>
                            <a:fillRect/>
                          </a:stretch>
                        </pic:blipFill>
                        <pic:spPr>
                          <a:xfrm>
                            <a:off x="0" y="0"/>
                            <a:ext cx="518795" cy="319405"/>
                          </a:xfrm>
                          <a:prstGeom prst="rect">
                            <a:avLst/>
                          </a:prstGeom>
                          <a:noFill/>
                          <a:ln>
                            <a:noFill/>
                          </a:ln>
                        </pic:spPr>
                      </pic:pic>
                    </a:graphicData>
                  </a:graphic>
                </wp:anchor>
              </w:drawing>
            </w:r>
          </w:p>
        </w:tc>
      </w:tr>
      <w:tr w14:paraId="3BA970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2AE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368F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D70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4D9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A1D4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9C1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B6FE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46990</wp:posOffset>
                  </wp:positionV>
                  <wp:extent cx="511175" cy="436245"/>
                  <wp:effectExtent l="0" t="0" r="3175" b="1905"/>
                  <wp:wrapNone/>
                  <wp:docPr id="124" name="图片_2_SpCnt_8"/>
                  <wp:cNvGraphicFramePr/>
                  <a:graphic xmlns:a="http://schemas.openxmlformats.org/drawingml/2006/main">
                    <a:graphicData uri="http://schemas.openxmlformats.org/drawingml/2006/picture">
                      <pic:pic xmlns:pic="http://schemas.openxmlformats.org/drawingml/2006/picture">
                        <pic:nvPicPr>
                          <pic:cNvPr id="124" name="图片_2_SpCnt_8"/>
                          <pic:cNvPicPr/>
                        </pic:nvPicPr>
                        <pic:blipFill>
                          <a:blip r:embed="rId25"/>
                          <a:stretch>
                            <a:fillRect/>
                          </a:stretch>
                        </pic:blipFill>
                        <pic:spPr>
                          <a:xfrm>
                            <a:off x="0" y="0"/>
                            <a:ext cx="511175" cy="436245"/>
                          </a:xfrm>
                          <a:prstGeom prst="rect">
                            <a:avLst/>
                          </a:prstGeom>
                          <a:noFill/>
                          <a:ln>
                            <a:noFill/>
                          </a:ln>
                        </pic:spPr>
                      </pic:pic>
                    </a:graphicData>
                  </a:graphic>
                </wp:anchor>
              </w:drawing>
            </w:r>
          </w:p>
        </w:tc>
      </w:tr>
      <w:tr w14:paraId="0CE3B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CC8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8AF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挂墙洗手池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6B88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-感应水龙头另计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17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410×410×(200+100)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B4F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7FD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58E5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143510</wp:posOffset>
                  </wp:positionH>
                  <wp:positionV relativeFrom="paragraph">
                    <wp:posOffset>-43180</wp:posOffset>
                  </wp:positionV>
                  <wp:extent cx="599440" cy="483870"/>
                  <wp:effectExtent l="0" t="0" r="10160" b="11430"/>
                  <wp:wrapNone/>
                  <wp:docPr id="125" name="图片_130_SpCnt_1"/>
                  <wp:cNvGraphicFramePr/>
                  <a:graphic xmlns:a="http://schemas.openxmlformats.org/drawingml/2006/main">
                    <a:graphicData uri="http://schemas.openxmlformats.org/drawingml/2006/picture">
                      <pic:pic xmlns:pic="http://schemas.openxmlformats.org/drawingml/2006/picture">
                        <pic:nvPicPr>
                          <pic:cNvPr id="125" name="图片_130_SpCnt_1"/>
                          <pic:cNvPicPr/>
                        </pic:nvPicPr>
                        <pic:blipFill>
                          <a:blip r:embed="rId70"/>
                          <a:stretch>
                            <a:fillRect/>
                          </a:stretch>
                        </pic:blipFill>
                        <pic:spPr>
                          <a:xfrm>
                            <a:off x="0" y="0"/>
                            <a:ext cx="599440" cy="483870"/>
                          </a:xfrm>
                          <a:prstGeom prst="rect">
                            <a:avLst/>
                          </a:prstGeom>
                          <a:noFill/>
                          <a:ln>
                            <a:noFill/>
                          </a:ln>
                        </pic:spPr>
                      </pic:pic>
                    </a:graphicData>
                  </a:graphic>
                </wp:anchor>
              </w:drawing>
            </w:r>
          </w:p>
        </w:tc>
      </w:tr>
      <w:tr w14:paraId="10C95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8A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8DC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4BE4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1.外形尺寸：160×62×169(mm)±5%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2.工作电压：1.5V×4（四节五号干电池）；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3.工作水压：0.1-0.6MP55 可接冷热混水，出水温度可调；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4.开孔径：32mm；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5.台式安装黄铜铸造水嘴，表面镀铬处理；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 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A20A6">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4D4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4AF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898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162560</wp:posOffset>
                  </wp:positionH>
                  <wp:positionV relativeFrom="paragraph">
                    <wp:posOffset>-13335</wp:posOffset>
                  </wp:positionV>
                  <wp:extent cx="532765" cy="617855"/>
                  <wp:effectExtent l="0" t="0" r="635" b="10795"/>
                  <wp:wrapNone/>
                  <wp:docPr id="126" name="图片_1_SpCnt_6"/>
                  <wp:cNvGraphicFramePr/>
                  <a:graphic xmlns:a="http://schemas.openxmlformats.org/drawingml/2006/main">
                    <a:graphicData uri="http://schemas.openxmlformats.org/drawingml/2006/picture">
                      <pic:pic xmlns:pic="http://schemas.openxmlformats.org/drawingml/2006/picture">
                        <pic:nvPicPr>
                          <pic:cNvPr id="126" name="图片_1_SpCnt_6"/>
                          <pic:cNvPicPr/>
                        </pic:nvPicPr>
                        <pic:blipFill>
                          <a:blip r:embed="rId29"/>
                          <a:stretch>
                            <a:fillRect/>
                          </a:stretch>
                        </pic:blipFill>
                        <pic:spPr>
                          <a:xfrm>
                            <a:off x="0" y="0"/>
                            <a:ext cx="532765" cy="617855"/>
                          </a:xfrm>
                          <a:prstGeom prst="rect">
                            <a:avLst/>
                          </a:prstGeom>
                          <a:noFill/>
                          <a:ln>
                            <a:noFill/>
                          </a:ln>
                        </pic:spPr>
                      </pic:pic>
                    </a:graphicData>
                  </a:graphic>
                </wp:anchor>
              </w:drawing>
            </w:r>
          </w:p>
        </w:tc>
      </w:tr>
      <w:tr w14:paraId="481FE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C58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2643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感应烘手器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6CD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-配备红外自动感应系统和高级芯片控制技术，性能稳定，控制效果精准。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-连续感应测试超过30万次运全新轻巧设计，款式时尚。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-高速动力设计，干手使用5~9秒。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-采用防火工程塑料。环保、安全、超时保暖。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-可切换凉风/热风，因不同季节调节。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B2F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约250×165×470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4B9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EFA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F4D0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243840</wp:posOffset>
                  </wp:positionH>
                  <wp:positionV relativeFrom="paragraph">
                    <wp:posOffset>6985</wp:posOffset>
                  </wp:positionV>
                  <wp:extent cx="375285" cy="645795"/>
                  <wp:effectExtent l="0" t="0" r="5715" b="1905"/>
                  <wp:wrapNone/>
                  <wp:docPr id="127" name="图片_566_SpCnt_1"/>
                  <wp:cNvGraphicFramePr/>
                  <a:graphic xmlns:a="http://schemas.openxmlformats.org/drawingml/2006/main">
                    <a:graphicData uri="http://schemas.openxmlformats.org/drawingml/2006/picture">
                      <pic:pic xmlns:pic="http://schemas.openxmlformats.org/drawingml/2006/picture">
                        <pic:nvPicPr>
                          <pic:cNvPr id="127" name="图片_566_SpCnt_1"/>
                          <pic:cNvPicPr/>
                        </pic:nvPicPr>
                        <pic:blipFill>
                          <a:blip r:embed="rId30"/>
                          <a:stretch>
                            <a:fillRect/>
                          </a:stretch>
                        </pic:blipFill>
                        <pic:spPr>
                          <a:xfrm>
                            <a:off x="0" y="0"/>
                            <a:ext cx="375285" cy="645795"/>
                          </a:xfrm>
                          <a:prstGeom prst="rect">
                            <a:avLst/>
                          </a:prstGeom>
                          <a:noFill/>
                          <a:ln>
                            <a:noFill/>
                          </a:ln>
                        </pic:spPr>
                      </pic:pic>
                    </a:graphicData>
                  </a:graphic>
                </wp:anchor>
              </w:drawing>
            </w:r>
          </w:p>
        </w:tc>
      </w:tr>
      <w:tr w14:paraId="4B8D6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A29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58BD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感应式酒精喷雾</w:t>
            </w:r>
          </w:p>
          <w:p w14:paraId="260E06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手部消毒器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D21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-容量：1500ml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-智能感应，定量喷淋，健康安全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9641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约230×150×600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5F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73D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064B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252095</wp:posOffset>
                  </wp:positionH>
                  <wp:positionV relativeFrom="paragraph">
                    <wp:posOffset>53975</wp:posOffset>
                  </wp:positionV>
                  <wp:extent cx="328930" cy="414655"/>
                  <wp:effectExtent l="0" t="0" r="13970" b="4445"/>
                  <wp:wrapNone/>
                  <wp:docPr id="128" name="图片_613_SpCnt_1"/>
                  <wp:cNvGraphicFramePr/>
                  <a:graphic xmlns:a="http://schemas.openxmlformats.org/drawingml/2006/main">
                    <a:graphicData uri="http://schemas.openxmlformats.org/drawingml/2006/picture">
                      <pic:pic xmlns:pic="http://schemas.openxmlformats.org/drawingml/2006/picture">
                        <pic:nvPicPr>
                          <pic:cNvPr id="128" name="图片_613_SpCnt_1"/>
                          <pic:cNvPicPr/>
                        </pic:nvPicPr>
                        <pic:blipFill>
                          <a:blip r:embed="rId31"/>
                          <a:stretch>
                            <a:fillRect/>
                          </a:stretch>
                        </pic:blipFill>
                        <pic:spPr>
                          <a:xfrm>
                            <a:off x="0" y="0"/>
                            <a:ext cx="328930" cy="414655"/>
                          </a:xfrm>
                          <a:prstGeom prst="rect">
                            <a:avLst/>
                          </a:prstGeom>
                          <a:noFill/>
                          <a:ln>
                            <a:noFill/>
                          </a:ln>
                        </pic:spPr>
                      </pic:pic>
                    </a:graphicData>
                  </a:graphic>
                </wp:anchor>
              </w:drawing>
            </w:r>
          </w:p>
        </w:tc>
      </w:tr>
      <w:tr w14:paraId="1AFB6A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97A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01CE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挂衣架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0E9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-圆管δ=1.0mm ，固定在墙面</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C21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12D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E50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C60C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194945</wp:posOffset>
                  </wp:positionH>
                  <wp:positionV relativeFrom="paragraph">
                    <wp:posOffset>-27940</wp:posOffset>
                  </wp:positionV>
                  <wp:extent cx="476250" cy="330835"/>
                  <wp:effectExtent l="0" t="0" r="0" b="12065"/>
                  <wp:wrapNone/>
                  <wp:docPr id="129" name="图片_108_SpCnt_1"/>
                  <wp:cNvGraphicFramePr/>
                  <a:graphic xmlns:a="http://schemas.openxmlformats.org/drawingml/2006/main">
                    <a:graphicData uri="http://schemas.openxmlformats.org/drawingml/2006/picture">
                      <pic:pic xmlns:pic="http://schemas.openxmlformats.org/drawingml/2006/picture">
                        <pic:nvPicPr>
                          <pic:cNvPr id="129" name="图片_108_SpCnt_1"/>
                          <pic:cNvPicPr/>
                        </pic:nvPicPr>
                        <pic:blipFill>
                          <a:blip r:embed="rId32"/>
                          <a:stretch>
                            <a:fillRect/>
                          </a:stretch>
                        </pic:blipFill>
                        <pic:spPr>
                          <a:xfrm>
                            <a:off x="0" y="0"/>
                            <a:ext cx="476250" cy="330835"/>
                          </a:xfrm>
                          <a:prstGeom prst="rect">
                            <a:avLst/>
                          </a:prstGeom>
                          <a:noFill/>
                          <a:ln>
                            <a:noFill/>
                          </a:ln>
                        </pic:spPr>
                      </pic:pic>
                    </a:graphicData>
                  </a:graphic>
                </wp:anchor>
              </w:drawing>
            </w:r>
          </w:p>
        </w:tc>
      </w:tr>
      <w:tr w14:paraId="7BDDB1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5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E74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BCD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紫外线杀菌灯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527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-TUV消毒灯是具有管状的玻璃外壳的低压汞气放电灯，发射短波紫外辐射，起到杀菌的作用；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-玻璃外壳把会产生臭氧的波长为185nm的辐射过滤掉；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-管壁内的保护涂层可以防止UV-C辐射的衰减。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-使用UV-C灯的设备必须要有严格的防护措施，避免紫外光外泄直接照射人体。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5FB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约1213×28×28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BC1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盏</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2028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2F10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117475</wp:posOffset>
                  </wp:positionH>
                  <wp:positionV relativeFrom="paragraph">
                    <wp:posOffset>-53340</wp:posOffset>
                  </wp:positionV>
                  <wp:extent cx="617855" cy="535940"/>
                  <wp:effectExtent l="0" t="0" r="10795" b="16510"/>
                  <wp:wrapNone/>
                  <wp:docPr id="130" name="图片_1_SpCnt_7"/>
                  <wp:cNvGraphicFramePr/>
                  <a:graphic xmlns:a="http://schemas.openxmlformats.org/drawingml/2006/main">
                    <a:graphicData uri="http://schemas.openxmlformats.org/drawingml/2006/picture">
                      <pic:pic xmlns:pic="http://schemas.openxmlformats.org/drawingml/2006/picture">
                        <pic:nvPicPr>
                          <pic:cNvPr id="130" name="图片_1_SpCnt_7"/>
                          <pic:cNvPicPr/>
                        </pic:nvPicPr>
                        <pic:blipFill>
                          <a:blip r:embed="rId71"/>
                          <a:stretch>
                            <a:fillRect/>
                          </a:stretch>
                        </pic:blipFill>
                        <pic:spPr>
                          <a:xfrm>
                            <a:off x="0" y="0"/>
                            <a:ext cx="617855" cy="535940"/>
                          </a:xfrm>
                          <a:prstGeom prst="rect">
                            <a:avLst/>
                          </a:prstGeom>
                          <a:noFill/>
                          <a:ln>
                            <a:noFill/>
                          </a:ln>
                        </pic:spPr>
                      </pic:pic>
                    </a:graphicData>
                  </a:graphic>
                </wp:anchor>
              </w:drawing>
            </w:r>
          </w:p>
        </w:tc>
      </w:tr>
      <w:tr w14:paraId="2328E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6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81C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9AA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cs="宋体"/>
                <w:i w:val="0"/>
                <w:iCs w:val="0"/>
                <w:color w:val="000000"/>
                <w:kern w:val="0"/>
                <w:sz w:val="21"/>
                <w:szCs w:val="21"/>
                <w:u w:val="none"/>
                <w:lang w:val="en-US" w:eastAsia="zh-CN" w:bidi="ar"/>
              </w:rPr>
              <w:t>商用</w:t>
            </w:r>
            <w:r>
              <w:rPr>
                <w:rFonts w:hint="eastAsia" w:ascii="宋体" w:hAnsi="宋体" w:eastAsia="宋体" w:cs="宋体"/>
                <w:i w:val="0"/>
                <w:iCs w:val="0"/>
                <w:color w:val="000000"/>
                <w:kern w:val="0"/>
                <w:sz w:val="21"/>
                <w:szCs w:val="21"/>
                <w:u w:val="none"/>
                <w:lang w:val="en-US" w:eastAsia="zh-CN" w:bidi="ar"/>
              </w:rPr>
              <w:t>玻璃门</w:t>
            </w:r>
          </w:p>
          <w:p w14:paraId="16EFC0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留样冰箱</w:t>
            </w:r>
          </w:p>
          <w:p w14:paraId="4FF1FD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42E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-温度范围：0℃～15℃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不锈钢门拉手、美观、坚固、耐用，可与客户不锈</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钢制品更好的搭配。</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箱体发泡层厚度≧60，门板发泡厚度≧55，门板与</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通风窗齐平，≧45时自动回归，且必须采用平口设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计拉手，配专用门锁，以保证食品安全。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环保制冷剂R134A或R404A，避免大气污染，环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无烷无氟环保60mm厚高密度发泡保温层、保温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性能更好。</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067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约700×800×2000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D7E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927F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6377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217805</wp:posOffset>
                  </wp:positionH>
                  <wp:positionV relativeFrom="paragraph">
                    <wp:posOffset>-9525</wp:posOffset>
                  </wp:positionV>
                  <wp:extent cx="415925" cy="977900"/>
                  <wp:effectExtent l="0" t="0" r="3175" b="12700"/>
                  <wp:wrapNone/>
                  <wp:docPr id="131" name="图片_12"/>
                  <wp:cNvGraphicFramePr/>
                  <a:graphic xmlns:a="http://schemas.openxmlformats.org/drawingml/2006/main">
                    <a:graphicData uri="http://schemas.openxmlformats.org/drawingml/2006/picture">
                      <pic:pic xmlns:pic="http://schemas.openxmlformats.org/drawingml/2006/picture">
                        <pic:nvPicPr>
                          <pic:cNvPr id="131" name="图片_12"/>
                          <pic:cNvPicPr/>
                        </pic:nvPicPr>
                        <pic:blipFill>
                          <a:blip r:embed="rId72"/>
                          <a:stretch>
                            <a:fillRect/>
                          </a:stretch>
                        </pic:blipFill>
                        <pic:spPr>
                          <a:xfrm>
                            <a:off x="0" y="0"/>
                            <a:ext cx="415925" cy="977900"/>
                          </a:xfrm>
                          <a:prstGeom prst="rect">
                            <a:avLst/>
                          </a:prstGeom>
                          <a:noFill/>
                          <a:ln>
                            <a:noFill/>
                          </a:ln>
                        </pic:spPr>
                      </pic:pic>
                    </a:graphicData>
                  </a:graphic>
                </wp:anchor>
              </w:drawing>
            </w:r>
          </w:p>
        </w:tc>
      </w:tr>
      <w:tr w14:paraId="139ACD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BB9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0B0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7E16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1CC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A00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C99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ABB9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222250</wp:posOffset>
                  </wp:positionH>
                  <wp:positionV relativeFrom="paragraph">
                    <wp:posOffset>30480</wp:posOffset>
                  </wp:positionV>
                  <wp:extent cx="361315" cy="438785"/>
                  <wp:effectExtent l="0" t="0" r="635" b="18415"/>
                  <wp:wrapNone/>
                  <wp:docPr id="132" name="图片_97_SpCnt_2"/>
                  <wp:cNvGraphicFramePr/>
                  <a:graphic xmlns:a="http://schemas.openxmlformats.org/drawingml/2006/main">
                    <a:graphicData uri="http://schemas.openxmlformats.org/drawingml/2006/picture">
                      <pic:pic xmlns:pic="http://schemas.openxmlformats.org/drawingml/2006/picture">
                        <pic:nvPicPr>
                          <pic:cNvPr id="132" name="图片_97_SpCnt_2"/>
                          <pic:cNvPicPr/>
                        </pic:nvPicPr>
                        <pic:blipFill>
                          <a:blip r:embed="rId35"/>
                          <a:stretch>
                            <a:fillRect/>
                          </a:stretch>
                        </pic:blipFill>
                        <pic:spPr>
                          <a:xfrm>
                            <a:off x="0" y="0"/>
                            <a:ext cx="361315" cy="438785"/>
                          </a:xfrm>
                          <a:prstGeom prst="rect">
                            <a:avLst/>
                          </a:prstGeom>
                          <a:noFill/>
                          <a:ln>
                            <a:noFill/>
                          </a:ln>
                        </pic:spPr>
                      </pic:pic>
                    </a:graphicData>
                  </a:graphic>
                </wp:anchor>
              </w:drawing>
            </w:r>
          </w:p>
        </w:tc>
      </w:tr>
      <w:tr w14:paraId="4F9540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656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A61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单星水池柜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93C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-无底板，单侧掩门，水龙头另计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4EE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B02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14E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FB47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142240</wp:posOffset>
                  </wp:positionH>
                  <wp:positionV relativeFrom="paragraph">
                    <wp:posOffset>54610</wp:posOffset>
                  </wp:positionV>
                  <wp:extent cx="577215" cy="618490"/>
                  <wp:effectExtent l="0" t="0" r="13335" b="10160"/>
                  <wp:wrapNone/>
                  <wp:docPr id="133" name="图片_48"/>
                  <wp:cNvGraphicFramePr/>
                  <a:graphic xmlns:a="http://schemas.openxmlformats.org/drawingml/2006/main">
                    <a:graphicData uri="http://schemas.openxmlformats.org/drawingml/2006/picture">
                      <pic:pic xmlns:pic="http://schemas.openxmlformats.org/drawingml/2006/picture">
                        <pic:nvPicPr>
                          <pic:cNvPr id="133" name="图片_48"/>
                          <pic:cNvPicPr/>
                        </pic:nvPicPr>
                        <pic:blipFill>
                          <a:blip r:embed="rId73"/>
                          <a:stretch>
                            <a:fillRect/>
                          </a:stretch>
                        </pic:blipFill>
                        <pic:spPr>
                          <a:xfrm>
                            <a:off x="0" y="0"/>
                            <a:ext cx="577215" cy="618490"/>
                          </a:xfrm>
                          <a:prstGeom prst="rect">
                            <a:avLst/>
                          </a:prstGeom>
                          <a:noFill/>
                          <a:ln>
                            <a:noFill/>
                          </a:ln>
                        </pic:spPr>
                      </pic:pic>
                    </a:graphicData>
                  </a:graphic>
                </wp:anchor>
              </w:drawing>
            </w:r>
          </w:p>
        </w:tc>
      </w:tr>
      <w:tr w14:paraId="740092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52D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F64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A4E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2FBC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E875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D9F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527B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286385</wp:posOffset>
                  </wp:positionH>
                  <wp:positionV relativeFrom="paragraph">
                    <wp:posOffset>3175</wp:posOffset>
                  </wp:positionV>
                  <wp:extent cx="271145" cy="516890"/>
                  <wp:effectExtent l="0" t="0" r="14605" b="16510"/>
                  <wp:wrapNone/>
                  <wp:docPr id="134" name="图片_19_SpCnt_6"/>
                  <wp:cNvGraphicFramePr/>
                  <a:graphic xmlns:a="http://schemas.openxmlformats.org/drawingml/2006/main">
                    <a:graphicData uri="http://schemas.openxmlformats.org/drawingml/2006/picture">
                      <pic:pic xmlns:pic="http://schemas.openxmlformats.org/drawingml/2006/picture">
                        <pic:nvPicPr>
                          <pic:cNvPr id="134" name="图片_19_SpCnt_6"/>
                          <pic:cNvPicPr/>
                        </pic:nvPicPr>
                        <pic:blipFill>
                          <a:blip r:embed="rId40"/>
                          <a:stretch>
                            <a:fillRect/>
                          </a:stretch>
                        </pic:blipFill>
                        <pic:spPr>
                          <a:xfrm>
                            <a:off x="0" y="0"/>
                            <a:ext cx="271145" cy="516890"/>
                          </a:xfrm>
                          <a:prstGeom prst="rect">
                            <a:avLst/>
                          </a:prstGeom>
                          <a:noFill/>
                          <a:ln>
                            <a:noFill/>
                          </a:ln>
                        </pic:spPr>
                      </pic:pic>
                    </a:graphicData>
                  </a:graphic>
                </wp:anchor>
              </w:drawing>
            </w:r>
          </w:p>
        </w:tc>
      </w:tr>
      <w:tr w14:paraId="44BE41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052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95CE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单向移门工作柜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27C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-单侧单移门，内分两层，重力脚φ50×150×1.2mm。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48C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417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A2F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3A7A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146050</wp:posOffset>
                  </wp:positionH>
                  <wp:positionV relativeFrom="paragraph">
                    <wp:posOffset>52070</wp:posOffset>
                  </wp:positionV>
                  <wp:extent cx="572770" cy="507365"/>
                  <wp:effectExtent l="0" t="0" r="17780" b="6985"/>
                  <wp:wrapNone/>
                  <wp:docPr id="135" name="图片_96"/>
                  <wp:cNvGraphicFramePr/>
                  <a:graphic xmlns:a="http://schemas.openxmlformats.org/drawingml/2006/main">
                    <a:graphicData uri="http://schemas.openxmlformats.org/drawingml/2006/picture">
                      <pic:pic xmlns:pic="http://schemas.openxmlformats.org/drawingml/2006/picture">
                        <pic:nvPicPr>
                          <pic:cNvPr id="135" name="图片_96"/>
                          <pic:cNvPicPr/>
                        </pic:nvPicPr>
                        <pic:blipFill>
                          <a:blip r:embed="rId74"/>
                          <a:stretch>
                            <a:fillRect/>
                          </a:stretch>
                        </pic:blipFill>
                        <pic:spPr>
                          <a:xfrm>
                            <a:off x="0" y="0"/>
                            <a:ext cx="572770" cy="507365"/>
                          </a:xfrm>
                          <a:prstGeom prst="rect">
                            <a:avLst/>
                          </a:prstGeom>
                          <a:noFill/>
                          <a:ln>
                            <a:noFill/>
                          </a:ln>
                        </pic:spPr>
                      </pic:pic>
                    </a:graphicData>
                  </a:graphic>
                </wp:anchor>
              </w:drawing>
            </w:r>
          </w:p>
        </w:tc>
      </w:tr>
      <w:tr w14:paraId="6C806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1CA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255A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52E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6C9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0A1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5E4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B7FB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174625</wp:posOffset>
                  </wp:positionH>
                  <wp:positionV relativeFrom="paragraph">
                    <wp:posOffset>14605</wp:posOffset>
                  </wp:positionV>
                  <wp:extent cx="519430" cy="494665"/>
                  <wp:effectExtent l="0" t="0" r="13970" b="635"/>
                  <wp:wrapNone/>
                  <wp:docPr id="136" name="图片_115"/>
                  <wp:cNvGraphicFramePr/>
                  <a:graphic xmlns:a="http://schemas.openxmlformats.org/drawingml/2006/main">
                    <a:graphicData uri="http://schemas.openxmlformats.org/drawingml/2006/picture">
                      <pic:pic xmlns:pic="http://schemas.openxmlformats.org/drawingml/2006/picture">
                        <pic:nvPicPr>
                          <pic:cNvPr id="136" name="图片_115"/>
                          <pic:cNvPicPr/>
                        </pic:nvPicPr>
                        <pic:blipFill>
                          <a:blip r:embed="rId75"/>
                          <a:stretch>
                            <a:fillRect/>
                          </a:stretch>
                        </pic:blipFill>
                        <pic:spPr>
                          <a:xfrm>
                            <a:off x="0" y="0"/>
                            <a:ext cx="519430" cy="494665"/>
                          </a:xfrm>
                          <a:prstGeom prst="rect">
                            <a:avLst/>
                          </a:prstGeom>
                          <a:noFill/>
                          <a:ln>
                            <a:noFill/>
                          </a:ln>
                        </pic:spPr>
                      </pic:pic>
                    </a:graphicData>
                  </a:graphic>
                </wp:anchor>
              </w:drawing>
            </w:r>
          </w:p>
        </w:tc>
      </w:tr>
      <w:tr w14:paraId="08EF7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EA7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533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DE3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9F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CD2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F340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5BE6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209550</wp:posOffset>
                  </wp:positionH>
                  <wp:positionV relativeFrom="paragraph">
                    <wp:posOffset>66675</wp:posOffset>
                  </wp:positionV>
                  <wp:extent cx="442595" cy="433705"/>
                  <wp:effectExtent l="0" t="0" r="14605" b="4445"/>
                  <wp:wrapNone/>
                  <wp:docPr id="137" name="图片_115_SpCnt_1"/>
                  <wp:cNvGraphicFramePr/>
                  <a:graphic xmlns:a="http://schemas.openxmlformats.org/drawingml/2006/main">
                    <a:graphicData uri="http://schemas.openxmlformats.org/drawingml/2006/picture">
                      <pic:pic xmlns:pic="http://schemas.openxmlformats.org/drawingml/2006/picture">
                        <pic:nvPicPr>
                          <pic:cNvPr id="137" name="图片_115_SpCnt_1"/>
                          <pic:cNvPicPr/>
                        </pic:nvPicPr>
                        <pic:blipFill>
                          <a:blip r:embed="rId75"/>
                          <a:stretch>
                            <a:fillRect/>
                          </a:stretch>
                        </pic:blipFill>
                        <pic:spPr>
                          <a:xfrm>
                            <a:off x="0" y="0"/>
                            <a:ext cx="442595" cy="433705"/>
                          </a:xfrm>
                          <a:prstGeom prst="rect">
                            <a:avLst/>
                          </a:prstGeom>
                          <a:noFill/>
                          <a:ln>
                            <a:noFill/>
                          </a:ln>
                        </pic:spPr>
                      </pic:pic>
                    </a:graphicData>
                  </a:graphic>
                </wp:anchor>
              </w:drawing>
            </w:r>
          </w:p>
        </w:tc>
      </w:tr>
      <w:tr w14:paraId="6F623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5CA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48B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电热保温售菜台</w:t>
            </w:r>
          </w:p>
          <w:p w14:paraId="78C3CE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（五斗）</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FB0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-配3KW/220V电热管、温控器，配1/1×100份数盘5只；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-配水位浮球开关，溢水口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-功率/电压：≧3KW/220V</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5A7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43CF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59F3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4DA5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166370</wp:posOffset>
                  </wp:positionH>
                  <wp:positionV relativeFrom="paragraph">
                    <wp:posOffset>-71755</wp:posOffset>
                  </wp:positionV>
                  <wp:extent cx="546100" cy="492125"/>
                  <wp:effectExtent l="0" t="0" r="6350" b="3175"/>
                  <wp:wrapNone/>
                  <wp:docPr id="138" name="图片_83_SpCnt_1"/>
                  <wp:cNvGraphicFramePr/>
                  <a:graphic xmlns:a="http://schemas.openxmlformats.org/drawingml/2006/main">
                    <a:graphicData uri="http://schemas.openxmlformats.org/drawingml/2006/picture">
                      <pic:pic xmlns:pic="http://schemas.openxmlformats.org/drawingml/2006/picture">
                        <pic:nvPicPr>
                          <pic:cNvPr id="138" name="图片_83_SpCnt_1"/>
                          <pic:cNvPicPr/>
                        </pic:nvPicPr>
                        <pic:blipFill>
                          <a:blip r:embed="rId76"/>
                          <a:stretch>
                            <a:fillRect/>
                          </a:stretch>
                        </pic:blipFill>
                        <pic:spPr>
                          <a:xfrm>
                            <a:off x="0" y="0"/>
                            <a:ext cx="546100" cy="492125"/>
                          </a:xfrm>
                          <a:prstGeom prst="rect">
                            <a:avLst/>
                          </a:prstGeom>
                          <a:noFill/>
                          <a:ln>
                            <a:noFill/>
                          </a:ln>
                        </pic:spPr>
                      </pic:pic>
                    </a:graphicData>
                  </a:graphic>
                </wp:anchor>
              </w:drawing>
            </w:r>
          </w:p>
        </w:tc>
      </w:tr>
      <w:tr w14:paraId="632C1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76B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8CA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二层送餐车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7D6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42A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800×600×900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1C89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226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CDA6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149225</wp:posOffset>
                  </wp:positionH>
                  <wp:positionV relativeFrom="paragraph">
                    <wp:posOffset>9525</wp:posOffset>
                  </wp:positionV>
                  <wp:extent cx="532130" cy="535940"/>
                  <wp:effectExtent l="0" t="0" r="1270" b="16510"/>
                  <wp:wrapNone/>
                  <wp:docPr id="139" name="图片_592"/>
                  <wp:cNvGraphicFramePr/>
                  <a:graphic xmlns:a="http://schemas.openxmlformats.org/drawingml/2006/main">
                    <a:graphicData uri="http://schemas.openxmlformats.org/drawingml/2006/picture">
                      <pic:pic xmlns:pic="http://schemas.openxmlformats.org/drawingml/2006/picture">
                        <pic:nvPicPr>
                          <pic:cNvPr id="139" name="图片_592"/>
                          <pic:cNvPicPr/>
                        </pic:nvPicPr>
                        <pic:blipFill>
                          <a:blip r:embed="rId77"/>
                          <a:stretch>
                            <a:fillRect/>
                          </a:stretch>
                        </pic:blipFill>
                        <pic:spPr>
                          <a:xfrm>
                            <a:off x="0" y="0"/>
                            <a:ext cx="532130" cy="535940"/>
                          </a:xfrm>
                          <a:prstGeom prst="rect">
                            <a:avLst/>
                          </a:prstGeom>
                          <a:noFill/>
                          <a:ln>
                            <a:noFill/>
                          </a:ln>
                        </pic:spPr>
                      </pic:pic>
                    </a:graphicData>
                  </a:graphic>
                </wp:anchor>
              </w:drawing>
            </w:r>
          </w:p>
        </w:tc>
      </w:tr>
      <w:tr w14:paraId="30602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7CB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51C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9EB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520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AD2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F69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EFC0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213995</wp:posOffset>
                  </wp:positionH>
                  <wp:positionV relativeFrom="paragraph">
                    <wp:posOffset>38100</wp:posOffset>
                  </wp:positionV>
                  <wp:extent cx="441325" cy="558800"/>
                  <wp:effectExtent l="0" t="0" r="15875" b="12700"/>
                  <wp:wrapNone/>
                  <wp:docPr id="140" name="图片_46_SpCnt_3"/>
                  <wp:cNvGraphicFramePr/>
                  <a:graphic xmlns:a="http://schemas.openxmlformats.org/drawingml/2006/main">
                    <a:graphicData uri="http://schemas.openxmlformats.org/drawingml/2006/picture">
                      <pic:pic xmlns:pic="http://schemas.openxmlformats.org/drawingml/2006/picture">
                        <pic:nvPicPr>
                          <pic:cNvPr id="140" name="图片_46_SpCnt_3"/>
                          <pic:cNvPicPr/>
                        </pic:nvPicPr>
                        <pic:blipFill>
                          <a:blip r:embed="rId78"/>
                          <a:stretch>
                            <a:fillRect/>
                          </a:stretch>
                        </pic:blipFill>
                        <pic:spPr>
                          <a:xfrm>
                            <a:off x="0" y="0"/>
                            <a:ext cx="441325" cy="558800"/>
                          </a:xfrm>
                          <a:prstGeom prst="rect">
                            <a:avLst/>
                          </a:prstGeom>
                          <a:noFill/>
                          <a:ln>
                            <a:noFill/>
                          </a:ln>
                        </pic:spPr>
                      </pic:pic>
                    </a:graphicData>
                  </a:graphic>
                </wp:anchor>
              </w:drawing>
            </w:r>
          </w:p>
        </w:tc>
      </w:tr>
      <w:tr w14:paraId="1C38DE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B0D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0C1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大单星浸泡池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598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-横通φ25×0.8mm，水龙头另计；加装进水口带阀门DN20</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ACA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2000×1000×(800+150)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DB5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340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6FF5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151765</wp:posOffset>
                  </wp:positionH>
                  <wp:positionV relativeFrom="paragraph">
                    <wp:posOffset>41275</wp:posOffset>
                  </wp:positionV>
                  <wp:extent cx="577215" cy="538480"/>
                  <wp:effectExtent l="0" t="0" r="13335" b="13970"/>
                  <wp:wrapNone/>
                  <wp:docPr id="141" name="图片_51_SpCnt_1"/>
                  <wp:cNvGraphicFramePr/>
                  <a:graphic xmlns:a="http://schemas.openxmlformats.org/drawingml/2006/main">
                    <a:graphicData uri="http://schemas.openxmlformats.org/drawingml/2006/picture">
                      <pic:pic xmlns:pic="http://schemas.openxmlformats.org/drawingml/2006/picture">
                        <pic:nvPicPr>
                          <pic:cNvPr id="141" name="图片_51_SpCnt_1"/>
                          <pic:cNvPicPr/>
                        </pic:nvPicPr>
                        <pic:blipFill>
                          <a:blip r:embed="rId39"/>
                          <a:stretch>
                            <a:fillRect/>
                          </a:stretch>
                        </pic:blipFill>
                        <pic:spPr>
                          <a:xfrm>
                            <a:off x="0" y="0"/>
                            <a:ext cx="577215" cy="538480"/>
                          </a:xfrm>
                          <a:prstGeom prst="rect">
                            <a:avLst/>
                          </a:prstGeom>
                          <a:noFill/>
                          <a:ln>
                            <a:noFill/>
                          </a:ln>
                        </pic:spPr>
                      </pic:pic>
                    </a:graphicData>
                  </a:graphic>
                </wp:anchor>
              </w:drawing>
            </w:r>
          </w:p>
        </w:tc>
      </w:tr>
      <w:tr w14:paraId="7C1515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9F6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675D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大单星浸泡池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CAE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60F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1200×1000×(800+150)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870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87E2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F103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117475</wp:posOffset>
                  </wp:positionH>
                  <wp:positionV relativeFrom="paragraph">
                    <wp:posOffset>49530</wp:posOffset>
                  </wp:positionV>
                  <wp:extent cx="636905" cy="512445"/>
                  <wp:effectExtent l="0" t="0" r="10795" b="1905"/>
                  <wp:wrapNone/>
                  <wp:docPr id="142" name="图片_51_SpCnt_2"/>
                  <wp:cNvGraphicFramePr/>
                  <a:graphic xmlns:a="http://schemas.openxmlformats.org/drawingml/2006/main">
                    <a:graphicData uri="http://schemas.openxmlformats.org/drawingml/2006/picture">
                      <pic:pic xmlns:pic="http://schemas.openxmlformats.org/drawingml/2006/picture">
                        <pic:nvPicPr>
                          <pic:cNvPr id="142" name="图片_51_SpCnt_2"/>
                          <pic:cNvPicPr/>
                        </pic:nvPicPr>
                        <pic:blipFill>
                          <a:blip r:embed="rId39"/>
                          <a:stretch>
                            <a:fillRect/>
                          </a:stretch>
                        </pic:blipFill>
                        <pic:spPr>
                          <a:xfrm>
                            <a:off x="0" y="0"/>
                            <a:ext cx="636905" cy="512445"/>
                          </a:xfrm>
                          <a:prstGeom prst="rect">
                            <a:avLst/>
                          </a:prstGeom>
                          <a:noFill/>
                          <a:ln>
                            <a:noFill/>
                          </a:ln>
                        </pic:spPr>
                      </pic:pic>
                    </a:graphicData>
                  </a:graphic>
                </wp:anchor>
              </w:drawing>
            </w:r>
          </w:p>
        </w:tc>
      </w:tr>
      <w:tr w14:paraId="028D0F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81D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0E0A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278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343BB">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935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569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0061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234315</wp:posOffset>
                  </wp:positionH>
                  <wp:positionV relativeFrom="paragraph">
                    <wp:posOffset>34925</wp:posOffset>
                  </wp:positionV>
                  <wp:extent cx="366395" cy="447675"/>
                  <wp:effectExtent l="0" t="0" r="14605" b="9525"/>
                  <wp:wrapNone/>
                  <wp:docPr id="143" name="图片_19_SpCnt_7"/>
                  <wp:cNvGraphicFramePr/>
                  <a:graphic xmlns:a="http://schemas.openxmlformats.org/drawingml/2006/main">
                    <a:graphicData uri="http://schemas.openxmlformats.org/drawingml/2006/picture">
                      <pic:pic xmlns:pic="http://schemas.openxmlformats.org/drawingml/2006/picture">
                        <pic:nvPicPr>
                          <pic:cNvPr id="143" name="图片_19_SpCnt_7"/>
                          <pic:cNvPicPr/>
                        </pic:nvPicPr>
                        <pic:blipFill>
                          <a:blip r:embed="rId40"/>
                          <a:stretch>
                            <a:fillRect/>
                          </a:stretch>
                        </pic:blipFill>
                        <pic:spPr>
                          <a:xfrm>
                            <a:off x="0" y="0"/>
                            <a:ext cx="366395" cy="447675"/>
                          </a:xfrm>
                          <a:prstGeom prst="rect">
                            <a:avLst/>
                          </a:prstGeom>
                          <a:noFill/>
                          <a:ln>
                            <a:noFill/>
                          </a:ln>
                        </pic:spPr>
                      </pic:pic>
                    </a:graphicData>
                  </a:graphic>
                </wp:anchor>
              </w:drawing>
            </w:r>
          </w:p>
        </w:tc>
      </w:tr>
      <w:tr w14:paraId="00B71C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826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6DB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B9A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4A017">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D86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BEC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0664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187960</wp:posOffset>
                  </wp:positionH>
                  <wp:positionV relativeFrom="paragraph">
                    <wp:posOffset>-15240</wp:posOffset>
                  </wp:positionV>
                  <wp:extent cx="483870" cy="588010"/>
                  <wp:effectExtent l="0" t="0" r="11430" b="2540"/>
                  <wp:wrapNone/>
                  <wp:docPr id="144" name="图片_2_SpCnt_9"/>
                  <wp:cNvGraphicFramePr/>
                  <a:graphic xmlns:a="http://schemas.openxmlformats.org/drawingml/2006/main">
                    <a:graphicData uri="http://schemas.openxmlformats.org/drawingml/2006/picture">
                      <pic:pic xmlns:pic="http://schemas.openxmlformats.org/drawingml/2006/picture">
                        <pic:nvPicPr>
                          <pic:cNvPr id="144" name="图片_2_SpCnt_9"/>
                          <pic:cNvPicPr/>
                        </pic:nvPicPr>
                        <pic:blipFill>
                          <a:blip r:embed="rId42"/>
                          <a:stretch>
                            <a:fillRect/>
                          </a:stretch>
                        </pic:blipFill>
                        <pic:spPr>
                          <a:xfrm>
                            <a:off x="0" y="0"/>
                            <a:ext cx="483870" cy="588010"/>
                          </a:xfrm>
                          <a:prstGeom prst="rect">
                            <a:avLst/>
                          </a:prstGeom>
                          <a:noFill/>
                          <a:ln>
                            <a:noFill/>
                          </a:ln>
                        </pic:spPr>
                      </pic:pic>
                    </a:graphicData>
                  </a:graphic>
                </wp:anchor>
              </w:drawing>
            </w:r>
          </w:p>
        </w:tc>
      </w:tr>
      <w:tr w14:paraId="3943F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594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BF7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0961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977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B6A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141D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A2BC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114300</wp:posOffset>
                  </wp:positionH>
                  <wp:positionV relativeFrom="paragraph">
                    <wp:posOffset>-27305</wp:posOffset>
                  </wp:positionV>
                  <wp:extent cx="640715" cy="596900"/>
                  <wp:effectExtent l="0" t="0" r="6985" b="12700"/>
                  <wp:wrapNone/>
                  <wp:docPr id="145" name="图片_74_SpCnt_1"/>
                  <wp:cNvGraphicFramePr/>
                  <a:graphic xmlns:a="http://schemas.openxmlformats.org/drawingml/2006/main">
                    <a:graphicData uri="http://schemas.openxmlformats.org/drawingml/2006/picture">
                      <pic:pic xmlns:pic="http://schemas.openxmlformats.org/drawingml/2006/picture">
                        <pic:nvPicPr>
                          <pic:cNvPr id="145" name="图片_74_SpCnt_1"/>
                          <pic:cNvPicPr/>
                        </pic:nvPicPr>
                        <pic:blipFill>
                          <a:blip r:embed="rId79"/>
                          <a:stretch>
                            <a:fillRect/>
                          </a:stretch>
                        </pic:blipFill>
                        <pic:spPr>
                          <a:xfrm>
                            <a:off x="0" y="0"/>
                            <a:ext cx="640715" cy="596900"/>
                          </a:xfrm>
                          <a:prstGeom prst="rect">
                            <a:avLst/>
                          </a:prstGeom>
                          <a:noFill/>
                          <a:ln>
                            <a:noFill/>
                          </a:ln>
                        </pic:spPr>
                      </pic:pic>
                    </a:graphicData>
                  </a:graphic>
                </wp:anchor>
              </w:drawing>
            </w:r>
          </w:p>
        </w:tc>
      </w:tr>
      <w:tr w14:paraId="5276D4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7B4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E66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F3F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9D6A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9C79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2D9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FBE2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96520</wp:posOffset>
                  </wp:positionH>
                  <wp:positionV relativeFrom="paragraph">
                    <wp:posOffset>24130</wp:posOffset>
                  </wp:positionV>
                  <wp:extent cx="674370" cy="588645"/>
                  <wp:effectExtent l="0" t="0" r="11430" b="1905"/>
                  <wp:wrapNone/>
                  <wp:docPr id="146" name="图片_74_SpCnt_2"/>
                  <wp:cNvGraphicFramePr/>
                  <a:graphic xmlns:a="http://schemas.openxmlformats.org/drawingml/2006/main">
                    <a:graphicData uri="http://schemas.openxmlformats.org/drawingml/2006/picture">
                      <pic:pic xmlns:pic="http://schemas.openxmlformats.org/drawingml/2006/picture">
                        <pic:nvPicPr>
                          <pic:cNvPr id="146" name="图片_74_SpCnt_2"/>
                          <pic:cNvPicPr/>
                        </pic:nvPicPr>
                        <pic:blipFill>
                          <a:blip r:embed="rId79"/>
                          <a:stretch>
                            <a:fillRect/>
                          </a:stretch>
                        </pic:blipFill>
                        <pic:spPr>
                          <a:xfrm>
                            <a:off x="0" y="0"/>
                            <a:ext cx="674370" cy="588645"/>
                          </a:xfrm>
                          <a:prstGeom prst="rect">
                            <a:avLst/>
                          </a:prstGeom>
                          <a:noFill/>
                          <a:ln>
                            <a:noFill/>
                          </a:ln>
                        </pic:spPr>
                      </pic:pic>
                    </a:graphicData>
                  </a:graphic>
                </wp:anchor>
              </w:drawing>
            </w:r>
          </w:p>
        </w:tc>
      </w:tr>
      <w:tr w14:paraId="28CB7E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C7E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08A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活动双层工作台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B50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6C3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683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A15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2473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192405</wp:posOffset>
                  </wp:positionH>
                  <wp:positionV relativeFrom="paragraph">
                    <wp:posOffset>38735</wp:posOffset>
                  </wp:positionV>
                  <wp:extent cx="509270" cy="481965"/>
                  <wp:effectExtent l="0" t="0" r="5080" b="13335"/>
                  <wp:wrapNone/>
                  <wp:docPr id="147" name="图片_79_SpCnt_1"/>
                  <wp:cNvGraphicFramePr/>
                  <a:graphic xmlns:a="http://schemas.openxmlformats.org/drawingml/2006/main">
                    <a:graphicData uri="http://schemas.openxmlformats.org/drawingml/2006/picture">
                      <pic:pic xmlns:pic="http://schemas.openxmlformats.org/drawingml/2006/picture">
                        <pic:nvPicPr>
                          <pic:cNvPr id="147" name="图片_79_SpCnt_1"/>
                          <pic:cNvPicPr/>
                        </pic:nvPicPr>
                        <pic:blipFill>
                          <a:blip r:embed="rId65"/>
                          <a:stretch>
                            <a:fillRect/>
                          </a:stretch>
                        </pic:blipFill>
                        <pic:spPr>
                          <a:xfrm>
                            <a:off x="0" y="0"/>
                            <a:ext cx="509270" cy="481965"/>
                          </a:xfrm>
                          <a:prstGeom prst="rect">
                            <a:avLst/>
                          </a:prstGeom>
                          <a:noFill/>
                          <a:ln>
                            <a:noFill/>
                          </a:ln>
                        </pic:spPr>
                      </pic:pic>
                    </a:graphicData>
                  </a:graphic>
                </wp:anchor>
              </w:drawing>
            </w:r>
          </w:p>
        </w:tc>
      </w:tr>
      <w:tr w14:paraId="43B8A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C17C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E36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4EC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AEC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10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A22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F508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207010</wp:posOffset>
                  </wp:positionH>
                  <wp:positionV relativeFrom="paragraph">
                    <wp:posOffset>25400</wp:posOffset>
                  </wp:positionV>
                  <wp:extent cx="451485" cy="322580"/>
                  <wp:effectExtent l="0" t="0" r="5715" b="1270"/>
                  <wp:wrapNone/>
                  <wp:docPr id="148" name="图片_13_SpCnt_2"/>
                  <wp:cNvGraphicFramePr/>
                  <a:graphic xmlns:a="http://schemas.openxmlformats.org/drawingml/2006/main">
                    <a:graphicData uri="http://schemas.openxmlformats.org/drawingml/2006/picture">
                      <pic:pic xmlns:pic="http://schemas.openxmlformats.org/drawingml/2006/picture">
                        <pic:nvPicPr>
                          <pic:cNvPr id="148" name="图片_13_SpCnt_2"/>
                          <pic:cNvPicPr/>
                        </pic:nvPicPr>
                        <pic:blipFill>
                          <a:blip r:embed="rId47"/>
                          <a:stretch>
                            <a:fillRect/>
                          </a:stretch>
                        </pic:blipFill>
                        <pic:spPr>
                          <a:xfrm>
                            <a:off x="0" y="0"/>
                            <a:ext cx="451485" cy="322580"/>
                          </a:xfrm>
                          <a:prstGeom prst="rect">
                            <a:avLst/>
                          </a:prstGeom>
                          <a:noFill/>
                          <a:ln>
                            <a:noFill/>
                          </a:ln>
                        </pic:spPr>
                      </pic:pic>
                    </a:graphicData>
                  </a:graphic>
                </wp:anchor>
              </w:drawing>
            </w:r>
          </w:p>
        </w:tc>
      </w:tr>
      <w:tr w14:paraId="4BEFD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852E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D0E2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88E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E808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约1500×182×221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444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8E8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4841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129540</wp:posOffset>
                  </wp:positionH>
                  <wp:positionV relativeFrom="paragraph">
                    <wp:posOffset>18415</wp:posOffset>
                  </wp:positionV>
                  <wp:extent cx="628650" cy="325755"/>
                  <wp:effectExtent l="0" t="0" r="0" b="17145"/>
                  <wp:wrapNone/>
                  <wp:docPr id="149" name="图片_756_SpCnt_3"/>
                  <wp:cNvGraphicFramePr/>
                  <a:graphic xmlns:a="http://schemas.openxmlformats.org/drawingml/2006/main">
                    <a:graphicData uri="http://schemas.openxmlformats.org/drawingml/2006/picture">
                      <pic:pic xmlns:pic="http://schemas.openxmlformats.org/drawingml/2006/picture">
                        <pic:nvPicPr>
                          <pic:cNvPr id="149" name="图片_756_SpCnt_3"/>
                          <pic:cNvPicPr/>
                        </pic:nvPicPr>
                        <pic:blipFill>
                          <a:blip r:embed="rId24"/>
                          <a:stretch>
                            <a:fillRect/>
                          </a:stretch>
                        </pic:blipFill>
                        <pic:spPr>
                          <a:xfrm>
                            <a:off x="0" y="0"/>
                            <a:ext cx="628650" cy="325755"/>
                          </a:xfrm>
                          <a:prstGeom prst="rect">
                            <a:avLst/>
                          </a:prstGeom>
                          <a:noFill/>
                          <a:ln>
                            <a:noFill/>
                          </a:ln>
                        </pic:spPr>
                      </pic:pic>
                    </a:graphicData>
                  </a:graphic>
                </wp:anchor>
              </w:drawing>
            </w:r>
          </w:p>
        </w:tc>
      </w:tr>
      <w:tr w14:paraId="2B56F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9FA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EBA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04B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3BE5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3E6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40D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1A8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164465</wp:posOffset>
                  </wp:positionH>
                  <wp:positionV relativeFrom="paragraph">
                    <wp:posOffset>24765</wp:posOffset>
                  </wp:positionV>
                  <wp:extent cx="511175" cy="451485"/>
                  <wp:effectExtent l="0" t="0" r="3175" b="5715"/>
                  <wp:wrapNone/>
                  <wp:docPr id="150" name="图片_2_SpCnt_10"/>
                  <wp:cNvGraphicFramePr/>
                  <a:graphic xmlns:a="http://schemas.openxmlformats.org/drawingml/2006/main">
                    <a:graphicData uri="http://schemas.openxmlformats.org/drawingml/2006/picture">
                      <pic:pic xmlns:pic="http://schemas.openxmlformats.org/drawingml/2006/picture">
                        <pic:nvPicPr>
                          <pic:cNvPr id="150" name="图片_2_SpCnt_10"/>
                          <pic:cNvPicPr/>
                        </pic:nvPicPr>
                        <pic:blipFill>
                          <a:blip r:embed="rId25"/>
                          <a:stretch>
                            <a:fillRect/>
                          </a:stretch>
                        </pic:blipFill>
                        <pic:spPr>
                          <a:xfrm>
                            <a:off x="0" y="0"/>
                            <a:ext cx="511175" cy="451485"/>
                          </a:xfrm>
                          <a:prstGeom prst="rect">
                            <a:avLst/>
                          </a:prstGeom>
                          <a:noFill/>
                          <a:ln>
                            <a:noFill/>
                          </a:ln>
                        </pic:spPr>
                      </pic:pic>
                    </a:graphicData>
                  </a:graphic>
                </wp:anchor>
              </w:drawing>
            </w:r>
          </w:p>
        </w:tc>
      </w:tr>
      <w:tr w14:paraId="1E248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29F9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908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不锈钢热风循环</w:t>
            </w:r>
          </w:p>
          <w:p w14:paraId="65B1D0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消毒房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7BE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-δ=1.2mm，加强筋δ=1.2mm，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-双层保温隔热不锈钢库板，全方位100℃高温循环消毒；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-消毒无死角，烘干更彻底，完全达到国家标准；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73C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约3100×4300×2400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B22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09C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5280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212090</wp:posOffset>
                  </wp:positionH>
                  <wp:positionV relativeFrom="paragraph">
                    <wp:posOffset>10795</wp:posOffset>
                  </wp:positionV>
                  <wp:extent cx="434340" cy="558165"/>
                  <wp:effectExtent l="0" t="0" r="3810" b="13335"/>
                  <wp:wrapNone/>
                  <wp:docPr id="151" name="图片_625"/>
                  <wp:cNvGraphicFramePr/>
                  <a:graphic xmlns:a="http://schemas.openxmlformats.org/drawingml/2006/main">
                    <a:graphicData uri="http://schemas.openxmlformats.org/drawingml/2006/picture">
                      <pic:pic xmlns:pic="http://schemas.openxmlformats.org/drawingml/2006/picture">
                        <pic:nvPicPr>
                          <pic:cNvPr id="151" name="图片_625"/>
                          <pic:cNvPicPr/>
                        </pic:nvPicPr>
                        <pic:blipFill>
                          <a:blip r:embed="rId80"/>
                          <a:stretch>
                            <a:fillRect/>
                          </a:stretch>
                        </pic:blipFill>
                        <pic:spPr>
                          <a:xfrm>
                            <a:off x="0" y="0"/>
                            <a:ext cx="434340" cy="558165"/>
                          </a:xfrm>
                          <a:prstGeom prst="rect">
                            <a:avLst/>
                          </a:prstGeom>
                          <a:noFill/>
                          <a:ln>
                            <a:noFill/>
                          </a:ln>
                        </pic:spPr>
                      </pic:pic>
                    </a:graphicData>
                  </a:graphic>
                </wp:anchor>
              </w:drawing>
            </w:r>
          </w:p>
        </w:tc>
      </w:tr>
      <w:tr w14:paraId="4C1E1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AFB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ABB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四层格栅货架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14D6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-栅格复边，围管25×38δ=1.0mm；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904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A484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EE51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E551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235585</wp:posOffset>
                  </wp:positionH>
                  <wp:positionV relativeFrom="paragraph">
                    <wp:posOffset>19050</wp:posOffset>
                  </wp:positionV>
                  <wp:extent cx="408940" cy="434975"/>
                  <wp:effectExtent l="0" t="0" r="10160" b="3175"/>
                  <wp:wrapNone/>
                  <wp:docPr id="152" name="图片_1_SpCnt_8"/>
                  <wp:cNvGraphicFramePr/>
                  <a:graphic xmlns:a="http://schemas.openxmlformats.org/drawingml/2006/main">
                    <a:graphicData uri="http://schemas.openxmlformats.org/drawingml/2006/picture">
                      <pic:pic xmlns:pic="http://schemas.openxmlformats.org/drawingml/2006/picture">
                        <pic:nvPicPr>
                          <pic:cNvPr id="152" name="图片_1_SpCnt_8"/>
                          <pic:cNvPicPr/>
                        </pic:nvPicPr>
                        <pic:blipFill>
                          <a:blip r:embed="rId27"/>
                          <a:stretch>
                            <a:fillRect/>
                          </a:stretch>
                        </pic:blipFill>
                        <pic:spPr>
                          <a:xfrm>
                            <a:off x="0" y="0"/>
                            <a:ext cx="408940" cy="434975"/>
                          </a:xfrm>
                          <a:prstGeom prst="rect">
                            <a:avLst/>
                          </a:prstGeom>
                          <a:noFill/>
                          <a:ln>
                            <a:noFill/>
                          </a:ln>
                        </pic:spPr>
                      </pic:pic>
                    </a:graphicData>
                  </a:graphic>
                </wp:anchor>
              </w:drawing>
            </w:r>
          </w:p>
        </w:tc>
      </w:tr>
      <w:tr w14:paraId="00C10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677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D097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消毒架车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105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δ=1.2mm，实厚δ≥1.14mm，加强筋δ≥0.94mm；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-30×30方管；配消毒框。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413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650×650×1735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B3DA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B19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118F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221615</wp:posOffset>
                  </wp:positionH>
                  <wp:positionV relativeFrom="paragraph">
                    <wp:posOffset>35560</wp:posOffset>
                  </wp:positionV>
                  <wp:extent cx="372110" cy="548640"/>
                  <wp:effectExtent l="0" t="0" r="8890" b="3810"/>
                  <wp:wrapNone/>
                  <wp:docPr id="153" name="图片_17_SpCnt_2"/>
                  <wp:cNvGraphicFramePr/>
                  <a:graphic xmlns:a="http://schemas.openxmlformats.org/drawingml/2006/main">
                    <a:graphicData uri="http://schemas.openxmlformats.org/drawingml/2006/picture">
                      <pic:pic xmlns:pic="http://schemas.openxmlformats.org/drawingml/2006/picture">
                        <pic:nvPicPr>
                          <pic:cNvPr id="153" name="图片_17_SpCnt_2"/>
                          <pic:cNvPicPr/>
                        </pic:nvPicPr>
                        <pic:blipFill>
                          <a:blip r:embed="rId81"/>
                          <a:stretch>
                            <a:fillRect/>
                          </a:stretch>
                        </pic:blipFill>
                        <pic:spPr>
                          <a:xfrm>
                            <a:off x="0" y="0"/>
                            <a:ext cx="372110" cy="548640"/>
                          </a:xfrm>
                          <a:prstGeom prst="rect">
                            <a:avLst/>
                          </a:prstGeom>
                          <a:noFill/>
                          <a:ln>
                            <a:noFill/>
                          </a:ln>
                        </pic:spPr>
                      </pic:pic>
                    </a:graphicData>
                  </a:graphic>
                </wp:anchor>
              </w:drawing>
            </w:r>
          </w:p>
        </w:tc>
      </w:tr>
      <w:tr w14:paraId="2E3E65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F13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2C11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泔水台车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46B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-配封闭式平板车带垃圾桶</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666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450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D2D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2BFD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124460</wp:posOffset>
                  </wp:positionH>
                  <wp:positionV relativeFrom="paragraph">
                    <wp:posOffset>62865</wp:posOffset>
                  </wp:positionV>
                  <wp:extent cx="591185" cy="573405"/>
                  <wp:effectExtent l="0" t="0" r="18415" b="17145"/>
                  <wp:wrapNone/>
                  <wp:docPr id="84" name="图片_9"/>
                  <wp:cNvGraphicFramePr/>
                  <a:graphic xmlns:a="http://schemas.openxmlformats.org/drawingml/2006/main">
                    <a:graphicData uri="http://schemas.openxmlformats.org/drawingml/2006/picture">
                      <pic:pic xmlns:pic="http://schemas.openxmlformats.org/drawingml/2006/picture">
                        <pic:nvPicPr>
                          <pic:cNvPr id="84" name="图片_9"/>
                          <pic:cNvPicPr/>
                        </pic:nvPicPr>
                        <pic:blipFill>
                          <a:blip r:embed="rId82"/>
                          <a:stretch>
                            <a:fillRect/>
                          </a:stretch>
                        </pic:blipFill>
                        <pic:spPr>
                          <a:xfrm>
                            <a:off x="0" y="0"/>
                            <a:ext cx="591185" cy="573405"/>
                          </a:xfrm>
                          <a:prstGeom prst="rect">
                            <a:avLst/>
                          </a:prstGeom>
                          <a:noFill/>
                          <a:ln>
                            <a:noFill/>
                          </a:ln>
                        </pic:spPr>
                      </pic:pic>
                    </a:graphicData>
                  </a:graphic>
                </wp:anchor>
              </w:drawing>
            </w:r>
          </w:p>
        </w:tc>
      </w:tr>
      <w:tr w14:paraId="21EFCD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8B7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B38F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双层收碗车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8A0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-面板δ=1.2mm；带沥水口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6AE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900×500×900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A68F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B5B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6F19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210185</wp:posOffset>
                  </wp:positionH>
                  <wp:positionV relativeFrom="paragraph">
                    <wp:posOffset>40005</wp:posOffset>
                  </wp:positionV>
                  <wp:extent cx="476250" cy="448945"/>
                  <wp:effectExtent l="0" t="0" r="0" b="8255"/>
                  <wp:wrapNone/>
                  <wp:docPr id="85" name="图片_567"/>
                  <wp:cNvGraphicFramePr/>
                  <a:graphic xmlns:a="http://schemas.openxmlformats.org/drawingml/2006/main">
                    <a:graphicData uri="http://schemas.openxmlformats.org/drawingml/2006/picture">
                      <pic:pic xmlns:pic="http://schemas.openxmlformats.org/drawingml/2006/picture">
                        <pic:nvPicPr>
                          <pic:cNvPr id="85" name="图片_567"/>
                          <pic:cNvPicPr/>
                        </pic:nvPicPr>
                        <pic:blipFill>
                          <a:blip r:embed="rId83"/>
                          <a:stretch>
                            <a:fillRect/>
                          </a:stretch>
                        </pic:blipFill>
                        <pic:spPr>
                          <a:xfrm>
                            <a:off x="0" y="0"/>
                            <a:ext cx="476250" cy="448945"/>
                          </a:xfrm>
                          <a:prstGeom prst="rect">
                            <a:avLst/>
                          </a:prstGeom>
                          <a:noFill/>
                          <a:ln>
                            <a:noFill/>
                          </a:ln>
                        </pic:spPr>
                      </pic:pic>
                    </a:graphicData>
                  </a:graphic>
                </wp:anchor>
              </w:drawing>
            </w:r>
          </w:p>
        </w:tc>
      </w:tr>
      <w:tr w14:paraId="39E73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B3DE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8B2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FFD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04D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约1800×182×221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0380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97A0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BCAE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138430</wp:posOffset>
                  </wp:positionH>
                  <wp:positionV relativeFrom="paragraph">
                    <wp:posOffset>31750</wp:posOffset>
                  </wp:positionV>
                  <wp:extent cx="628650" cy="334645"/>
                  <wp:effectExtent l="0" t="0" r="0" b="8255"/>
                  <wp:wrapNone/>
                  <wp:docPr id="86" name="图片_756_SpCnt_4"/>
                  <wp:cNvGraphicFramePr/>
                  <a:graphic xmlns:a="http://schemas.openxmlformats.org/drawingml/2006/main">
                    <a:graphicData uri="http://schemas.openxmlformats.org/drawingml/2006/picture">
                      <pic:pic xmlns:pic="http://schemas.openxmlformats.org/drawingml/2006/picture">
                        <pic:nvPicPr>
                          <pic:cNvPr id="86" name="图片_756_SpCnt_4"/>
                          <pic:cNvPicPr/>
                        </pic:nvPicPr>
                        <pic:blipFill>
                          <a:blip r:embed="rId24"/>
                          <a:stretch>
                            <a:fillRect/>
                          </a:stretch>
                        </pic:blipFill>
                        <pic:spPr>
                          <a:xfrm>
                            <a:off x="0" y="0"/>
                            <a:ext cx="628650" cy="334645"/>
                          </a:xfrm>
                          <a:prstGeom prst="rect">
                            <a:avLst/>
                          </a:prstGeom>
                          <a:noFill/>
                          <a:ln>
                            <a:noFill/>
                          </a:ln>
                        </pic:spPr>
                      </pic:pic>
                    </a:graphicData>
                  </a:graphic>
                </wp:anchor>
              </w:drawing>
            </w:r>
          </w:p>
        </w:tc>
      </w:tr>
      <w:tr w14:paraId="29774E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BA9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EE0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CB5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38E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EBD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7B9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7B41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181610</wp:posOffset>
                  </wp:positionH>
                  <wp:positionV relativeFrom="paragraph">
                    <wp:posOffset>-11430</wp:posOffset>
                  </wp:positionV>
                  <wp:extent cx="511175" cy="461645"/>
                  <wp:effectExtent l="0" t="0" r="3175" b="14605"/>
                  <wp:wrapNone/>
                  <wp:docPr id="87" name="图片_2_SpCnt_11"/>
                  <wp:cNvGraphicFramePr/>
                  <a:graphic xmlns:a="http://schemas.openxmlformats.org/drawingml/2006/main">
                    <a:graphicData uri="http://schemas.openxmlformats.org/drawingml/2006/picture">
                      <pic:pic xmlns:pic="http://schemas.openxmlformats.org/drawingml/2006/picture">
                        <pic:nvPicPr>
                          <pic:cNvPr id="87" name="图片_2_SpCnt_11"/>
                          <pic:cNvPicPr/>
                        </pic:nvPicPr>
                        <pic:blipFill>
                          <a:blip r:embed="rId25"/>
                          <a:stretch>
                            <a:fillRect/>
                          </a:stretch>
                        </pic:blipFill>
                        <pic:spPr>
                          <a:xfrm>
                            <a:off x="0" y="0"/>
                            <a:ext cx="511175" cy="461645"/>
                          </a:xfrm>
                          <a:prstGeom prst="rect">
                            <a:avLst/>
                          </a:prstGeom>
                          <a:noFill/>
                          <a:ln>
                            <a:noFill/>
                          </a:ln>
                        </pic:spPr>
                      </pic:pic>
                    </a:graphicData>
                  </a:graphic>
                </wp:anchor>
              </w:drawing>
            </w:r>
          </w:p>
        </w:tc>
      </w:tr>
      <w:tr w14:paraId="772DD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866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D80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不锈钢排烟管</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405D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-选用优质不锈钢板制作，板面五筋加强、阻燃密封处理；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-板厚δ=1.0mm，配不锈钢法兰，确保长期不漏油；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-变径、大小口等异形风管按展开面积1：2计算。</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B4028">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7FF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E6C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335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F86C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226060</wp:posOffset>
                  </wp:positionH>
                  <wp:positionV relativeFrom="paragraph">
                    <wp:posOffset>45085</wp:posOffset>
                  </wp:positionV>
                  <wp:extent cx="424180" cy="404495"/>
                  <wp:effectExtent l="0" t="0" r="13970" b="14605"/>
                  <wp:wrapNone/>
                  <wp:docPr id="88" name="图片_258"/>
                  <wp:cNvGraphicFramePr/>
                  <a:graphic xmlns:a="http://schemas.openxmlformats.org/drawingml/2006/main">
                    <a:graphicData uri="http://schemas.openxmlformats.org/drawingml/2006/picture">
                      <pic:pic xmlns:pic="http://schemas.openxmlformats.org/drawingml/2006/picture">
                        <pic:nvPicPr>
                          <pic:cNvPr id="88" name="图片_258"/>
                          <pic:cNvPicPr/>
                        </pic:nvPicPr>
                        <pic:blipFill>
                          <a:blip r:embed="rId84"/>
                          <a:stretch>
                            <a:fillRect/>
                          </a:stretch>
                        </pic:blipFill>
                        <pic:spPr>
                          <a:xfrm>
                            <a:off x="0" y="0"/>
                            <a:ext cx="424180" cy="404495"/>
                          </a:xfrm>
                          <a:prstGeom prst="rect">
                            <a:avLst/>
                          </a:prstGeom>
                          <a:noFill/>
                          <a:ln>
                            <a:noFill/>
                          </a:ln>
                        </pic:spPr>
                      </pic:pic>
                    </a:graphicData>
                  </a:graphic>
                </wp:anchor>
              </w:drawing>
            </w:r>
          </w:p>
        </w:tc>
      </w:tr>
      <w:tr w14:paraId="7F54BE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1A12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993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抽烟高压风柜</w:t>
            </w:r>
          </w:p>
          <w:p w14:paraId="156C30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（屋顶）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1EC3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-风量：23500-29500m³/h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 功率/电压：11KW/380V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1.加静音棉，槽钢底架，欧式皮带轮，检修方便；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2.采用高效率铜线电机，外置式结构，相对于铝芯电机散热性好，使用寿命增长；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3.叶轮选用低噪音设计，整个叶轮选用优质型材，由静止磨具加工而成，经动平衡校正和超速测试，质量可靠；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4.流量大，全高压，噪音低；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5.风叶免维护，解决了传统风机因油烟沾附风叶而清洗的烦恼</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85C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0F05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753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92D1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190500</wp:posOffset>
                  </wp:positionH>
                  <wp:positionV relativeFrom="paragraph">
                    <wp:posOffset>-97155</wp:posOffset>
                  </wp:positionV>
                  <wp:extent cx="457200" cy="759460"/>
                  <wp:effectExtent l="0" t="0" r="0" b="2540"/>
                  <wp:wrapNone/>
                  <wp:docPr id="89" name="图片_718"/>
                  <wp:cNvGraphicFramePr/>
                  <a:graphic xmlns:a="http://schemas.openxmlformats.org/drawingml/2006/main">
                    <a:graphicData uri="http://schemas.openxmlformats.org/drawingml/2006/picture">
                      <pic:pic xmlns:pic="http://schemas.openxmlformats.org/drawingml/2006/picture">
                        <pic:nvPicPr>
                          <pic:cNvPr id="89" name="图片_718"/>
                          <pic:cNvPicPr/>
                        </pic:nvPicPr>
                        <pic:blipFill>
                          <a:blip r:embed="rId85"/>
                          <a:stretch>
                            <a:fillRect/>
                          </a:stretch>
                        </pic:blipFill>
                        <pic:spPr>
                          <a:xfrm>
                            <a:off x="0" y="0"/>
                            <a:ext cx="457200" cy="759460"/>
                          </a:xfrm>
                          <a:prstGeom prst="rect">
                            <a:avLst/>
                          </a:prstGeom>
                          <a:noFill/>
                          <a:ln>
                            <a:noFill/>
                          </a:ln>
                        </pic:spPr>
                      </pic:pic>
                    </a:graphicData>
                  </a:graphic>
                </wp:anchor>
              </w:drawing>
            </w:r>
          </w:p>
        </w:tc>
      </w:tr>
      <w:tr w14:paraId="562B6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D63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AD8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抽烟高压风柜</w:t>
            </w:r>
          </w:p>
          <w:p w14:paraId="3150F1B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（屋顶）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BE3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-风量：9500-14500m³/h</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-电源电压：交流380V，50Hz 功率/电压：5.5KW/380V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特性</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1.加静音棉，槽钢底架，欧式皮带轮，检修方便；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2.采用高效率铜线电机，外置式结构，相对于铝芯电机散热性好，使用寿命增长；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3.叶轮选用低噪音设计，整个叶轮选用优质型材，由静止磨具加工而成，经动平衡校正和超速测试，质量可靠；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4.流量大，全高压，噪音低；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5.风叶免维护，解决了传统风机因油烟沾附风叶而清洗的烦恼</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593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D3F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D1E3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3B76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173355</wp:posOffset>
                  </wp:positionH>
                  <wp:positionV relativeFrom="paragraph">
                    <wp:posOffset>1905</wp:posOffset>
                  </wp:positionV>
                  <wp:extent cx="491490" cy="727075"/>
                  <wp:effectExtent l="0" t="0" r="3810" b="15875"/>
                  <wp:wrapNone/>
                  <wp:docPr id="90" name="图片_718_SpCnt_1"/>
                  <wp:cNvGraphicFramePr/>
                  <a:graphic xmlns:a="http://schemas.openxmlformats.org/drawingml/2006/main">
                    <a:graphicData uri="http://schemas.openxmlformats.org/drawingml/2006/picture">
                      <pic:pic xmlns:pic="http://schemas.openxmlformats.org/drawingml/2006/picture">
                        <pic:nvPicPr>
                          <pic:cNvPr id="90" name="图片_718_SpCnt_1"/>
                          <pic:cNvPicPr/>
                        </pic:nvPicPr>
                        <pic:blipFill>
                          <a:blip r:embed="rId85"/>
                          <a:stretch>
                            <a:fillRect/>
                          </a:stretch>
                        </pic:blipFill>
                        <pic:spPr>
                          <a:xfrm>
                            <a:off x="0" y="0"/>
                            <a:ext cx="491490" cy="727075"/>
                          </a:xfrm>
                          <a:prstGeom prst="rect">
                            <a:avLst/>
                          </a:prstGeom>
                          <a:noFill/>
                          <a:ln>
                            <a:noFill/>
                          </a:ln>
                        </pic:spPr>
                      </pic:pic>
                    </a:graphicData>
                  </a:graphic>
                </wp:anchor>
              </w:drawing>
            </w:r>
          </w:p>
        </w:tc>
      </w:tr>
      <w:tr w14:paraId="2FB598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1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7AA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334B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油烟净化器（屋顶）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D1A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1.产品结构为：平板式高低压静电结构；</w:t>
            </w:r>
          </w:p>
          <w:p w14:paraId="696E823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cs="宋体"/>
                <w:i w:val="0"/>
                <w:iCs w:val="0"/>
                <w:color w:val="000000"/>
                <w:kern w:val="0"/>
                <w:sz w:val="21"/>
                <w:szCs w:val="21"/>
                <w:highlight w:val="none"/>
                <w:u w:val="none"/>
                <w:lang w:val="en-US" w:eastAsia="zh-CN" w:bidi="ar"/>
              </w:rPr>
              <w:t>2</w:t>
            </w:r>
            <w:r>
              <w:rPr>
                <w:rFonts w:hint="eastAsia" w:ascii="宋体" w:hAnsi="宋体" w:eastAsia="宋体" w:cs="宋体"/>
                <w:i w:val="0"/>
                <w:iCs w:val="0"/>
                <w:color w:val="000000"/>
                <w:kern w:val="0"/>
                <w:sz w:val="21"/>
                <w:szCs w:val="21"/>
                <w:highlight w:val="none"/>
                <w:u w:val="none"/>
                <w:lang w:val="en-US" w:eastAsia="zh-CN" w:bidi="ar"/>
              </w:rPr>
              <w:t>.极板标准，单级电场的过风方向尺寸不低于355mm，双极电场过风方向尺寸不低于540mm高压和低压双极过滤；</w:t>
            </w:r>
          </w:p>
          <w:p w14:paraId="5BF9DD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3</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静电油烟净化器电离段为不锈钢结构，尖端放电片为线切割工艺，收集段材质为1060/3003标准铝合金，厚度不小于0.7mm；</w:t>
            </w:r>
          </w:p>
          <w:p w14:paraId="36C871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4</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净化器电源要求为：双闭环恒压自补偿型，具有独特的燃弧抑制保护技术，恒流工作，抗水雾工作；并具有击穿放电保护、短路保护、开路保护、过载保护、过压保护、防过冲保护和过热保护；高低压输出:高压10-18KV，低压5-9KV，全高压输出:10-18KV；</w:t>
            </w:r>
          </w:p>
          <w:p w14:paraId="39632E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kern w:val="0"/>
                <w:sz w:val="21"/>
                <w:szCs w:val="21"/>
                <w:highlight w:val="none"/>
                <w:u w:val="none"/>
                <w:lang w:val="en-US" w:eastAsia="zh-CN" w:bidi="ar"/>
              </w:rPr>
            </w:pPr>
            <w:r>
              <w:rPr>
                <w:rFonts w:hint="eastAsia" w:ascii="宋体" w:hAnsi="宋体" w:eastAsia="宋体" w:cs="宋体"/>
                <w:i w:val="0"/>
                <w:iCs w:val="0"/>
                <w:color w:val="000000"/>
                <w:kern w:val="0"/>
                <w:sz w:val="21"/>
                <w:szCs w:val="21"/>
                <w:highlight w:val="none"/>
                <w:u w:val="none"/>
                <w:lang w:val="en-US" w:eastAsia="zh-CN" w:bidi="ar"/>
              </w:rPr>
              <w:t>5</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净化器的最低净化效率不得低于95%，20000风量</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排放口油烟浓度小于1.0mg/m³；</w:t>
            </w:r>
          </w:p>
          <w:p w14:paraId="6E7F565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highlight w:val="none"/>
                <w:u w:val="none"/>
              </w:rPr>
            </w:pPr>
            <w:r>
              <w:rPr>
                <w:rFonts w:hint="eastAsia" w:ascii="宋体" w:hAnsi="宋体" w:eastAsia="宋体" w:cs="宋体"/>
                <w:i w:val="0"/>
                <w:iCs w:val="0"/>
                <w:color w:val="000000"/>
                <w:kern w:val="0"/>
                <w:sz w:val="21"/>
                <w:szCs w:val="21"/>
                <w:highlight w:val="none"/>
                <w:u w:val="none"/>
                <w:lang w:val="en-US" w:eastAsia="zh-CN" w:bidi="ar"/>
              </w:rPr>
              <w:t>6</w:t>
            </w:r>
            <w:r>
              <w:rPr>
                <w:rFonts w:hint="eastAsia" w:cs="宋体"/>
                <w:i w:val="0"/>
                <w:iCs w:val="0"/>
                <w:color w:val="000000"/>
                <w:kern w:val="0"/>
                <w:sz w:val="21"/>
                <w:szCs w:val="21"/>
                <w:highlight w:val="none"/>
                <w:u w:val="none"/>
                <w:lang w:val="en-US" w:eastAsia="zh-CN" w:bidi="ar"/>
              </w:rPr>
              <w:t>.</w:t>
            </w:r>
            <w:r>
              <w:rPr>
                <w:rFonts w:hint="eastAsia" w:ascii="宋体" w:hAnsi="宋体" w:eastAsia="宋体" w:cs="宋体"/>
                <w:i w:val="0"/>
                <w:iCs w:val="0"/>
                <w:color w:val="000000"/>
                <w:kern w:val="0"/>
                <w:sz w:val="21"/>
                <w:szCs w:val="21"/>
                <w:highlight w:val="none"/>
                <w:u w:val="none"/>
                <w:lang w:val="en-US" w:eastAsia="zh-CN" w:bidi="ar"/>
              </w:rPr>
              <w:t>环保要求：产品符合《中华人民共和国大气污染防治法》相关规定，为确保防治饮食业油烟对大气环境和居住环境的污染，产品符合国家环保总局制定的《饮食业油烟排放标准》，产品符合《浙江省大气污染防治条例》相关规定。</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3D5D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约1040×1175×1330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B22B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75F5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CFAA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146685</wp:posOffset>
                  </wp:positionH>
                  <wp:positionV relativeFrom="paragraph">
                    <wp:posOffset>-6985</wp:posOffset>
                  </wp:positionV>
                  <wp:extent cx="548005" cy="924560"/>
                  <wp:effectExtent l="0" t="0" r="4445" b="8890"/>
                  <wp:wrapNone/>
                  <wp:docPr id="91" name="图片_16"/>
                  <wp:cNvGraphicFramePr/>
                  <a:graphic xmlns:a="http://schemas.openxmlformats.org/drawingml/2006/main">
                    <a:graphicData uri="http://schemas.openxmlformats.org/drawingml/2006/picture">
                      <pic:pic xmlns:pic="http://schemas.openxmlformats.org/drawingml/2006/picture">
                        <pic:nvPicPr>
                          <pic:cNvPr id="91" name="图片_16"/>
                          <pic:cNvPicPr/>
                        </pic:nvPicPr>
                        <pic:blipFill>
                          <a:blip r:embed="rId86"/>
                          <a:stretch>
                            <a:fillRect/>
                          </a:stretch>
                        </pic:blipFill>
                        <pic:spPr>
                          <a:xfrm>
                            <a:off x="0" y="0"/>
                            <a:ext cx="548005" cy="924560"/>
                          </a:xfrm>
                          <a:prstGeom prst="rect">
                            <a:avLst/>
                          </a:prstGeom>
                          <a:noFill/>
                          <a:ln>
                            <a:noFill/>
                          </a:ln>
                        </pic:spPr>
                      </pic:pic>
                    </a:graphicData>
                  </a:graphic>
                </wp:anchor>
              </w:drawing>
            </w:r>
          </w:p>
        </w:tc>
      </w:tr>
      <w:tr w14:paraId="394793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7C6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2C8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排烟变频控制箱</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DEA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-功率/电压：5.5KW/380V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-起动方式：变频起动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-含相匹配的空开、变频器、过载保护、热保护、缺相保护、按钮启动及指示灯。</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61E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约500×400×250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863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F6CF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09AB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221615</wp:posOffset>
                  </wp:positionH>
                  <wp:positionV relativeFrom="paragraph">
                    <wp:posOffset>54610</wp:posOffset>
                  </wp:positionV>
                  <wp:extent cx="363220" cy="544195"/>
                  <wp:effectExtent l="0" t="0" r="17780" b="8255"/>
                  <wp:wrapNone/>
                  <wp:docPr id="92" name="图片_66"/>
                  <wp:cNvGraphicFramePr/>
                  <a:graphic xmlns:a="http://schemas.openxmlformats.org/drawingml/2006/main">
                    <a:graphicData uri="http://schemas.openxmlformats.org/drawingml/2006/picture">
                      <pic:pic xmlns:pic="http://schemas.openxmlformats.org/drawingml/2006/picture">
                        <pic:nvPicPr>
                          <pic:cNvPr id="92" name="图片_66"/>
                          <pic:cNvPicPr/>
                        </pic:nvPicPr>
                        <pic:blipFill>
                          <a:blip r:embed="rId87"/>
                          <a:stretch>
                            <a:fillRect/>
                          </a:stretch>
                        </pic:blipFill>
                        <pic:spPr>
                          <a:xfrm>
                            <a:off x="0" y="0"/>
                            <a:ext cx="363220" cy="544195"/>
                          </a:xfrm>
                          <a:prstGeom prst="rect">
                            <a:avLst/>
                          </a:prstGeom>
                          <a:noFill/>
                          <a:ln>
                            <a:noFill/>
                          </a:ln>
                        </pic:spPr>
                      </pic:pic>
                    </a:graphicData>
                  </a:graphic>
                </wp:anchor>
              </w:drawing>
            </w:r>
          </w:p>
        </w:tc>
      </w:tr>
      <w:tr w14:paraId="03F64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A814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DDD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排烟变频控制箱</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50E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-功率/电压：11KW/380V</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-起动方式：变频起动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-含相匹配的空开、变频器、过载保护、热保护、缺相保护、按钮启动及指示灯。</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4FB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约500×400×250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217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4EEB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FE91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230505</wp:posOffset>
                  </wp:positionH>
                  <wp:positionV relativeFrom="paragraph">
                    <wp:posOffset>72390</wp:posOffset>
                  </wp:positionV>
                  <wp:extent cx="363220" cy="544195"/>
                  <wp:effectExtent l="0" t="0" r="17780" b="8255"/>
                  <wp:wrapNone/>
                  <wp:docPr id="93" name="图片_66_SpCnt_1"/>
                  <wp:cNvGraphicFramePr/>
                  <a:graphic xmlns:a="http://schemas.openxmlformats.org/drawingml/2006/main">
                    <a:graphicData uri="http://schemas.openxmlformats.org/drawingml/2006/picture">
                      <pic:pic xmlns:pic="http://schemas.openxmlformats.org/drawingml/2006/picture">
                        <pic:nvPicPr>
                          <pic:cNvPr id="93" name="图片_66_SpCnt_1"/>
                          <pic:cNvPicPr/>
                        </pic:nvPicPr>
                        <pic:blipFill>
                          <a:blip r:embed="rId87"/>
                          <a:stretch>
                            <a:fillRect/>
                          </a:stretch>
                        </pic:blipFill>
                        <pic:spPr>
                          <a:xfrm>
                            <a:off x="0" y="0"/>
                            <a:ext cx="363220" cy="544195"/>
                          </a:xfrm>
                          <a:prstGeom prst="rect">
                            <a:avLst/>
                          </a:prstGeom>
                          <a:noFill/>
                          <a:ln>
                            <a:noFill/>
                          </a:ln>
                        </pic:spPr>
                      </pic:pic>
                    </a:graphicData>
                  </a:graphic>
                </wp:anchor>
              </w:drawing>
            </w:r>
          </w:p>
        </w:tc>
      </w:tr>
      <w:tr w14:paraId="07D03F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E42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5BC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不锈钢防火阀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9A8A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熔点150℃</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C8C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约200×1000×500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0022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4B6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B33E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252095</wp:posOffset>
                  </wp:positionH>
                  <wp:positionV relativeFrom="paragraph">
                    <wp:posOffset>60325</wp:posOffset>
                  </wp:positionV>
                  <wp:extent cx="314325" cy="347345"/>
                  <wp:effectExtent l="0" t="0" r="9525" b="14605"/>
                  <wp:wrapNone/>
                  <wp:docPr id="94" name="图片_254"/>
                  <wp:cNvGraphicFramePr/>
                  <a:graphic xmlns:a="http://schemas.openxmlformats.org/drawingml/2006/main">
                    <a:graphicData uri="http://schemas.openxmlformats.org/drawingml/2006/picture">
                      <pic:pic xmlns:pic="http://schemas.openxmlformats.org/drawingml/2006/picture">
                        <pic:nvPicPr>
                          <pic:cNvPr id="94" name="图片_254"/>
                          <pic:cNvPicPr/>
                        </pic:nvPicPr>
                        <pic:blipFill>
                          <a:blip r:embed="rId88"/>
                          <a:stretch>
                            <a:fillRect/>
                          </a:stretch>
                        </pic:blipFill>
                        <pic:spPr>
                          <a:xfrm>
                            <a:off x="0" y="0"/>
                            <a:ext cx="314325" cy="347345"/>
                          </a:xfrm>
                          <a:prstGeom prst="rect">
                            <a:avLst/>
                          </a:prstGeom>
                          <a:noFill/>
                          <a:ln>
                            <a:noFill/>
                          </a:ln>
                        </pic:spPr>
                      </pic:pic>
                    </a:graphicData>
                  </a:graphic>
                </wp:anchor>
              </w:drawing>
            </w:r>
          </w:p>
        </w:tc>
      </w:tr>
      <w:tr w14:paraId="22010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571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A216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不锈钢防火阀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1408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熔点150℃</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D20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约200×500×500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58F5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8A75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94B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260350</wp:posOffset>
                  </wp:positionH>
                  <wp:positionV relativeFrom="paragraph">
                    <wp:posOffset>51435</wp:posOffset>
                  </wp:positionV>
                  <wp:extent cx="314325" cy="321310"/>
                  <wp:effectExtent l="0" t="0" r="9525" b="2540"/>
                  <wp:wrapNone/>
                  <wp:docPr id="95" name="图片_254_SpCnt_1"/>
                  <wp:cNvGraphicFramePr/>
                  <a:graphic xmlns:a="http://schemas.openxmlformats.org/drawingml/2006/main">
                    <a:graphicData uri="http://schemas.openxmlformats.org/drawingml/2006/picture">
                      <pic:pic xmlns:pic="http://schemas.openxmlformats.org/drawingml/2006/picture">
                        <pic:nvPicPr>
                          <pic:cNvPr id="95" name="图片_254_SpCnt_1"/>
                          <pic:cNvPicPr/>
                        </pic:nvPicPr>
                        <pic:blipFill>
                          <a:blip r:embed="rId88"/>
                          <a:stretch>
                            <a:fillRect/>
                          </a:stretch>
                        </pic:blipFill>
                        <pic:spPr>
                          <a:xfrm>
                            <a:off x="0" y="0"/>
                            <a:ext cx="314325" cy="321310"/>
                          </a:xfrm>
                          <a:prstGeom prst="rect">
                            <a:avLst/>
                          </a:prstGeom>
                          <a:noFill/>
                          <a:ln>
                            <a:noFill/>
                          </a:ln>
                        </pic:spPr>
                      </pic:pic>
                    </a:graphicData>
                  </a:graphic>
                </wp:anchor>
              </w:drawing>
            </w:r>
          </w:p>
        </w:tc>
      </w:tr>
      <w:tr w14:paraId="36184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6C0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F1A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不锈钢消音器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DE1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制作工艺：焊缝必须适当磨平、磨光及作表面处理，使与焊接物齐整一致；焊接处不得出现气孔、砂眼、裂缝等不完整的地方，并应与焊接物颜色一致；最后表面纹理处理必须统一及圆滑，工艺质量良好。</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1C9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66F2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A1C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AB7F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104775</wp:posOffset>
                  </wp:positionV>
                  <wp:extent cx="505460" cy="377190"/>
                  <wp:effectExtent l="0" t="0" r="8890" b="3810"/>
                  <wp:wrapNone/>
                  <wp:docPr id="96" name="图片_261"/>
                  <wp:cNvGraphicFramePr/>
                  <a:graphic xmlns:a="http://schemas.openxmlformats.org/drawingml/2006/main">
                    <a:graphicData uri="http://schemas.openxmlformats.org/drawingml/2006/picture">
                      <pic:pic xmlns:pic="http://schemas.openxmlformats.org/drawingml/2006/picture">
                        <pic:nvPicPr>
                          <pic:cNvPr id="96" name="图片_261"/>
                          <pic:cNvPicPr/>
                        </pic:nvPicPr>
                        <pic:blipFill>
                          <a:blip r:embed="rId89"/>
                          <a:stretch>
                            <a:fillRect/>
                          </a:stretch>
                        </pic:blipFill>
                        <pic:spPr>
                          <a:xfrm>
                            <a:off x="0" y="0"/>
                            <a:ext cx="505460" cy="377190"/>
                          </a:xfrm>
                          <a:prstGeom prst="rect">
                            <a:avLst/>
                          </a:prstGeom>
                          <a:noFill/>
                          <a:ln>
                            <a:noFill/>
                          </a:ln>
                        </pic:spPr>
                      </pic:pic>
                    </a:graphicData>
                  </a:graphic>
                </wp:anchor>
              </w:drawing>
            </w:r>
          </w:p>
        </w:tc>
      </w:tr>
      <w:tr w14:paraId="0DC02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7E7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B95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不锈钢消音器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A2A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制作工艺：焊缝必须适当磨平、磨光及作表面处理，使与焊接物齐整一致；焊接处不得出现气孔、砂眼、裂缝等不完整的地方，并应与焊接物颜色一致；最后表面纹理处理必须统一及圆滑，工艺质量良好。</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606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约1200×650×650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1ACE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016E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0328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163830</wp:posOffset>
                  </wp:positionH>
                  <wp:positionV relativeFrom="paragraph">
                    <wp:posOffset>62230</wp:posOffset>
                  </wp:positionV>
                  <wp:extent cx="505460" cy="446405"/>
                  <wp:effectExtent l="0" t="0" r="8890" b="10795"/>
                  <wp:wrapNone/>
                  <wp:docPr id="97" name="图片_261_SpCnt_1"/>
                  <wp:cNvGraphicFramePr/>
                  <a:graphic xmlns:a="http://schemas.openxmlformats.org/drawingml/2006/main">
                    <a:graphicData uri="http://schemas.openxmlformats.org/drawingml/2006/picture">
                      <pic:pic xmlns:pic="http://schemas.openxmlformats.org/drawingml/2006/picture">
                        <pic:nvPicPr>
                          <pic:cNvPr id="97" name="图片_261_SpCnt_1"/>
                          <pic:cNvPicPr/>
                        </pic:nvPicPr>
                        <pic:blipFill>
                          <a:blip r:embed="rId89"/>
                          <a:stretch>
                            <a:fillRect/>
                          </a:stretch>
                        </pic:blipFill>
                        <pic:spPr>
                          <a:xfrm>
                            <a:off x="0" y="0"/>
                            <a:ext cx="505460" cy="446405"/>
                          </a:xfrm>
                          <a:prstGeom prst="rect">
                            <a:avLst/>
                          </a:prstGeom>
                          <a:noFill/>
                          <a:ln>
                            <a:noFill/>
                          </a:ln>
                        </pic:spPr>
                      </pic:pic>
                    </a:graphicData>
                  </a:graphic>
                </wp:anchor>
              </w:drawing>
            </w:r>
          </w:p>
        </w:tc>
      </w:tr>
      <w:tr w14:paraId="2F2359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C12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CFF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风柜减震垫</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BE4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优质橡胶材质，弹性好，抗腐蚀，铸铁外壳</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C11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200Kg</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F1D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632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4E51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203835</wp:posOffset>
                  </wp:positionH>
                  <wp:positionV relativeFrom="paragraph">
                    <wp:posOffset>27940</wp:posOffset>
                  </wp:positionV>
                  <wp:extent cx="431800" cy="347980"/>
                  <wp:effectExtent l="0" t="0" r="6350" b="13970"/>
                  <wp:wrapNone/>
                  <wp:docPr id="98" name="图片_567_SpCnt_1"/>
                  <wp:cNvGraphicFramePr/>
                  <a:graphic xmlns:a="http://schemas.openxmlformats.org/drawingml/2006/main">
                    <a:graphicData uri="http://schemas.openxmlformats.org/drawingml/2006/picture">
                      <pic:pic xmlns:pic="http://schemas.openxmlformats.org/drawingml/2006/picture">
                        <pic:nvPicPr>
                          <pic:cNvPr id="98" name="图片_567_SpCnt_1"/>
                          <pic:cNvPicPr/>
                        </pic:nvPicPr>
                        <pic:blipFill>
                          <a:blip r:embed="rId90"/>
                          <a:stretch>
                            <a:fillRect/>
                          </a:stretch>
                        </pic:blipFill>
                        <pic:spPr>
                          <a:xfrm>
                            <a:off x="0" y="0"/>
                            <a:ext cx="431800" cy="347980"/>
                          </a:xfrm>
                          <a:prstGeom prst="rect">
                            <a:avLst/>
                          </a:prstGeom>
                          <a:noFill/>
                          <a:ln>
                            <a:noFill/>
                          </a:ln>
                        </pic:spPr>
                      </pic:pic>
                    </a:graphicData>
                  </a:graphic>
                </wp:anchor>
              </w:drawing>
            </w:r>
          </w:p>
        </w:tc>
      </w:tr>
      <w:tr w14:paraId="241EB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A97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897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风柜减震垫</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9B96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优质橡胶材质，弹性好，抗腐蚀，铸铁外壳</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A85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150Kg</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7BC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B55E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2160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229870</wp:posOffset>
                  </wp:positionH>
                  <wp:positionV relativeFrom="paragraph">
                    <wp:posOffset>27940</wp:posOffset>
                  </wp:positionV>
                  <wp:extent cx="431800" cy="287655"/>
                  <wp:effectExtent l="0" t="0" r="6350" b="17145"/>
                  <wp:wrapNone/>
                  <wp:docPr id="99" name="图片_567_SpCnt_2"/>
                  <wp:cNvGraphicFramePr/>
                  <a:graphic xmlns:a="http://schemas.openxmlformats.org/drawingml/2006/main">
                    <a:graphicData uri="http://schemas.openxmlformats.org/drawingml/2006/picture">
                      <pic:pic xmlns:pic="http://schemas.openxmlformats.org/drawingml/2006/picture">
                        <pic:nvPicPr>
                          <pic:cNvPr id="99" name="图片_567_SpCnt_2"/>
                          <pic:cNvPicPr/>
                        </pic:nvPicPr>
                        <pic:blipFill>
                          <a:blip r:embed="rId90"/>
                          <a:stretch>
                            <a:fillRect/>
                          </a:stretch>
                        </pic:blipFill>
                        <pic:spPr>
                          <a:xfrm>
                            <a:off x="0" y="0"/>
                            <a:ext cx="431800" cy="287655"/>
                          </a:xfrm>
                          <a:prstGeom prst="rect">
                            <a:avLst/>
                          </a:prstGeom>
                          <a:noFill/>
                          <a:ln>
                            <a:noFill/>
                          </a:ln>
                        </pic:spPr>
                      </pic:pic>
                    </a:graphicData>
                  </a:graphic>
                </wp:anchor>
              </w:drawing>
            </w:r>
          </w:p>
        </w:tc>
      </w:tr>
      <w:tr w14:paraId="7398D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04F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242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五金配件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1CD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管道内支架、螺丝、卡扣等</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D1DAE">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968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411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657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14:paraId="33A4E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69F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076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风管密封处理</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400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防火 抗腐蚀。</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F2C88">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185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35A0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A8E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14:paraId="74947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16A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D646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吊车费用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88FF2">
            <w:pPr>
              <w:keepNext w:val="0"/>
              <w:keepLines w:val="0"/>
              <w:pageBreakBefore w:val="0"/>
              <w:widowControl/>
              <w:kinsoku/>
              <w:wordWrap/>
              <w:overflowPunct/>
              <w:topLinePunct w:val="0"/>
              <w:autoSpaceDE/>
              <w:autoSpaceDN/>
              <w:bidi w:val="0"/>
              <w:adjustRightInd/>
              <w:snapToGrid/>
              <w:spacing w:line="300" w:lineRule="exact"/>
              <w:jc w:val="left"/>
              <w:rPr>
                <w:rFonts w:hint="eastAsia" w:ascii="宋体" w:hAnsi="宋体" w:eastAsia="宋体" w:cs="宋体"/>
                <w:i w:val="0"/>
                <w:iCs w:val="0"/>
                <w:color w:val="FF0000"/>
                <w:sz w:val="21"/>
                <w:szCs w:val="21"/>
                <w:u w:val="none"/>
              </w:rPr>
            </w:pP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4F51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89F2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80B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3BE8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t>
            </w:r>
          </w:p>
        </w:tc>
      </w:tr>
      <w:tr w14:paraId="243CB0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F16F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8F9A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挂墙洗手池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069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-感应水龙头另计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759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410×410×(200+100)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314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8E9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BB74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160655</wp:posOffset>
                  </wp:positionH>
                  <wp:positionV relativeFrom="paragraph">
                    <wp:posOffset>0</wp:posOffset>
                  </wp:positionV>
                  <wp:extent cx="582295" cy="526415"/>
                  <wp:effectExtent l="0" t="0" r="8255" b="6985"/>
                  <wp:wrapNone/>
                  <wp:docPr id="100" name="图片_130_SpCnt_2"/>
                  <wp:cNvGraphicFramePr/>
                  <a:graphic xmlns:a="http://schemas.openxmlformats.org/drawingml/2006/main">
                    <a:graphicData uri="http://schemas.openxmlformats.org/drawingml/2006/picture">
                      <pic:pic xmlns:pic="http://schemas.openxmlformats.org/drawingml/2006/picture">
                        <pic:nvPicPr>
                          <pic:cNvPr id="100" name="图片_130_SpCnt_2"/>
                          <pic:cNvPicPr/>
                        </pic:nvPicPr>
                        <pic:blipFill>
                          <a:blip r:embed="rId70"/>
                          <a:stretch>
                            <a:fillRect/>
                          </a:stretch>
                        </pic:blipFill>
                        <pic:spPr>
                          <a:xfrm>
                            <a:off x="0" y="0"/>
                            <a:ext cx="582295" cy="526415"/>
                          </a:xfrm>
                          <a:prstGeom prst="rect">
                            <a:avLst/>
                          </a:prstGeom>
                          <a:noFill/>
                          <a:ln>
                            <a:noFill/>
                          </a:ln>
                        </pic:spPr>
                      </pic:pic>
                    </a:graphicData>
                  </a:graphic>
                </wp:anchor>
              </w:drawing>
            </w:r>
          </w:p>
        </w:tc>
      </w:tr>
      <w:tr w14:paraId="3BAD5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9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0ECC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324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4C4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1.外形尺寸：160×62×169(mm)±5%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2.工作电压：1.5V×4（四节五号干电池）；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3.工作水压：0.1-0.6MP55 可接冷热混水，出水温度可调；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4.开孔径：32mm；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5.台式安装黄铜铸造水嘴，表面镀铬处理；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7062F">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3DDC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28F4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276C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127635</wp:posOffset>
                  </wp:positionH>
                  <wp:positionV relativeFrom="paragraph">
                    <wp:posOffset>3810</wp:posOffset>
                  </wp:positionV>
                  <wp:extent cx="601345" cy="591820"/>
                  <wp:effectExtent l="0" t="0" r="8255" b="17780"/>
                  <wp:wrapNone/>
                  <wp:docPr id="101" name="图片_1_SpCnt_9"/>
                  <wp:cNvGraphicFramePr/>
                  <a:graphic xmlns:a="http://schemas.openxmlformats.org/drawingml/2006/main">
                    <a:graphicData uri="http://schemas.openxmlformats.org/drawingml/2006/picture">
                      <pic:pic xmlns:pic="http://schemas.openxmlformats.org/drawingml/2006/picture">
                        <pic:nvPicPr>
                          <pic:cNvPr id="101" name="图片_1_SpCnt_9"/>
                          <pic:cNvPicPr/>
                        </pic:nvPicPr>
                        <pic:blipFill>
                          <a:blip r:embed="rId29"/>
                          <a:stretch>
                            <a:fillRect/>
                          </a:stretch>
                        </pic:blipFill>
                        <pic:spPr>
                          <a:xfrm>
                            <a:off x="0" y="0"/>
                            <a:ext cx="601345" cy="591820"/>
                          </a:xfrm>
                          <a:prstGeom prst="rect">
                            <a:avLst/>
                          </a:prstGeom>
                          <a:noFill/>
                          <a:ln>
                            <a:noFill/>
                          </a:ln>
                        </pic:spPr>
                      </pic:pic>
                    </a:graphicData>
                  </a:graphic>
                </wp:anchor>
              </w:drawing>
            </w:r>
          </w:p>
        </w:tc>
      </w:tr>
      <w:tr w14:paraId="441C7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93D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50C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感应烘手器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E26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-配备红外自动感应系统和高级芯片控制技术，性能稳定，控制效果精准。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-连续感应测试超过30万次运全新轻巧设计，款式时尚。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-高速动力设计，干手使用5~9秒。</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-采用防火工程塑料。环保、安全、超时保暖。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-可切换凉风/热风，因不同季节调节。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7F5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约250×165×470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0536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3FB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538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226060</wp:posOffset>
                  </wp:positionH>
                  <wp:positionV relativeFrom="paragraph">
                    <wp:posOffset>-70485</wp:posOffset>
                  </wp:positionV>
                  <wp:extent cx="409575" cy="706120"/>
                  <wp:effectExtent l="0" t="0" r="9525" b="17780"/>
                  <wp:wrapNone/>
                  <wp:docPr id="102" name="图片_566_SpCnt_2"/>
                  <wp:cNvGraphicFramePr/>
                  <a:graphic xmlns:a="http://schemas.openxmlformats.org/drawingml/2006/main">
                    <a:graphicData uri="http://schemas.openxmlformats.org/drawingml/2006/picture">
                      <pic:pic xmlns:pic="http://schemas.openxmlformats.org/drawingml/2006/picture">
                        <pic:nvPicPr>
                          <pic:cNvPr id="102" name="图片_566_SpCnt_2"/>
                          <pic:cNvPicPr/>
                        </pic:nvPicPr>
                        <pic:blipFill>
                          <a:blip r:embed="rId30"/>
                          <a:stretch>
                            <a:fillRect/>
                          </a:stretch>
                        </pic:blipFill>
                        <pic:spPr>
                          <a:xfrm>
                            <a:off x="0" y="0"/>
                            <a:ext cx="409575" cy="706120"/>
                          </a:xfrm>
                          <a:prstGeom prst="rect">
                            <a:avLst/>
                          </a:prstGeom>
                          <a:noFill/>
                          <a:ln>
                            <a:noFill/>
                          </a:ln>
                        </pic:spPr>
                      </pic:pic>
                    </a:graphicData>
                  </a:graphic>
                </wp:anchor>
              </w:drawing>
            </w:r>
          </w:p>
        </w:tc>
      </w:tr>
      <w:tr w14:paraId="3F074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EE2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70F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感应式酒精喷雾</w:t>
            </w:r>
          </w:p>
          <w:p w14:paraId="3CB034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手部消毒器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6677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-容量：1500ml</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-智能感应，定量喷淋，健康安全</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A040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约230×150×600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FE3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DF51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5B4A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243840</wp:posOffset>
                  </wp:positionH>
                  <wp:positionV relativeFrom="paragraph">
                    <wp:posOffset>53975</wp:posOffset>
                  </wp:positionV>
                  <wp:extent cx="354965" cy="474345"/>
                  <wp:effectExtent l="0" t="0" r="6985" b="1905"/>
                  <wp:wrapNone/>
                  <wp:docPr id="103" name="图片_613_SpCnt_2"/>
                  <wp:cNvGraphicFramePr/>
                  <a:graphic xmlns:a="http://schemas.openxmlformats.org/drawingml/2006/main">
                    <a:graphicData uri="http://schemas.openxmlformats.org/drawingml/2006/picture">
                      <pic:pic xmlns:pic="http://schemas.openxmlformats.org/drawingml/2006/picture">
                        <pic:nvPicPr>
                          <pic:cNvPr id="103" name="图片_613_SpCnt_2"/>
                          <pic:cNvPicPr/>
                        </pic:nvPicPr>
                        <pic:blipFill>
                          <a:blip r:embed="rId31"/>
                          <a:stretch>
                            <a:fillRect/>
                          </a:stretch>
                        </pic:blipFill>
                        <pic:spPr>
                          <a:xfrm>
                            <a:off x="0" y="0"/>
                            <a:ext cx="354965" cy="474345"/>
                          </a:xfrm>
                          <a:prstGeom prst="rect">
                            <a:avLst/>
                          </a:prstGeom>
                          <a:noFill/>
                          <a:ln>
                            <a:noFill/>
                          </a:ln>
                        </pic:spPr>
                      </pic:pic>
                    </a:graphicData>
                  </a:graphic>
                </wp:anchor>
              </w:drawing>
            </w:r>
          </w:p>
        </w:tc>
      </w:tr>
      <w:tr w14:paraId="2ED83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EA2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0028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挂衣架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793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-圆管δ=1.0mm ，固定在墙面</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3E6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L=1000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8680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92EE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0F54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193675</wp:posOffset>
                  </wp:positionH>
                  <wp:positionV relativeFrom="paragraph">
                    <wp:posOffset>15240</wp:posOffset>
                  </wp:positionV>
                  <wp:extent cx="442595" cy="279400"/>
                  <wp:effectExtent l="0" t="0" r="14605" b="6350"/>
                  <wp:wrapNone/>
                  <wp:docPr id="104" name="图片_108_SpCnt_2"/>
                  <wp:cNvGraphicFramePr/>
                  <a:graphic xmlns:a="http://schemas.openxmlformats.org/drawingml/2006/main">
                    <a:graphicData uri="http://schemas.openxmlformats.org/drawingml/2006/picture">
                      <pic:pic xmlns:pic="http://schemas.openxmlformats.org/drawingml/2006/picture">
                        <pic:nvPicPr>
                          <pic:cNvPr id="104" name="图片_108_SpCnt_2"/>
                          <pic:cNvPicPr/>
                        </pic:nvPicPr>
                        <pic:blipFill>
                          <a:blip r:embed="rId32"/>
                          <a:stretch>
                            <a:fillRect/>
                          </a:stretch>
                        </pic:blipFill>
                        <pic:spPr>
                          <a:xfrm>
                            <a:off x="0" y="0"/>
                            <a:ext cx="442595" cy="279400"/>
                          </a:xfrm>
                          <a:prstGeom prst="rect">
                            <a:avLst/>
                          </a:prstGeom>
                          <a:noFill/>
                          <a:ln>
                            <a:noFill/>
                          </a:ln>
                        </pic:spPr>
                      </pic:pic>
                    </a:graphicData>
                  </a:graphic>
                </wp:anchor>
              </w:drawing>
            </w:r>
          </w:p>
        </w:tc>
      </w:tr>
      <w:tr w14:paraId="4AE36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959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C10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紫外线杀菌灯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84C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-TUV消毒灯是具有管状的玻璃外壳的低压汞气放电灯，发射短波紫外辐射，起到杀菌的作用；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-玻璃外壳把会产生臭氧的波长为185nm的辐射过滤掉；</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-管壁内的保护涂层可以防止UV-C辐射的衰减。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-使用UV-C灯的设备必须要有严格的防护措施，避免紫外光外泄直接照射人体。</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3D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约1213×28×28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330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盏</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58B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3F3B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117475</wp:posOffset>
                  </wp:positionH>
                  <wp:positionV relativeFrom="paragraph">
                    <wp:posOffset>-53975</wp:posOffset>
                  </wp:positionV>
                  <wp:extent cx="617855" cy="535940"/>
                  <wp:effectExtent l="0" t="0" r="10795" b="16510"/>
                  <wp:wrapNone/>
                  <wp:docPr id="105" name="图片_1_SpCnt_10"/>
                  <wp:cNvGraphicFramePr/>
                  <a:graphic xmlns:a="http://schemas.openxmlformats.org/drawingml/2006/main">
                    <a:graphicData uri="http://schemas.openxmlformats.org/drawingml/2006/picture">
                      <pic:pic xmlns:pic="http://schemas.openxmlformats.org/drawingml/2006/picture">
                        <pic:nvPicPr>
                          <pic:cNvPr id="105" name="图片_1_SpCnt_10"/>
                          <pic:cNvPicPr/>
                        </pic:nvPicPr>
                        <pic:blipFill>
                          <a:blip r:embed="rId71"/>
                          <a:stretch>
                            <a:fillRect/>
                          </a:stretch>
                        </pic:blipFill>
                        <pic:spPr>
                          <a:xfrm>
                            <a:off x="0" y="0"/>
                            <a:ext cx="617855" cy="535940"/>
                          </a:xfrm>
                          <a:prstGeom prst="rect">
                            <a:avLst/>
                          </a:prstGeom>
                          <a:noFill/>
                          <a:ln>
                            <a:noFill/>
                          </a:ln>
                        </pic:spPr>
                      </pic:pic>
                    </a:graphicData>
                  </a:graphic>
                </wp:anchor>
              </w:drawing>
            </w:r>
          </w:p>
        </w:tc>
      </w:tr>
      <w:tr w14:paraId="07EC8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2E9D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4AA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四层平板架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14A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-层板δ=1.0mm，下衬加宽加强；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116F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1200×500×1550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7686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0091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C8B5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231140</wp:posOffset>
                  </wp:positionH>
                  <wp:positionV relativeFrom="paragraph">
                    <wp:posOffset>47625</wp:posOffset>
                  </wp:positionV>
                  <wp:extent cx="429895" cy="456565"/>
                  <wp:effectExtent l="0" t="0" r="8255" b="635"/>
                  <wp:wrapNone/>
                  <wp:docPr id="106" name="图片_97_SpCnt_3"/>
                  <wp:cNvGraphicFramePr/>
                  <a:graphic xmlns:a="http://schemas.openxmlformats.org/drawingml/2006/main">
                    <a:graphicData uri="http://schemas.openxmlformats.org/drawingml/2006/picture">
                      <pic:pic xmlns:pic="http://schemas.openxmlformats.org/drawingml/2006/picture">
                        <pic:nvPicPr>
                          <pic:cNvPr id="106" name="图片_97_SpCnt_3"/>
                          <pic:cNvPicPr/>
                        </pic:nvPicPr>
                        <pic:blipFill>
                          <a:blip r:embed="rId35"/>
                          <a:stretch>
                            <a:fillRect/>
                          </a:stretch>
                        </pic:blipFill>
                        <pic:spPr>
                          <a:xfrm>
                            <a:off x="0" y="0"/>
                            <a:ext cx="429895" cy="456565"/>
                          </a:xfrm>
                          <a:prstGeom prst="rect">
                            <a:avLst/>
                          </a:prstGeom>
                          <a:noFill/>
                          <a:ln>
                            <a:noFill/>
                          </a:ln>
                        </pic:spPr>
                      </pic:pic>
                    </a:graphicData>
                  </a:graphic>
                </wp:anchor>
              </w:drawing>
            </w:r>
          </w:p>
        </w:tc>
      </w:tr>
      <w:tr w14:paraId="2B42D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929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C20A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单星水池柜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965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-无底板，单侧掩门，水龙头另计</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F59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87E8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0879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8776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133350</wp:posOffset>
                  </wp:positionH>
                  <wp:positionV relativeFrom="paragraph">
                    <wp:posOffset>37465</wp:posOffset>
                  </wp:positionV>
                  <wp:extent cx="594360" cy="618490"/>
                  <wp:effectExtent l="0" t="0" r="15240" b="10160"/>
                  <wp:wrapNone/>
                  <wp:docPr id="107" name="图片_48_SpCnt_1"/>
                  <wp:cNvGraphicFramePr/>
                  <a:graphic xmlns:a="http://schemas.openxmlformats.org/drawingml/2006/main">
                    <a:graphicData uri="http://schemas.openxmlformats.org/drawingml/2006/picture">
                      <pic:pic xmlns:pic="http://schemas.openxmlformats.org/drawingml/2006/picture">
                        <pic:nvPicPr>
                          <pic:cNvPr id="107" name="图片_48_SpCnt_1"/>
                          <pic:cNvPicPr/>
                        </pic:nvPicPr>
                        <pic:blipFill>
                          <a:blip r:embed="rId73"/>
                          <a:stretch>
                            <a:fillRect/>
                          </a:stretch>
                        </pic:blipFill>
                        <pic:spPr>
                          <a:xfrm>
                            <a:off x="0" y="0"/>
                            <a:ext cx="594360" cy="618490"/>
                          </a:xfrm>
                          <a:prstGeom prst="rect">
                            <a:avLst/>
                          </a:prstGeom>
                          <a:noFill/>
                          <a:ln>
                            <a:noFill/>
                          </a:ln>
                        </pic:spPr>
                      </pic:pic>
                    </a:graphicData>
                  </a:graphic>
                </wp:anchor>
              </w:drawing>
            </w:r>
          </w:p>
        </w:tc>
      </w:tr>
      <w:tr w14:paraId="7D20C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8D1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AC28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42A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3D3FA">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080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A423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327C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251460</wp:posOffset>
                  </wp:positionH>
                  <wp:positionV relativeFrom="paragraph">
                    <wp:posOffset>71755</wp:posOffset>
                  </wp:positionV>
                  <wp:extent cx="365760" cy="447675"/>
                  <wp:effectExtent l="0" t="0" r="15240" b="9525"/>
                  <wp:wrapNone/>
                  <wp:docPr id="108" name="图片_19_SpCnt_8"/>
                  <wp:cNvGraphicFramePr/>
                  <a:graphic xmlns:a="http://schemas.openxmlformats.org/drawingml/2006/main">
                    <a:graphicData uri="http://schemas.openxmlformats.org/drawingml/2006/picture">
                      <pic:pic xmlns:pic="http://schemas.openxmlformats.org/drawingml/2006/picture">
                        <pic:nvPicPr>
                          <pic:cNvPr id="108" name="图片_19_SpCnt_8"/>
                          <pic:cNvPicPr/>
                        </pic:nvPicPr>
                        <pic:blipFill>
                          <a:blip r:embed="rId40"/>
                          <a:stretch>
                            <a:fillRect/>
                          </a:stretch>
                        </pic:blipFill>
                        <pic:spPr>
                          <a:xfrm>
                            <a:off x="0" y="0"/>
                            <a:ext cx="365760" cy="447675"/>
                          </a:xfrm>
                          <a:prstGeom prst="rect">
                            <a:avLst/>
                          </a:prstGeom>
                          <a:noFill/>
                          <a:ln>
                            <a:noFill/>
                          </a:ln>
                        </pic:spPr>
                      </pic:pic>
                    </a:graphicData>
                  </a:graphic>
                </wp:anchor>
              </w:drawing>
            </w:r>
          </w:p>
        </w:tc>
      </w:tr>
      <w:tr w14:paraId="03043D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8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D3B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01D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59B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D4E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D07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C5DD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885A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209550</wp:posOffset>
                  </wp:positionH>
                  <wp:positionV relativeFrom="paragraph">
                    <wp:posOffset>-11430</wp:posOffset>
                  </wp:positionV>
                  <wp:extent cx="442595" cy="494665"/>
                  <wp:effectExtent l="0" t="0" r="14605" b="635"/>
                  <wp:wrapNone/>
                  <wp:docPr id="109" name="图片_115_SpCnt_2"/>
                  <wp:cNvGraphicFramePr/>
                  <a:graphic xmlns:a="http://schemas.openxmlformats.org/drawingml/2006/main">
                    <a:graphicData uri="http://schemas.openxmlformats.org/drawingml/2006/picture">
                      <pic:pic xmlns:pic="http://schemas.openxmlformats.org/drawingml/2006/picture">
                        <pic:nvPicPr>
                          <pic:cNvPr id="109" name="图片_115_SpCnt_2"/>
                          <pic:cNvPicPr/>
                        </pic:nvPicPr>
                        <pic:blipFill>
                          <a:blip r:embed="rId75"/>
                          <a:stretch>
                            <a:fillRect/>
                          </a:stretch>
                        </pic:blipFill>
                        <pic:spPr>
                          <a:xfrm>
                            <a:off x="0" y="0"/>
                            <a:ext cx="442595" cy="494665"/>
                          </a:xfrm>
                          <a:prstGeom prst="rect">
                            <a:avLst/>
                          </a:prstGeom>
                          <a:noFill/>
                          <a:ln>
                            <a:noFill/>
                          </a:ln>
                        </pic:spPr>
                      </pic:pic>
                    </a:graphicData>
                  </a:graphic>
                </wp:anchor>
              </w:drawing>
            </w:r>
          </w:p>
        </w:tc>
      </w:tr>
      <w:tr w14:paraId="116741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C4A1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57AD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D004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61A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907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872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8894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174625</wp:posOffset>
                  </wp:positionH>
                  <wp:positionV relativeFrom="paragraph">
                    <wp:posOffset>40640</wp:posOffset>
                  </wp:positionV>
                  <wp:extent cx="511175" cy="459740"/>
                  <wp:effectExtent l="0" t="0" r="3175" b="16510"/>
                  <wp:wrapNone/>
                  <wp:docPr id="110" name="图片_115_SpCnt_3"/>
                  <wp:cNvGraphicFramePr/>
                  <a:graphic xmlns:a="http://schemas.openxmlformats.org/drawingml/2006/main">
                    <a:graphicData uri="http://schemas.openxmlformats.org/drawingml/2006/picture">
                      <pic:pic xmlns:pic="http://schemas.openxmlformats.org/drawingml/2006/picture">
                        <pic:nvPicPr>
                          <pic:cNvPr id="110" name="图片_115_SpCnt_3"/>
                          <pic:cNvPicPr/>
                        </pic:nvPicPr>
                        <pic:blipFill>
                          <a:blip r:embed="rId75"/>
                          <a:stretch>
                            <a:fillRect/>
                          </a:stretch>
                        </pic:blipFill>
                        <pic:spPr>
                          <a:xfrm>
                            <a:off x="0" y="0"/>
                            <a:ext cx="511175" cy="459740"/>
                          </a:xfrm>
                          <a:prstGeom prst="rect">
                            <a:avLst/>
                          </a:prstGeom>
                          <a:noFill/>
                          <a:ln>
                            <a:noFill/>
                          </a:ln>
                        </pic:spPr>
                      </pic:pic>
                    </a:graphicData>
                  </a:graphic>
                </wp:anchor>
              </w:drawing>
            </w:r>
          </w:p>
        </w:tc>
      </w:tr>
      <w:tr w14:paraId="2BE4AD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83D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6226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二层送餐车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1AA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-层板δ=1.2mm；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C86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800×600×900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CF5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F7845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0C8F7">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191770</wp:posOffset>
                  </wp:positionH>
                  <wp:positionV relativeFrom="paragraph">
                    <wp:posOffset>43815</wp:posOffset>
                  </wp:positionV>
                  <wp:extent cx="480060" cy="493395"/>
                  <wp:effectExtent l="0" t="0" r="15240" b="1905"/>
                  <wp:wrapNone/>
                  <wp:docPr id="111" name="图片_592_SpCnt_1"/>
                  <wp:cNvGraphicFramePr/>
                  <a:graphic xmlns:a="http://schemas.openxmlformats.org/drawingml/2006/main">
                    <a:graphicData uri="http://schemas.openxmlformats.org/drawingml/2006/picture">
                      <pic:pic xmlns:pic="http://schemas.openxmlformats.org/drawingml/2006/picture">
                        <pic:nvPicPr>
                          <pic:cNvPr id="111" name="图片_592_SpCnt_1"/>
                          <pic:cNvPicPr/>
                        </pic:nvPicPr>
                        <pic:blipFill>
                          <a:blip r:embed="rId77"/>
                          <a:stretch>
                            <a:fillRect/>
                          </a:stretch>
                        </pic:blipFill>
                        <pic:spPr>
                          <a:xfrm>
                            <a:off x="0" y="0"/>
                            <a:ext cx="480060" cy="493395"/>
                          </a:xfrm>
                          <a:prstGeom prst="rect">
                            <a:avLst/>
                          </a:prstGeom>
                          <a:noFill/>
                          <a:ln>
                            <a:noFill/>
                          </a:ln>
                        </pic:spPr>
                      </pic:pic>
                    </a:graphicData>
                  </a:graphic>
                </wp:anchor>
              </w:drawing>
            </w:r>
          </w:p>
        </w:tc>
      </w:tr>
      <w:tr w14:paraId="2EE794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FA6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413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低位拖把池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090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96F3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600×600×(800+150)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E050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956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DBDC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168910</wp:posOffset>
                  </wp:positionH>
                  <wp:positionV relativeFrom="paragraph">
                    <wp:posOffset>43180</wp:posOffset>
                  </wp:positionV>
                  <wp:extent cx="494030" cy="589280"/>
                  <wp:effectExtent l="0" t="0" r="1270" b="1270"/>
                  <wp:wrapNone/>
                  <wp:docPr id="112" name="图片_75_SpCnt_1"/>
                  <wp:cNvGraphicFramePr/>
                  <a:graphic xmlns:a="http://schemas.openxmlformats.org/drawingml/2006/main">
                    <a:graphicData uri="http://schemas.openxmlformats.org/drawingml/2006/picture">
                      <pic:pic xmlns:pic="http://schemas.openxmlformats.org/drawingml/2006/picture">
                        <pic:nvPicPr>
                          <pic:cNvPr id="112" name="图片_75_SpCnt_1"/>
                          <pic:cNvPicPr/>
                        </pic:nvPicPr>
                        <pic:blipFill>
                          <a:blip r:embed="rId91"/>
                          <a:stretch>
                            <a:fillRect/>
                          </a:stretch>
                        </pic:blipFill>
                        <pic:spPr>
                          <a:xfrm>
                            <a:off x="0" y="0"/>
                            <a:ext cx="494030" cy="589280"/>
                          </a:xfrm>
                          <a:prstGeom prst="rect">
                            <a:avLst/>
                          </a:prstGeom>
                          <a:noFill/>
                          <a:ln>
                            <a:noFill/>
                          </a:ln>
                        </pic:spPr>
                      </pic:pic>
                    </a:graphicData>
                  </a:graphic>
                </wp:anchor>
              </w:drawing>
            </w:r>
          </w:p>
        </w:tc>
      </w:tr>
      <w:tr w14:paraId="12DEE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2405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7AD1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CC4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49D14">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5B6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7F9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C566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286385</wp:posOffset>
                  </wp:positionH>
                  <wp:positionV relativeFrom="paragraph">
                    <wp:posOffset>29210</wp:posOffset>
                  </wp:positionV>
                  <wp:extent cx="288290" cy="447675"/>
                  <wp:effectExtent l="0" t="0" r="16510" b="9525"/>
                  <wp:wrapNone/>
                  <wp:docPr id="113" name="图片_19_SpCnt_9"/>
                  <wp:cNvGraphicFramePr/>
                  <a:graphic xmlns:a="http://schemas.openxmlformats.org/drawingml/2006/main">
                    <a:graphicData uri="http://schemas.openxmlformats.org/drawingml/2006/picture">
                      <pic:pic xmlns:pic="http://schemas.openxmlformats.org/drawingml/2006/picture">
                        <pic:nvPicPr>
                          <pic:cNvPr id="113" name="图片_19_SpCnt_9"/>
                          <pic:cNvPicPr/>
                        </pic:nvPicPr>
                        <pic:blipFill>
                          <a:blip r:embed="rId40"/>
                          <a:stretch>
                            <a:fillRect/>
                          </a:stretch>
                        </pic:blipFill>
                        <pic:spPr>
                          <a:xfrm>
                            <a:off x="0" y="0"/>
                            <a:ext cx="288290" cy="447675"/>
                          </a:xfrm>
                          <a:prstGeom prst="rect">
                            <a:avLst/>
                          </a:prstGeom>
                          <a:noFill/>
                          <a:ln>
                            <a:noFill/>
                          </a:ln>
                        </pic:spPr>
                      </pic:pic>
                    </a:graphicData>
                  </a:graphic>
                </wp:anchor>
              </w:drawing>
            </w:r>
          </w:p>
        </w:tc>
      </w:tr>
      <w:tr w14:paraId="6B1208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A85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0A72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拖把沥干池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1FB0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-配挂钩；配优质落水器及拦渣篮</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BAF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1500×500×1800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B3C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BD7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C226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190500</wp:posOffset>
                  </wp:positionH>
                  <wp:positionV relativeFrom="paragraph">
                    <wp:posOffset>68580</wp:posOffset>
                  </wp:positionV>
                  <wp:extent cx="514985" cy="518160"/>
                  <wp:effectExtent l="0" t="0" r="18415" b="15240"/>
                  <wp:wrapNone/>
                  <wp:docPr id="114" name="图片_50_SpCnt_2"/>
                  <wp:cNvGraphicFramePr/>
                  <a:graphic xmlns:a="http://schemas.openxmlformats.org/drawingml/2006/main">
                    <a:graphicData uri="http://schemas.openxmlformats.org/drawingml/2006/picture">
                      <pic:pic xmlns:pic="http://schemas.openxmlformats.org/drawingml/2006/picture">
                        <pic:nvPicPr>
                          <pic:cNvPr id="114" name="图片_50_SpCnt_2"/>
                          <pic:cNvPicPr/>
                        </pic:nvPicPr>
                        <pic:blipFill>
                          <a:blip r:embed="rId61"/>
                          <a:stretch>
                            <a:fillRect/>
                          </a:stretch>
                        </pic:blipFill>
                        <pic:spPr>
                          <a:xfrm>
                            <a:off x="0" y="0"/>
                            <a:ext cx="514985" cy="518160"/>
                          </a:xfrm>
                          <a:prstGeom prst="rect">
                            <a:avLst/>
                          </a:prstGeom>
                          <a:noFill/>
                          <a:ln>
                            <a:noFill/>
                          </a:ln>
                        </pic:spPr>
                      </pic:pic>
                    </a:graphicData>
                  </a:graphic>
                </wp:anchor>
              </w:drawing>
            </w:r>
          </w:p>
        </w:tc>
      </w:tr>
      <w:tr w14:paraId="1D153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E43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8D5E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45F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9CD2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118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0136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5CBB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137795</wp:posOffset>
                  </wp:positionH>
                  <wp:positionV relativeFrom="paragraph">
                    <wp:posOffset>15240</wp:posOffset>
                  </wp:positionV>
                  <wp:extent cx="571500" cy="443230"/>
                  <wp:effectExtent l="0" t="0" r="0" b="13970"/>
                  <wp:wrapNone/>
                  <wp:docPr id="115" name="图片_2_SpCnt_12"/>
                  <wp:cNvGraphicFramePr/>
                  <a:graphic xmlns:a="http://schemas.openxmlformats.org/drawingml/2006/main">
                    <a:graphicData uri="http://schemas.openxmlformats.org/drawingml/2006/picture">
                      <pic:pic xmlns:pic="http://schemas.openxmlformats.org/drawingml/2006/picture">
                        <pic:nvPicPr>
                          <pic:cNvPr id="115" name="图片_2_SpCnt_12"/>
                          <pic:cNvPicPr/>
                        </pic:nvPicPr>
                        <pic:blipFill>
                          <a:blip r:embed="rId25"/>
                          <a:stretch>
                            <a:fillRect/>
                          </a:stretch>
                        </pic:blipFill>
                        <pic:spPr>
                          <a:xfrm>
                            <a:off x="0" y="0"/>
                            <a:ext cx="571500" cy="443230"/>
                          </a:xfrm>
                          <a:prstGeom prst="rect">
                            <a:avLst/>
                          </a:prstGeom>
                          <a:noFill/>
                          <a:ln>
                            <a:noFill/>
                          </a:ln>
                        </pic:spPr>
                      </pic:pic>
                    </a:graphicData>
                  </a:graphic>
                </wp:anchor>
              </w:drawing>
            </w:r>
          </w:p>
        </w:tc>
      </w:tr>
      <w:tr w14:paraId="14A6C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44F0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20F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大单星水池</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1DE9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-台面δ=1.2mm，水斗δ=1.0mm；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 ，配有可调子弹脚；</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-横通φ25×0.8mm，配优质落水器及拦渣篮，水龙头另计</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C51B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4922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978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589B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221615</wp:posOffset>
                  </wp:positionH>
                  <wp:positionV relativeFrom="paragraph">
                    <wp:posOffset>48260</wp:posOffset>
                  </wp:positionV>
                  <wp:extent cx="423545" cy="580390"/>
                  <wp:effectExtent l="0" t="0" r="14605" b="10160"/>
                  <wp:wrapNone/>
                  <wp:docPr id="116" name="图片_46_SpCnt_4"/>
                  <wp:cNvGraphicFramePr/>
                  <a:graphic xmlns:a="http://schemas.openxmlformats.org/drawingml/2006/main">
                    <a:graphicData uri="http://schemas.openxmlformats.org/drawingml/2006/picture">
                      <pic:pic xmlns:pic="http://schemas.openxmlformats.org/drawingml/2006/picture">
                        <pic:nvPicPr>
                          <pic:cNvPr id="116" name="图片_46_SpCnt_4"/>
                          <pic:cNvPicPr/>
                        </pic:nvPicPr>
                        <pic:blipFill>
                          <a:blip r:embed="rId92"/>
                          <a:stretch>
                            <a:fillRect/>
                          </a:stretch>
                        </pic:blipFill>
                        <pic:spPr>
                          <a:xfrm>
                            <a:off x="0" y="0"/>
                            <a:ext cx="423545" cy="580390"/>
                          </a:xfrm>
                          <a:prstGeom prst="rect">
                            <a:avLst/>
                          </a:prstGeom>
                          <a:noFill/>
                          <a:ln>
                            <a:noFill/>
                          </a:ln>
                        </pic:spPr>
                      </pic:pic>
                    </a:graphicData>
                  </a:graphic>
                </wp:anchor>
              </w:drawing>
            </w:r>
          </w:p>
        </w:tc>
      </w:tr>
      <w:tr w14:paraId="14342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D47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467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台式混水龙头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0817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1.座台式安装，单孔双温；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2.低铅铜铸造表面抛光镀铬处理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3.配1/4转优质陶瓷阀芯一字型手柄；</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4.开孔尺寸为35mm ，接口为标准4分外螺纹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F7CBD">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789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AF6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25E4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276860</wp:posOffset>
                  </wp:positionH>
                  <wp:positionV relativeFrom="paragraph">
                    <wp:posOffset>60960</wp:posOffset>
                  </wp:positionV>
                  <wp:extent cx="357505" cy="447675"/>
                  <wp:effectExtent l="0" t="0" r="4445" b="9525"/>
                  <wp:wrapNone/>
                  <wp:docPr id="117" name="图片_19_SpCnt_10"/>
                  <wp:cNvGraphicFramePr/>
                  <a:graphic xmlns:a="http://schemas.openxmlformats.org/drawingml/2006/main">
                    <a:graphicData uri="http://schemas.openxmlformats.org/drawingml/2006/picture">
                      <pic:pic xmlns:pic="http://schemas.openxmlformats.org/drawingml/2006/picture">
                        <pic:nvPicPr>
                          <pic:cNvPr id="117" name="图片_19_SpCnt_10"/>
                          <pic:cNvPicPr/>
                        </pic:nvPicPr>
                        <pic:blipFill>
                          <a:blip r:embed="rId40"/>
                          <a:stretch>
                            <a:fillRect/>
                          </a:stretch>
                        </pic:blipFill>
                        <pic:spPr>
                          <a:xfrm>
                            <a:off x="0" y="0"/>
                            <a:ext cx="357505" cy="447675"/>
                          </a:xfrm>
                          <a:prstGeom prst="rect">
                            <a:avLst/>
                          </a:prstGeom>
                          <a:noFill/>
                          <a:ln>
                            <a:noFill/>
                          </a:ln>
                        </pic:spPr>
                      </pic:pic>
                    </a:graphicData>
                  </a:graphic>
                </wp:anchor>
              </w:drawing>
            </w:r>
          </w:p>
        </w:tc>
      </w:tr>
      <w:tr w14:paraId="7B368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AC8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071E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洗地龙头</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753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1.外形尺寸∶ L=10m土5%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2.壳体为ST14冷轧板制成，支架为Q235钢制成，表面静电喷塑处理</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3.中心轴为硬度高不易磨损的特殊钢材</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t xml:space="preserve">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4.锰钢弹簧</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5.10米黑色液压钢丝管，耐温95℃，承压300PSI</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6.接水口口径为1/2"外螺纹</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DF49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0A2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23F6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687D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144780</wp:posOffset>
                  </wp:positionH>
                  <wp:positionV relativeFrom="paragraph">
                    <wp:posOffset>-24130</wp:posOffset>
                  </wp:positionV>
                  <wp:extent cx="543560" cy="631190"/>
                  <wp:effectExtent l="0" t="0" r="8890" b="16510"/>
                  <wp:wrapNone/>
                  <wp:docPr id="118" name="图片_2_SpCnt_13"/>
                  <wp:cNvGraphicFramePr/>
                  <a:graphic xmlns:a="http://schemas.openxmlformats.org/drawingml/2006/main">
                    <a:graphicData uri="http://schemas.openxmlformats.org/drawingml/2006/picture">
                      <pic:pic xmlns:pic="http://schemas.openxmlformats.org/drawingml/2006/picture">
                        <pic:nvPicPr>
                          <pic:cNvPr id="118" name="图片_2_SpCnt_13"/>
                          <pic:cNvPicPr/>
                        </pic:nvPicPr>
                        <pic:blipFill>
                          <a:blip r:embed="rId42"/>
                          <a:stretch>
                            <a:fillRect/>
                          </a:stretch>
                        </pic:blipFill>
                        <pic:spPr>
                          <a:xfrm>
                            <a:off x="0" y="0"/>
                            <a:ext cx="543560" cy="631190"/>
                          </a:xfrm>
                          <a:prstGeom prst="rect">
                            <a:avLst/>
                          </a:prstGeom>
                          <a:noFill/>
                          <a:ln>
                            <a:noFill/>
                          </a:ln>
                        </pic:spPr>
                      </pic:pic>
                    </a:graphicData>
                  </a:graphic>
                </wp:anchor>
              </w:drawing>
            </w:r>
          </w:p>
        </w:tc>
      </w:tr>
      <w:tr w14:paraId="42418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C15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B05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单层工作台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8E6F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2A5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760×760×(800+150)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4D6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D65D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D792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219075</wp:posOffset>
                  </wp:positionH>
                  <wp:positionV relativeFrom="paragraph">
                    <wp:posOffset>29845</wp:posOffset>
                  </wp:positionV>
                  <wp:extent cx="419735" cy="401320"/>
                  <wp:effectExtent l="0" t="0" r="18415" b="17780"/>
                  <wp:wrapNone/>
                  <wp:docPr id="36" name="图片_113"/>
                  <wp:cNvGraphicFramePr/>
                  <a:graphic xmlns:a="http://schemas.openxmlformats.org/drawingml/2006/main">
                    <a:graphicData uri="http://schemas.openxmlformats.org/drawingml/2006/picture">
                      <pic:pic xmlns:pic="http://schemas.openxmlformats.org/drawingml/2006/picture">
                        <pic:nvPicPr>
                          <pic:cNvPr id="36" name="图片_113"/>
                          <pic:cNvPicPr/>
                        </pic:nvPicPr>
                        <pic:blipFill>
                          <a:blip r:embed="rId93"/>
                          <a:stretch>
                            <a:fillRect/>
                          </a:stretch>
                        </pic:blipFill>
                        <pic:spPr>
                          <a:xfrm>
                            <a:off x="0" y="0"/>
                            <a:ext cx="419735" cy="401320"/>
                          </a:xfrm>
                          <a:prstGeom prst="rect">
                            <a:avLst/>
                          </a:prstGeom>
                          <a:noFill/>
                          <a:ln>
                            <a:noFill/>
                          </a:ln>
                        </pic:spPr>
                      </pic:pic>
                    </a:graphicData>
                  </a:graphic>
                </wp:anchor>
              </w:drawing>
            </w:r>
          </w:p>
        </w:tc>
      </w:tr>
      <w:tr w14:paraId="131136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B3A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3BA5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4FE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345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1450×760×(800+150)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7595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984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3376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105410</wp:posOffset>
                  </wp:positionH>
                  <wp:positionV relativeFrom="paragraph">
                    <wp:posOffset>40640</wp:posOffset>
                  </wp:positionV>
                  <wp:extent cx="674370" cy="520065"/>
                  <wp:effectExtent l="0" t="0" r="11430" b="13335"/>
                  <wp:wrapNone/>
                  <wp:docPr id="37" name="图片_74_SpCnt_3"/>
                  <wp:cNvGraphicFramePr/>
                  <a:graphic xmlns:a="http://schemas.openxmlformats.org/drawingml/2006/main">
                    <a:graphicData uri="http://schemas.openxmlformats.org/drawingml/2006/picture">
                      <pic:pic xmlns:pic="http://schemas.openxmlformats.org/drawingml/2006/picture">
                        <pic:nvPicPr>
                          <pic:cNvPr id="37" name="图片_74_SpCnt_3"/>
                          <pic:cNvPicPr/>
                        </pic:nvPicPr>
                        <pic:blipFill>
                          <a:blip r:embed="rId79"/>
                          <a:stretch>
                            <a:fillRect/>
                          </a:stretch>
                        </pic:blipFill>
                        <pic:spPr>
                          <a:xfrm>
                            <a:off x="0" y="0"/>
                            <a:ext cx="674370" cy="520065"/>
                          </a:xfrm>
                          <a:prstGeom prst="rect">
                            <a:avLst/>
                          </a:prstGeom>
                          <a:noFill/>
                          <a:ln>
                            <a:noFill/>
                          </a:ln>
                        </pic:spPr>
                      </pic:pic>
                    </a:graphicData>
                  </a:graphic>
                </wp:anchor>
              </w:drawing>
            </w:r>
          </w:p>
        </w:tc>
      </w:tr>
      <w:tr w14:paraId="786A9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16D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2A7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AF9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-下层格栅δ=1.0mm；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111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E1A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9763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9F04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96520</wp:posOffset>
                  </wp:positionH>
                  <wp:positionV relativeFrom="paragraph">
                    <wp:posOffset>49530</wp:posOffset>
                  </wp:positionV>
                  <wp:extent cx="674370" cy="545465"/>
                  <wp:effectExtent l="0" t="0" r="11430" b="6985"/>
                  <wp:wrapNone/>
                  <wp:docPr id="38" name="图片_74_SpCnt_4"/>
                  <wp:cNvGraphicFramePr/>
                  <a:graphic xmlns:a="http://schemas.openxmlformats.org/drawingml/2006/main">
                    <a:graphicData uri="http://schemas.openxmlformats.org/drawingml/2006/picture">
                      <pic:pic xmlns:pic="http://schemas.openxmlformats.org/drawingml/2006/picture">
                        <pic:nvPicPr>
                          <pic:cNvPr id="38" name="图片_74_SpCnt_4"/>
                          <pic:cNvPicPr/>
                        </pic:nvPicPr>
                        <pic:blipFill>
                          <a:blip r:embed="rId79"/>
                          <a:stretch>
                            <a:fillRect/>
                          </a:stretch>
                        </pic:blipFill>
                        <pic:spPr>
                          <a:xfrm>
                            <a:off x="0" y="0"/>
                            <a:ext cx="674370" cy="545465"/>
                          </a:xfrm>
                          <a:prstGeom prst="rect">
                            <a:avLst/>
                          </a:prstGeom>
                          <a:noFill/>
                          <a:ln>
                            <a:noFill/>
                          </a:ln>
                        </pic:spPr>
                      </pic:pic>
                    </a:graphicData>
                  </a:graphic>
                </wp:anchor>
              </w:drawing>
            </w:r>
          </w:p>
        </w:tc>
      </w:tr>
      <w:tr w14:paraId="33090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71B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BA72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活动双层工作台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4F59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7C79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1800×800×800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08D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5D2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8669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175260</wp:posOffset>
                  </wp:positionH>
                  <wp:positionV relativeFrom="paragraph">
                    <wp:posOffset>3810</wp:posOffset>
                  </wp:positionV>
                  <wp:extent cx="509270" cy="516890"/>
                  <wp:effectExtent l="0" t="0" r="5080" b="16510"/>
                  <wp:wrapNone/>
                  <wp:docPr id="39" name="图片_79_SpCnt_2"/>
                  <wp:cNvGraphicFramePr/>
                  <a:graphic xmlns:a="http://schemas.openxmlformats.org/drawingml/2006/main">
                    <a:graphicData uri="http://schemas.openxmlformats.org/drawingml/2006/picture">
                      <pic:pic xmlns:pic="http://schemas.openxmlformats.org/drawingml/2006/picture">
                        <pic:nvPicPr>
                          <pic:cNvPr id="39" name="图片_79_SpCnt_2"/>
                          <pic:cNvPicPr/>
                        </pic:nvPicPr>
                        <pic:blipFill>
                          <a:blip r:embed="rId65"/>
                          <a:stretch>
                            <a:fillRect/>
                          </a:stretch>
                        </pic:blipFill>
                        <pic:spPr>
                          <a:xfrm>
                            <a:off x="0" y="0"/>
                            <a:ext cx="509270" cy="516890"/>
                          </a:xfrm>
                          <a:prstGeom prst="rect">
                            <a:avLst/>
                          </a:prstGeom>
                          <a:noFill/>
                          <a:ln>
                            <a:noFill/>
                          </a:ln>
                        </pic:spPr>
                      </pic:pic>
                    </a:graphicData>
                  </a:graphic>
                </wp:anchor>
              </w:drawing>
            </w:r>
          </w:p>
        </w:tc>
      </w:tr>
      <w:tr w14:paraId="0D05D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AF7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355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吹地机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9BF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地面干燥设备 ，三档调试强力吹干。</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-功率/电压：≧1.0KW/220V</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1AF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约400×435×510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6C62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094D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3579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224790</wp:posOffset>
                  </wp:positionH>
                  <wp:positionV relativeFrom="paragraph">
                    <wp:posOffset>8890</wp:posOffset>
                  </wp:positionV>
                  <wp:extent cx="398145" cy="365760"/>
                  <wp:effectExtent l="0" t="0" r="1905" b="15240"/>
                  <wp:wrapNone/>
                  <wp:docPr id="40" name="图片_13_SpCnt_3"/>
                  <wp:cNvGraphicFramePr/>
                  <a:graphic xmlns:a="http://schemas.openxmlformats.org/drawingml/2006/main">
                    <a:graphicData uri="http://schemas.openxmlformats.org/drawingml/2006/picture">
                      <pic:pic xmlns:pic="http://schemas.openxmlformats.org/drawingml/2006/picture">
                        <pic:nvPicPr>
                          <pic:cNvPr id="40" name="图片_13_SpCnt_3"/>
                          <pic:cNvPicPr/>
                        </pic:nvPicPr>
                        <pic:blipFill>
                          <a:blip r:embed="rId47"/>
                          <a:stretch>
                            <a:fillRect/>
                          </a:stretch>
                        </pic:blipFill>
                        <pic:spPr>
                          <a:xfrm>
                            <a:off x="0" y="0"/>
                            <a:ext cx="398145" cy="365760"/>
                          </a:xfrm>
                          <a:prstGeom prst="rect">
                            <a:avLst/>
                          </a:prstGeom>
                          <a:noFill/>
                          <a:ln>
                            <a:noFill/>
                          </a:ln>
                        </pic:spPr>
                      </pic:pic>
                    </a:graphicData>
                  </a:graphic>
                </wp:anchor>
              </w:drawing>
            </w:r>
          </w:p>
        </w:tc>
      </w:tr>
      <w:tr w14:paraId="595DFE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5D51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7764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7BFC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D7F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约1500×182×221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96E8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7B54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EA03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128905</wp:posOffset>
                  </wp:positionH>
                  <wp:positionV relativeFrom="paragraph">
                    <wp:posOffset>-12065</wp:posOffset>
                  </wp:positionV>
                  <wp:extent cx="628650" cy="343535"/>
                  <wp:effectExtent l="0" t="0" r="0" b="18415"/>
                  <wp:wrapNone/>
                  <wp:docPr id="41" name="图片_756_SpCnt_5"/>
                  <wp:cNvGraphicFramePr/>
                  <a:graphic xmlns:a="http://schemas.openxmlformats.org/drawingml/2006/main">
                    <a:graphicData uri="http://schemas.openxmlformats.org/drawingml/2006/picture">
                      <pic:pic xmlns:pic="http://schemas.openxmlformats.org/drawingml/2006/picture">
                        <pic:nvPicPr>
                          <pic:cNvPr id="41" name="图片_756_SpCnt_5"/>
                          <pic:cNvPicPr/>
                        </pic:nvPicPr>
                        <pic:blipFill>
                          <a:blip r:embed="rId24"/>
                          <a:stretch>
                            <a:fillRect/>
                          </a:stretch>
                        </pic:blipFill>
                        <pic:spPr>
                          <a:xfrm>
                            <a:off x="0" y="0"/>
                            <a:ext cx="628650" cy="343535"/>
                          </a:xfrm>
                          <a:prstGeom prst="rect">
                            <a:avLst/>
                          </a:prstGeom>
                          <a:noFill/>
                          <a:ln>
                            <a:noFill/>
                          </a:ln>
                        </pic:spPr>
                      </pic:pic>
                    </a:graphicData>
                  </a:graphic>
                </wp:anchor>
              </w:drawing>
            </w:r>
          </w:p>
        </w:tc>
      </w:tr>
      <w:tr w14:paraId="1E8D35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7E24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106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9A0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FA91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17CE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D39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D566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154940</wp:posOffset>
                  </wp:positionH>
                  <wp:positionV relativeFrom="paragraph">
                    <wp:posOffset>32385</wp:posOffset>
                  </wp:positionV>
                  <wp:extent cx="537210" cy="461010"/>
                  <wp:effectExtent l="0" t="0" r="15240" b="15240"/>
                  <wp:wrapNone/>
                  <wp:docPr id="42" name="图片_2_SpCnt_14"/>
                  <wp:cNvGraphicFramePr/>
                  <a:graphic xmlns:a="http://schemas.openxmlformats.org/drawingml/2006/main">
                    <a:graphicData uri="http://schemas.openxmlformats.org/drawingml/2006/picture">
                      <pic:pic xmlns:pic="http://schemas.openxmlformats.org/drawingml/2006/picture">
                        <pic:nvPicPr>
                          <pic:cNvPr id="42" name="图片_2_SpCnt_14"/>
                          <pic:cNvPicPr/>
                        </pic:nvPicPr>
                        <pic:blipFill>
                          <a:blip r:embed="rId25"/>
                          <a:stretch>
                            <a:fillRect/>
                          </a:stretch>
                        </pic:blipFill>
                        <pic:spPr>
                          <a:xfrm>
                            <a:off x="0" y="0"/>
                            <a:ext cx="537210" cy="461010"/>
                          </a:xfrm>
                          <a:prstGeom prst="rect">
                            <a:avLst/>
                          </a:prstGeom>
                          <a:noFill/>
                          <a:ln>
                            <a:noFill/>
                          </a:ln>
                        </pic:spPr>
                      </pic:pic>
                    </a:graphicData>
                  </a:graphic>
                </wp:anchor>
              </w:drawing>
            </w:r>
          </w:p>
        </w:tc>
      </w:tr>
      <w:tr w14:paraId="10168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43B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F07B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双层工作台</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C66C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-台面δ=1.2mm，下衬12mm防潮板减噪；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-下层平板δ=1.0mm；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-加强筋δ=1.0mm；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-脚管φ38×1.0mm，配有可调子弹脚</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2E5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1200×700×800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2220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95E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F461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140335</wp:posOffset>
                  </wp:positionH>
                  <wp:positionV relativeFrom="paragraph">
                    <wp:posOffset>-7620</wp:posOffset>
                  </wp:positionV>
                  <wp:extent cx="562610" cy="534035"/>
                  <wp:effectExtent l="0" t="0" r="8890" b="18415"/>
                  <wp:wrapNone/>
                  <wp:docPr id="43" name="图片_115_SpCnt_4"/>
                  <wp:cNvGraphicFramePr/>
                  <a:graphic xmlns:a="http://schemas.openxmlformats.org/drawingml/2006/main">
                    <a:graphicData uri="http://schemas.openxmlformats.org/drawingml/2006/picture">
                      <pic:pic xmlns:pic="http://schemas.openxmlformats.org/drawingml/2006/picture">
                        <pic:nvPicPr>
                          <pic:cNvPr id="43" name="图片_115_SpCnt_4"/>
                          <pic:cNvPicPr/>
                        </pic:nvPicPr>
                        <pic:blipFill>
                          <a:blip r:embed="rId94"/>
                          <a:stretch>
                            <a:fillRect/>
                          </a:stretch>
                        </pic:blipFill>
                        <pic:spPr>
                          <a:xfrm>
                            <a:off x="0" y="0"/>
                            <a:ext cx="562610" cy="534035"/>
                          </a:xfrm>
                          <a:prstGeom prst="rect">
                            <a:avLst/>
                          </a:prstGeom>
                          <a:noFill/>
                          <a:ln>
                            <a:noFill/>
                          </a:ln>
                        </pic:spPr>
                      </pic:pic>
                    </a:graphicData>
                  </a:graphic>
                </wp:anchor>
              </w:drawing>
            </w:r>
          </w:p>
        </w:tc>
      </w:tr>
      <w:tr w14:paraId="3E150E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F2B07">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483CB">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双门光波热风</w:t>
            </w:r>
          </w:p>
          <w:p w14:paraId="6AA214DD">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循环消毒柜</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B1C0C">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-黑白不锈钢结合门头＋工程款翻边拉手＋内外304不锈钢结构，外形美观大方</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-整机采用整体发泡工艺，耐高温门封工艺，隔热保温，节能卫生</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-采用全不锈钢发热管（带可视窗为光波管），热风循环系统，高温消毒无死角</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-设有可调温控器，对所需温度随意调节</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-带有可调定时器功能，灵活定时没烦恼</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-全不锈钢重力脚，可调高低功能</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-中大容量设计，配置全无磁加粗层架</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功率/电压：≧2×2.4KW/220V</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85AFC">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1340×619×1885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2720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EE772">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F2A9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FF0000"/>
                <w:sz w:val="21"/>
                <w:szCs w:val="21"/>
                <w:u w:val="none"/>
              </w:rPr>
            </w:pPr>
            <w:r>
              <w:rPr>
                <w:rFonts w:hint="eastAsia" w:ascii="宋体" w:hAnsi="宋体" w:eastAsia="宋体" w:cs="宋体"/>
                <w:i w:val="0"/>
                <w:iCs w:val="0"/>
                <w:color w:val="FF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185420</wp:posOffset>
                  </wp:positionH>
                  <wp:positionV relativeFrom="paragraph">
                    <wp:posOffset>-33020</wp:posOffset>
                  </wp:positionV>
                  <wp:extent cx="476250" cy="759460"/>
                  <wp:effectExtent l="0" t="0" r="0" b="2540"/>
                  <wp:wrapNone/>
                  <wp:docPr id="44" name="图片_8_SpCnt_2"/>
                  <wp:cNvGraphicFramePr/>
                  <a:graphic xmlns:a="http://schemas.openxmlformats.org/drawingml/2006/main">
                    <a:graphicData uri="http://schemas.openxmlformats.org/drawingml/2006/picture">
                      <pic:pic xmlns:pic="http://schemas.openxmlformats.org/drawingml/2006/picture">
                        <pic:nvPicPr>
                          <pic:cNvPr id="44" name="图片_8_SpCnt_2"/>
                          <pic:cNvPicPr/>
                        </pic:nvPicPr>
                        <pic:blipFill>
                          <a:blip r:embed="rId95"/>
                          <a:stretch>
                            <a:fillRect/>
                          </a:stretch>
                        </pic:blipFill>
                        <pic:spPr>
                          <a:xfrm>
                            <a:off x="0" y="0"/>
                            <a:ext cx="476250" cy="759460"/>
                          </a:xfrm>
                          <a:prstGeom prst="rect">
                            <a:avLst/>
                          </a:prstGeom>
                          <a:noFill/>
                          <a:ln>
                            <a:noFill/>
                          </a:ln>
                        </pic:spPr>
                      </pic:pic>
                    </a:graphicData>
                  </a:graphic>
                </wp:anchor>
              </w:drawing>
            </w:r>
          </w:p>
        </w:tc>
      </w:tr>
      <w:tr w14:paraId="4469B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D437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16C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泔水台车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7E8A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-选用SUS304-2B优质不锈钢板制作；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-台面δ=1.2mm；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-配承重静音脚轮，其中两只带刹车掣；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-配封闭式平板车带垃圾桶</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CBE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700×760×(800+150)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B688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E15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CD82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170815</wp:posOffset>
                  </wp:positionH>
                  <wp:positionV relativeFrom="paragraph">
                    <wp:posOffset>42545</wp:posOffset>
                  </wp:positionV>
                  <wp:extent cx="524510" cy="535305"/>
                  <wp:effectExtent l="0" t="0" r="8890" b="17145"/>
                  <wp:wrapNone/>
                  <wp:docPr id="45" name="图片_9_SpCnt_1"/>
                  <wp:cNvGraphicFramePr/>
                  <a:graphic xmlns:a="http://schemas.openxmlformats.org/drawingml/2006/main">
                    <a:graphicData uri="http://schemas.openxmlformats.org/drawingml/2006/picture">
                      <pic:pic xmlns:pic="http://schemas.openxmlformats.org/drawingml/2006/picture">
                        <pic:nvPicPr>
                          <pic:cNvPr id="45" name="图片_9_SpCnt_1"/>
                          <pic:cNvPicPr/>
                        </pic:nvPicPr>
                        <pic:blipFill>
                          <a:blip r:embed="rId96"/>
                          <a:stretch>
                            <a:fillRect/>
                          </a:stretch>
                        </pic:blipFill>
                        <pic:spPr>
                          <a:xfrm>
                            <a:off x="0" y="0"/>
                            <a:ext cx="524510" cy="535305"/>
                          </a:xfrm>
                          <a:prstGeom prst="rect">
                            <a:avLst/>
                          </a:prstGeom>
                          <a:noFill/>
                          <a:ln>
                            <a:noFill/>
                          </a:ln>
                        </pic:spPr>
                      </pic:pic>
                    </a:graphicData>
                  </a:graphic>
                </wp:anchor>
              </w:drawing>
            </w:r>
          </w:p>
        </w:tc>
      </w:tr>
      <w:tr w14:paraId="5CAE1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9571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C179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双层收碗车</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55F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宋体" w:hAnsi="宋体" w:eastAsia="宋体" w:cs="宋体"/>
                <w:i w:val="0"/>
                <w:iCs w:val="0"/>
                <w:color w:val="000000"/>
                <w:sz w:val="21"/>
                <w:szCs w:val="21"/>
                <w:u w:val="none"/>
                <w:lang w:val="en-US"/>
              </w:rPr>
            </w:pPr>
            <w:r>
              <w:rPr>
                <w:rFonts w:hint="eastAsia" w:ascii="宋体" w:hAnsi="宋体" w:eastAsia="宋体" w:cs="宋体"/>
                <w:i w:val="0"/>
                <w:iCs w:val="0"/>
                <w:color w:val="000000"/>
                <w:kern w:val="0"/>
                <w:sz w:val="21"/>
                <w:szCs w:val="21"/>
                <w:u w:val="none"/>
                <w:lang w:val="en-US" w:eastAsia="zh-CN" w:bidi="ar"/>
              </w:rPr>
              <w:t>-选用304优质不锈钢板制作；</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-面板δ=1.2mm；带沥水口</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-深斗型，配承重静音脚轮，其中两只带刹车掣</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70F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900×500×900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FC9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辆</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943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6AC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149225</wp:posOffset>
                  </wp:positionH>
                  <wp:positionV relativeFrom="paragraph">
                    <wp:posOffset>57150</wp:posOffset>
                  </wp:positionV>
                  <wp:extent cx="561340" cy="457835"/>
                  <wp:effectExtent l="0" t="0" r="10160" b="18415"/>
                  <wp:wrapNone/>
                  <wp:docPr id="46" name="图片_567_SpCnt_3"/>
                  <wp:cNvGraphicFramePr/>
                  <a:graphic xmlns:a="http://schemas.openxmlformats.org/drawingml/2006/main">
                    <a:graphicData uri="http://schemas.openxmlformats.org/drawingml/2006/picture">
                      <pic:pic xmlns:pic="http://schemas.openxmlformats.org/drawingml/2006/picture">
                        <pic:nvPicPr>
                          <pic:cNvPr id="46" name="图片_567_SpCnt_3"/>
                          <pic:cNvPicPr/>
                        </pic:nvPicPr>
                        <pic:blipFill>
                          <a:blip r:embed="rId83"/>
                          <a:stretch>
                            <a:fillRect/>
                          </a:stretch>
                        </pic:blipFill>
                        <pic:spPr>
                          <a:xfrm>
                            <a:off x="0" y="0"/>
                            <a:ext cx="561340" cy="457835"/>
                          </a:xfrm>
                          <a:prstGeom prst="rect">
                            <a:avLst/>
                          </a:prstGeom>
                          <a:noFill/>
                          <a:ln>
                            <a:noFill/>
                          </a:ln>
                        </pic:spPr>
                      </pic:pic>
                    </a:graphicData>
                  </a:graphic>
                </wp:anchor>
              </w:drawing>
            </w:r>
          </w:p>
        </w:tc>
      </w:tr>
      <w:tr w14:paraId="0355A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344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898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8DE4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8EA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约1800×182×221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8DF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F9C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4EC29">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103505</wp:posOffset>
                  </wp:positionH>
                  <wp:positionV relativeFrom="paragraph">
                    <wp:posOffset>14605</wp:posOffset>
                  </wp:positionV>
                  <wp:extent cx="681355" cy="377825"/>
                  <wp:effectExtent l="0" t="0" r="4445" b="3175"/>
                  <wp:wrapNone/>
                  <wp:docPr id="47" name="图片_756_SpCnt_6"/>
                  <wp:cNvGraphicFramePr/>
                  <a:graphic xmlns:a="http://schemas.openxmlformats.org/drawingml/2006/main">
                    <a:graphicData uri="http://schemas.openxmlformats.org/drawingml/2006/picture">
                      <pic:pic xmlns:pic="http://schemas.openxmlformats.org/drawingml/2006/picture">
                        <pic:nvPicPr>
                          <pic:cNvPr id="47" name="图片_756_SpCnt_6"/>
                          <pic:cNvPicPr/>
                        </pic:nvPicPr>
                        <pic:blipFill>
                          <a:blip r:embed="rId24"/>
                          <a:stretch>
                            <a:fillRect/>
                          </a:stretch>
                        </pic:blipFill>
                        <pic:spPr>
                          <a:xfrm>
                            <a:off x="0" y="0"/>
                            <a:ext cx="681355" cy="377825"/>
                          </a:xfrm>
                          <a:prstGeom prst="rect">
                            <a:avLst/>
                          </a:prstGeom>
                          <a:noFill/>
                          <a:ln>
                            <a:noFill/>
                          </a:ln>
                        </pic:spPr>
                      </pic:pic>
                    </a:graphicData>
                  </a:graphic>
                </wp:anchor>
              </w:drawing>
            </w:r>
          </w:p>
        </w:tc>
      </w:tr>
      <w:tr w14:paraId="7CBD5E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0E59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C50B8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风幕机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57A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-全金属机身，弧线形面板；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-静音风轮，高速高效电机；</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w:t>
            </w:r>
            <w:r>
              <w:rPr>
                <w:rFonts w:hint="eastAsia" w:cs="宋体"/>
                <w:i w:val="0"/>
                <w:iCs w:val="0"/>
                <w:color w:val="000000"/>
                <w:kern w:val="0"/>
                <w:sz w:val="21"/>
                <w:szCs w:val="21"/>
                <w:u w:val="none"/>
                <w:lang w:val="en-US" w:eastAsia="zh-CN" w:bidi="ar"/>
              </w:rPr>
              <w:t>。</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AC0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约1500×182×221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1343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7721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06640">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102870</wp:posOffset>
                  </wp:positionH>
                  <wp:positionV relativeFrom="paragraph">
                    <wp:posOffset>23495</wp:posOffset>
                  </wp:positionV>
                  <wp:extent cx="688975" cy="334645"/>
                  <wp:effectExtent l="0" t="0" r="15875" b="8255"/>
                  <wp:wrapNone/>
                  <wp:docPr id="48" name="图片_756_SpCnt_7"/>
                  <wp:cNvGraphicFramePr/>
                  <a:graphic xmlns:a="http://schemas.openxmlformats.org/drawingml/2006/main">
                    <a:graphicData uri="http://schemas.openxmlformats.org/drawingml/2006/picture">
                      <pic:pic xmlns:pic="http://schemas.openxmlformats.org/drawingml/2006/picture">
                        <pic:nvPicPr>
                          <pic:cNvPr id="48" name="图片_756_SpCnt_7"/>
                          <pic:cNvPicPr/>
                        </pic:nvPicPr>
                        <pic:blipFill>
                          <a:blip r:embed="rId24"/>
                          <a:stretch>
                            <a:fillRect/>
                          </a:stretch>
                        </pic:blipFill>
                        <pic:spPr>
                          <a:xfrm>
                            <a:off x="0" y="0"/>
                            <a:ext cx="688975" cy="334645"/>
                          </a:xfrm>
                          <a:prstGeom prst="rect">
                            <a:avLst/>
                          </a:prstGeom>
                          <a:noFill/>
                          <a:ln>
                            <a:noFill/>
                          </a:ln>
                        </pic:spPr>
                      </pic:pic>
                    </a:graphicData>
                  </a:graphic>
                </wp:anchor>
              </w:drawing>
            </w:r>
          </w:p>
        </w:tc>
      </w:tr>
      <w:tr w14:paraId="007AF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EB1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1CE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粘捕式灭蝇灯</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2E6B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-有效面积：约40</w:t>
            </w:r>
            <w:r>
              <w:rPr>
                <w:rFonts w:hint="eastAsia" w:cs="宋体"/>
                <w:i w:val="0"/>
                <w:iCs w:val="0"/>
                <w:color w:val="000000"/>
                <w:kern w:val="0"/>
                <w:sz w:val="21"/>
                <w:szCs w:val="21"/>
                <w:u w:val="none"/>
                <w:lang w:val="en-US" w:eastAsia="zh-CN" w:bidi="ar"/>
              </w:rPr>
              <w:t>㎡</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-LED灯管，有效防止蚊蝇残骸落到机外，造成二次污染，环保卫生，稳健可靠。</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-电源电压：交流200~240V，50Hz 功率/电压：16W/220V</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973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约380×150×265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A53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783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CF90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172720</wp:posOffset>
                  </wp:positionH>
                  <wp:positionV relativeFrom="paragraph">
                    <wp:posOffset>15240</wp:posOffset>
                  </wp:positionV>
                  <wp:extent cx="511175" cy="495300"/>
                  <wp:effectExtent l="0" t="0" r="3175" b="0"/>
                  <wp:wrapNone/>
                  <wp:docPr id="49" name="图片_2_SpCnt_15"/>
                  <wp:cNvGraphicFramePr/>
                  <a:graphic xmlns:a="http://schemas.openxmlformats.org/drawingml/2006/main">
                    <a:graphicData uri="http://schemas.openxmlformats.org/drawingml/2006/picture">
                      <pic:pic xmlns:pic="http://schemas.openxmlformats.org/drawingml/2006/picture">
                        <pic:nvPicPr>
                          <pic:cNvPr id="49" name="图片_2_SpCnt_15"/>
                          <pic:cNvPicPr/>
                        </pic:nvPicPr>
                        <pic:blipFill>
                          <a:blip r:embed="rId25"/>
                          <a:stretch>
                            <a:fillRect/>
                          </a:stretch>
                        </pic:blipFill>
                        <pic:spPr>
                          <a:xfrm>
                            <a:off x="0" y="0"/>
                            <a:ext cx="511175" cy="495300"/>
                          </a:xfrm>
                          <a:prstGeom prst="rect">
                            <a:avLst/>
                          </a:prstGeom>
                          <a:noFill/>
                          <a:ln>
                            <a:noFill/>
                          </a:ln>
                        </pic:spPr>
                      </pic:pic>
                    </a:graphicData>
                  </a:graphic>
                </wp:anchor>
              </w:drawing>
            </w:r>
          </w:p>
        </w:tc>
      </w:tr>
      <w:tr w14:paraId="1C9101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FB07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66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不锈钢双层碗</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DE77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采用304优质不锈钢制作，双层焊接制作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43B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直径120mm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A4A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156A2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4257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167005</wp:posOffset>
                  </wp:positionH>
                  <wp:positionV relativeFrom="paragraph">
                    <wp:posOffset>26035</wp:posOffset>
                  </wp:positionV>
                  <wp:extent cx="511175" cy="356870"/>
                  <wp:effectExtent l="0" t="0" r="3175" b="5080"/>
                  <wp:wrapNone/>
                  <wp:docPr id="50" name="图片_16_SpCnt_1"/>
                  <wp:cNvGraphicFramePr/>
                  <a:graphic xmlns:a="http://schemas.openxmlformats.org/drawingml/2006/main">
                    <a:graphicData uri="http://schemas.openxmlformats.org/drawingml/2006/picture">
                      <pic:pic xmlns:pic="http://schemas.openxmlformats.org/drawingml/2006/picture">
                        <pic:nvPicPr>
                          <pic:cNvPr id="50" name="图片_16_SpCnt_1"/>
                          <pic:cNvPicPr/>
                        </pic:nvPicPr>
                        <pic:blipFill>
                          <a:blip r:embed="rId97"/>
                          <a:stretch>
                            <a:fillRect/>
                          </a:stretch>
                        </pic:blipFill>
                        <pic:spPr>
                          <a:xfrm>
                            <a:off x="0" y="0"/>
                            <a:ext cx="511175" cy="356870"/>
                          </a:xfrm>
                          <a:prstGeom prst="rect">
                            <a:avLst/>
                          </a:prstGeom>
                          <a:noFill/>
                          <a:ln>
                            <a:noFill/>
                          </a:ln>
                        </pic:spPr>
                      </pic:pic>
                    </a:graphicData>
                  </a:graphic>
                </wp:anchor>
              </w:drawing>
            </w:r>
          </w:p>
        </w:tc>
      </w:tr>
      <w:tr w14:paraId="2AC81F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8"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682C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A6C2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不锈钢快餐盘</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58D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采用304优质不锈钢制作，大五格快餐盘</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BF7C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280*220*40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1700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3DAE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cs="宋体"/>
                <w:i w:val="0"/>
                <w:iCs w:val="0"/>
                <w:color w:val="000000"/>
                <w:kern w:val="0"/>
                <w:sz w:val="21"/>
                <w:szCs w:val="21"/>
                <w:highlight w:val="none"/>
                <w:u w:val="none"/>
                <w:lang w:val="en-US" w:eastAsia="zh-CN" w:bidi="ar"/>
              </w:rPr>
              <w:t>2</w:t>
            </w:r>
            <w:r>
              <w:rPr>
                <w:rFonts w:hint="eastAsia" w:ascii="宋体" w:hAnsi="宋体" w:eastAsia="宋体" w:cs="宋体"/>
                <w:i w:val="0"/>
                <w:iCs w:val="0"/>
                <w:color w:val="000000"/>
                <w:kern w:val="0"/>
                <w:sz w:val="21"/>
                <w:szCs w:val="21"/>
                <w:highlight w:val="none"/>
                <w:u w:val="none"/>
                <w:lang w:val="en-US" w:eastAsia="zh-CN" w:bidi="ar"/>
              </w:rPr>
              <w:t>000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F04E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134620</wp:posOffset>
                  </wp:positionH>
                  <wp:positionV relativeFrom="paragraph">
                    <wp:posOffset>32385</wp:posOffset>
                  </wp:positionV>
                  <wp:extent cx="652780" cy="365125"/>
                  <wp:effectExtent l="0" t="0" r="13970" b="15875"/>
                  <wp:wrapNone/>
                  <wp:docPr id="51" name="图片_37"/>
                  <wp:cNvGraphicFramePr/>
                  <a:graphic xmlns:a="http://schemas.openxmlformats.org/drawingml/2006/main">
                    <a:graphicData uri="http://schemas.openxmlformats.org/drawingml/2006/picture">
                      <pic:pic xmlns:pic="http://schemas.openxmlformats.org/drawingml/2006/picture">
                        <pic:nvPicPr>
                          <pic:cNvPr id="51" name="图片_37"/>
                          <pic:cNvPicPr/>
                        </pic:nvPicPr>
                        <pic:blipFill>
                          <a:blip r:embed="rId98"/>
                          <a:stretch>
                            <a:fillRect/>
                          </a:stretch>
                        </pic:blipFill>
                        <pic:spPr>
                          <a:xfrm>
                            <a:off x="0" y="0"/>
                            <a:ext cx="652780" cy="365125"/>
                          </a:xfrm>
                          <a:prstGeom prst="rect">
                            <a:avLst/>
                          </a:prstGeom>
                          <a:noFill/>
                          <a:ln>
                            <a:noFill/>
                          </a:ln>
                        </pic:spPr>
                      </pic:pic>
                    </a:graphicData>
                  </a:graphic>
                </wp:anchor>
              </w:drawing>
            </w:r>
          </w:p>
        </w:tc>
      </w:tr>
      <w:tr w14:paraId="353EA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3481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D477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筷子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807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合金材质</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A5FB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494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90E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4E5C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205740</wp:posOffset>
                  </wp:positionH>
                  <wp:positionV relativeFrom="paragraph">
                    <wp:posOffset>19050</wp:posOffset>
                  </wp:positionV>
                  <wp:extent cx="494030" cy="380365"/>
                  <wp:effectExtent l="0" t="0" r="1270" b="635"/>
                  <wp:wrapNone/>
                  <wp:docPr id="52" name="图片_20"/>
                  <wp:cNvGraphicFramePr/>
                  <a:graphic xmlns:a="http://schemas.openxmlformats.org/drawingml/2006/main">
                    <a:graphicData uri="http://schemas.openxmlformats.org/drawingml/2006/picture">
                      <pic:pic xmlns:pic="http://schemas.openxmlformats.org/drawingml/2006/picture">
                        <pic:nvPicPr>
                          <pic:cNvPr id="52" name="图片_20"/>
                          <pic:cNvPicPr/>
                        </pic:nvPicPr>
                        <pic:blipFill>
                          <a:blip r:embed="rId99"/>
                          <a:stretch>
                            <a:fillRect/>
                          </a:stretch>
                        </pic:blipFill>
                        <pic:spPr>
                          <a:xfrm>
                            <a:off x="0" y="0"/>
                            <a:ext cx="494030" cy="380365"/>
                          </a:xfrm>
                          <a:prstGeom prst="rect">
                            <a:avLst/>
                          </a:prstGeom>
                          <a:noFill/>
                          <a:ln>
                            <a:noFill/>
                          </a:ln>
                        </pic:spPr>
                      </pic:pic>
                    </a:graphicData>
                  </a:graphic>
                </wp:anchor>
              </w:drawing>
            </w:r>
          </w:p>
        </w:tc>
      </w:tr>
      <w:tr w14:paraId="02EB4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58BB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155</w:t>
            </w:r>
          </w:p>
        </w:tc>
        <w:tc>
          <w:tcPr>
            <w:tcW w:w="207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43E1F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不锈钢调羹</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4BC6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采用优质不锈钢制作，加厚材料1.0mm</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3B017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F23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231F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8DC2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144145</wp:posOffset>
                  </wp:positionH>
                  <wp:positionV relativeFrom="paragraph">
                    <wp:posOffset>55880</wp:posOffset>
                  </wp:positionV>
                  <wp:extent cx="551180" cy="373380"/>
                  <wp:effectExtent l="0" t="0" r="1270" b="7620"/>
                  <wp:wrapNone/>
                  <wp:docPr id="53" name="Picture_216"/>
                  <wp:cNvGraphicFramePr/>
                  <a:graphic xmlns:a="http://schemas.openxmlformats.org/drawingml/2006/main">
                    <a:graphicData uri="http://schemas.openxmlformats.org/drawingml/2006/picture">
                      <pic:pic xmlns:pic="http://schemas.openxmlformats.org/drawingml/2006/picture">
                        <pic:nvPicPr>
                          <pic:cNvPr id="53" name="Picture_216"/>
                          <pic:cNvPicPr/>
                        </pic:nvPicPr>
                        <pic:blipFill>
                          <a:blip r:embed="rId100"/>
                          <a:stretch>
                            <a:fillRect/>
                          </a:stretch>
                        </pic:blipFill>
                        <pic:spPr>
                          <a:xfrm>
                            <a:off x="0" y="0"/>
                            <a:ext cx="551180" cy="373380"/>
                          </a:xfrm>
                          <a:prstGeom prst="rect">
                            <a:avLst/>
                          </a:prstGeom>
                          <a:noFill/>
                          <a:ln>
                            <a:noFill/>
                          </a:ln>
                        </pic:spPr>
                      </pic:pic>
                    </a:graphicData>
                  </a:graphic>
                </wp:anchor>
              </w:drawing>
            </w:r>
          </w:p>
        </w:tc>
      </w:tr>
      <w:tr w14:paraId="5C99D7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987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425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塑料周转筐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7113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采用新料制作，沥水型加厚菜筐。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CBB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500×400×320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0DAA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D59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1FA6D">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shd w:val="clear" w:fill="FFFFFF"/>
                <w:lang w:val="en-US" w:eastAsia="zh-CN" w:bidi="ar"/>
              </w:rPr>
              <w:drawing>
                <wp:anchor distT="0" distB="0" distL="114300" distR="114300" simplePos="0" relativeHeight="251660288" behindDoc="0" locked="0" layoutInCell="1" allowOverlap="1">
                  <wp:simplePos x="0" y="0"/>
                  <wp:positionH relativeFrom="column">
                    <wp:posOffset>41910</wp:posOffset>
                  </wp:positionH>
                  <wp:positionV relativeFrom="paragraph">
                    <wp:posOffset>45085</wp:posOffset>
                  </wp:positionV>
                  <wp:extent cx="775335" cy="329565"/>
                  <wp:effectExtent l="0" t="0" r="5715" b="13335"/>
                  <wp:wrapNone/>
                  <wp:docPr id="54" name="Picture_217"/>
                  <wp:cNvGraphicFramePr/>
                  <a:graphic xmlns:a="http://schemas.openxmlformats.org/drawingml/2006/main">
                    <a:graphicData uri="http://schemas.openxmlformats.org/drawingml/2006/picture">
                      <pic:pic xmlns:pic="http://schemas.openxmlformats.org/drawingml/2006/picture">
                        <pic:nvPicPr>
                          <pic:cNvPr id="54" name="Picture_217"/>
                          <pic:cNvPicPr/>
                        </pic:nvPicPr>
                        <pic:blipFill>
                          <a:blip r:embed="rId101"/>
                          <a:stretch>
                            <a:fillRect/>
                          </a:stretch>
                        </pic:blipFill>
                        <pic:spPr>
                          <a:xfrm>
                            <a:off x="0" y="0"/>
                            <a:ext cx="775335" cy="329565"/>
                          </a:xfrm>
                          <a:prstGeom prst="rect">
                            <a:avLst/>
                          </a:prstGeom>
                          <a:noFill/>
                          <a:ln>
                            <a:noFill/>
                          </a:ln>
                        </pic:spPr>
                      </pic:pic>
                    </a:graphicData>
                  </a:graphic>
                </wp:anchor>
              </w:drawing>
            </w:r>
          </w:p>
        </w:tc>
      </w:tr>
      <w:tr w14:paraId="04CF38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7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2CF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3980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不锈钢饭桶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B37F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1.2厚 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5A5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C4B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FD6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D640E">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230505</wp:posOffset>
                  </wp:positionH>
                  <wp:positionV relativeFrom="paragraph">
                    <wp:posOffset>24130</wp:posOffset>
                  </wp:positionV>
                  <wp:extent cx="466725" cy="377825"/>
                  <wp:effectExtent l="0" t="0" r="9525" b="3175"/>
                  <wp:wrapNone/>
                  <wp:docPr id="55" name="图片_53"/>
                  <wp:cNvGraphicFramePr/>
                  <a:graphic xmlns:a="http://schemas.openxmlformats.org/drawingml/2006/main">
                    <a:graphicData uri="http://schemas.openxmlformats.org/drawingml/2006/picture">
                      <pic:pic xmlns:pic="http://schemas.openxmlformats.org/drawingml/2006/picture">
                        <pic:nvPicPr>
                          <pic:cNvPr id="55" name="图片_53"/>
                          <pic:cNvPicPr/>
                        </pic:nvPicPr>
                        <pic:blipFill>
                          <a:blip r:embed="rId102"/>
                          <a:stretch>
                            <a:fillRect/>
                          </a:stretch>
                        </pic:blipFill>
                        <pic:spPr>
                          <a:xfrm>
                            <a:off x="0" y="0"/>
                            <a:ext cx="466725" cy="377825"/>
                          </a:xfrm>
                          <a:prstGeom prst="rect">
                            <a:avLst/>
                          </a:prstGeom>
                          <a:noFill/>
                          <a:ln>
                            <a:noFill/>
                          </a:ln>
                        </pic:spPr>
                      </pic:pic>
                    </a:graphicData>
                  </a:graphic>
                </wp:anchor>
              </w:drawing>
            </w:r>
          </w:p>
        </w:tc>
      </w:tr>
      <w:tr w14:paraId="5534F6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8FAB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656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不锈钢汤桶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C727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1.2厚 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4123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BD14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34A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B0883">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219710</wp:posOffset>
                  </wp:positionH>
                  <wp:positionV relativeFrom="paragraph">
                    <wp:posOffset>72390</wp:posOffset>
                  </wp:positionV>
                  <wp:extent cx="484505" cy="342265"/>
                  <wp:effectExtent l="0" t="0" r="10795" b="635"/>
                  <wp:wrapNone/>
                  <wp:docPr id="56" name="图片_54"/>
                  <wp:cNvGraphicFramePr/>
                  <a:graphic xmlns:a="http://schemas.openxmlformats.org/drawingml/2006/main">
                    <a:graphicData uri="http://schemas.openxmlformats.org/drawingml/2006/picture">
                      <pic:pic xmlns:pic="http://schemas.openxmlformats.org/drawingml/2006/picture">
                        <pic:nvPicPr>
                          <pic:cNvPr id="56" name="图片_54"/>
                          <pic:cNvPicPr/>
                        </pic:nvPicPr>
                        <pic:blipFill>
                          <a:blip r:embed="rId103"/>
                          <a:stretch>
                            <a:fillRect/>
                          </a:stretch>
                        </pic:blipFill>
                        <pic:spPr>
                          <a:xfrm>
                            <a:off x="0" y="0"/>
                            <a:ext cx="484505" cy="342265"/>
                          </a:xfrm>
                          <a:prstGeom prst="rect">
                            <a:avLst/>
                          </a:prstGeom>
                          <a:noFill/>
                          <a:ln>
                            <a:noFill/>
                          </a:ln>
                        </pic:spPr>
                      </pic:pic>
                    </a:graphicData>
                  </a:graphic>
                </wp:anchor>
              </w:drawing>
            </w:r>
          </w:p>
        </w:tc>
      </w:tr>
      <w:tr w14:paraId="638D3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15EC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E6F0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不锈钢汤桶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FBB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1.2厚 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A9B9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F04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D0E7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B3AF5">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240030</wp:posOffset>
                  </wp:positionH>
                  <wp:positionV relativeFrom="paragraph">
                    <wp:posOffset>36830</wp:posOffset>
                  </wp:positionV>
                  <wp:extent cx="441325" cy="356235"/>
                  <wp:effectExtent l="0" t="0" r="15875" b="5715"/>
                  <wp:wrapNone/>
                  <wp:docPr id="57" name="图片_55"/>
                  <wp:cNvGraphicFramePr/>
                  <a:graphic xmlns:a="http://schemas.openxmlformats.org/drawingml/2006/main">
                    <a:graphicData uri="http://schemas.openxmlformats.org/drawingml/2006/picture">
                      <pic:pic xmlns:pic="http://schemas.openxmlformats.org/drawingml/2006/picture">
                        <pic:nvPicPr>
                          <pic:cNvPr id="57" name="图片_55"/>
                          <pic:cNvPicPr/>
                        </pic:nvPicPr>
                        <pic:blipFill>
                          <a:blip r:embed="rId104"/>
                          <a:stretch>
                            <a:fillRect/>
                          </a:stretch>
                        </pic:blipFill>
                        <pic:spPr>
                          <a:xfrm>
                            <a:off x="0" y="0"/>
                            <a:ext cx="441325" cy="356235"/>
                          </a:xfrm>
                          <a:prstGeom prst="rect">
                            <a:avLst/>
                          </a:prstGeom>
                          <a:noFill/>
                          <a:ln>
                            <a:noFill/>
                          </a:ln>
                        </pic:spPr>
                      </pic:pic>
                    </a:graphicData>
                  </a:graphic>
                </wp:anchor>
              </w:drawing>
            </w:r>
          </w:p>
        </w:tc>
      </w:tr>
      <w:tr w14:paraId="4D4C17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E06E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B2A6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双狮刀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F914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DDF3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21.5*10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9E69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1F08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3945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85090</wp:posOffset>
                  </wp:positionH>
                  <wp:positionV relativeFrom="paragraph">
                    <wp:posOffset>68580</wp:posOffset>
                  </wp:positionV>
                  <wp:extent cx="680720" cy="407670"/>
                  <wp:effectExtent l="0" t="0" r="5080" b="11430"/>
                  <wp:wrapNone/>
                  <wp:docPr id="58" name="图片_56_SpCnt_2"/>
                  <wp:cNvGraphicFramePr/>
                  <a:graphic xmlns:a="http://schemas.openxmlformats.org/drawingml/2006/main">
                    <a:graphicData uri="http://schemas.openxmlformats.org/drawingml/2006/picture">
                      <pic:pic xmlns:pic="http://schemas.openxmlformats.org/drawingml/2006/picture">
                        <pic:nvPicPr>
                          <pic:cNvPr id="58" name="图片_56_SpCnt_2"/>
                          <pic:cNvPicPr/>
                        </pic:nvPicPr>
                        <pic:blipFill>
                          <a:blip r:embed="rId105"/>
                          <a:stretch>
                            <a:fillRect/>
                          </a:stretch>
                        </pic:blipFill>
                        <pic:spPr>
                          <a:xfrm>
                            <a:off x="0" y="0"/>
                            <a:ext cx="680720" cy="407670"/>
                          </a:xfrm>
                          <a:prstGeom prst="rect">
                            <a:avLst/>
                          </a:prstGeom>
                          <a:noFill/>
                          <a:ln>
                            <a:noFill/>
                          </a:ln>
                        </pic:spPr>
                      </pic:pic>
                    </a:graphicData>
                  </a:graphic>
                </wp:anchor>
              </w:drawing>
            </w:r>
          </w:p>
        </w:tc>
      </w:tr>
      <w:tr w14:paraId="77510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815F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F738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砍骨刀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8E17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56A2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20*10.5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CF0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F6B9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4803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67310</wp:posOffset>
                  </wp:positionH>
                  <wp:positionV relativeFrom="paragraph">
                    <wp:posOffset>109220</wp:posOffset>
                  </wp:positionV>
                  <wp:extent cx="720725" cy="300990"/>
                  <wp:effectExtent l="0" t="0" r="3175" b="3810"/>
                  <wp:wrapNone/>
                  <wp:docPr id="59" name="图片_57"/>
                  <wp:cNvGraphicFramePr/>
                  <a:graphic xmlns:a="http://schemas.openxmlformats.org/drawingml/2006/main">
                    <a:graphicData uri="http://schemas.openxmlformats.org/drawingml/2006/picture">
                      <pic:pic xmlns:pic="http://schemas.openxmlformats.org/drawingml/2006/picture">
                        <pic:nvPicPr>
                          <pic:cNvPr id="59" name="图片_57"/>
                          <pic:cNvPicPr/>
                        </pic:nvPicPr>
                        <pic:blipFill>
                          <a:blip r:embed="rId106"/>
                          <a:stretch>
                            <a:fillRect/>
                          </a:stretch>
                        </pic:blipFill>
                        <pic:spPr>
                          <a:xfrm>
                            <a:off x="0" y="0"/>
                            <a:ext cx="720725" cy="300990"/>
                          </a:xfrm>
                          <a:prstGeom prst="rect">
                            <a:avLst/>
                          </a:prstGeom>
                          <a:noFill/>
                          <a:ln>
                            <a:noFill/>
                          </a:ln>
                        </pic:spPr>
                      </pic:pic>
                    </a:graphicData>
                  </a:graphic>
                </wp:anchor>
              </w:drawing>
            </w:r>
          </w:p>
        </w:tc>
      </w:tr>
      <w:tr w14:paraId="67C95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197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5833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磨刀石</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3AA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9F4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21.5*4.8*2.5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6CD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40D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456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94615</wp:posOffset>
                  </wp:positionH>
                  <wp:positionV relativeFrom="paragraph">
                    <wp:posOffset>33655</wp:posOffset>
                  </wp:positionV>
                  <wp:extent cx="660400" cy="396240"/>
                  <wp:effectExtent l="0" t="0" r="6350" b="3810"/>
                  <wp:wrapNone/>
                  <wp:docPr id="60" name="图片_58"/>
                  <wp:cNvGraphicFramePr/>
                  <a:graphic xmlns:a="http://schemas.openxmlformats.org/drawingml/2006/main">
                    <a:graphicData uri="http://schemas.openxmlformats.org/drawingml/2006/picture">
                      <pic:pic xmlns:pic="http://schemas.openxmlformats.org/drawingml/2006/picture">
                        <pic:nvPicPr>
                          <pic:cNvPr id="60" name="图片_58"/>
                          <pic:cNvPicPr/>
                        </pic:nvPicPr>
                        <pic:blipFill>
                          <a:blip r:embed="rId107"/>
                          <a:stretch>
                            <a:fillRect/>
                          </a:stretch>
                        </pic:blipFill>
                        <pic:spPr>
                          <a:xfrm>
                            <a:off x="0" y="0"/>
                            <a:ext cx="660400" cy="396240"/>
                          </a:xfrm>
                          <a:prstGeom prst="rect">
                            <a:avLst/>
                          </a:prstGeom>
                          <a:noFill/>
                          <a:ln>
                            <a:noFill/>
                          </a:ln>
                        </pic:spPr>
                      </pic:pic>
                    </a:graphicData>
                  </a:graphic>
                </wp:anchor>
              </w:drawing>
            </w:r>
          </w:p>
        </w:tc>
      </w:tr>
      <w:tr w14:paraId="5A809E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F9CB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49AB0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25B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剪体选用优质钢材，经特殊加硬处理精制而成，剪柄采用优质卫生塑料精制而成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DAFF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1号长24.5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B7A1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EABA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ADC7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144145</wp:posOffset>
                  </wp:positionH>
                  <wp:positionV relativeFrom="paragraph">
                    <wp:posOffset>85090</wp:posOffset>
                  </wp:positionV>
                  <wp:extent cx="612140" cy="396875"/>
                  <wp:effectExtent l="0" t="0" r="16510" b="3175"/>
                  <wp:wrapNone/>
                  <wp:docPr id="61" name="图片_59"/>
                  <wp:cNvGraphicFramePr/>
                  <a:graphic xmlns:a="http://schemas.openxmlformats.org/drawingml/2006/main">
                    <a:graphicData uri="http://schemas.openxmlformats.org/drawingml/2006/picture">
                      <pic:pic xmlns:pic="http://schemas.openxmlformats.org/drawingml/2006/picture">
                        <pic:nvPicPr>
                          <pic:cNvPr id="61" name="图片_59"/>
                          <pic:cNvPicPr/>
                        </pic:nvPicPr>
                        <pic:blipFill>
                          <a:blip r:embed="rId108"/>
                          <a:stretch>
                            <a:fillRect/>
                          </a:stretch>
                        </pic:blipFill>
                        <pic:spPr>
                          <a:xfrm>
                            <a:off x="0" y="0"/>
                            <a:ext cx="612140" cy="396875"/>
                          </a:xfrm>
                          <a:prstGeom prst="rect">
                            <a:avLst/>
                          </a:prstGeom>
                          <a:noFill/>
                          <a:ln>
                            <a:noFill/>
                          </a:ln>
                        </pic:spPr>
                      </pic:pic>
                    </a:graphicData>
                  </a:graphic>
                </wp:anchor>
              </w:drawing>
            </w:r>
          </w:p>
        </w:tc>
      </w:tr>
      <w:tr w14:paraId="7207C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1D6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914B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味盅</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1140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B40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A18C9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DECA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66FE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165735</wp:posOffset>
                  </wp:positionH>
                  <wp:positionV relativeFrom="paragraph">
                    <wp:posOffset>33655</wp:posOffset>
                  </wp:positionV>
                  <wp:extent cx="486410" cy="372110"/>
                  <wp:effectExtent l="0" t="0" r="8890" b="8890"/>
                  <wp:wrapNone/>
                  <wp:docPr id="62" name="图片_6"/>
                  <wp:cNvGraphicFramePr/>
                  <a:graphic xmlns:a="http://schemas.openxmlformats.org/drawingml/2006/main">
                    <a:graphicData uri="http://schemas.openxmlformats.org/drawingml/2006/picture">
                      <pic:pic xmlns:pic="http://schemas.openxmlformats.org/drawingml/2006/picture">
                        <pic:nvPicPr>
                          <pic:cNvPr id="62" name="图片_6"/>
                          <pic:cNvPicPr/>
                        </pic:nvPicPr>
                        <pic:blipFill>
                          <a:blip r:embed="rId109"/>
                          <a:stretch>
                            <a:fillRect/>
                          </a:stretch>
                        </pic:blipFill>
                        <pic:spPr>
                          <a:xfrm>
                            <a:off x="0" y="0"/>
                            <a:ext cx="486410" cy="372110"/>
                          </a:xfrm>
                          <a:prstGeom prst="rect">
                            <a:avLst/>
                          </a:prstGeom>
                          <a:noFill/>
                          <a:ln>
                            <a:noFill/>
                          </a:ln>
                        </pic:spPr>
                      </pic:pic>
                    </a:graphicData>
                  </a:graphic>
                </wp:anchor>
              </w:drawing>
            </w:r>
          </w:p>
        </w:tc>
      </w:tr>
      <w:tr w14:paraId="52950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EA6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A0F4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味盅</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079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A858E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71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8E2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17DF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200660</wp:posOffset>
                  </wp:positionH>
                  <wp:positionV relativeFrom="paragraph">
                    <wp:posOffset>24765</wp:posOffset>
                  </wp:positionV>
                  <wp:extent cx="500380" cy="364490"/>
                  <wp:effectExtent l="0" t="0" r="13970" b="16510"/>
                  <wp:wrapNone/>
                  <wp:docPr id="63" name="图片_7_SpCnt_1"/>
                  <wp:cNvGraphicFramePr/>
                  <a:graphic xmlns:a="http://schemas.openxmlformats.org/drawingml/2006/main">
                    <a:graphicData uri="http://schemas.openxmlformats.org/drawingml/2006/picture">
                      <pic:pic xmlns:pic="http://schemas.openxmlformats.org/drawingml/2006/picture">
                        <pic:nvPicPr>
                          <pic:cNvPr id="63" name="图片_7_SpCnt_1"/>
                          <pic:cNvPicPr/>
                        </pic:nvPicPr>
                        <pic:blipFill>
                          <a:blip r:embed="rId110"/>
                          <a:stretch>
                            <a:fillRect/>
                          </a:stretch>
                        </pic:blipFill>
                        <pic:spPr>
                          <a:xfrm>
                            <a:off x="0" y="0"/>
                            <a:ext cx="500380" cy="364490"/>
                          </a:xfrm>
                          <a:prstGeom prst="rect">
                            <a:avLst/>
                          </a:prstGeom>
                          <a:noFill/>
                          <a:ln>
                            <a:noFill/>
                          </a:ln>
                        </pic:spPr>
                      </pic:pic>
                    </a:graphicData>
                  </a:graphic>
                </wp:anchor>
              </w:drawing>
            </w:r>
          </w:p>
        </w:tc>
      </w:tr>
      <w:tr w14:paraId="1F11B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764E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FB1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鼓形油缸</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5A25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92C0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BCD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5075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6EC4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144145</wp:posOffset>
                  </wp:positionH>
                  <wp:positionV relativeFrom="paragraph">
                    <wp:posOffset>36195</wp:posOffset>
                  </wp:positionV>
                  <wp:extent cx="608330" cy="332105"/>
                  <wp:effectExtent l="0" t="0" r="1270" b="10795"/>
                  <wp:wrapNone/>
                  <wp:docPr id="64" name="图片_8_SpCnt_3"/>
                  <wp:cNvGraphicFramePr/>
                  <a:graphic xmlns:a="http://schemas.openxmlformats.org/drawingml/2006/main">
                    <a:graphicData uri="http://schemas.openxmlformats.org/drawingml/2006/picture">
                      <pic:pic xmlns:pic="http://schemas.openxmlformats.org/drawingml/2006/picture">
                        <pic:nvPicPr>
                          <pic:cNvPr id="64" name="图片_8_SpCnt_3"/>
                          <pic:cNvPicPr/>
                        </pic:nvPicPr>
                        <pic:blipFill>
                          <a:blip r:embed="rId111"/>
                          <a:stretch>
                            <a:fillRect/>
                          </a:stretch>
                        </pic:blipFill>
                        <pic:spPr>
                          <a:xfrm>
                            <a:off x="0" y="0"/>
                            <a:ext cx="608330" cy="332105"/>
                          </a:xfrm>
                          <a:prstGeom prst="rect">
                            <a:avLst/>
                          </a:prstGeom>
                          <a:noFill/>
                          <a:ln>
                            <a:noFill/>
                          </a:ln>
                        </pic:spPr>
                      </pic:pic>
                    </a:graphicData>
                  </a:graphic>
                </wp:anchor>
              </w:drawing>
            </w:r>
          </w:p>
        </w:tc>
      </w:tr>
      <w:tr w14:paraId="3C8416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517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62A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马勺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CC0D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0FD0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10两</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D00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EF0E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EC076">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67310</wp:posOffset>
                  </wp:positionH>
                  <wp:positionV relativeFrom="paragraph">
                    <wp:posOffset>48260</wp:posOffset>
                  </wp:positionV>
                  <wp:extent cx="754380" cy="319405"/>
                  <wp:effectExtent l="0" t="0" r="7620" b="4445"/>
                  <wp:wrapNone/>
                  <wp:docPr id="65" name="图片_9_SpCnt_2"/>
                  <wp:cNvGraphicFramePr/>
                  <a:graphic xmlns:a="http://schemas.openxmlformats.org/drawingml/2006/main">
                    <a:graphicData uri="http://schemas.openxmlformats.org/drawingml/2006/picture">
                      <pic:pic xmlns:pic="http://schemas.openxmlformats.org/drawingml/2006/picture">
                        <pic:nvPicPr>
                          <pic:cNvPr id="65" name="图片_9_SpCnt_2"/>
                          <pic:cNvPicPr/>
                        </pic:nvPicPr>
                        <pic:blipFill>
                          <a:blip r:embed="rId112"/>
                          <a:stretch>
                            <a:fillRect/>
                          </a:stretch>
                        </pic:blipFill>
                        <pic:spPr>
                          <a:xfrm>
                            <a:off x="0" y="0"/>
                            <a:ext cx="754380" cy="319405"/>
                          </a:xfrm>
                          <a:prstGeom prst="rect">
                            <a:avLst/>
                          </a:prstGeom>
                          <a:noFill/>
                          <a:ln>
                            <a:noFill/>
                          </a:ln>
                        </pic:spPr>
                      </pic:pic>
                    </a:graphicData>
                  </a:graphic>
                </wp:anchor>
              </w:drawing>
            </w:r>
          </w:p>
        </w:tc>
      </w:tr>
      <w:tr w14:paraId="4C642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6EF8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37AE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不锈钢爪篱</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FB67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木柄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D866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F54A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72E6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3D14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15875</wp:posOffset>
                  </wp:positionH>
                  <wp:positionV relativeFrom="paragraph">
                    <wp:posOffset>18415</wp:posOffset>
                  </wp:positionV>
                  <wp:extent cx="837565" cy="400050"/>
                  <wp:effectExtent l="0" t="0" r="635" b="0"/>
                  <wp:wrapNone/>
                  <wp:docPr id="66" name="图片_10_SpCnt_3"/>
                  <wp:cNvGraphicFramePr/>
                  <a:graphic xmlns:a="http://schemas.openxmlformats.org/drawingml/2006/main">
                    <a:graphicData uri="http://schemas.openxmlformats.org/drawingml/2006/picture">
                      <pic:pic xmlns:pic="http://schemas.openxmlformats.org/drawingml/2006/picture">
                        <pic:nvPicPr>
                          <pic:cNvPr id="66" name="图片_10_SpCnt_3"/>
                          <pic:cNvPicPr/>
                        </pic:nvPicPr>
                        <pic:blipFill>
                          <a:blip r:embed="rId113"/>
                          <a:stretch>
                            <a:fillRect/>
                          </a:stretch>
                        </pic:blipFill>
                        <pic:spPr>
                          <a:xfrm>
                            <a:off x="0" y="0"/>
                            <a:ext cx="837565" cy="400050"/>
                          </a:xfrm>
                          <a:prstGeom prst="rect">
                            <a:avLst/>
                          </a:prstGeom>
                          <a:noFill/>
                          <a:ln>
                            <a:noFill/>
                          </a:ln>
                        </pic:spPr>
                      </pic:pic>
                    </a:graphicData>
                  </a:graphic>
                </wp:anchor>
              </w:drawing>
            </w:r>
          </w:p>
        </w:tc>
      </w:tr>
      <w:tr w14:paraId="764CA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15ED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F29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油格</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143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6470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C85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9762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65A5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78105</wp:posOffset>
                  </wp:positionH>
                  <wp:positionV relativeFrom="paragraph">
                    <wp:posOffset>56515</wp:posOffset>
                  </wp:positionV>
                  <wp:extent cx="730885" cy="274955"/>
                  <wp:effectExtent l="0" t="0" r="12065" b="10795"/>
                  <wp:wrapNone/>
                  <wp:docPr id="67" name="图片_11"/>
                  <wp:cNvGraphicFramePr/>
                  <a:graphic xmlns:a="http://schemas.openxmlformats.org/drawingml/2006/main">
                    <a:graphicData uri="http://schemas.openxmlformats.org/drawingml/2006/picture">
                      <pic:pic xmlns:pic="http://schemas.openxmlformats.org/drawingml/2006/picture">
                        <pic:nvPicPr>
                          <pic:cNvPr id="67" name="图片_11"/>
                          <pic:cNvPicPr/>
                        </pic:nvPicPr>
                        <pic:blipFill>
                          <a:blip r:embed="rId114"/>
                          <a:stretch>
                            <a:fillRect/>
                          </a:stretch>
                        </pic:blipFill>
                        <pic:spPr>
                          <a:xfrm>
                            <a:off x="0" y="0"/>
                            <a:ext cx="730885" cy="274955"/>
                          </a:xfrm>
                          <a:prstGeom prst="rect">
                            <a:avLst/>
                          </a:prstGeom>
                          <a:noFill/>
                          <a:ln>
                            <a:noFill/>
                          </a:ln>
                        </pic:spPr>
                      </pic:pic>
                    </a:graphicData>
                  </a:graphic>
                </wp:anchor>
              </w:drawing>
            </w:r>
          </w:p>
        </w:tc>
      </w:tr>
      <w:tr w14:paraId="4B5CC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115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3B7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打蛋器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2623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C69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1#长36cm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ED15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A5A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8267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39370</wp:posOffset>
                  </wp:positionH>
                  <wp:positionV relativeFrom="paragraph">
                    <wp:posOffset>95250</wp:posOffset>
                  </wp:positionV>
                  <wp:extent cx="765810" cy="273050"/>
                  <wp:effectExtent l="0" t="0" r="15240" b="12700"/>
                  <wp:wrapNone/>
                  <wp:docPr id="68" name="图片_12_SpCnt_1"/>
                  <wp:cNvGraphicFramePr/>
                  <a:graphic xmlns:a="http://schemas.openxmlformats.org/drawingml/2006/main">
                    <a:graphicData uri="http://schemas.openxmlformats.org/drawingml/2006/picture">
                      <pic:pic xmlns:pic="http://schemas.openxmlformats.org/drawingml/2006/picture">
                        <pic:nvPicPr>
                          <pic:cNvPr id="68" name="图片_12_SpCnt_1"/>
                          <pic:cNvPicPr/>
                        </pic:nvPicPr>
                        <pic:blipFill>
                          <a:blip r:embed="rId115"/>
                          <a:stretch>
                            <a:fillRect/>
                          </a:stretch>
                        </pic:blipFill>
                        <pic:spPr>
                          <a:xfrm>
                            <a:off x="0" y="0"/>
                            <a:ext cx="765810" cy="273050"/>
                          </a:xfrm>
                          <a:prstGeom prst="rect">
                            <a:avLst/>
                          </a:prstGeom>
                          <a:noFill/>
                          <a:ln>
                            <a:noFill/>
                          </a:ln>
                        </pic:spPr>
                      </pic:pic>
                    </a:graphicData>
                  </a:graphic>
                </wp:anchor>
              </w:drawing>
            </w:r>
          </w:p>
        </w:tc>
      </w:tr>
      <w:tr w14:paraId="05DAB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4"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448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64A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短柄水勺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812A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5FBD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口径160mm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7207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6A79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3F87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13970</wp:posOffset>
                  </wp:positionH>
                  <wp:positionV relativeFrom="paragraph">
                    <wp:posOffset>-3175</wp:posOffset>
                  </wp:positionV>
                  <wp:extent cx="868680" cy="227965"/>
                  <wp:effectExtent l="0" t="0" r="7620" b="635"/>
                  <wp:wrapNone/>
                  <wp:docPr id="69" name="图片_13_SpCnt_4"/>
                  <wp:cNvGraphicFramePr/>
                  <a:graphic xmlns:a="http://schemas.openxmlformats.org/drawingml/2006/main">
                    <a:graphicData uri="http://schemas.openxmlformats.org/drawingml/2006/picture">
                      <pic:pic xmlns:pic="http://schemas.openxmlformats.org/drawingml/2006/picture">
                        <pic:nvPicPr>
                          <pic:cNvPr id="69" name="图片_13_SpCnt_4"/>
                          <pic:cNvPicPr/>
                        </pic:nvPicPr>
                        <pic:blipFill>
                          <a:blip r:embed="rId116"/>
                          <a:stretch>
                            <a:fillRect/>
                          </a:stretch>
                        </pic:blipFill>
                        <pic:spPr>
                          <a:xfrm>
                            <a:off x="0" y="0"/>
                            <a:ext cx="868680" cy="227965"/>
                          </a:xfrm>
                          <a:prstGeom prst="rect">
                            <a:avLst/>
                          </a:prstGeom>
                          <a:noFill/>
                          <a:ln>
                            <a:noFill/>
                          </a:ln>
                        </pic:spPr>
                      </pic:pic>
                    </a:graphicData>
                  </a:graphic>
                </wp:anchor>
              </w:drawing>
            </w:r>
          </w:p>
        </w:tc>
      </w:tr>
      <w:tr w14:paraId="41F775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6537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EDFA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丝筐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DE63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新塑料制品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20个白框 40个绿框10个蓝框 10个红框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5EA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67*47*45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AF2B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E2FC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2EC6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60960</wp:posOffset>
                  </wp:positionH>
                  <wp:positionV relativeFrom="paragraph">
                    <wp:posOffset>43180</wp:posOffset>
                  </wp:positionV>
                  <wp:extent cx="697230" cy="342265"/>
                  <wp:effectExtent l="0" t="0" r="7620" b="635"/>
                  <wp:wrapNone/>
                  <wp:docPr id="70" name="图片_14"/>
                  <wp:cNvGraphicFramePr/>
                  <a:graphic xmlns:a="http://schemas.openxmlformats.org/drawingml/2006/main">
                    <a:graphicData uri="http://schemas.openxmlformats.org/drawingml/2006/picture">
                      <pic:pic xmlns:pic="http://schemas.openxmlformats.org/drawingml/2006/picture">
                        <pic:nvPicPr>
                          <pic:cNvPr id="70" name="图片_14"/>
                          <pic:cNvPicPr/>
                        </pic:nvPicPr>
                        <pic:blipFill>
                          <a:blip r:embed="rId117"/>
                          <a:stretch>
                            <a:fillRect/>
                          </a:stretch>
                        </pic:blipFill>
                        <pic:spPr>
                          <a:xfrm>
                            <a:off x="0" y="0"/>
                            <a:ext cx="697230" cy="342265"/>
                          </a:xfrm>
                          <a:prstGeom prst="rect">
                            <a:avLst/>
                          </a:prstGeom>
                          <a:noFill/>
                          <a:ln>
                            <a:noFill/>
                          </a:ln>
                        </pic:spPr>
                      </pic:pic>
                    </a:graphicData>
                  </a:graphic>
                </wp:anchor>
              </w:drawing>
            </w:r>
          </w:p>
        </w:tc>
      </w:tr>
      <w:tr w14:paraId="7C6991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F2D7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CEE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丝筐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4B55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新塑料制品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20个白框 40个绿框10个蓝框 10个红框</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61CA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27*36*30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2DDA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8467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DBAE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43180</wp:posOffset>
                  </wp:positionH>
                  <wp:positionV relativeFrom="paragraph">
                    <wp:posOffset>10160</wp:posOffset>
                  </wp:positionV>
                  <wp:extent cx="739140" cy="306705"/>
                  <wp:effectExtent l="0" t="0" r="3810" b="17145"/>
                  <wp:wrapNone/>
                  <wp:docPr id="71" name="图片_15"/>
                  <wp:cNvGraphicFramePr/>
                  <a:graphic xmlns:a="http://schemas.openxmlformats.org/drawingml/2006/main">
                    <a:graphicData uri="http://schemas.openxmlformats.org/drawingml/2006/picture">
                      <pic:pic xmlns:pic="http://schemas.openxmlformats.org/drawingml/2006/picture">
                        <pic:nvPicPr>
                          <pic:cNvPr id="71" name="图片_15"/>
                          <pic:cNvPicPr/>
                        </pic:nvPicPr>
                        <pic:blipFill>
                          <a:blip r:embed="rId118"/>
                          <a:stretch>
                            <a:fillRect/>
                          </a:stretch>
                        </pic:blipFill>
                        <pic:spPr>
                          <a:xfrm>
                            <a:off x="0" y="0"/>
                            <a:ext cx="739140" cy="306705"/>
                          </a:xfrm>
                          <a:prstGeom prst="rect">
                            <a:avLst/>
                          </a:prstGeom>
                          <a:noFill/>
                          <a:ln>
                            <a:noFill/>
                          </a:ln>
                        </pic:spPr>
                      </pic:pic>
                    </a:graphicData>
                  </a:graphic>
                </wp:anchor>
              </w:drawing>
            </w:r>
          </w:p>
        </w:tc>
      </w:tr>
      <w:tr w14:paraId="413F9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5C4C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C8B8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锅刷</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0F4D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竹制品</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169E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5E43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DFF5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DBDB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107315</wp:posOffset>
                  </wp:positionH>
                  <wp:positionV relativeFrom="paragraph">
                    <wp:posOffset>50165</wp:posOffset>
                  </wp:positionV>
                  <wp:extent cx="687705" cy="278130"/>
                  <wp:effectExtent l="0" t="0" r="17145" b="7620"/>
                  <wp:wrapNone/>
                  <wp:docPr id="72" name="图片_19_SpCnt_11"/>
                  <wp:cNvGraphicFramePr/>
                  <a:graphic xmlns:a="http://schemas.openxmlformats.org/drawingml/2006/main">
                    <a:graphicData uri="http://schemas.openxmlformats.org/drawingml/2006/picture">
                      <pic:pic xmlns:pic="http://schemas.openxmlformats.org/drawingml/2006/picture">
                        <pic:nvPicPr>
                          <pic:cNvPr id="72" name="图片_19_SpCnt_11"/>
                          <pic:cNvPicPr/>
                        </pic:nvPicPr>
                        <pic:blipFill>
                          <a:blip r:embed="rId119"/>
                          <a:stretch>
                            <a:fillRect/>
                          </a:stretch>
                        </pic:blipFill>
                        <pic:spPr>
                          <a:xfrm>
                            <a:off x="0" y="0"/>
                            <a:ext cx="687705" cy="278130"/>
                          </a:xfrm>
                          <a:prstGeom prst="rect">
                            <a:avLst/>
                          </a:prstGeom>
                          <a:noFill/>
                          <a:ln>
                            <a:noFill/>
                          </a:ln>
                        </pic:spPr>
                      </pic:pic>
                    </a:graphicData>
                  </a:graphic>
                </wp:anchor>
              </w:drawing>
            </w:r>
          </w:p>
        </w:tc>
      </w:tr>
      <w:tr w14:paraId="5A873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598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986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不锈钢脸盆</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7C5D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CA97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E48C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419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0C05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60960</wp:posOffset>
                  </wp:positionH>
                  <wp:positionV relativeFrom="paragraph">
                    <wp:posOffset>55245</wp:posOffset>
                  </wp:positionV>
                  <wp:extent cx="790575" cy="322580"/>
                  <wp:effectExtent l="0" t="0" r="9525" b="1270"/>
                  <wp:wrapNone/>
                  <wp:docPr id="73" name="图片_20_SpCnt_1"/>
                  <wp:cNvGraphicFramePr/>
                  <a:graphic xmlns:a="http://schemas.openxmlformats.org/drawingml/2006/main">
                    <a:graphicData uri="http://schemas.openxmlformats.org/drawingml/2006/picture">
                      <pic:pic xmlns:pic="http://schemas.openxmlformats.org/drawingml/2006/picture">
                        <pic:nvPicPr>
                          <pic:cNvPr id="73" name="图片_20_SpCnt_1"/>
                          <pic:cNvPicPr/>
                        </pic:nvPicPr>
                        <pic:blipFill>
                          <a:blip r:embed="rId120"/>
                          <a:stretch>
                            <a:fillRect/>
                          </a:stretch>
                        </pic:blipFill>
                        <pic:spPr>
                          <a:xfrm>
                            <a:off x="0" y="0"/>
                            <a:ext cx="790575" cy="322580"/>
                          </a:xfrm>
                          <a:prstGeom prst="rect">
                            <a:avLst/>
                          </a:prstGeom>
                          <a:noFill/>
                          <a:ln>
                            <a:noFill/>
                          </a:ln>
                        </pic:spPr>
                      </pic:pic>
                    </a:graphicData>
                  </a:graphic>
                </wp:anchor>
              </w:drawing>
            </w:r>
          </w:p>
        </w:tc>
      </w:tr>
      <w:tr w14:paraId="4BC23A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742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7170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不锈钢脸盆</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387D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A86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0B73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26820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D3BE8">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43815</wp:posOffset>
                  </wp:positionH>
                  <wp:positionV relativeFrom="paragraph">
                    <wp:posOffset>37465</wp:posOffset>
                  </wp:positionV>
                  <wp:extent cx="790575" cy="297180"/>
                  <wp:effectExtent l="0" t="0" r="9525" b="7620"/>
                  <wp:wrapNone/>
                  <wp:docPr id="74" name="图片_21"/>
                  <wp:cNvGraphicFramePr/>
                  <a:graphic xmlns:a="http://schemas.openxmlformats.org/drawingml/2006/main">
                    <a:graphicData uri="http://schemas.openxmlformats.org/drawingml/2006/picture">
                      <pic:pic xmlns:pic="http://schemas.openxmlformats.org/drawingml/2006/picture">
                        <pic:nvPicPr>
                          <pic:cNvPr id="74" name="图片_21"/>
                          <pic:cNvPicPr/>
                        </pic:nvPicPr>
                        <pic:blipFill>
                          <a:blip r:embed="rId120"/>
                          <a:stretch>
                            <a:fillRect/>
                          </a:stretch>
                        </pic:blipFill>
                        <pic:spPr>
                          <a:xfrm>
                            <a:off x="0" y="0"/>
                            <a:ext cx="790575" cy="297180"/>
                          </a:xfrm>
                          <a:prstGeom prst="rect">
                            <a:avLst/>
                          </a:prstGeom>
                          <a:noFill/>
                          <a:ln>
                            <a:noFill/>
                          </a:ln>
                        </pic:spPr>
                      </pic:pic>
                    </a:graphicData>
                  </a:graphic>
                </wp:anchor>
              </w:drawing>
            </w:r>
          </w:p>
        </w:tc>
      </w:tr>
      <w:tr w14:paraId="1EE54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9C9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4932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锅架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80FA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ED6D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上口24cm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下口27cm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A4BB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2545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A5333F">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31750</wp:posOffset>
                  </wp:positionH>
                  <wp:positionV relativeFrom="paragraph">
                    <wp:posOffset>43815</wp:posOffset>
                  </wp:positionV>
                  <wp:extent cx="802640" cy="262255"/>
                  <wp:effectExtent l="0" t="0" r="16510" b="4445"/>
                  <wp:wrapNone/>
                  <wp:docPr id="75" name="图片_31"/>
                  <wp:cNvGraphicFramePr/>
                  <a:graphic xmlns:a="http://schemas.openxmlformats.org/drawingml/2006/main">
                    <a:graphicData uri="http://schemas.openxmlformats.org/drawingml/2006/picture">
                      <pic:pic xmlns:pic="http://schemas.openxmlformats.org/drawingml/2006/picture">
                        <pic:nvPicPr>
                          <pic:cNvPr id="75" name="图片_31"/>
                          <pic:cNvPicPr/>
                        </pic:nvPicPr>
                        <pic:blipFill>
                          <a:blip r:embed="rId121"/>
                          <a:stretch>
                            <a:fillRect/>
                          </a:stretch>
                        </pic:blipFill>
                        <pic:spPr>
                          <a:xfrm>
                            <a:off x="0" y="0"/>
                            <a:ext cx="802640" cy="262255"/>
                          </a:xfrm>
                          <a:prstGeom prst="rect">
                            <a:avLst/>
                          </a:prstGeom>
                          <a:noFill/>
                          <a:ln>
                            <a:noFill/>
                          </a:ln>
                        </pic:spPr>
                      </pic:pic>
                    </a:graphicData>
                  </a:graphic>
                </wp:anchor>
              </w:drawing>
            </w:r>
          </w:p>
        </w:tc>
      </w:tr>
      <w:tr w14:paraId="698B9B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B90C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BD72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水壶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14D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不锈钢自鸣水壶</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899F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1.5L</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7E9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400A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C716B">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33020</wp:posOffset>
                  </wp:positionH>
                  <wp:positionV relativeFrom="paragraph">
                    <wp:posOffset>34925</wp:posOffset>
                  </wp:positionV>
                  <wp:extent cx="791845" cy="314325"/>
                  <wp:effectExtent l="0" t="0" r="8255" b="9525"/>
                  <wp:wrapNone/>
                  <wp:docPr id="76" name="图片_32"/>
                  <wp:cNvGraphicFramePr/>
                  <a:graphic xmlns:a="http://schemas.openxmlformats.org/drawingml/2006/main">
                    <a:graphicData uri="http://schemas.openxmlformats.org/drawingml/2006/picture">
                      <pic:pic xmlns:pic="http://schemas.openxmlformats.org/drawingml/2006/picture">
                        <pic:nvPicPr>
                          <pic:cNvPr id="76" name="图片_32"/>
                          <pic:cNvPicPr/>
                        </pic:nvPicPr>
                        <pic:blipFill>
                          <a:blip r:embed="rId122"/>
                          <a:stretch>
                            <a:fillRect/>
                          </a:stretch>
                        </pic:blipFill>
                        <pic:spPr>
                          <a:xfrm>
                            <a:off x="0" y="0"/>
                            <a:ext cx="791845" cy="314325"/>
                          </a:xfrm>
                          <a:prstGeom prst="rect">
                            <a:avLst/>
                          </a:prstGeom>
                          <a:noFill/>
                          <a:ln>
                            <a:noFill/>
                          </a:ln>
                        </pic:spPr>
                      </pic:pic>
                    </a:graphicData>
                  </a:graphic>
                </wp:anchor>
              </w:drawing>
            </w:r>
            <w:r>
              <w:rPr>
                <w:rFonts w:hint="eastAsia" w:ascii="宋体" w:hAnsi="宋体" w:eastAsia="宋体" w:cs="宋体"/>
                <w:i w:val="0"/>
                <w:iCs w:val="0"/>
                <w:color w:val="000000"/>
                <w:kern w:val="0"/>
                <w:sz w:val="21"/>
                <w:szCs w:val="21"/>
                <w:u w:val="none"/>
                <w:lang w:val="en-US" w:eastAsia="zh-CN" w:bidi="ar"/>
              </w:rPr>
              <w:t xml:space="preserve"> </w:t>
            </w:r>
          </w:p>
        </w:tc>
      </w:tr>
      <w:tr w14:paraId="1B626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E7FE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179</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E7ED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240L垃圾桶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085C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塑料制品</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AA0AB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570*730*950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92955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7DED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51CDA">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105410</wp:posOffset>
                  </wp:positionH>
                  <wp:positionV relativeFrom="paragraph">
                    <wp:posOffset>13335</wp:posOffset>
                  </wp:positionV>
                  <wp:extent cx="653415" cy="356235"/>
                  <wp:effectExtent l="0" t="0" r="13335" b="5715"/>
                  <wp:wrapNone/>
                  <wp:docPr id="77" name="图片_38"/>
                  <wp:cNvGraphicFramePr/>
                  <a:graphic xmlns:a="http://schemas.openxmlformats.org/drawingml/2006/main">
                    <a:graphicData uri="http://schemas.openxmlformats.org/drawingml/2006/picture">
                      <pic:pic xmlns:pic="http://schemas.openxmlformats.org/drawingml/2006/picture">
                        <pic:nvPicPr>
                          <pic:cNvPr id="77" name="图片_38"/>
                          <pic:cNvPicPr/>
                        </pic:nvPicPr>
                        <pic:blipFill>
                          <a:blip r:embed="rId123"/>
                          <a:stretch>
                            <a:fillRect/>
                          </a:stretch>
                        </pic:blipFill>
                        <pic:spPr>
                          <a:xfrm>
                            <a:off x="0" y="0"/>
                            <a:ext cx="653415" cy="356235"/>
                          </a:xfrm>
                          <a:prstGeom prst="rect">
                            <a:avLst/>
                          </a:prstGeom>
                          <a:noFill/>
                          <a:ln>
                            <a:noFill/>
                          </a:ln>
                        </pic:spPr>
                      </pic:pic>
                    </a:graphicData>
                  </a:graphic>
                </wp:anchor>
              </w:drawing>
            </w:r>
          </w:p>
        </w:tc>
      </w:tr>
      <w:tr w14:paraId="666E5A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1DCF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180</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B2B1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60L垃圾桶</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16A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塑料制品</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91C4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420*300*600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DF8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7F4A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C452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75565</wp:posOffset>
                  </wp:positionH>
                  <wp:positionV relativeFrom="paragraph">
                    <wp:posOffset>50165</wp:posOffset>
                  </wp:positionV>
                  <wp:extent cx="713740" cy="338455"/>
                  <wp:effectExtent l="0" t="0" r="10160" b="4445"/>
                  <wp:wrapNone/>
                  <wp:docPr id="78" name="图片_39"/>
                  <wp:cNvGraphicFramePr/>
                  <a:graphic xmlns:a="http://schemas.openxmlformats.org/drawingml/2006/main">
                    <a:graphicData uri="http://schemas.openxmlformats.org/drawingml/2006/picture">
                      <pic:pic xmlns:pic="http://schemas.openxmlformats.org/drawingml/2006/picture">
                        <pic:nvPicPr>
                          <pic:cNvPr id="78" name="图片_39"/>
                          <pic:cNvPicPr/>
                        </pic:nvPicPr>
                        <pic:blipFill>
                          <a:blip r:embed="rId124"/>
                          <a:stretch>
                            <a:fillRect/>
                          </a:stretch>
                        </pic:blipFill>
                        <pic:spPr>
                          <a:xfrm>
                            <a:off x="0" y="0"/>
                            <a:ext cx="713740" cy="338455"/>
                          </a:xfrm>
                          <a:prstGeom prst="rect">
                            <a:avLst/>
                          </a:prstGeom>
                          <a:noFill/>
                          <a:ln>
                            <a:noFill/>
                          </a:ln>
                        </pic:spPr>
                      </pic:pic>
                    </a:graphicData>
                  </a:graphic>
                </wp:anchor>
              </w:drawing>
            </w:r>
          </w:p>
        </w:tc>
      </w:tr>
      <w:tr w14:paraId="0AE87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899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181</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C171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电饭煲</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D2BB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功率：2600W</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4457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19L</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DC77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台</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3123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CCA3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109855</wp:posOffset>
                  </wp:positionH>
                  <wp:positionV relativeFrom="paragraph">
                    <wp:posOffset>49530</wp:posOffset>
                  </wp:positionV>
                  <wp:extent cx="666115" cy="260985"/>
                  <wp:effectExtent l="0" t="0" r="635" b="5715"/>
                  <wp:wrapNone/>
                  <wp:docPr id="79" name="图片_40"/>
                  <wp:cNvGraphicFramePr/>
                  <a:graphic xmlns:a="http://schemas.openxmlformats.org/drawingml/2006/main">
                    <a:graphicData uri="http://schemas.openxmlformats.org/drawingml/2006/picture">
                      <pic:pic xmlns:pic="http://schemas.openxmlformats.org/drawingml/2006/picture">
                        <pic:nvPicPr>
                          <pic:cNvPr id="79" name="图片_40"/>
                          <pic:cNvPicPr/>
                        </pic:nvPicPr>
                        <pic:blipFill>
                          <a:blip r:embed="rId125"/>
                          <a:stretch>
                            <a:fillRect/>
                          </a:stretch>
                        </pic:blipFill>
                        <pic:spPr>
                          <a:xfrm>
                            <a:off x="0" y="0"/>
                            <a:ext cx="666115" cy="260985"/>
                          </a:xfrm>
                          <a:prstGeom prst="rect">
                            <a:avLst/>
                          </a:prstGeom>
                          <a:noFill/>
                          <a:ln>
                            <a:noFill/>
                          </a:ln>
                        </pic:spPr>
                      </pic:pic>
                    </a:graphicData>
                  </a:graphic>
                </wp:anchor>
              </w:drawing>
            </w:r>
          </w:p>
        </w:tc>
      </w:tr>
      <w:tr w14:paraId="00C197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549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182</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980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尘推</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13C9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全棉吸水型拖布头，不锈钢柄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B892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60cm</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A383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F4A9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F8973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138430</wp:posOffset>
                  </wp:positionH>
                  <wp:positionV relativeFrom="paragraph">
                    <wp:posOffset>38100</wp:posOffset>
                  </wp:positionV>
                  <wp:extent cx="616585" cy="305435"/>
                  <wp:effectExtent l="0" t="0" r="12065" b="18415"/>
                  <wp:wrapNone/>
                  <wp:docPr id="80" name="图片_42"/>
                  <wp:cNvGraphicFramePr/>
                  <a:graphic xmlns:a="http://schemas.openxmlformats.org/drawingml/2006/main">
                    <a:graphicData uri="http://schemas.openxmlformats.org/drawingml/2006/picture">
                      <pic:pic xmlns:pic="http://schemas.openxmlformats.org/drawingml/2006/picture">
                        <pic:nvPicPr>
                          <pic:cNvPr id="80" name="图片_42"/>
                          <pic:cNvPicPr/>
                        </pic:nvPicPr>
                        <pic:blipFill>
                          <a:blip r:embed="rId126"/>
                          <a:stretch>
                            <a:fillRect/>
                          </a:stretch>
                        </pic:blipFill>
                        <pic:spPr>
                          <a:xfrm>
                            <a:off x="0" y="0"/>
                            <a:ext cx="616585" cy="305435"/>
                          </a:xfrm>
                          <a:prstGeom prst="rect">
                            <a:avLst/>
                          </a:prstGeom>
                          <a:noFill/>
                          <a:ln>
                            <a:noFill/>
                          </a:ln>
                        </pic:spPr>
                      </pic:pic>
                    </a:graphicData>
                  </a:graphic>
                </wp:anchor>
              </w:drawing>
            </w:r>
            <w:r>
              <w:rPr>
                <w:rFonts w:hint="eastAsia" w:ascii="宋体" w:hAnsi="宋体" w:eastAsia="宋体" w:cs="宋体"/>
                <w:i w:val="0"/>
                <w:iCs w:val="0"/>
                <w:color w:val="000000"/>
                <w:kern w:val="0"/>
                <w:sz w:val="21"/>
                <w:szCs w:val="21"/>
                <w:u w:val="none"/>
                <w:lang w:val="en-US" w:eastAsia="zh-CN" w:bidi="ar"/>
              </w:rPr>
              <w:t xml:space="preserve"> </w:t>
            </w:r>
          </w:p>
        </w:tc>
      </w:tr>
      <w:tr w14:paraId="022CE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C6A4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183</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6272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大锅铲</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5B0C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不锈钢铲头，加长木柄</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C32D2">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9332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C1EA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B5CFC">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78740</wp:posOffset>
                  </wp:positionH>
                  <wp:positionV relativeFrom="paragraph">
                    <wp:posOffset>80645</wp:posOffset>
                  </wp:positionV>
                  <wp:extent cx="740410" cy="230505"/>
                  <wp:effectExtent l="0" t="0" r="2540" b="17145"/>
                  <wp:wrapNone/>
                  <wp:docPr id="81" name="图片_49"/>
                  <wp:cNvGraphicFramePr/>
                  <a:graphic xmlns:a="http://schemas.openxmlformats.org/drawingml/2006/main">
                    <a:graphicData uri="http://schemas.openxmlformats.org/drawingml/2006/picture">
                      <pic:pic xmlns:pic="http://schemas.openxmlformats.org/drawingml/2006/picture">
                        <pic:nvPicPr>
                          <pic:cNvPr id="81" name="图片_49"/>
                          <pic:cNvPicPr/>
                        </pic:nvPicPr>
                        <pic:blipFill>
                          <a:blip r:embed="rId127"/>
                          <a:stretch>
                            <a:fillRect/>
                          </a:stretch>
                        </pic:blipFill>
                        <pic:spPr>
                          <a:xfrm>
                            <a:off x="0" y="0"/>
                            <a:ext cx="740410" cy="230505"/>
                          </a:xfrm>
                          <a:prstGeom prst="rect">
                            <a:avLst/>
                          </a:prstGeom>
                          <a:noFill/>
                          <a:ln>
                            <a:noFill/>
                          </a:ln>
                        </pic:spPr>
                      </pic:pic>
                    </a:graphicData>
                  </a:graphic>
                </wp:anchor>
              </w:drawing>
            </w:r>
            <w:r>
              <w:rPr>
                <w:rFonts w:hint="eastAsia" w:ascii="宋体" w:hAnsi="宋体" w:eastAsia="宋体" w:cs="宋体"/>
                <w:i w:val="0"/>
                <w:iCs w:val="0"/>
                <w:color w:val="000000"/>
                <w:kern w:val="0"/>
                <w:sz w:val="21"/>
                <w:szCs w:val="21"/>
                <w:u w:val="none"/>
                <w:lang w:val="en-US" w:eastAsia="zh-CN" w:bidi="ar"/>
              </w:rPr>
              <w:t xml:space="preserve"> </w:t>
            </w:r>
          </w:p>
        </w:tc>
      </w:tr>
      <w:tr w14:paraId="1A1F2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2"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7056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184</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FE5F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剪刀</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425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剪体选用优质钢材，经特殊加硬处理精制而成，剪柄采用优质卫生塑料精制而成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DBFBD">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2#长20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D0F6A">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把</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1A64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2BD11">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78105</wp:posOffset>
                  </wp:positionH>
                  <wp:positionV relativeFrom="paragraph">
                    <wp:posOffset>24130</wp:posOffset>
                  </wp:positionV>
                  <wp:extent cx="744855" cy="285115"/>
                  <wp:effectExtent l="0" t="0" r="17145" b="635"/>
                  <wp:wrapNone/>
                  <wp:docPr id="82" name="图片_50_SpCnt_3"/>
                  <wp:cNvGraphicFramePr/>
                  <a:graphic xmlns:a="http://schemas.openxmlformats.org/drawingml/2006/main">
                    <a:graphicData uri="http://schemas.openxmlformats.org/drawingml/2006/picture">
                      <pic:pic xmlns:pic="http://schemas.openxmlformats.org/drawingml/2006/picture">
                        <pic:nvPicPr>
                          <pic:cNvPr id="82" name="图片_50_SpCnt_3"/>
                          <pic:cNvPicPr/>
                        </pic:nvPicPr>
                        <pic:blipFill>
                          <a:blip r:embed="rId128"/>
                          <a:stretch>
                            <a:fillRect/>
                          </a:stretch>
                        </pic:blipFill>
                        <pic:spPr>
                          <a:xfrm>
                            <a:off x="0" y="0"/>
                            <a:ext cx="744855" cy="285115"/>
                          </a:xfrm>
                          <a:prstGeom prst="rect">
                            <a:avLst/>
                          </a:prstGeom>
                          <a:noFill/>
                          <a:ln>
                            <a:noFill/>
                          </a:ln>
                        </pic:spPr>
                      </pic:pic>
                    </a:graphicData>
                  </a:graphic>
                </wp:anchor>
              </w:drawing>
            </w:r>
          </w:p>
        </w:tc>
      </w:tr>
      <w:tr w14:paraId="7D4847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2A83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185</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BE22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塑料墩板</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373BC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食品级塑料，无任何添加物</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1E43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Ø450×80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ADF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451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54202">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114935</wp:posOffset>
                  </wp:positionH>
                  <wp:positionV relativeFrom="paragraph">
                    <wp:posOffset>68580</wp:posOffset>
                  </wp:positionV>
                  <wp:extent cx="669925" cy="238760"/>
                  <wp:effectExtent l="0" t="0" r="15875" b="8890"/>
                  <wp:wrapNone/>
                  <wp:docPr id="83" name="图片_53_SpCnt_1"/>
                  <wp:cNvGraphicFramePr/>
                  <a:graphic xmlns:a="http://schemas.openxmlformats.org/drawingml/2006/main">
                    <a:graphicData uri="http://schemas.openxmlformats.org/drawingml/2006/picture">
                      <pic:pic xmlns:pic="http://schemas.openxmlformats.org/drawingml/2006/picture">
                        <pic:nvPicPr>
                          <pic:cNvPr id="83" name="图片_53_SpCnt_1"/>
                          <pic:cNvPicPr/>
                        </pic:nvPicPr>
                        <pic:blipFill>
                          <a:blip r:embed="rId129"/>
                          <a:stretch>
                            <a:fillRect/>
                          </a:stretch>
                        </pic:blipFill>
                        <pic:spPr>
                          <a:xfrm>
                            <a:off x="0" y="0"/>
                            <a:ext cx="669925" cy="238760"/>
                          </a:xfrm>
                          <a:prstGeom prst="rect">
                            <a:avLst/>
                          </a:prstGeom>
                          <a:noFill/>
                          <a:ln>
                            <a:noFill/>
                          </a:ln>
                        </pic:spPr>
                      </pic:pic>
                    </a:graphicData>
                  </a:graphic>
                </wp:anchor>
              </w:drawing>
            </w:r>
          </w:p>
        </w:tc>
      </w:tr>
      <w:tr w14:paraId="6EA5A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0048C">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186</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4BB6B">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筷子机</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A616E">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可容纳200双筷子</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2E28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420*340*315</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90E99">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56978">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42744">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 </w:t>
            </w:r>
          </w:p>
        </w:tc>
      </w:tr>
      <w:tr w14:paraId="3841E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74887">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187</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8D4E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50不锈钢洗米筐</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AE7F4">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食品级不锈钢制作</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1AA1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500*230</w:t>
            </w: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5B461">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只</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D3D36">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14C85">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r w14:paraId="4A0CBC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93A8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188</w:t>
            </w:r>
          </w:p>
        </w:tc>
        <w:tc>
          <w:tcPr>
            <w:tcW w:w="207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672D5">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厨衣+裤子+袖套+围裙</w:t>
            </w:r>
          </w:p>
        </w:tc>
        <w:tc>
          <w:tcPr>
            <w:tcW w:w="539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2B9BF">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防水型</w:t>
            </w:r>
          </w:p>
        </w:tc>
        <w:tc>
          <w:tcPr>
            <w:tcW w:w="30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585B2">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c>
          <w:tcPr>
            <w:tcW w:w="7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E1A50">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85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2C743">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30</w:t>
            </w:r>
          </w:p>
        </w:tc>
        <w:tc>
          <w:tcPr>
            <w:tcW w:w="156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3D5C8">
            <w:pPr>
              <w:keepNext w:val="0"/>
              <w:keepLines w:val="0"/>
              <w:pageBreakBefore w:val="0"/>
              <w:widowControl/>
              <w:kinsoku/>
              <w:wordWrap/>
              <w:overflowPunct/>
              <w:topLinePunct w:val="0"/>
              <w:autoSpaceDE/>
              <w:autoSpaceDN/>
              <w:bidi w:val="0"/>
              <w:adjustRightInd/>
              <w:snapToGrid/>
              <w:spacing w:line="300" w:lineRule="exact"/>
              <w:jc w:val="center"/>
              <w:rPr>
                <w:rFonts w:hint="eastAsia" w:ascii="宋体" w:hAnsi="宋体" w:eastAsia="宋体" w:cs="宋体"/>
                <w:i w:val="0"/>
                <w:iCs w:val="0"/>
                <w:color w:val="000000"/>
                <w:sz w:val="21"/>
                <w:szCs w:val="21"/>
                <w:u w:val="none"/>
              </w:rPr>
            </w:pPr>
          </w:p>
        </w:tc>
      </w:tr>
    </w:tbl>
    <w:p w14:paraId="2208FCC2">
      <w:pPr>
        <w:pStyle w:val="43"/>
        <w:ind w:left="0" w:leftChars="0" w:firstLine="0" w:firstLineChars="0"/>
        <w:rPr>
          <w:rFonts w:hint="default"/>
          <w:lang w:val="en-US" w:eastAsia="zh-CN"/>
        </w:rPr>
        <w:sectPr>
          <w:pgSz w:w="16838" w:h="11906" w:orient="landscape"/>
          <w:pgMar w:top="1134" w:right="1247" w:bottom="1134" w:left="1247" w:header="170" w:footer="567" w:gutter="0"/>
          <w:pgNumType w:fmt="decimal"/>
          <w:cols w:space="720" w:num="1"/>
          <w:docGrid w:linePitch="381" w:charSpace="0"/>
        </w:sectPr>
      </w:pPr>
    </w:p>
    <w:bookmarkEnd w:id="12"/>
    <w:bookmarkEnd w:id="13"/>
    <w:p w14:paraId="67F3D964">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四、</w:t>
      </w:r>
      <w:r>
        <w:rPr>
          <w:rFonts w:hint="eastAsia" w:ascii="宋体" w:hAnsi="宋体" w:cs="宋体"/>
          <w:b/>
          <w:bCs/>
          <w:color w:val="auto"/>
        </w:rPr>
        <w:t>设备及服务要求</w:t>
      </w:r>
    </w:p>
    <w:p w14:paraId="112500BC">
      <w:pPr>
        <w:bidi w:val="0"/>
        <w:spacing w:line="360" w:lineRule="auto"/>
        <w:ind w:left="0" w:leftChars="0" w:firstLine="0" w:firstLineChars="0"/>
        <w:rPr>
          <w:rFonts w:cs="宋体"/>
          <w:color w:val="auto"/>
        </w:rPr>
      </w:pPr>
      <w:bookmarkStart w:id="15" w:name="_Toc5833"/>
      <w:r>
        <w:rPr>
          <w:rFonts w:hint="eastAsia"/>
          <w:b/>
          <w:bCs/>
        </w:rPr>
        <w:t>（一）设备要求</w:t>
      </w:r>
      <w:bookmarkEnd w:id="15"/>
    </w:p>
    <w:p w14:paraId="709CEBCB">
      <w:pPr>
        <w:adjustRightInd/>
        <w:spacing w:line="360" w:lineRule="auto"/>
        <w:ind w:left="0" w:leftChars="0" w:firstLine="480" w:firstLineChars="200"/>
        <w:jc w:val="left"/>
        <w:rPr>
          <w:rFonts w:cs="宋体"/>
          <w:color w:val="auto"/>
        </w:rPr>
      </w:pPr>
      <w:r>
        <w:rPr>
          <w:rFonts w:hint="eastAsia" w:cs="宋体"/>
          <w:color w:val="auto"/>
        </w:rPr>
        <w:t>1</w:t>
      </w:r>
      <w:r>
        <w:rPr>
          <w:rFonts w:hint="eastAsia" w:cs="宋体"/>
          <w:color w:val="auto"/>
          <w:lang w:eastAsia="zh-CN"/>
        </w:rPr>
        <w:t>.</w:t>
      </w:r>
      <w:r>
        <w:rPr>
          <w:rFonts w:hint="eastAsia" w:cs="宋体"/>
          <w:color w:val="auto"/>
        </w:rPr>
        <w:t>投标人提供的设备必须是</w:t>
      </w:r>
      <w:r>
        <w:rPr>
          <w:rFonts w:hint="eastAsia" w:cs="宋体"/>
          <w:color w:val="auto"/>
          <w:lang w:val="en-US" w:eastAsia="zh-CN"/>
        </w:rPr>
        <w:t>原厂生产且</w:t>
      </w:r>
      <w:r>
        <w:rPr>
          <w:rFonts w:hint="eastAsia" w:cs="宋体"/>
          <w:color w:val="auto"/>
        </w:rPr>
        <w:t>全新的优质产品，</w:t>
      </w:r>
      <w:r>
        <w:rPr>
          <w:rFonts w:hint="eastAsia" w:cs="宋体"/>
          <w:color w:val="auto"/>
          <w:lang w:val="en-US" w:eastAsia="zh-CN"/>
        </w:rPr>
        <w:t>拒绝</w:t>
      </w:r>
      <w:r>
        <w:rPr>
          <w:rFonts w:hint="default" w:cs="宋体"/>
          <w:color w:val="auto"/>
          <w:lang w:val="en-US" w:eastAsia="zh-CN"/>
        </w:rPr>
        <w:t>OEM</w:t>
      </w:r>
      <w:r>
        <w:rPr>
          <w:rFonts w:hint="eastAsia" w:cs="宋体"/>
          <w:color w:val="auto"/>
          <w:lang w:val="en-US" w:eastAsia="zh-CN"/>
        </w:rPr>
        <w:t>、</w:t>
      </w:r>
      <w:r>
        <w:rPr>
          <w:rFonts w:hint="default" w:cs="宋体"/>
          <w:color w:val="auto"/>
          <w:lang w:val="en-US" w:eastAsia="zh-CN"/>
        </w:rPr>
        <w:t>ODM</w:t>
      </w:r>
      <w:r>
        <w:rPr>
          <w:rFonts w:hint="eastAsia" w:cs="宋体"/>
          <w:color w:val="auto"/>
          <w:lang w:val="en-US" w:eastAsia="zh-CN"/>
        </w:rPr>
        <w:t>产品，须</w:t>
      </w:r>
      <w:r>
        <w:rPr>
          <w:rFonts w:hint="eastAsia" w:cs="宋体"/>
          <w:color w:val="auto"/>
        </w:rPr>
        <w:t>符合相应的国家标准的，并须提供相关产品的产品合格证、产品说明书和安装说明等资料，投标人所提供的产品在安装调试完成后，应构成一个完整的系统，能按照技术要求连续运行。</w:t>
      </w:r>
    </w:p>
    <w:p w14:paraId="6BB8FBDF">
      <w:pPr>
        <w:adjustRightInd/>
        <w:spacing w:line="360" w:lineRule="auto"/>
        <w:ind w:left="0" w:leftChars="0" w:firstLine="480" w:firstLineChars="200"/>
        <w:jc w:val="left"/>
        <w:rPr>
          <w:rFonts w:cs="宋体"/>
          <w:color w:val="auto"/>
        </w:rPr>
      </w:pPr>
      <w:r>
        <w:rPr>
          <w:rFonts w:hint="eastAsia" w:cs="宋体"/>
          <w:color w:val="auto"/>
        </w:rPr>
        <w:t>2</w:t>
      </w:r>
      <w:r>
        <w:rPr>
          <w:rFonts w:hint="eastAsia" w:cs="宋体"/>
          <w:color w:val="auto"/>
          <w:lang w:eastAsia="zh-CN"/>
        </w:rPr>
        <w:t>.</w:t>
      </w:r>
      <w:r>
        <w:rPr>
          <w:rFonts w:hint="eastAsia" w:cs="宋体"/>
          <w:color w:val="auto"/>
        </w:rPr>
        <w:t>投标人应列出详细的产品配置清单（包括各主要零部件的厂家或品牌、型号和规格、数量等），作为技术评价依据之一。</w:t>
      </w:r>
    </w:p>
    <w:p w14:paraId="2BE1D548">
      <w:pPr>
        <w:bidi w:val="0"/>
        <w:spacing w:line="360" w:lineRule="auto"/>
        <w:ind w:left="0" w:leftChars="0" w:firstLine="0" w:firstLineChars="0"/>
        <w:rPr>
          <w:rFonts w:cs="宋体"/>
          <w:color w:val="auto"/>
        </w:rPr>
      </w:pPr>
      <w:bookmarkStart w:id="16" w:name="_Toc16003"/>
      <w:r>
        <w:rPr>
          <w:rFonts w:hint="eastAsia"/>
          <w:b/>
          <w:bCs/>
        </w:rPr>
        <w:t>（二）质保期要求</w:t>
      </w:r>
      <w:bookmarkEnd w:id="16"/>
    </w:p>
    <w:p w14:paraId="07E9387F">
      <w:pPr>
        <w:autoSpaceDE w:val="0"/>
        <w:autoSpaceDN w:val="0"/>
        <w:spacing w:line="360" w:lineRule="auto"/>
        <w:ind w:left="0" w:leftChars="0" w:firstLine="480" w:firstLineChars="200"/>
        <w:jc w:val="left"/>
        <w:rPr>
          <w:rFonts w:hint="eastAsia" w:cs="宋体"/>
          <w:color w:val="auto"/>
          <w:kern w:val="0"/>
        </w:rPr>
      </w:pPr>
      <w:bookmarkStart w:id="17" w:name="_Toc6432"/>
      <w:r>
        <w:rPr>
          <w:rFonts w:hint="eastAsia" w:cs="宋体"/>
          <w:color w:val="auto"/>
          <w:kern w:val="0"/>
          <w:lang w:val="en-US" w:eastAsia="zh-CN"/>
        </w:rPr>
        <w:t>1.</w:t>
      </w:r>
      <w:r>
        <w:rPr>
          <w:rFonts w:hint="eastAsia" w:cs="宋体"/>
          <w:color w:val="auto"/>
          <w:kern w:val="0"/>
        </w:rPr>
        <w:t>质保期：本项目质保期</w:t>
      </w:r>
      <w:r>
        <w:rPr>
          <w:rFonts w:hint="eastAsia" w:cs="宋体"/>
          <w:color w:val="auto"/>
          <w:kern w:val="0"/>
          <w:highlight w:val="none"/>
          <w:lang w:val="en-US" w:eastAsia="zh-CN"/>
        </w:rPr>
        <w:t>不少于3</w:t>
      </w:r>
      <w:r>
        <w:rPr>
          <w:rFonts w:hint="eastAsia" w:cs="宋体"/>
          <w:color w:val="auto"/>
          <w:kern w:val="0"/>
          <w:highlight w:val="none"/>
        </w:rPr>
        <w:t>年</w:t>
      </w:r>
      <w:r>
        <w:rPr>
          <w:rFonts w:hint="eastAsia" w:cs="宋体"/>
          <w:color w:val="auto"/>
          <w:kern w:val="0"/>
        </w:rPr>
        <w:t>（若设备原厂商提供更长质保期，则按</w:t>
      </w:r>
      <w:r>
        <w:rPr>
          <w:rFonts w:hint="eastAsia" w:cs="宋体"/>
          <w:color w:val="auto"/>
          <w:kern w:val="0"/>
          <w:lang w:eastAsia="zh-CN"/>
        </w:rPr>
        <w:t>承诺</w:t>
      </w:r>
      <w:r>
        <w:rPr>
          <w:rFonts w:hint="eastAsia" w:cs="宋体"/>
          <w:color w:val="auto"/>
          <w:kern w:val="0"/>
        </w:rPr>
        <w:t>的质保期执行）。质保期从验收合格</w:t>
      </w:r>
      <w:r>
        <w:rPr>
          <w:rFonts w:hint="eastAsia" w:cs="宋体"/>
          <w:color w:val="auto"/>
          <w:kern w:val="0"/>
          <w:lang w:eastAsia="zh-CN"/>
        </w:rPr>
        <w:t>之</w:t>
      </w:r>
      <w:r>
        <w:rPr>
          <w:rFonts w:hint="eastAsia" w:cs="宋体"/>
          <w:color w:val="auto"/>
          <w:kern w:val="0"/>
        </w:rPr>
        <w:t>日起算。在质保期间，除人为损坏的问题，均由中标人负责维修和更换，所有费用由中标人自行承担。</w:t>
      </w:r>
      <w:r>
        <w:rPr>
          <w:rFonts w:hint="eastAsia" w:cs="宋体"/>
          <w:color w:val="auto"/>
          <w:kern w:val="0"/>
          <w:lang w:val="en-US" w:eastAsia="zh-CN"/>
        </w:rPr>
        <w:t>所有包含软件的设备需免费终生使用并提供更新服务。</w:t>
      </w:r>
    </w:p>
    <w:p w14:paraId="624E63DE">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2.</w:t>
      </w:r>
      <w:r>
        <w:rPr>
          <w:rFonts w:hint="eastAsia" w:cs="宋体"/>
          <w:color w:val="auto"/>
          <w:kern w:val="0"/>
        </w:rPr>
        <w:t>在质保期内，供应商应对货物出现的质量及安全问题负责处理解决并承担一切费用。中标人负责免费提供设备运行所需全部备件，并提供免费维修、保养服务。</w:t>
      </w:r>
    </w:p>
    <w:p w14:paraId="12162A4A">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3.</w:t>
      </w:r>
      <w:r>
        <w:rPr>
          <w:rFonts w:hint="eastAsia" w:cs="宋体"/>
          <w:color w:val="auto"/>
          <w:kern w:val="0"/>
        </w:rPr>
        <w:t>质保期内，非因采购人人为原因而出现设备质量问题的，由中标人负责包修、包换或包退并承担修理、调换或退货而产生的实际费用。如因采购人使用不当造成故障的，中标人应负责修理、调换，费用另行协商。</w:t>
      </w:r>
    </w:p>
    <w:p w14:paraId="7B371143">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4.</w:t>
      </w:r>
      <w:r>
        <w:rPr>
          <w:rFonts w:hint="eastAsia" w:cs="宋体"/>
          <w:color w:val="auto"/>
          <w:kern w:val="0"/>
        </w:rPr>
        <w:t>质保期内，如故障在中标人检修3个工作日后仍无法排除的，采购人有权要求中标人在采购人指定期限内免费提供不低于故障设备规格型号档次的备用设备供采购人使用，直至故障排除。</w:t>
      </w:r>
    </w:p>
    <w:p w14:paraId="795B644A">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5</w:t>
      </w:r>
      <w:r>
        <w:rPr>
          <w:rFonts w:hint="eastAsia" w:cs="宋体"/>
          <w:color w:val="auto"/>
          <w:kern w:val="0"/>
        </w:rPr>
        <w:t>.质保期内，如中标人未按照约定履行义务的，采购人有权自行委托第三人维修，维修费用由中标人承担。如因此造成采购人损失的，中标人应当赔偿采购人的全部损失。</w:t>
      </w:r>
    </w:p>
    <w:p w14:paraId="03E7F918">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6</w:t>
      </w:r>
      <w:r>
        <w:rPr>
          <w:rFonts w:hint="eastAsia" w:cs="宋体"/>
          <w:color w:val="auto"/>
          <w:kern w:val="0"/>
        </w:rPr>
        <w:t>.质保期内出现无法排除的故障，供应商需无条件更换同型号或高于技术要求参数的产品。质保期内因不能排除的故障而影响工作的情况每发生一次，其质保期相应延长60天。</w:t>
      </w:r>
    </w:p>
    <w:p w14:paraId="2490CF0C">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7</w:t>
      </w:r>
      <w:r>
        <w:rPr>
          <w:rFonts w:hint="eastAsia" w:cs="宋体"/>
          <w:color w:val="auto"/>
          <w:kern w:val="0"/>
        </w:rPr>
        <w:t>.质保期满后，供应商继续为采购人服务，仅收取零配件成本费，所涉及软件终身免费升级。</w:t>
      </w:r>
    </w:p>
    <w:p w14:paraId="280CD1E4">
      <w:pPr>
        <w:bidi w:val="0"/>
        <w:spacing w:line="360" w:lineRule="auto"/>
        <w:ind w:left="0" w:leftChars="0" w:firstLine="0" w:firstLineChars="0"/>
        <w:rPr>
          <w:rFonts w:hint="eastAsia"/>
          <w:b/>
          <w:bCs/>
        </w:rPr>
      </w:pPr>
      <w:r>
        <w:rPr>
          <w:rFonts w:hint="eastAsia"/>
          <w:b/>
          <w:bCs/>
        </w:rPr>
        <w:t>（三）验收要求</w:t>
      </w:r>
      <w:bookmarkEnd w:id="17"/>
    </w:p>
    <w:p w14:paraId="685A083E">
      <w:pPr>
        <w:bidi w:val="0"/>
        <w:spacing w:line="360" w:lineRule="auto"/>
      </w:pPr>
      <w:r>
        <w:rPr>
          <w:rFonts w:hint="eastAsia"/>
        </w:rPr>
        <w:t>1</w:t>
      </w:r>
      <w:r>
        <w:rPr>
          <w:rFonts w:hint="eastAsia"/>
          <w:lang w:eastAsia="zh-CN"/>
        </w:rPr>
        <w:t>.</w:t>
      </w:r>
      <w:r>
        <w:rPr>
          <w:rFonts w:hint="eastAsia"/>
        </w:rPr>
        <w:t>验收时间：中标人在设备送达指定地点并安装调试完毕后，书面通知采购人验</w:t>
      </w:r>
      <w:r>
        <w:rPr>
          <w:rFonts w:hint="eastAsia"/>
          <w:lang w:eastAsia="zh-CN"/>
        </w:rPr>
        <w:t>收</w:t>
      </w:r>
      <w:r>
        <w:rPr>
          <w:rFonts w:hint="eastAsia"/>
        </w:rPr>
        <w:t>。</w:t>
      </w:r>
    </w:p>
    <w:p w14:paraId="495CDCE5">
      <w:pPr>
        <w:bidi w:val="0"/>
        <w:spacing w:line="360" w:lineRule="auto"/>
        <w:rPr>
          <w:rFonts w:cs="宋体"/>
          <w:color w:val="auto"/>
          <w:kern w:val="0"/>
        </w:rPr>
      </w:pPr>
      <w:r>
        <w:rPr>
          <w:rFonts w:hint="eastAsia"/>
        </w:rPr>
        <w:t>2</w:t>
      </w:r>
      <w:r>
        <w:rPr>
          <w:rFonts w:hint="eastAsia"/>
          <w:lang w:eastAsia="zh-CN"/>
        </w:rPr>
        <w:t>.</w:t>
      </w:r>
      <w:r>
        <w:rPr>
          <w:rFonts w:hint="eastAsia"/>
        </w:rPr>
        <w:t>验收：根据行业相关标准及招标文件、投标文件相应技术要求，由采购人组织验收。</w:t>
      </w:r>
    </w:p>
    <w:p w14:paraId="02049A06">
      <w:pPr>
        <w:bidi w:val="0"/>
        <w:spacing w:line="360" w:lineRule="auto"/>
        <w:ind w:left="0" w:leftChars="0" w:firstLine="0" w:firstLineChars="0"/>
        <w:rPr>
          <w:rFonts w:hint="eastAsia"/>
          <w:b/>
          <w:bCs/>
        </w:rPr>
      </w:pPr>
      <w:bookmarkStart w:id="18" w:name="_Toc1306"/>
      <w:r>
        <w:rPr>
          <w:rFonts w:hint="eastAsia"/>
          <w:b/>
          <w:bCs/>
        </w:rPr>
        <w:t>（四）</w:t>
      </w:r>
      <w:bookmarkEnd w:id="18"/>
      <w:bookmarkStart w:id="19" w:name="_Toc14890"/>
      <w:r>
        <w:rPr>
          <w:rFonts w:hint="eastAsia"/>
          <w:b/>
          <w:bCs/>
        </w:rPr>
        <w:t>送货调试安装</w:t>
      </w:r>
    </w:p>
    <w:p w14:paraId="06DCDBD0">
      <w:pPr>
        <w:bidi w:val="0"/>
        <w:spacing w:line="360" w:lineRule="auto"/>
        <w:ind w:left="0" w:leftChars="0" w:firstLine="480" w:firstLineChars="200"/>
        <w:rPr>
          <w:rFonts w:hint="eastAsia"/>
          <w:b w:val="0"/>
          <w:bCs w:val="0"/>
        </w:rPr>
      </w:pPr>
      <w:r>
        <w:rPr>
          <w:rFonts w:hint="eastAsia"/>
          <w:b w:val="0"/>
          <w:bCs w:val="0"/>
          <w:lang w:val="en-US" w:eastAsia="zh-CN"/>
        </w:rPr>
        <w:t>1.</w:t>
      </w:r>
      <w:r>
        <w:rPr>
          <w:rFonts w:hint="eastAsia"/>
          <w:b w:val="0"/>
          <w:bCs w:val="0"/>
        </w:rPr>
        <w:t>供应商应按招标文件规定的货物性能、技术要求、质量标准向采购人提供未经使用的全新产品，符合国家法律法规规定和技术规格、质量标准的出厂原装合格产品。供应商应派采购人认可的有经验和能力、具有相应资质的技术人员，负责系统设备安装工作，在设备安装期间应充分了解设备安装进度要求，解决安装中出现的技术问题。</w:t>
      </w:r>
    </w:p>
    <w:p w14:paraId="4266A9E7">
      <w:pPr>
        <w:bidi w:val="0"/>
        <w:spacing w:line="360" w:lineRule="auto"/>
        <w:ind w:left="0" w:leftChars="0" w:firstLine="480" w:firstLineChars="200"/>
        <w:rPr>
          <w:rFonts w:hint="eastAsia"/>
          <w:b w:val="0"/>
          <w:bCs w:val="0"/>
          <w:lang w:val="en-US" w:eastAsia="zh-CN"/>
        </w:rPr>
      </w:pPr>
      <w:r>
        <w:rPr>
          <w:rFonts w:hint="eastAsia"/>
          <w:b w:val="0"/>
          <w:bCs w:val="0"/>
          <w:lang w:val="en-US" w:eastAsia="zh-CN"/>
        </w:rPr>
        <w:t>2.调试所需专用工具设施物料由供应商自备、自费运到现场，完工后自费搬走。送货、调试过程中发生的费用由中标供应商负责。</w:t>
      </w:r>
    </w:p>
    <w:p w14:paraId="4D65673B">
      <w:pPr>
        <w:bidi w:val="0"/>
        <w:spacing w:line="360" w:lineRule="auto"/>
        <w:ind w:left="0" w:leftChars="0" w:firstLine="480" w:firstLineChars="200"/>
        <w:rPr>
          <w:rFonts w:hint="default"/>
          <w:b w:val="0"/>
          <w:bCs w:val="0"/>
          <w:lang w:val="en-US" w:eastAsia="zh-CN"/>
        </w:rPr>
      </w:pPr>
      <w:r>
        <w:rPr>
          <w:rFonts w:hint="eastAsia"/>
          <w:b w:val="0"/>
          <w:bCs w:val="0"/>
          <w:lang w:val="en-US" w:eastAsia="zh-CN"/>
        </w:rPr>
        <w:t>3.设备的拆箱、通电、调试等各项工作由供应商负责，但必须在采购人指定人员的参与下进行。在实际实施前必须先经采购人同意方可进行。调试的原始记录须经各方签字后作为验收的文件之一。</w:t>
      </w:r>
    </w:p>
    <w:bookmarkEnd w:id="19"/>
    <w:p w14:paraId="45FFDCA7">
      <w:pPr>
        <w:bidi w:val="0"/>
        <w:spacing w:line="360" w:lineRule="auto"/>
        <w:ind w:left="0" w:leftChars="0" w:firstLine="0" w:firstLineChars="0"/>
        <w:rPr>
          <w:rFonts w:cs="宋体"/>
          <w:color w:val="auto"/>
        </w:rPr>
      </w:pPr>
      <w:bookmarkStart w:id="20" w:name="_Toc10927"/>
      <w:r>
        <w:rPr>
          <w:rFonts w:hint="eastAsia"/>
          <w:b/>
          <w:bCs/>
        </w:rPr>
        <w:t>（</w:t>
      </w:r>
      <w:r>
        <w:rPr>
          <w:rFonts w:hint="eastAsia"/>
          <w:b/>
          <w:bCs/>
          <w:lang w:val="en-US" w:eastAsia="zh-CN"/>
        </w:rPr>
        <w:t>五</w:t>
      </w:r>
      <w:r>
        <w:rPr>
          <w:rFonts w:hint="eastAsia"/>
          <w:b/>
          <w:bCs/>
        </w:rPr>
        <w:t>）培训要求</w:t>
      </w:r>
      <w:bookmarkEnd w:id="20"/>
    </w:p>
    <w:p w14:paraId="2BEC2DB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cs="宋体"/>
          <w:color w:val="auto"/>
        </w:rPr>
        <w:t>中标人负责对中标产品的操作培训、应用等与产品使用、维护等相关的技术问题，对采购人的操作人员、维修人员进行用户现场培训，培训内容包括硬件和软件使用；培训地点用户指定，不限制人数，可根据需要延长培训时间。培训后要求采购人相关人员达到能熟练掌握产品操作与设置等的基本原理与应用技术。投标文件中提供详细培训方案。</w:t>
      </w:r>
    </w:p>
    <w:p w14:paraId="1E66A126">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eastAsia="宋体"/>
          <w:b/>
          <w:bCs/>
          <w:lang w:val="en-US" w:eastAsia="zh-CN"/>
        </w:rPr>
      </w:pPr>
      <w:r>
        <w:rPr>
          <w:rFonts w:hint="eastAsia"/>
          <w:b/>
          <w:bCs/>
          <w:lang w:val="en-US" w:eastAsia="zh-CN"/>
        </w:rPr>
        <w:t>（六）售后服务要求</w:t>
      </w:r>
    </w:p>
    <w:p w14:paraId="368C3613">
      <w:pPr>
        <w:spacing w:line="360" w:lineRule="auto"/>
        <w:ind w:firstLine="480" w:firstLineChars="200"/>
        <w:rPr>
          <w:rFonts w:cs="宋体"/>
          <w:color w:val="auto"/>
        </w:rPr>
      </w:pPr>
      <w:r>
        <w:rPr>
          <w:rFonts w:hint="eastAsia" w:cs="宋体"/>
          <w:color w:val="auto"/>
        </w:rPr>
        <w:t>1.质保期内出现的质量问题，</w:t>
      </w:r>
      <w:r>
        <w:rPr>
          <w:rFonts w:hint="eastAsia" w:cs="宋体"/>
          <w:color w:val="auto"/>
          <w:lang w:eastAsia="zh-CN"/>
        </w:rPr>
        <w:t>中标人</w:t>
      </w:r>
      <w:r>
        <w:rPr>
          <w:rFonts w:hint="eastAsia" w:cs="宋体"/>
          <w:color w:val="auto"/>
        </w:rPr>
        <w:t>必须在接到</w:t>
      </w:r>
      <w:r>
        <w:rPr>
          <w:rFonts w:hint="eastAsia" w:cs="宋体"/>
          <w:color w:val="auto"/>
          <w:lang w:eastAsia="zh-CN"/>
        </w:rPr>
        <w:t>采购人</w:t>
      </w:r>
      <w:r>
        <w:rPr>
          <w:rFonts w:hint="eastAsia" w:cs="宋体"/>
          <w:color w:val="auto"/>
        </w:rPr>
        <w:t>通知后</w:t>
      </w:r>
      <w:r>
        <w:rPr>
          <w:rFonts w:hint="eastAsia" w:cs="宋体"/>
          <w:color w:val="auto"/>
          <w:lang w:val="en-US" w:eastAsia="zh-CN"/>
        </w:rPr>
        <w:t>3</w:t>
      </w:r>
      <w:r>
        <w:rPr>
          <w:rFonts w:hint="eastAsia" w:cs="宋体"/>
          <w:color w:val="auto"/>
        </w:rPr>
        <w:t>小时内</w:t>
      </w:r>
      <w:r>
        <w:rPr>
          <w:rFonts w:hint="eastAsia" w:cs="宋体"/>
          <w:color w:val="auto"/>
          <w:lang w:eastAsia="zh-CN"/>
        </w:rPr>
        <w:t>到达现场</w:t>
      </w:r>
      <w:r>
        <w:rPr>
          <w:rFonts w:hint="eastAsia" w:cs="宋体"/>
          <w:color w:val="auto"/>
        </w:rPr>
        <w:t>响应，24小时内解决问题；如在24小时之内仍不能排除故障的，</w:t>
      </w:r>
      <w:r>
        <w:rPr>
          <w:rFonts w:hint="eastAsia" w:cs="宋体"/>
          <w:color w:val="auto"/>
          <w:lang w:eastAsia="zh-CN"/>
        </w:rPr>
        <w:t>中标人</w:t>
      </w:r>
      <w:r>
        <w:rPr>
          <w:rFonts w:hint="eastAsia" w:cs="宋体"/>
          <w:color w:val="auto"/>
        </w:rPr>
        <w:t>应提供与原产品相同或不低于原产品档次的备用产品。故障排除后</w:t>
      </w:r>
      <w:r>
        <w:rPr>
          <w:rFonts w:hint="eastAsia" w:cs="宋体"/>
          <w:color w:val="auto"/>
          <w:lang w:eastAsia="zh-CN"/>
        </w:rPr>
        <w:t>中标人</w:t>
      </w:r>
      <w:r>
        <w:rPr>
          <w:rFonts w:hint="eastAsia" w:cs="宋体"/>
          <w:color w:val="auto"/>
        </w:rPr>
        <w:t>应出具书面故障诊断报告备案。</w:t>
      </w:r>
    </w:p>
    <w:p w14:paraId="6BDF7EE7">
      <w:pPr>
        <w:spacing w:line="360" w:lineRule="auto"/>
        <w:ind w:firstLine="480" w:firstLineChars="200"/>
        <w:rPr>
          <w:rFonts w:cs="宋体"/>
          <w:color w:val="auto"/>
        </w:rPr>
      </w:pPr>
      <w:r>
        <w:rPr>
          <w:rFonts w:hint="eastAsia" w:cs="宋体"/>
          <w:color w:val="auto"/>
        </w:rPr>
        <w:t>2.出现故障后，</w:t>
      </w:r>
      <w:r>
        <w:rPr>
          <w:rFonts w:hint="eastAsia" w:cs="宋体"/>
          <w:color w:val="auto"/>
          <w:lang w:eastAsia="zh-CN"/>
        </w:rPr>
        <w:t>中标人</w:t>
      </w:r>
      <w:r>
        <w:rPr>
          <w:rFonts w:hint="eastAsia" w:cs="宋体"/>
          <w:color w:val="auto"/>
        </w:rPr>
        <w:t>如未按上述要求进行响应，</w:t>
      </w:r>
      <w:r>
        <w:rPr>
          <w:rFonts w:hint="eastAsia" w:cs="宋体"/>
          <w:color w:val="auto"/>
          <w:lang w:eastAsia="zh-CN"/>
        </w:rPr>
        <w:t>采购人</w:t>
      </w:r>
      <w:r>
        <w:rPr>
          <w:rFonts w:hint="eastAsia" w:cs="宋体"/>
          <w:color w:val="auto"/>
        </w:rPr>
        <w:t>可以采取必要的补救措施，由此产生的风险和费用全部由</w:t>
      </w:r>
      <w:r>
        <w:rPr>
          <w:rFonts w:hint="eastAsia" w:cs="宋体"/>
          <w:color w:val="auto"/>
          <w:lang w:eastAsia="zh-CN"/>
        </w:rPr>
        <w:t>中标人</w:t>
      </w:r>
      <w:r>
        <w:rPr>
          <w:rFonts w:hint="eastAsia" w:cs="宋体"/>
          <w:color w:val="auto"/>
        </w:rPr>
        <w:t>承担。</w:t>
      </w:r>
    </w:p>
    <w:p w14:paraId="008ADDA4">
      <w:pPr>
        <w:spacing w:line="360" w:lineRule="auto"/>
        <w:ind w:firstLine="480" w:firstLineChars="200"/>
        <w:rPr>
          <w:rFonts w:hint="eastAsia" w:cs="宋体"/>
          <w:color w:val="auto"/>
        </w:rPr>
      </w:pPr>
      <w:r>
        <w:rPr>
          <w:rFonts w:hint="eastAsia" w:cs="宋体"/>
          <w:color w:val="auto"/>
        </w:rPr>
        <w:t>3.质保期内，除人为损坏和不可抗力外，期间所产生的任何维护或维修及更换配件的费用均由</w:t>
      </w:r>
      <w:r>
        <w:rPr>
          <w:rFonts w:hint="eastAsia" w:cs="宋体"/>
          <w:color w:val="auto"/>
          <w:lang w:eastAsia="zh-CN"/>
        </w:rPr>
        <w:t>中标人</w:t>
      </w:r>
      <w:r>
        <w:rPr>
          <w:rFonts w:hint="eastAsia" w:cs="宋体"/>
          <w:color w:val="auto"/>
        </w:rPr>
        <w:t>承担。</w:t>
      </w:r>
    </w:p>
    <w:p w14:paraId="49E05F72">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lang w:eastAsia="zh-CN"/>
        </w:rPr>
        <w:t>五</w:t>
      </w:r>
      <w:r>
        <w:rPr>
          <w:rFonts w:hint="eastAsia"/>
          <w:b/>
          <w:bCs/>
        </w:rPr>
        <w:t>、商务要求</w:t>
      </w:r>
    </w:p>
    <w:p w14:paraId="2C1F99D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lang w:eastAsia="zh-CN"/>
        </w:rPr>
        <w:t>（一）</w:t>
      </w:r>
      <w:bookmarkStart w:id="21" w:name="_Toc3643"/>
      <w:bookmarkStart w:id="22" w:name="_Toc14375"/>
      <w:r>
        <w:rPr>
          <w:rFonts w:hint="eastAsia"/>
          <w:b/>
          <w:bCs/>
          <w:lang w:eastAsia="zh-CN"/>
        </w:rPr>
        <w:t>供货期限、地点</w:t>
      </w:r>
    </w:p>
    <w:p w14:paraId="7804D92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lang w:val="en-US" w:eastAsia="zh-CN"/>
        </w:rPr>
      </w:pPr>
      <w:r>
        <w:rPr>
          <w:rFonts w:hint="eastAsia"/>
          <w:lang w:val="en-US" w:eastAsia="zh-CN"/>
        </w:rPr>
        <w:t>1.供货期限</w:t>
      </w:r>
      <w:r>
        <w:rPr>
          <w:rFonts w:hint="eastAsia"/>
        </w:rPr>
        <w:t>：</w:t>
      </w:r>
      <w:r>
        <w:rPr>
          <w:rFonts w:hint="eastAsia" w:cs="宋体"/>
          <w:lang w:eastAsia="zh-CN"/>
        </w:rPr>
        <w:t>合同签订后</w:t>
      </w:r>
      <w:r>
        <w:rPr>
          <w:rFonts w:hint="eastAsia" w:cs="宋体"/>
          <w:lang w:val="en-US" w:eastAsia="zh-CN"/>
        </w:rPr>
        <w:t>30日内</w:t>
      </w:r>
      <w:r>
        <w:rPr>
          <w:rFonts w:hint="eastAsia"/>
          <w:lang w:val="en-US" w:eastAsia="zh-CN"/>
        </w:rPr>
        <w:t>完成供货、安装、调试</w:t>
      </w:r>
      <w:r>
        <w:rPr>
          <w:rFonts w:hint="eastAsia" w:ascii="宋体" w:hAnsi="宋体" w:eastAsia="宋体" w:cs="宋体"/>
          <w:lang w:val="en-US" w:eastAsia="zh-CN"/>
        </w:rPr>
        <w:t>。</w:t>
      </w:r>
    </w:p>
    <w:p w14:paraId="4C41E4F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lang w:eastAsia="zh-CN"/>
        </w:rPr>
      </w:pPr>
      <w:r>
        <w:rPr>
          <w:rFonts w:hint="eastAsia"/>
          <w:lang w:val="en-US" w:eastAsia="zh-CN"/>
        </w:rPr>
        <w:t>2.供货</w:t>
      </w:r>
      <w:r>
        <w:rPr>
          <w:rFonts w:hint="eastAsia"/>
        </w:rPr>
        <w:t>地点：</w:t>
      </w:r>
      <w:r>
        <w:rPr>
          <w:rFonts w:hint="eastAsia"/>
          <w:lang w:eastAsia="zh-CN"/>
        </w:rPr>
        <w:t>招标人指定地点。</w:t>
      </w:r>
    </w:p>
    <w:bookmarkEnd w:id="21"/>
    <w:bookmarkEnd w:id="22"/>
    <w:p w14:paraId="2FED2FDB">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color w:val="FF0000"/>
        </w:rPr>
      </w:pPr>
      <w:bookmarkStart w:id="23" w:name="_Toc30601"/>
      <w:bookmarkStart w:id="24" w:name="_Toc32145"/>
      <w:r>
        <w:rPr>
          <w:rFonts w:hint="eastAsia"/>
          <w:b/>
          <w:bCs/>
          <w:color w:val="auto"/>
          <w:lang w:eastAsia="zh-CN"/>
        </w:rPr>
        <w:t>（二）</w:t>
      </w:r>
      <w:r>
        <w:rPr>
          <w:rFonts w:hint="eastAsia"/>
          <w:b/>
          <w:bCs/>
          <w:color w:val="auto"/>
        </w:rPr>
        <w:t>付款方式</w:t>
      </w:r>
    </w:p>
    <w:p w14:paraId="2F11BE1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▲根据《保障中小企业款项支付条例》、</w:t>
      </w:r>
      <w:r>
        <w:rPr>
          <w:rFonts w:hint="eastAsia" w:cs="宋体"/>
          <w:highlight w:val="none"/>
        </w:rPr>
        <w:t>省财政厅《浙江省财政厅关于进一步发挥政府采购政策功能全力推动经济稳进提质的通知》（浙财采监【2022】3号）要求</w:t>
      </w:r>
      <w:r>
        <w:rPr>
          <w:rFonts w:hint="eastAsia" w:ascii="宋体" w:hAnsi="宋体" w:eastAsia="宋体" w:cs="宋体"/>
          <w:sz w:val="24"/>
          <w:szCs w:val="24"/>
        </w:rPr>
        <w:t xml:space="preserve">，制定如下付款方式：        </w:t>
      </w:r>
    </w:p>
    <w:p w14:paraId="7F99A99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1.采购人自合同生效及具备实施条件后7个工作日内支付预付款，也即合同金额的40%；（注：若中标供应商明确表示无需预付款或者主动要求降低预付款比例的，采购人可不适用前述规定。）</w:t>
      </w:r>
    </w:p>
    <w:p w14:paraId="02EF4D9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2.全部</w:t>
      </w:r>
      <w:r>
        <w:rPr>
          <w:rFonts w:hint="eastAsia" w:cs="宋体"/>
          <w:sz w:val="24"/>
          <w:szCs w:val="24"/>
          <w:lang w:eastAsia="zh-CN"/>
        </w:rPr>
        <w:t>产品</w:t>
      </w:r>
      <w:r>
        <w:rPr>
          <w:rFonts w:hint="eastAsia" w:ascii="宋体" w:hAnsi="宋体" w:eastAsia="宋体" w:cs="宋体"/>
          <w:sz w:val="24"/>
          <w:szCs w:val="24"/>
        </w:rPr>
        <w:t>完成</w:t>
      </w:r>
      <w:r>
        <w:rPr>
          <w:rFonts w:hint="eastAsia" w:cs="宋体"/>
          <w:sz w:val="24"/>
          <w:szCs w:val="24"/>
          <w:lang w:eastAsia="zh-CN"/>
        </w:rPr>
        <w:t>供货、安装、调试</w:t>
      </w:r>
      <w:r>
        <w:rPr>
          <w:rFonts w:hint="eastAsia" w:ascii="宋体" w:hAnsi="宋体" w:eastAsia="宋体" w:cs="宋体"/>
          <w:sz w:val="24"/>
          <w:szCs w:val="24"/>
        </w:rPr>
        <w:t>后进行初验，初验合格后支付</w:t>
      </w:r>
      <w:r>
        <w:rPr>
          <w:rFonts w:hint="eastAsia" w:cs="宋体"/>
          <w:sz w:val="24"/>
          <w:szCs w:val="24"/>
          <w:lang w:val="en-US" w:eastAsia="zh-CN"/>
        </w:rPr>
        <w:t>至</w:t>
      </w:r>
      <w:r>
        <w:rPr>
          <w:rFonts w:hint="eastAsia" w:ascii="宋体" w:hAnsi="宋体" w:eastAsia="宋体" w:cs="宋体"/>
          <w:sz w:val="24"/>
          <w:szCs w:val="24"/>
        </w:rPr>
        <w:t>合同金额的</w:t>
      </w:r>
      <w:r>
        <w:rPr>
          <w:rFonts w:hint="eastAsia" w:cs="宋体"/>
          <w:sz w:val="24"/>
          <w:szCs w:val="24"/>
          <w:lang w:val="en-US" w:eastAsia="zh-CN"/>
        </w:rPr>
        <w:t>9</w:t>
      </w:r>
      <w:r>
        <w:rPr>
          <w:rFonts w:hint="eastAsia" w:ascii="宋体" w:hAnsi="宋体" w:eastAsia="宋体" w:cs="宋体"/>
          <w:sz w:val="24"/>
          <w:szCs w:val="24"/>
        </w:rPr>
        <w:t>0%，终验合格后支付剩余款项10%。</w:t>
      </w:r>
    </w:p>
    <w:p w14:paraId="1AF13CB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auto"/>
          <w:sz w:val="24"/>
          <w:szCs w:val="24"/>
          <w:lang w:eastAsia="zh-CN"/>
        </w:rPr>
      </w:pPr>
      <w:r>
        <w:rPr>
          <w:rFonts w:hint="eastAsia" w:ascii="宋体" w:hAnsi="宋体" w:eastAsia="宋体" w:cs="宋体"/>
          <w:sz w:val="24"/>
          <w:szCs w:val="24"/>
        </w:rPr>
        <w:t>如遇合同期内未完成验收，中标供应商必须出具与付款金额相对应的担保措施，担保措施可以是银行、保险公司等金融机构出具的预付款保函或其他担保措施。在出具保函证明后完成余款支付。采购人在收到货物</w:t>
      </w:r>
      <w:r>
        <w:rPr>
          <w:rFonts w:hint="eastAsia" w:cs="宋体"/>
          <w:sz w:val="24"/>
          <w:szCs w:val="24"/>
          <w:lang w:eastAsia="zh-CN"/>
        </w:rPr>
        <w:t>后</w:t>
      </w:r>
      <w:r>
        <w:rPr>
          <w:rFonts w:hint="eastAsia" w:ascii="宋体" w:hAnsi="宋体" w:eastAsia="宋体" w:cs="宋体"/>
          <w:sz w:val="24"/>
          <w:szCs w:val="24"/>
        </w:rPr>
        <w:t>验收完毕，并出具验收报告后，办理解除担保的相关材料。</w:t>
      </w:r>
    </w:p>
    <w:p w14:paraId="0C8E2FE1">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lang w:eastAsia="zh-CN"/>
        </w:rPr>
      </w:pPr>
      <w:r>
        <w:rPr>
          <w:rFonts w:hint="eastAsia"/>
          <w:b/>
          <w:bCs/>
          <w:lang w:eastAsia="zh-CN"/>
        </w:rPr>
        <w:t>（三）</w:t>
      </w:r>
      <w:r>
        <w:rPr>
          <w:rFonts w:hint="eastAsia"/>
          <w:b/>
          <w:bCs/>
        </w:rPr>
        <w:t>履约保证金</w:t>
      </w:r>
    </w:p>
    <w:p w14:paraId="3421DB3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cs="宋体"/>
          <w:b/>
          <w:bCs/>
          <w:kern w:val="0"/>
          <w:sz w:val="24"/>
          <w:szCs w:val="24"/>
          <w:lang w:eastAsia="zh-CN"/>
        </w:rPr>
      </w:pPr>
      <w:r>
        <w:rPr>
          <w:rFonts w:hint="eastAsia" w:asciiTheme="minorEastAsia" w:hAnsiTheme="minorEastAsia" w:eastAsiaTheme="minorEastAsia" w:cstheme="minorEastAsia"/>
          <w:color w:val="auto"/>
          <w:kern w:val="2"/>
          <w:sz w:val="24"/>
          <w:szCs w:val="24"/>
          <w:highlight w:val="none"/>
          <w:lang w:val="en-US" w:eastAsia="zh-CN" w:bidi="ar-SA"/>
        </w:rPr>
        <w:t>履约保证金为合同金额的1%；履约保证金形式为：中标</w:t>
      </w:r>
      <w:r>
        <w:rPr>
          <w:rFonts w:hint="eastAsia" w:ascii="宋体" w:hAnsi="宋体" w:cs="宋体"/>
          <w:b w:val="0"/>
          <w:bCs/>
          <w:color w:val="auto"/>
          <w:sz w:val="24"/>
          <w:highlight w:val="none"/>
        </w:rPr>
        <w:t>人应当以支票、汇票、本票或者金融机构、担保机构出具的保函等非现金形式提交。鼓励和支持</w:t>
      </w:r>
      <w:r>
        <w:rPr>
          <w:rFonts w:hint="eastAsia" w:asciiTheme="minorEastAsia" w:hAnsiTheme="minorEastAsia" w:eastAsiaTheme="minorEastAsia" w:cstheme="minorEastAsia"/>
          <w:color w:val="auto"/>
          <w:kern w:val="2"/>
          <w:sz w:val="24"/>
          <w:szCs w:val="24"/>
          <w:highlight w:val="none"/>
          <w:lang w:val="en-US" w:eastAsia="zh-CN" w:bidi="ar-SA"/>
        </w:rPr>
        <w:t>中标</w:t>
      </w:r>
      <w:r>
        <w:rPr>
          <w:rFonts w:hint="eastAsia" w:ascii="宋体" w:hAnsi="宋体" w:cs="宋体"/>
          <w:b w:val="0"/>
          <w:bCs/>
          <w:color w:val="auto"/>
          <w:sz w:val="24"/>
          <w:highlight w:val="none"/>
        </w:rPr>
        <w:t>人以银行、保险公司出具的保函形式提供履约保证金</w:t>
      </w:r>
      <w:r>
        <w:rPr>
          <w:rFonts w:hint="eastAsia" w:asciiTheme="minorEastAsia" w:hAnsiTheme="minorEastAsia" w:eastAsiaTheme="minorEastAsia" w:cstheme="minorEastAsia"/>
          <w:color w:val="auto"/>
          <w:kern w:val="2"/>
          <w:sz w:val="24"/>
          <w:szCs w:val="24"/>
          <w:highlight w:val="none"/>
          <w:lang w:val="en-US" w:eastAsia="zh-CN" w:bidi="ar-SA"/>
        </w:rPr>
        <w:t>；中标人应根据采购人要求汇入采购人指定账号或提供保函。合同履约完毕，履约保证金无息退还。</w:t>
      </w:r>
    </w:p>
    <w:p w14:paraId="4CC240ED">
      <w:pPr>
        <w:keepNext w:val="0"/>
        <w:keepLines w:val="0"/>
        <w:pageBreakBefore w:val="0"/>
        <w:widowControl w:val="0"/>
        <w:numPr>
          <w:ilvl w:val="0"/>
          <w:numId w:val="0"/>
        </w:numPr>
        <w:kinsoku/>
        <w:wordWrap/>
        <w:overflowPunct/>
        <w:topLinePunct w:val="0"/>
        <w:autoSpaceDE/>
        <w:autoSpaceDN/>
        <w:bidi w:val="0"/>
        <w:adjustRightInd/>
        <w:snapToGrid/>
        <w:spacing w:line="360" w:lineRule="auto"/>
        <w:textAlignment w:val="auto"/>
        <w:rPr>
          <w:rFonts w:hint="eastAsia" w:cs="宋体"/>
          <w:b/>
          <w:bCs/>
          <w:kern w:val="0"/>
          <w:sz w:val="24"/>
          <w:szCs w:val="24"/>
          <w:lang w:eastAsia="zh-CN"/>
        </w:rPr>
      </w:pPr>
      <w:r>
        <w:rPr>
          <w:rFonts w:hint="eastAsia" w:cs="宋体"/>
          <w:b/>
          <w:bCs/>
          <w:kern w:val="0"/>
          <w:sz w:val="24"/>
          <w:szCs w:val="24"/>
          <w:lang w:eastAsia="zh-CN"/>
        </w:rPr>
        <w:t>（四）政策说明</w:t>
      </w:r>
    </w:p>
    <w:p w14:paraId="678BD7A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lang w:val="en-US" w:eastAsia="zh-CN"/>
        </w:rPr>
      </w:pPr>
      <w:r>
        <w:rPr>
          <w:rFonts w:hint="eastAsia" w:cs="宋体"/>
          <w:b/>
          <w:bCs/>
          <w:kern w:val="0"/>
          <w:sz w:val="24"/>
          <w:szCs w:val="24"/>
          <w:lang w:val="en-US" w:eastAsia="zh-CN"/>
        </w:rPr>
        <w:t>1.</w:t>
      </w:r>
      <w:r>
        <w:rPr>
          <w:rFonts w:hint="eastAsia" w:ascii="宋体" w:hAnsi="宋体" w:eastAsia="宋体" w:cs="宋体"/>
          <w:b/>
          <w:bCs/>
          <w:kern w:val="0"/>
          <w:sz w:val="24"/>
          <w:szCs w:val="24"/>
        </w:rPr>
        <w:t>本项目采购标的对应的中小企业划分标准所属行业为</w:t>
      </w:r>
      <w:r>
        <w:rPr>
          <w:rFonts w:hint="eastAsia" w:cs="宋体"/>
          <w:b/>
          <w:bCs/>
          <w:kern w:val="0"/>
          <w:sz w:val="24"/>
          <w:szCs w:val="24"/>
          <w:u w:val="single"/>
          <w:lang w:eastAsia="zh-CN"/>
        </w:rPr>
        <w:t>工</w:t>
      </w:r>
      <w:r>
        <w:rPr>
          <w:rFonts w:hint="eastAsia" w:ascii="宋体" w:hAnsi="宋体" w:cs="宋体"/>
          <w:b/>
          <w:bCs/>
          <w:kern w:val="0"/>
          <w:sz w:val="24"/>
          <w:u w:val="single"/>
        </w:rPr>
        <w:t>业</w:t>
      </w:r>
      <w:r>
        <w:rPr>
          <w:rFonts w:hint="eastAsia" w:ascii="宋体" w:hAnsi="宋体" w:eastAsia="宋体" w:cs="宋体"/>
          <w:b/>
          <w:bCs/>
          <w:sz w:val="24"/>
          <w:szCs w:val="24"/>
          <w:lang w:val="en-US" w:eastAsia="zh-CN"/>
        </w:rPr>
        <w:t>。</w:t>
      </w:r>
    </w:p>
    <w:p w14:paraId="0D05371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lang w:eastAsia="zh-CN"/>
        </w:rPr>
      </w:pPr>
      <w:r>
        <w:rPr>
          <w:rFonts w:hint="eastAsia" w:ascii="宋体" w:hAnsi="宋体" w:eastAsia="宋体" w:cs="宋体"/>
          <w:b w:val="0"/>
          <w:bCs w:val="0"/>
          <w:kern w:val="0"/>
          <w:sz w:val="24"/>
          <w:szCs w:val="24"/>
        </w:rPr>
        <w:t>2.依据《</w:t>
      </w:r>
      <w:r>
        <w:rPr>
          <w:rFonts w:hint="eastAsia" w:ascii="宋体" w:hAnsi="宋体" w:eastAsia="宋体" w:cs="宋体"/>
          <w:b w:val="0"/>
          <w:bCs w:val="0"/>
          <w:kern w:val="0"/>
          <w:sz w:val="24"/>
          <w:szCs w:val="24"/>
          <w:lang w:eastAsia="zh-Hans"/>
        </w:rPr>
        <w:t>政府采购促进中小企业发展管理办法》</w:t>
      </w:r>
      <w:r>
        <w:rPr>
          <w:rFonts w:hint="eastAsia" w:ascii="宋体" w:hAnsi="宋体" w:eastAsia="宋体" w:cs="宋体"/>
          <w:b w:val="0"/>
          <w:bCs w:val="0"/>
          <w:kern w:val="0"/>
          <w:sz w:val="24"/>
          <w:szCs w:val="24"/>
        </w:rPr>
        <w:t>（财库【2020】46号）规定享受扶持政策获得政府采购合同的，小微企业不得将合同分包给大中型企业，中型企业不得将合同分包给大型企业。</w:t>
      </w:r>
    </w:p>
    <w:bookmarkEnd w:id="14"/>
    <w:bookmarkEnd w:id="23"/>
    <w:bookmarkEnd w:id="24"/>
    <w:p w14:paraId="1C57B4D4">
      <w:pPr>
        <w:bidi w:val="0"/>
        <w:spacing w:line="360" w:lineRule="auto"/>
        <w:ind w:left="0" w:leftChars="0" w:firstLine="0" w:firstLineChars="0"/>
        <w:rPr>
          <w:rFonts w:hint="eastAsia"/>
          <w:b/>
          <w:bCs/>
          <w:lang w:eastAsia="zh-CN"/>
        </w:rPr>
      </w:pPr>
      <w:bookmarkStart w:id="25" w:name="_Toc17984"/>
      <w:r>
        <w:rPr>
          <w:rFonts w:hint="eastAsia"/>
          <w:b/>
          <w:bCs/>
          <w:lang w:eastAsia="zh-CN"/>
        </w:rPr>
        <w:t>（五）合同履行</w:t>
      </w:r>
    </w:p>
    <w:p w14:paraId="7A7C8549">
      <w:pPr>
        <w:tabs>
          <w:tab w:val="left" w:pos="421"/>
        </w:tabs>
        <w:bidi w:val="0"/>
        <w:spacing w:line="360" w:lineRule="auto"/>
        <w:ind w:left="0" w:leftChars="0" w:firstLine="480" w:firstLineChars="200"/>
        <w:jc w:val="left"/>
        <w:rPr>
          <w:rFonts w:hint="eastAsia"/>
          <w:lang w:val="en-US" w:eastAsia="zh-CN"/>
        </w:rPr>
        <w:sectPr>
          <w:pgSz w:w="11906" w:h="16838"/>
          <w:pgMar w:top="1247" w:right="1134" w:bottom="1247" w:left="1134" w:header="170" w:footer="567" w:gutter="0"/>
          <w:pgNumType w:fmt="decimal"/>
          <w:cols w:space="720" w:num="1"/>
          <w:docGrid w:linePitch="381" w:charSpace="0"/>
        </w:sectPr>
      </w:pPr>
      <w:r>
        <w:rPr>
          <w:rFonts w:hint="eastAsia"/>
        </w:rPr>
        <w:t>必须由投标主体履行合同。</w:t>
      </w:r>
    </w:p>
    <w:p w14:paraId="06795BC2">
      <w:pPr>
        <w:pStyle w:val="2"/>
        <w:rPr>
          <w:rFonts w:hint="eastAsia" w:ascii="宋体" w:hAnsi="宋体" w:eastAsia="宋体" w:cs="宋体"/>
          <w:sz w:val="36"/>
          <w:szCs w:val="36"/>
        </w:rPr>
      </w:pPr>
      <w:r>
        <w:rPr>
          <w:rFonts w:hint="eastAsia" w:ascii="宋体" w:hAnsi="宋体" w:eastAsia="宋体" w:cs="宋体"/>
          <w:sz w:val="36"/>
          <w:szCs w:val="36"/>
        </w:rPr>
        <w:t xml:space="preserve">第三章 </w:t>
      </w:r>
      <w:r>
        <w:rPr>
          <w:rFonts w:hint="eastAsia" w:cs="宋体"/>
          <w:sz w:val="36"/>
          <w:szCs w:val="36"/>
          <w:lang w:val="en-US" w:eastAsia="zh-CN"/>
        </w:rPr>
        <w:t xml:space="preserve"> </w:t>
      </w:r>
      <w:r>
        <w:rPr>
          <w:rFonts w:hint="eastAsia" w:ascii="宋体" w:hAnsi="宋体" w:eastAsia="宋体" w:cs="宋体"/>
          <w:sz w:val="36"/>
          <w:szCs w:val="36"/>
        </w:rPr>
        <w:t>投标人须知</w:t>
      </w:r>
      <w:bookmarkEnd w:id="25"/>
    </w:p>
    <w:p w14:paraId="5BCFC1F1">
      <w:pPr>
        <w:pStyle w:val="3"/>
        <w:spacing w:line="240" w:lineRule="auto"/>
        <w:jc w:val="center"/>
        <w:rPr>
          <w:rFonts w:hint="eastAsia" w:ascii="宋体" w:hAnsi="宋体" w:eastAsia="宋体" w:cs="宋体"/>
          <w:sz w:val="28"/>
          <w:szCs w:val="28"/>
        </w:rPr>
      </w:pPr>
      <w:bookmarkStart w:id="26" w:name="_Toc21699"/>
      <w:bookmarkStart w:id="27" w:name="_Toc2290"/>
      <w:bookmarkStart w:id="28" w:name="_Toc452457413"/>
      <w:r>
        <w:rPr>
          <w:rFonts w:hint="eastAsia" w:ascii="宋体" w:hAnsi="宋体" w:eastAsia="宋体" w:cs="宋体"/>
          <w:sz w:val="28"/>
          <w:szCs w:val="28"/>
        </w:rPr>
        <w:t>前 附 表</w:t>
      </w:r>
      <w:bookmarkEnd w:id="26"/>
      <w:bookmarkEnd w:id="27"/>
      <w:bookmarkEnd w:id="28"/>
    </w:p>
    <w:tbl>
      <w:tblPr>
        <w:tblStyle w:val="44"/>
        <w:tblW w:w="10247"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
        <w:gridCol w:w="1991"/>
        <w:gridCol w:w="7484"/>
      </w:tblGrid>
      <w:tr w14:paraId="323E9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772" w:type="dxa"/>
            <w:vAlign w:val="center"/>
          </w:tcPr>
          <w:p w14:paraId="0D508FE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rPr>
            </w:pPr>
            <w:bookmarkStart w:id="29" w:name="_Toc179632546"/>
            <w:bookmarkStart w:id="30" w:name="_Toc152042305"/>
            <w:bookmarkStart w:id="31" w:name="_Toc144974497"/>
            <w:bookmarkStart w:id="32" w:name="_Toc296602420"/>
            <w:bookmarkStart w:id="33" w:name="_Toc246996918"/>
            <w:bookmarkStart w:id="34" w:name="_Toc452457414"/>
            <w:bookmarkStart w:id="35" w:name="_Toc152045529"/>
            <w:bookmarkStart w:id="36" w:name="_Toc247085689"/>
            <w:bookmarkStart w:id="37" w:name="_Toc246996175"/>
            <w:r>
              <w:rPr>
                <w:rFonts w:hint="eastAsia" w:ascii="宋体" w:hAnsi="宋体" w:eastAsia="宋体" w:cs="宋体"/>
                <w:b/>
                <w:bCs/>
                <w:sz w:val="24"/>
                <w:szCs w:val="24"/>
              </w:rPr>
              <w:t>序号</w:t>
            </w:r>
          </w:p>
        </w:tc>
        <w:tc>
          <w:tcPr>
            <w:tcW w:w="1991" w:type="dxa"/>
            <w:vAlign w:val="center"/>
          </w:tcPr>
          <w:p w14:paraId="2BF5C4C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事项</w:t>
            </w:r>
          </w:p>
        </w:tc>
        <w:tc>
          <w:tcPr>
            <w:tcW w:w="7484" w:type="dxa"/>
            <w:vAlign w:val="center"/>
          </w:tcPr>
          <w:p w14:paraId="1BE72C3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内容</w:t>
            </w:r>
          </w:p>
        </w:tc>
      </w:tr>
      <w:tr w14:paraId="18DBA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772" w:type="dxa"/>
            <w:vAlign w:val="center"/>
          </w:tcPr>
          <w:p w14:paraId="2A74FDAE">
            <w:pPr>
              <w:keepNext w:val="0"/>
              <w:keepLines w:val="0"/>
              <w:pageBreakBefore w:val="0"/>
              <w:widowControl w:val="0"/>
              <w:kinsoku/>
              <w:wordWrap/>
              <w:overflowPunct/>
              <w:topLinePunct w:val="0"/>
              <w:autoSpaceDE/>
              <w:autoSpaceDN/>
              <w:bidi w:val="0"/>
              <w:adjustRightInd/>
              <w:snapToGrid/>
              <w:spacing w:line="400" w:lineRule="exact"/>
              <w:ind w:left="0" w:leftChars="0" w:firstLine="240" w:firstLineChars="100"/>
              <w:jc w:val="both"/>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991" w:type="dxa"/>
            <w:vAlign w:val="center"/>
          </w:tcPr>
          <w:p w14:paraId="5C46D82C">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项目</w:t>
            </w:r>
            <w:r>
              <w:rPr>
                <w:rFonts w:hint="eastAsia" w:ascii="宋体" w:hAnsi="宋体" w:eastAsia="宋体" w:cs="宋体"/>
                <w:sz w:val="24"/>
                <w:szCs w:val="24"/>
                <w:lang w:eastAsia="zh-CN"/>
              </w:rPr>
              <w:t>概况</w:t>
            </w:r>
          </w:p>
        </w:tc>
        <w:tc>
          <w:tcPr>
            <w:tcW w:w="7484" w:type="dxa"/>
            <w:vAlign w:val="center"/>
          </w:tcPr>
          <w:p w14:paraId="5DD5AC8B">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lang w:eastAsia="zh-CN"/>
              </w:rPr>
            </w:pPr>
            <w:r>
              <w:rPr>
                <w:rFonts w:hint="eastAsia" w:cs="宋体"/>
                <w:sz w:val="24"/>
                <w:szCs w:val="24"/>
                <w:lang w:eastAsia="zh-CN"/>
              </w:rPr>
              <w:t>采购人</w:t>
            </w:r>
            <w:r>
              <w:rPr>
                <w:rFonts w:hint="eastAsia" w:ascii="宋体" w:hAnsi="宋体" w:eastAsia="宋体" w:cs="宋体"/>
                <w:sz w:val="24"/>
                <w:szCs w:val="24"/>
                <w:lang w:eastAsia="zh-CN"/>
              </w:rPr>
              <w:t>：</w:t>
            </w:r>
            <w:r>
              <w:rPr>
                <w:rStyle w:val="47"/>
                <w:rFonts w:hint="eastAsia" w:cs="宋体"/>
                <w:b w:val="0"/>
                <w:bCs w:val="0"/>
                <w:szCs w:val="24"/>
                <w:lang w:eastAsia="zh-CN"/>
              </w:rPr>
              <w:t>长兴县实验小学</w:t>
            </w:r>
          </w:p>
          <w:p w14:paraId="7EE710F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项目名称：</w:t>
            </w:r>
            <w:r>
              <w:rPr>
                <w:rFonts w:hint="eastAsia"/>
                <w:lang w:eastAsia="zh-CN"/>
              </w:rPr>
              <w:t>2025年长兴县实验小学画溪校区新建工程厨房设备采购项目</w:t>
            </w:r>
          </w:p>
          <w:p w14:paraId="523914CE">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both"/>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项目编号：</w:t>
            </w:r>
            <w:r>
              <w:rPr>
                <w:rFonts w:hint="eastAsia" w:cs="宋体"/>
                <w:sz w:val="24"/>
                <w:szCs w:val="24"/>
                <w:lang w:val="en-US" w:eastAsia="zh-CN"/>
              </w:rPr>
              <w:t>ZJZX-CXSY-2025001</w:t>
            </w:r>
            <w:r>
              <w:rPr>
                <w:rFonts w:hint="eastAsia" w:ascii="宋体" w:hAnsi="宋体" w:eastAsia="宋体" w:cs="宋体"/>
                <w:sz w:val="24"/>
                <w:szCs w:val="24"/>
                <w:lang w:val="en-US" w:eastAsia="zh-CN"/>
              </w:rPr>
              <w:t xml:space="preserve">                      </w:t>
            </w:r>
          </w:p>
        </w:tc>
      </w:tr>
      <w:tr w14:paraId="40DE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72" w:type="dxa"/>
            <w:vAlign w:val="center"/>
          </w:tcPr>
          <w:p w14:paraId="1BA58D8E">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991" w:type="dxa"/>
            <w:vAlign w:val="center"/>
          </w:tcPr>
          <w:p w14:paraId="2EFAF281">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采购内容</w:t>
            </w:r>
          </w:p>
        </w:tc>
        <w:tc>
          <w:tcPr>
            <w:tcW w:w="7484" w:type="dxa"/>
            <w:vAlign w:val="center"/>
          </w:tcPr>
          <w:p w14:paraId="55557CDF">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详见</w:t>
            </w:r>
            <w:r>
              <w:rPr>
                <w:rFonts w:hint="eastAsia" w:cs="宋体"/>
                <w:sz w:val="24"/>
                <w:szCs w:val="24"/>
                <w:lang w:eastAsia="zh-CN"/>
              </w:rPr>
              <w:t>“</w:t>
            </w:r>
            <w:r>
              <w:rPr>
                <w:rFonts w:hint="eastAsia" w:ascii="宋体" w:hAnsi="宋体" w:eastAsia="宋体" w:cs="宋体"/>
                <w:sz w:val="24"/>
                <w:szCs w:val="24"/>
              </w:rPr>
              <w:t>第二章</w:t>
            </w:r>
            <w:r>
              <w:rPr>
                <w:rFonts w:hint="eastAsia" w:cs="宋体"/>
                <w:sz w:val="24"/>
                <w:szCs w:val="24"/>
                <w:lang w:val="en-US" w:eastAsia="zh-CN"/>
              </w:rPr>
              <w:t>-</w:t>
            </w:r>
            <w:r>
              <w:rPr>
                <w:rFonts w:hint="eastAsia" w:ascii="宋体" w:hAnsi="宋体" w:eastAsia="宋体" w:cs="宋体"/>
                <w:sz w:val="24"/>
                <w:szCs w:val="24"/>
                <w:lang w:eastAsia="zh-CN"/>
              </w:rPr>
              <w:t>采购</w:t>
            </w:r>
            <w:r>
              <w:rPr>
                <w:rFonts w:hint="eastAsia" w:ascii="宋体" w:hAnsi="宋体" w:eastAsia="宋体" w:cs="宋体"/>
                <w:sz w:val="24"/>
                <w:szCs w:val="24"/>
              </w:rPr>
              <w:t>需求</w:t>
            </w:r>
            <w:r>
              <w:rPr>
                <w:rFonts w:hint="eastAsia" w:cs="宋体"/>
                <w:sz w:val="24"/>
                <w:szCs w:val="24"/>
                <w:lang w:eastAsia="zh-CN"/>
              </w:rPr>
              <w:t>”</w:t>
            </w:r>
            <w:r>
              <w:rPr>
                <w:rFonts w:hint="eastAsia" w:ascii="宋体" w:hAnsi="宋体" w:eastAsia="宋体" w:cs="宋体"/>
                <w:sz w:val="24"/>
                <w:szCs w:val="24"/>
                <w:lang w:eastAsia="zh-CN"/>
              </w:rPr>
              <w:t>。</w:t>
            </w:r>
          </w:p>
        </w:tc>
      </w:tr>
      <w:tr w14:paraId="48CE8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772" w:type="dxa"/>
            <w:vAlign w:val="center"/>
          </w:tcPr>
          <w:p w14:paraId="1C2E238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p>
        </w:tc>
        <w:tc>
          <w:tcPr>
            <w:tcW w:w="1991" w:type="dxa"/>
            <w:vAlign w:val="center"/>
          </w:tcPr>
          <w:p w14:paraId="19328E68">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采购方式及</w:t>
            </w:r>
            <w:r>
              <w:rPr>
                <w:rFonts w:hint="eastAsia" w:ascii="宋体" w:hAnsi="宋体" w:eastAsia="宋体" w:cs="宋体"/>
                <w:color w:val="000000"/>
                <w:sz w:val="24"/>
                <w:szCs w:val="24"/>
                <w:highlight w:val="none"/>
                <w:lang w:eastAsia="zh-CN"/>
              </w:rPr>
              <w:t>评审办法</w:t>
            </w:r>
          </w:p>
        </w:tc>
        <w:tc>
          <w:tcPr>
            <w:tcW w:w="7484" w:type="dxa"/>
            <w:vAlign w:val="center"/>
          </w:tcPr>
          <w:p w14:paraId="25F8AA3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经批准或确认的本次采购方式：</w:t>
            </w:r>
            <w:r>
              <w:rPr>
                <w:rFonts w:hint="eastAsia" w:ascii="宋体" w:hAnsi="宋体" w:eastAsia="宋体" w:cs="宋体"/>
                <w:sz w:val="24"/>
                <w:szCs w:val="24"/>
                <w:lang w:eastAsia="zh-CN"/>
              </w:rPr>
              <w:t>公开招标</w:t>
            </w:r>
          </w:p>
          <w:p w14:paraId="2F8F5FDC">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eastAsia="zh-CN"/>
              </w:rPr>
              <w:t>评审办法：综合评分法</w:t>
            </w:r>
            <w:r>
              <w:rPr>
                <w:rFonts w:hint="eastAsia" w:ascii="宋体" w:hAnsi="宋体" w:eastAsia="宋体" w:cs="宋体"/>
                <w:sz w:val="24"/>
                <w:szCs w:val="24"/>
                <w:lang w:val="en-US" w:eastAsia="zh-CN"/>
              </w:rPr>
              <w:t xml:space="preserve">                                            </w:t>
            </w:r>
          </w:p>
        </w:tc>
      </w:tr>
      <w:tr w14:paraId="2AFF1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vAlign w:val="center"/>
          </w:tcPr>
          <w:p w14:paraId="1DE516D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w:t>
            </w:r>
          </w:p>
        </w:tc>
        <w:tc>
          <w:tcPr>
            <w:tcW w:w="1991" w:type="dxa"/>
            <w:vAlign w:val="center"/>
          </w:tcPr>
          <w:p w14:paraId="03A9CCAD">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报价要求</w:t>
            </w:r>
          </w:p>
        </w:tc>
        <w:tc>
          <w:tcPr>
            <w:tcW w:w="7484" w:type="dxa"/>
            <w:vAlign w:val="center"/>
          </w:tcPr>
          <w:p w14:paraId="2A6E0674">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cs="宋体"/>
                <w:sz w:val="24"/>
                <w:highlight w:val="none"/>
                <w:lang w:val="zh-CN"/>
              </w:rPr>
              <w:t>有关本项目实施所需的所有费用（含税费）均计入报价。</w:t>
            </w:r>
          </w:p>
          <w:p w14:paraId="76C46FD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（2）《开标一览表》</w:t>
            </w:r>
            <w:r>
              <w:rPr>
                <w:rFonts w:hint="eastAsia" w:cs="宋体"/>
                <w:sz w:val="24"/>
                <w:szCs w:val="24"/>
                <w:lang w:eastAsia="zh-CN"/>
              </w:rPr>
              <w:t>（报价表）</w:t>
            </w:r>
            <w:r>
              <w:rPr>
                <w:rFonts w:hint="eastAsia" w:ascii="宋体" w:hAnsi="宋体" w:eastAsia="宋体" w:cs="宋体"/>
                <w:sz w:val="24"/>
                <w:szCs w:val="24"/>
              </w:rPr>
              <w:t>是报价的唯一载体。投标文件中价格全部采用人民币报价。招标文件未列明，而投标人认为必需的费用也需列入报价。</w:t>
            </w:r>
          </w:p>
          <w:p w14:paraId="119E0062">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（3）投标报价出现下列情形的，投标无效：</w:t>
            </w:r>
          </w:p>
          <w:p w14:paraId="549D1670">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▲投标文件出现不是唯一的、有选择性投标报价的；</w:t>
            </w:r>
          </w:p>
          <w:p w14:paraId="1208F84F">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cs="宋体"/>
                <w:sz w:val="24"/>
                <w:highlight w:val="none"/>
                <w:lang w:val="zh-CN"/>
              </w:rPr>
              <w:t>投标报价超过招标文件中规定的预算金额或者最高限价（</w:t>
            </w:r>
            <w:r>
              <w:rPr>
                <w:rFonts w:hint="eastAsia" w:ascii="宋体" w:hAnsi="宋体" w:cs="宋体"/>
                <w:sz w:val="24"/>
                <w:highlight w:val="none"/>
              </w:rPr>
              <w:t>含单价最高限价）</w:t>
            </w:r>
            <w:r>
              <w:rPr>
                <w:rFonts w:hint="eastAsia" w:ascii="宋体" w:hAnsi="宋体" w:cs="宋体"/>
                <w:sz w:val="24"/>
                <w:highlight w:val="none"/>
                <w:lang w:val="zh-CN"/>
              </w:rPr>
              <w:t>的</w:t>
            </w:r>
            <w:r>
              <w:rPr>
                <w:rFonts w:hint="eastAsia" w:ascii="宋体" w:hAnsi="宋体" w:eastAsia="宋体" w:cs="宋体"/>
                <w:sz w:val="24"/>
                <w:szCs w:val="24"/>
              </w:rPr>
              <w:t>；</w:t>
            </w:r>
          </w:p>
          <w:p w14:paraId="07D4DD6C">
            <w:pPr>
              <w:keepNext w:val="0"/>
              <w:keepLines w:val="0"/>
              <w:pageBreakBefore w:val="0"/>
              <w:widowControl w:val="0"/>
              <w:kinsoku/>
              <w:wordWrap/>
              <w:overflowPunct/>
              <w:topLinePunct w:val="0"/>
              <w:autoSpaceDE/>
              <w:autoSpaceDN/>
              <w:bidi w:val="0"/>
              <w:adjustRightInd/>
              <w:snapToGrid/>
              <w:spacing w:line="40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▲报价明显低于其他通过符合性审查投标人的报价，有可能影响产品质量或者不能诚信履约的，未能按要求提供书面说明或者提交相关证明材料证明其报价合理性的；</w:t>
            </w:r>
          </w:p>
          <w:p w14:paraId="711E0BE8">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▲投标人对根据修正原则修正后的报价不确认的</w:t>
            </w:r>
            <w:r>
              <w:rPr>
                <w:rFonts w:hint="eastAsia" w:ascii="宋体" w:hAnsi="宋体" w:eastAsia="宋体" w:cs="宋体"/>
                <w:sz w:val="24"/>
                <w:szCs w:val="24"/>
                <w:lang w:eastAsia="zh-CN"/>
              </w:rPr>
              <w:t>。</w:t>
            </w:r>
          </w:p>
        </w:tc>
      </w:tr>
      <w:tr w14:paraId="533AD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772" w:type="dxa"/>
            <w:vAlign w:val="center"/>
          </w:tcPr>
          <w:p w14:paraId="2C27836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w:t>
            </w:r>
          </w:p>
        </w:tc>
        <w:tc>
          <w:tcPr>
            <w:tcW w:w="1991" w:type="dxa"/>
            <w:vAlign w:val="center"/>
          </w:tcPr>
          <w:p w14:paraId="2C9183DA">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eastAsia="zh-CN"/>
              </w:rPr>
            </w:pPr>
            <w:r>
              <w:rPr>
                <w:rFonts w:hint="eastAsia" w:cs="宋体"/>
                <w:sz w:val="24"/>
                <w:szCs w:val="24"/>
                <w:lang w:eastAsia="zh-CN"/>
              </w:rPr>
              <w:t>预算金额</w:t>
            </w:r>
          </w:p>
        </w:tc>
        <w:tc>
          <w:tcPr>
            <w:tcW w:w="7484" w:type="dxa"/>
            <w:vAlign w:val="center"/>
          </w:tcPr>
          <w:p w14:paraId="3DEEE45B">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default" w:ascii="宋体" w:hAnsi="宋体" w:eastAsia="宋体" w:cs="宋体"/>
                <w:sz w:val="24"/>
                <w:szCs w:val="24"/>
                <w:lang w:val="en-US" w:eastAsia="zh-CN"/>
              </w:rPr>
            </w:pPr>
            <w:r>
              <w:rPr>
                <w:rFonts w:hint="eastAsia" w:cs="宋体"/>
                <w:lang w:val="en-US" w:eastAsia="zh-CN"/>
              </w:rPr>
              <w:t>1100000元；</w:t>
            </w:r>
          </w:p>
        </w:tc>
      </w:tr>
      <w:tr w14:paraId="512DD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772" w:type="dxa"/>
            <w:vAlign w:val="center"/>
          </w:tcPr>
          <w:p w14:paraId="774FFA9A">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w:t>
            </w:r>
          </w:p>
        </w:tc>
        <w:tc>
          <w:tcPr>
            <w:tcW w:w="1991" w:type="dxa"/>
            <w:vAlign w:val="center"/>
          </w:tcPr>
          <w:p w14:paraId="007CCA65">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b/>
                <w:sz w:val="24"/>
                <w:szCs w:val="24"/>
              </w:rPr>
            </w:pPr>
            <w:r>
              <w:rPr>
                <w:rFonts w:hint="eastAsia" w:ascii="宋体" w:hAnsi="宋体" w:eastAsia="宋体" w:cs="宋体"/>
                <w:sz w:val="24"/>
                <w:szCs w:val="24"/>
                <w:highlight w:val="none"/>
              </w:rPr>
              <w:t>信息公告及评标结果公告媒体</w:t>
            </w:r>
          </w:p>
        </w:tc>
        <w:tc>
          <w:tcPr>
            <w:tcW w:w="7484" w:type="dxa"/>
            <w:vAlign w:val="center"/>
          </w:tcPr>
          <w:p w14:paraId="7975C7B2">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rPr>
            </w:pPr>
            <w:r>
              <w:rPr>
                <w:rFonts w:hint="eastAsia" w:ascii="宋体" w:hAnsi="宋体" w:eastAsia="宋体" w:cs="宋体"/>
                <w:sz w:val="24"/>
                <w:szCs w:val="24"/>
              </w:rPr>
              <w:t>浙江政府采购网</w:t>
            </w:r>
            <w:r>
              <w:rPr>
                <w:rFonts w:hint="eastAsia" w:ascii="宋体" w:hAnsi="宋体" w:eastAsia="宋体" w:cs="宋体"/>
                <w:sz w:val="24"/>
                <w:szCs w:val="24"/>
                <w:lang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"http://zfcg.czt.zj.gov.cn/" </w:instrText>
            </w:r>
            <w:r>
              <w:rPr>
                <w:rFonts w:hint="eastAsia" w:ascii="宋体" w:hAnsi="宋体" w:eastAsia="宋体" w:cs="宋体"/>
                <w:sz w:val="24"/>
                <w:szCs w:val="24"/>
              </w:rPr>
              <w:fldChar w:fldCharType="separate"/>
            </w:r>
            <w:r>
              <w:rPr>
                <w:rStyle w:val="52"/>
                <w:rFonts w:hint="eastAsia" w:ascii="宋体" w:hAnsi="宋体" w:eastAsia="宋体" w:cs="宋体"/>
                <w:sz w:val="24"/>
                <w:szCs w:val="24"/>
              </w:rPr>
              <w:t>http://zfcg.czt.zj.gov.cn/</w:t>
            </w:r>
            <w:r>
              <w:rPr>
                <w:rFonts w:hint="eastAsia" w:ascii="宋体" w:hAnsi="宋体" w:eastAsia="宋体" w:cs="宋体"/>
                <w:sz w:val="24"/>
                <w:szCs w:val="24"/>
              </w:rPr>
              <w:fldChar w:fldCharType="end"/>
            </w:r>
          </w:p>
        </w:tc>
      </w:tr>
      <w:tr w14:paraId="03230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2" w:type="dxa"/>
            <w:vAlign w:val="center"/>
          </w:tcPr>
          <w:p w14:paraId="49BCACE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w:t>
            </w:r>
          </w:p>
        </w:tc>
        <w:tc>
          <w:tcPr>
            <w:tcW w:w="1991" w:type="dxa"/>
            <w:vAlign w:val="center"/>
          </w:tcPr>
          <w:p w14:paraId="5331F65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转包或分包</w:t>
            </w:r>
          </w:p>
        </w:tc>
        <w:tc>
          <w:tcPr>
            <w:tcW w:w="7484" w:type="dxa"/>
            <w:vAlign w:val="center"/>
          </w:tcPr>
          <w:p w14:paraId="65133F31">
            <w:pPr>
              <w:keepNext w:val="0"/>
              <w:keepLines w:val="0"/>
              <w:pageBreakBefore w:val="0"/>
              <w:widowControl w:val="0"/>
              <w:numPr>
                <w:ilvl w:val="0"/>
                <w:numId w:val="5"/>
              </w:numPr>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本项目</w:t>
            </w:r>
            <w:r>
              <w:rPr>
                <w:rFonts w:hint="eastAsia" w:cs="宋体"/>
                <w:sz w:val="24"/>
                <w:szCs w:val="24"/>
                <w:highlight w:val="none"/>
                <w:lang w:eastAsia="zh-CN"/>
              </w:rPr>
              <w:t>不</w:t>
            </w:r>
            <w:r>
              <w:rPr>
                <w:rFonts w:hint="eastAsia" w:ascii="宋体" w:hAnsi="宋体" w:eastAsia="宋体" w:cs="宋体"/>
                <w:sz w:val="24"/>
                <w:szCs w:val="24"/>
                <w:highlight w:val="none"/>
                <w:lang w:eastAsia="zh-CN"/>
              </w:rPr>
              <w:t>允许转包</w:t>
            </w:r>
            <w:r>
              <w:rPr>
                <w:rFonts w:hint="eastAsia" w:ascii="宋体" w:hAnsi="宋体" w:eastAsia="宋体" w:cs="宋体"/>
                <w:sz w:val="24"/>
                <w:szCs w:val="24"/>
                <w:highlight w:val="none"/>
              </w:rPr>
              <w:t>。</w:t>
            </w:r>
          </w:p>
          <w:p w14:paraId="0F14FF1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lang w:eastAsia="zh-CN"/>
              </w:rPr>
            </w:pPr>
            <w:r>
              <w:rPr>
                <w:rFonts w:hint="eastAsia" w:ascii="宋体" w:hAnsi="宋体" w:eastAsia="宋体" w:cs="宋体"/>
                <w:sz w:val="24"/>
                <w:szCs w:val="24"/>
                <w:highlight w:val="none"/>
              </w:rPr>
              <w:t>（2）本项目</w:t>
            </w:r>
            <w:r>
              <w:rPr>
                <w:rFonts w:hint="eastAsia" w:cs="宋体"/>
                <w:sz w:val="24"/>
                <w:szCs w:val="24"/>
                <w:highlight w:val="none"/>
                <w:lang w:eastAsia="zh-CN"/>
              </w:rPr>
              <w:t>不允许</w:t>
            </w:r>
            <w:r>
              <w:rPr>
                <w:rFonts w:hint="eastAsia" w:ascii="宋体" w:hAnsi="宋体" w:eastAsia="宋体" w:cs="宋体"/>
                <w:sz w:val="24"/>
                <w:szCs w:val="24"/>
                <w:highlight w:val="none"/>
                <w:lang w:eastAsia="zh-CN"/>
              </w:rPr>
              <w:t>分包</w:t>
            </w:r>
            <w:r>
              <w:rPr>
                <w:rFonts w:hint="eastAsia" w:ascii="宋体" w:hAnsi="宋体" w:eastAsia="宋体" w:cs="宋体"/>
                <w:kern w:val="2"/>
                <w:sz w:val="24"/>
                <w:szCs w:val="24"/>
                <w:highlight w:val="none"/>
                <w:lang w:val="en-US" w:eastAsia="zh-CN" w:bidi="ar-SA"/>
              </w:rPr>
              <w:t>。</w:t>
            </w:r>
          </w:p>
        </w:tc>
      </w:tr>
      <w:tr w14:paraId="02D94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772" w:type="dxa"/>
            <w:vAlign w:val="center"/>
          </w:tcPr>
          <w:p w14:paraId="315E3F6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8</w:t>
            </w:r>
          </w:p>
        </w:tc>
        <w:tc>
          <w:tcPr>
            <w:tcW w:w="1991" w:type="dxa"/>
            <w:vAlign w:val="center"/>
          </w:tcPr>
          <w:p w14:paraId="100F9584">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sz w:val="24"/>
                <w:szCs w:val="24"/>
              </w:rPr>
              <w:t>投标人应当提</w:t>
            </w:r>
            <w:r>
              <w:rPr>
                <w:rFonts w:hint="eastAsia" w:cs="宋体"/>
                <w:sz w:val="24"/>
                <w:szCs w:val="24"/>
                <w:lang w:eastAsia="zh-CN"/>
              </w:rPr>
              <w:t>交</w:t>
            </w:r>
            <w:r>
              <w:rPr>
                <w:rFonts w:hint="eastAsia" w:ascii="宋体" w:hAnsi="宋体" w:eastAsia="宋体" w:cs="宋体"/>
                <w:sz w:val="24"/>
                <w:szCs w:val="24"/>
              </w:rPr>
              <w:t>的</w:t>
            </w:r>
            <w:r>
              <w:rPr>
                <w:rFonts w:hint="eastAsia" w:cs="宋体"/>
                <w:sz w:val="24"/>
                <w:szCs w:val="24"/>
                <w:lang w:eastAsia="zh-CN"/>
              </w:rPr>
              <w:t>投标</w:t>
            </w:r>
            <w:r>
              <w:rPr>
                <w:rFonts w:hint="eastAsia" w:ascii="宋体" w:hAnsi="宋体" w:eastAsia="宋体" w:cs="宋体"/>
                <w:sz w:val="24"/>
                <w:szCs w:val="24"/>
              </w:rPr>
              <w:t>文件</w:t>
            </w:r>
          </w:p>
        </w:tc>
        <w:tc>
          <w:tcPr>
            <w:tcW w:w="7484" w:type="dxa"/>
            <w:vAlign w:val="center"/>
          </w:tcPr>
          <w:p w14:paraId="1291D759">
            <w:pPr>
              <w:keepNext w:val="0"/>
              <w:keepLines w:val="0"/>
              <w:pageBreakBefore w:val="0"/>
              <w:widowControl w:val="0"/>
              <w:kinsoku/>
              <w:wordWrap/>
              <w:overflowPunct/>
              <w:topLinePunct w:val="0"/>
              <w:autoSpaceDE/>
              <w:autoSpaceDN/>
              <w:bidi w:val="0"/>
              <w:adjustRightInd/>
              <w:snapToGrid/>
              <w:spacing w:line="400" w:lineRule="exact"/>
              <w:ind w:firstLine="0" w:firstLineChars="0"/>
              <w:textAlignment w:val="auto"/>
              <w:rPr>
                <w:rFonts w:hint="eastAsia" w:ascii="宋体" w:hAnsi="宋体" w:eastAsia="宋体" w:cs="宋体"/>
                <w:sz w:val="24"/>
                <w:szCs w:val="24"/>
              </w:rPr>
            </w:pPr>
            <w:r>
              <w:rPr>
                <w:rFonts w:hint="eastAsia" w:cs="宋体"/>
                <w:sz w:val="24"/>
                <w:szCs w:val="24"/>
                <w:lang w:eastAsia="zh-CN"/>
              </w:rPr>
              <w:t>投标文件由《</w:t>
            </w:r>
            <w:r>
              <w:rPr>
                <w:rFonts w:hint="eastAsia" w:ascii="宋体" w:hAnsi="宋体" w:eastAsia="宋体" w:cs="宋体"/>
                <w:sz w:val="24"/>
                <w:szCs w:val="24"/>
              </w:rPr>
              <w:t>资格文件</w:t>
            </w:r>
            <w:r>
              <w:rPr>
                <w:rFonts w:hint="eastAsia" w:cs="宋体"/>
                <w:sz w:val="24"/>
                <w:szCs w:val="24"/>
                <w:lang w:eastAsia="zh-CN"/>
              </w:rPr>
              <w:t>》、《商务技术</w:t>
            </w:r>
            <w:r>
              <w:rPr>
                <w:rFonts w:hint="eastAsia" w:ascii="宋体" w:hAnsi="宋体" w:eastAsia="宋体" w:cs="宋体"/>
                <w:sz w:val="24"/>
                <w:szCs w:val="24"/>
              </w:rPr>
              <w:t>文件</w:t>
            </w:r>
            <w:r>
              <w:rPr>
                <w:rFonts w:hint="eastAsia" w:cs="宋体"/>
                <w:sz w:val="24"/>
                <w:szCs w:val="24"/>
                <w:lang w:eastAsia="zh-CN"/>
              </w:rPr>
              <w:t>》、《报价</w:t>
            </w:r>
            <w:r>
              <w:rPr>
                <w:rFonts w:hint="eastAsia" w:ascii="宋体" w:hAnsi="宋体" w:eastAsia="宋体" w:cs="宋体"/>
                <w:sz w:val="24"/>
                <w:szCs w:val="24"/>
              </w:rPr>
              <w:t>文件</w:t>
            </w:r>
            <w:r>
              <w:rPr>
                <w:rFonts w:hint="eastAsia" w:cs="宋体"/>
                <w:sz w:val="24"/>
                <w:szCs w:val="24"/>
                <w:lang w:eastAsia="zh-CN"/>
              </w:rPr>
              <w:t>》三部分组成</w:t>
            </w:r>
            <w:r>
              <w:rPr>
                <w:rFonts w:hint="eastAsia" w:ascii="宋体" w:hAnsi="宋体" w:eastAsia="宋体" w:cs="宋体"/>
                <w:sz w:val="24"/>
                <w:szCs w:val="24"/>
              </w:rPr>
              <w:t>：</w:t>
            </w:r>
            <w:r>
              <w:rPr>
                <w:rFonts w:hint="eastAsia" w:cs="宋体"/>
                <w:sz w:val="24"/>
                <w:szCs w:val="24"/>
                <w:lang w:eastAsia="zh-CN"/>
              </w:rPr>
              <w:t>详</w:t>
            </w:r>
            <w:r>
              <w:rPr>
                <w:rFonts w:hint="eastAsia" w:ascii="宋体" w:hAnsi="宋体" w:eastAsia="宋体" w:cs="宋体"/>
                <w:sz w:val="24"/>
                <w:szCs w:val="24"/>
              </w:rPr>
              <w:t>见本章</w:t>
            </w:r>
            <w:r>
              <w:rPr>
                <w:rFonts w:hint="eastAsia" w:cs="宋体"/>
                <w:sz w:val="24"/>
                <w:szCs w:val="24"/>
                <w:lang w:eastAsia="zh-CN"/>
              </w:rPr>
              <w:t>“</w:t>
            </w:r>
            <w:r>
              <w:rPr>
                <w:rFonts w:hint="eastAsia" w:ascii="宋体" w:hAnsi="宋体" w:eastAsia="宋体" w:cs="宋体"/>
                <w:sz w:val="24"/>
                <w:szCs w:val="24"/>
              </w:rPr>
              <w:t>第三节</w:t>
            </w:r>
            <w:r>
              <w:rPr>
                <w:rFonts w:hint="eastAsia" w:ascii="宋体" w:hAnsi="宋体" w:eastAsia="宋体" w:cs="宋体"/>
                <w:sz w:val="24"/>
                <w:szCs w:val="24"/>
                <w:lang w:val="en-US" w:eastAsia="zh-CN"/>
              </w:rPr>
              <w:t>-投标文件的编制</w:t>
            </w:r>
            <w:r>
              <w:rPr>
                <w:rFonts w:hint="eastAsia" w:cs="宋体"/>
                <w:sz w:val="24"/>
                <w:szCs w:val="24"/>
                <w:lang w:eastAsia="zh-CN"/>
              </w:rPr>
              <w:t>”</w:t>
            </w:r>
            <w:r>
              <w:rPr>
                <w:rFonts w:hint="eastAsia" w:ascii="宋体" w:hAnsi="宋体" w:eastAsia="宋体" w:cs="宋体"/>
                <w:sz w:val="24"/>
                <w:szCs w:val="24"/>
              </w:rPr>
              <w:t>。</w:t>
            </w:r>
          </w:p>
          <w:p w14:paraId="127F4B76">
            <w:pPr>
              <w:keepNext w:val="0"/>
              <w:keepLines w:val="0"/>
              <w:pageBreakBefore w:val="0"/>
              <w:widowControl w:val="0"/>
              <w:kinsoku/>
              <w:wordWrap/>
              <w:overflowPunct/>
              <w:topLinePunct w:val="0"/>
              <w:autoSpaceDE/>
              <w:autoSpaceDN/>
              <w:bidi w:val="0"/>
              <w:adjustRightInd/>
              <w:snapToGrid/>
              <w:spacing w:line="400" w:lineRule="exact"/>
              <w:ind w:left="0" w:leftChars="0" w:firstLine="0" w:firstLineChars="0"/>
              <w:textAlignment w:val="auto"/>
              <w:rPr>
                <w:rFonts w:hint="eastAsia" w:ascii="宋体" w:hAnsi="宋体" w:eastAsia="宋体" w:cs="宋体"/>
                <w:color w:val="auto"/>
                <w:sz w:val="24"/>
                <w:szCs w:val="24"/>
              </w:rPr>
            </w:pPr>
            <w:r>
              <w:rPr>
                <w:rFonts w:hint="eastAsia" w:ascii="宋体" w:hAnsi="宋体" w:eastAsia="宋体" w:cs="宋体"/>
                <w:sz w:val="24"/>
                <w:szCs w:val="24"/>
              </w:rPr>
              <w:t>▲投标人未提供有效的资格证明文件的，视为投标人不具备招标文件中规定的资格要求，投标无效。</w:t>
            </w:r>
          </w:p>
        </w:tc>
      </w:tr>
      <w:tr w14:paraId="27321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8" w:hRule="atLeast"/>
        </w:trPr>
        <w:tc>
          <w:tcPr>
            <w:tcW w:w="772" w:type="dxa"/>
            <w:vAlign w:val="center"/>
          </w:tcPr>
          <w:p w14:paraId="5B5A86F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9</w:t>
            </w:r>
          </w:p>
        </w:tc>
        <w:tc>
          <w:tcPr>
            <w:tcW w:w="1991" w:type="dxa"/>
            <w:vAlign w:val="center"/>
          </w:tcPr>
          <w:p w14:paraId="77243E2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eastAsia="zh-CN"/>
              </w:rPr>
            </w:pPr>
            <w:r>
              <w:rPr>
                <w:rFonts w:hint="eastAsia" w:cs="宋体"/>
                <w:sz w:val="24"/>
                <w:szCs w:val="24"/>
                <w:lang w:eastAsia="zh-CN"/>
              </w:rPr>
              <w:t>投标文件形式</w:t>
            </w:r>
          </w:p>
        </w:tc>
        <w:tc>
          <w:tcPr>
            <w:tcW w:w="7484" w:type="dxa"/>
            <w:vAlign w:val="center"/>
          </w:tcPr>
          <w:p w14:paraId="56D611C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本项目实行电子投标。</w:t>
            </w:r>
          </w:p>
          <w:p w14:paraId="2A6867C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供应商应准备两种形式的投标文件：电子加密投标文件、以介质存储的数据电文形式的备份投标文件。</w:t>
            </w:r>
          </w:p>
          <w:p w14:paraId="03DB3A80">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（1）“电子加密投标文件”是指通过“政采云电子交易客户端”完成投标文件编制后生成并加密的数据电文形式的投标文件（后缀格式为.jmbs）</w:t>
            </w:r>
          </w:p>
          <w:p w14:paraId="12FE49D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Cs w:val="21"/>
                <w:highlight w:val="none"/>
              </w:rPr>
            </w:pPr>
            <w:r>
              <w:rPr>
                <w:rFonts w:hint="eastAsia" w:ascii="宋体" w:hAnsi="宋体" w:eastAsia="宋体" w:cs="宋体"/>
                <w:szCs w:val="21"/>
                <w:highlight w:val="none"/>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14:paraId="7A43192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cs="宋体"/>
                <w:b/>
                <w:sz w:val="24"/>
                <w:szCs w:val="24"/>
                <w:lang w:eastAsia="zh-CN"/>
              </w:rPr>
              <w:t>招标人</w:t>
            </w:r>
            <w:r>
              <w:rPr>
                <w:rFonts w:hint="eastAsia" w:hAnsi="宋体" w:cs="宋体"/>
                <w:b/>
                <w:sz w:val="24"/>
                <w:szCs w:val="24"/>
              </w:rPr>
              <w:t>、</w:t>
            </w:r>
            <w:r>
              <w:rPr>
                <w:rFonts w:hint="eastAsia" w:cs="宋体"/>
                <w:b/>
                <w:sz w:val="24"/>
                <w:szCs w:val="24"/>
                <w:lang w:eastAsia="zh-CN"/>
              </w:rPr>
              <w:t>招标代理机构</w:t>
            </w:r>
            <w:r>
              <w:rPr>
                <w:rFonts w:hint="eastAsia" w:hAnsi="宋体" w:cs="宋体"/>
                <w:b/>
                <w:sz w:val="24"/>
                <w:szCs w:val="24"/>
              </w:rPr>
              <w:t>不强制或变相强制投标人提交备份投标文件。</w:t>
            </w:r>
          </w:p>
        </w:tc>
      </w:tr>
      <w:tr w14:paraId="5979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9" w:hRule="atLeast"/>
        </w:trPr>
        <w:tc>
          <w:tcPr>
            <w:tcW w:w="772" w:type="dxa"/>
            <w:vAlign w:val="center"/>
          </w:tcPr>
          <w:p w14:paraId="694E72BE">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10</w:t>
            </w:r>
          </w:p>
        </w:tc>
        <w:tc>
          <w:tcPr>
            <w:tcW w:w="1991" w:type="dxa"/>
            <w:vAlign w:val="center"/>
          </w:tcPr>
          <w:p w14:paraId="6C5E1AD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cs="宋体"/>
                <w:sz w:val="24"/>
                <w:szCs w:val="24"/>
                <w:lang w:eastAsia="zh-CN"/>
              </w:rPr>
            </w:pPr>
            <w:r>
              <w:rPr>
                <w:rFonts w:hint="eastAsia" w:ascii="宋体" w:hAnsi="宋体" w:eastAsia="宋体" w:cs="宋体"/>
                <w:szCs w:val="21"/>
                <w:highlight w:val="none"/>
              </w:rPr>
              <w:t>投标文件的上传和</w:t>
            </w:r>
            <w:r>
              <w:rPr>
                <w:rFonts w:hint="eastAsia" w:cs="宋体"/>
                <w:szCs w:val="21"/>
                <w:highlight w:val="none"/>
                <w:lang w:eastAsia="zh-CN"/>
              </w:rPr>
              <w:t>提</w:t>
            </w:r>
            <w:r>
              <w:rPr>
                <w:rFonts w:hint="eastAsia" w:ascii="宋体" w:hAnsi="宋体" w:eastAsia="宋体" w:cs="宋体"/>
                <w:szCs w:val="21"/>
                <w:highlight w:val="none"/>
              </w:rPr>
              <w:t>交</w:t>
            </w:r>
          </w:p>
        </w:tc>
        <w:tc>
          <w:tcPr>
            <w:tcW w:w="7484" w:type="dxa"/>
            <w:vAlign w:val="center"/>
          </w:tcPr>
          <w:p w14:paraId="1C6E7EA7">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（1）电子加密投标文件：投标文件制作完成并生成加密文件，在投标截止时间前，供应商需将加密的投标文件上传至浙江政府采购网，到达开标时间后，进行解密。</w:t>
            </w:r>
          </w:p>
          <w:p w14:paraId="3F5AEE39">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供应商未在投标截止时间前成功上传电子加密投标文件的投标无效。</w:t>
            </w:r>
          </w:p>
          <w:p w14:paraId="34AA6B2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（2）备份投标文件：投标截止时间前</w:t>
            </w:r>
            <w:r>
              <w:rPr>
                <w:rFonts w:hint="eastAsia"/>
                <w:lang w:val="en-US" w:eastAsia="zh-CN"/>
              </w:rPr>
              <w:t>1天，</w:t>
            </w:r>
            <w:r>
              <w:rPr>
                <w:rFonts w:hint="eastAsia"/>
              </w:rPr>
              <w:t>供应商应将备份投标文件递交至</w:t>
            </w:r>
            <w:r>
              <w:rPr>
                <w:rFonts w:hint="eastAsia"/>
                <w:lang w:eastAsia="zh-CN"/>
              </w:rPr>
              <w:t>代理机构</w:t>
            </w:r>
            <w:r>
              <w:rPr>
                <w:rFonts w:hint="eastAsia"/>
              </w:rPr>
              <w:t>，以便电子加密投标文件解密异常时应急使用。</w:t>
            </w:r>
          </w:p>
          <w:p w14:paraId="42681F2A">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rPr>
              <w:t>备份投标文件递交要求：供应商须将备份投标文件以U盘形式单独放在密封袋中，密封后并在密封袋上注明投标项目名称、投标单位名称并加盖公章。未密封包装或逾期送达的“备份投标文件”将不予接收。</w:t>
            </w:r>
          </w:p>
          <w:p w14:paraId="331C6773">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default" w:eastAsia="宋体"/>
                <w:lang w:val="en-US" w:eastAsia="zh-CN"/>
              </w:rPr>
            </w:pPr>
            <w:r>
              <w:rPr>
                <w:rFonts w:hint="eastAsia"/>
              </w:rPr>
              <w:t>地址：</w:t>
            </w:r>
            <w:r>
              <w:rPr>
                <w:rFonts w:hint="eastAsia"/>
                <w:lang w:eastAsia="zh-CN"/>
              </w:rPr>
              <w:t>湖州市康山街道嘉年华国际广场</w:t>
            </w:r>
            <w:r>
              <w:rPr>
                <w:rFonts w:hint="eastAsia"/>
                <w:lang w:val="en-US" w:eastAsia="zh-CN"/>
              </w:rPr>
              <w:t>C座C1805室</w:t>
            </w:r>
          </w:p>
          <w:p w14:paraId="611F1C7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eastAsia="宋体"/>
                <w:lang w:val="en-US" w:eastAsia="zh-CN"/>
              </w:rPr>
            </w:pPr>
            <w:r>
              <w:rPr>
                <w:rFonts w:hint="eastAsia"/>
              </w:rPr>
              <w:t>收件人：</w:t>
            </w:r>
            <w:r>
              <w:rPr>
                <w:rFonts w:hint="eastAsia"/>
                <w:lang w:eastAsia="zh-CN"/>
              </w:rPr>
              <w:t>徐工</w:t>
            </w:r>
            <w:r>
              <w:rPr>
                <w:rFonts w:hint="eastAsia"/>
                <w:lang w:val="en-US" w:eastAsia="zh-CN"/>
              </w:rPr>
              <w:t>/18767608890</w:t>
            </w:r>
          </w:p>
        </w:tc>
      </w:tr>
      <w:tr w14:paraId="22C5B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2" w:hRule="atLeast"/>
        </w:trPr>
        <w:tc>
          <w:tcPr>
            <w:tcW w:w="772" w:type="dxa"/>
            <w:vAlign w:val="center"/>
          </w:tcPr>
          <w:p w14:paraId="562BAB39">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11</w:t>
            </w:r>
          </w:p>
        </w:tc>
        <w:tc>
          <w:tcPr>
            <w:tcW w:w="1991" w:type="dxa"/>
            <w:vAlign w:val="center"/>
          </w:tcPr>
          <w:p w14:paraId="02D2B1C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Cs w:val="21"/>
                <w:highlight w:val="none"/>
              </w:rPr>
            </w:pPr>
            <w:r>
              <w:rPr>
                <w:rFonts w:hint="eastAsia" w:ascii="宋体" w:hAnsi="宋体" w:eastAsia="宋体" w:cs="宋体"/>
                <w:bCs/>
                <w:szCs w:val="21"/>
                <w:highlight w:val="none"/>
              </w:rPr>
              <w:t>电子加密投标文件的解密和异常情况处理</w:t>
            </w:r>
          </w:p>
        </w:tc>
        <w:tc>
          <w:tcPr>
            <w:tcW w:w="7484" w:type="dxa"/>
            <w:vAlign w:val="center"/>
          </w:tcPr>
          <w:p w14:paraId="00FFE965">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highlight w:val="none"/>
              </w:rPr>
            </w:pPr>
            <w:r>
              <w:rPr>
                <w:rFonts w:hint="eastAsia" w:ascii="宋体" w:hAnsi="宋体" w:eastAsia="宋体" w:cs="宋体"/>
                <w:highlight w:val="none"/>
              </w:rPr>
              <w:t>（1）开标后，采购组织机构将向各投标供应商发出“电子加密投标文件”的解密通知，各投标供应商代表应当在接到解密通知后30分钟内自行完成“电子加密投标文件”的在线解密。</w:t>
            </w:r>
          </w:p>
          <w:p w14:paraId="3641AEFE">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eastAsia="宋体" w:cs="宋体"/>
                <w:highlight w:val="none"/>
              </w:rPr>
            </w:pPr>
            <w:r>
              <w:rPr>
                <w:rFonts w:hint="eastAsia" w:ascii="宋体" w:hAnsi="宋体" w:eastAsia="宋体" w:cs="宋体"/>
                <w:highlight w:val="none"/>
              </w:rPr>
              <w:t>（2）通过“政采云平台”成功上传递交的“电子加密投标文件”无法按时解密，投标供应商如按规定递交了“备份投标文件”的，以“备份投标文件”为依据（由采购组织机构按“政采云平台”操作规范将“备份投标文件”上传至“政采云平台”，上传成功后，“电子加密投标文件”自动失效），否则视为投标</w:t>
            </w:r>
            <w:r>
              <w:rPr>
                <w:rFonts w:hint="eastAsia" w:cs="宋体"/>
                <w:highlight w:val="none"/>
                <w:lang w:eastAsia="zh-CN"/>
              </w:rPr>
              <w:t>无效</w:t>
            </w:r>
            <w:r>
              <w:rPr>
                <w:rFonts w:hint="eastAsia" w:ascii="宋体" w:hAnsi="宋体" w:eastAsia="宋体" w:cs="宋体"/>
                <w:highlight w:val="none"/>
              </w:rPr>
              <w:t>。</w:t>
            </w:r>
          </w:p>
          <w:p w14:paraId="1F962A7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highlight w:val="none"/>
              </w:rPr>
            </w:pPr>
            <w:r>
              <w:rPr>
                <w:rFonts w:hint="eastAsia" w:ascii="宋体" w:hAnsi="宋体" w:eastAsia="宋体" w:cs="宋体"/>
                <w:highlight w:val="none"/>
              </w:rPr>
              <w:t>（3）投标截止时间前，投标供应商仅递交了“备份投标文件”而未将电子加密投标文件上传至“政采云平台”的，投标无效。</w:t>
            </w:r>
          </w:p>
        </w:tc>
      </w:tr>
      <w:tr w14:paraId="6DF65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772" w:type="dxa"/>
            <w:vAlign w:val="center"/>
          </w:tcPr>
          <w:p w14:paraId="4E3F7E6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2</w:t>
            </w:r>
          </w:p>
        </w:tc>
        <w:tc>
          <w:tcPr>
            <w:tcW w:w="1991" w:type="dxa"/>
            <w:vAlign w:val="center"/>
          </w:tcPr>
          <w:p w14:paraId="622A628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投标文件有效期</w:t>
            </w:r>
          </w:p>
        </w:tc>
        <w:tc>
          <w:tcPr>
            <w:tcW w:w="7484" w:type="dxa"/>
            <w:vAlign w:val="center"/>
          </w:tcPr>
          <w:p w14:paraId="5ABFE74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eastAsia="zh-CN"/>
              </w:rPr>
              <w:t>自</w:t>
            </w:r>
            <w:r>
              <w:rPr>
                <w:rFonts w:hint="eastAsia" w:ascii="宋体" w:hAnsi="宋体" w:eastAsia="宋体" w:cs="宋体"/>
                <w:sz w:val="24"/>
                <w:szCs w:val="24"/>
              </w:rPr>
              <w:t>提交投标文件的截止之日起</w:t>
            </w:r>
            <w:r>
              <w:rPr>
                <w:rFonts w:hint="eastAsia" w:cs="宋体"/>
                <w:sz w:val="24"/>
                <w:szCs w:val="24"/>
                <w:lang w:val="en-US" w:eastAsia="zh-CN"/>
              </w:rPr>
              <w:t>90</w:t>
            </w:r>
            <w:r>
              <w:rPr>
                <w:rFonts w:hint="eastAsia" w:ascii="宋体" w:hAnsi="宋体" w:eastAsia="宋体" w:cs="宋体"/>
                <w:sz w:val="24"/>
                <w:szCs w:val="24"/>
              </w:rPr>
              <w:t>天。</w:t>
            </w:r>
          </w:p>
        </w:tc>
      </w:tr>
      <w:tr w14:paraId="25F63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772" w:type="dxa"/>
            <w:vAlign w:val="center"/>
          </w:tcPr>
          <w:p w14:paraId="41EF869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3</w:t>
            </w:r>
          </w:p>
        </w:tc>
        <w:tc>
          <w:tcPr>
            <w:tcW w:w="1991" w:type="dxa"/>
            <w:vAlign w:val="center"/>
          </w:tcPr>
          <w:p w14:paraId="2096181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现场踏勘/样品/演示</w:t>
            </w:r>
          </w:p>
        </w:tc>
        <w:tc>
          <w:tcPr>
            <w:tcW w:w="7484" w:type="dxa"/>
            <w:vAlign w:val="center"/>
          </w:tcPr>
          <w:p w14:paraId="370001F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现场踏勘：□ 组织；</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不组织</w:t>
            </w:r>
          </w:p>
          <w:p w14:paraId="3DD216D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样品：</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提供；</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不提供</w:t>
            </w:r>
          </w:p>
          <w:p w14:paraId="29752C7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sz w:val="24"/>
                <w:szCs w:val="24"/>
              </w:rPr>
            </w:pPr>
            <w:r>
              <w:rPr>
                <w:rFonts w:hint="eastAsia" w:ascii="宋体" w:hAnsi="宋体" w:eastAsia="宋体" w:cs="宋体"/>
                <w:color w:val="000000"/>
                <w:sz w:val="24"/>
                <w:szCs w:val="24"/>
                <w:highlight w:val="none"/>
              </w:rPr>
              <w:t>演示：</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提供；</w:t>
            </w:r>
            <w:r>
              <w:rPr>
                <w:rFonts w:hint="eastAsia" w:cs="宋体"/>
                <w:color w:val="000000"/>
                <w:sz w:val="24"/>
                <w:szCs w:val="24"/>
                <w:highlight w:val="none"/>
                <w:lang w:eastAsia="zh-CN"/>
              </w:rPr>
              <w:t>☑</w:t>
            </w:r>
            <w:r>
              <w:rPr>
                <w:rFonts w:hint="eastAsia" w:ascii="宋体" w:hAnsi="宋体" w:eastAsia="宋体" w:cs="宋体"/>
                <w:color w:val="000000"/>
                <w:sz w:val="24"/>
                <w:szCs w:val="24"/>
                <w:highlight w:val="none"/>
              </w:rPr>
              <w:t xml:space="preserve"> 不提供</w:t>
            </w:r>
          </w:p>
        </w:tc>
      </w:tr>
      <w:tr w14:paraId="52BE8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772" w:type="dxa"/>
            <w:vAlign w:val="center"/>
          </w:tcPr>
          <w:p w14:paraId="50E670C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14</w:t>
            </w:r>
          </w:p>
        </w:tc>
        <w:tc>
          <w:tcPr>
            <w:tcW w:w="1991" w:type="dxa"/>
            <w:vAlign w:val="center"/>
          </w:tcPr>
          <w:p w14:paraId="77DAAD53">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cs="宋体"/>
                <w:color w:val="000000"/>
                <w:sz w:val="24"/>
                <w:szCs w:val="24"/>
                <w:highlight w:val="none"/>
                <w:lang w:eastAsia="zh-CN"/>
              </w:rPr>
            </w:pPr>
            <w:r>
              <w:rPr>
                <w:rFonts w:hint="eastAsia" w:cs="宋体"/>
                <w:color w:val="000000"/>
                <w:sz w:val="24"/>
                <w:szCs w:val="24"/>
                <w:highlight w:val="none"/>
                <w:lang w:eastAsia="zh-CN"/>
              </w:rPr>
              <w:t>是否允许采购</w:t>
            </w:r>
          </w:p>
          <w:p w14:paraId="33881B9E">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color w:val="000000"/>
                <w:sz w:val="24"/>
                <w:szCs w:val="24"/>
                <w:highlight w:val="none"/>
              </w:rPr>
            </w:pPr>
            <w:r>
              <w:rPr>
                <w:rFonts w:hint="eastAsia" w:cs="宋体"/>
                <w:color w:val="000000"/>
                <w:sz w:val="24"/>
                <w:szCs w:val="24"/>
                <w:highlight w:val="none"/>
                <w:lang w:eastAsia="zh-CN"/>
              </w:rPr>
              <w:t>进口产品</w:t>
            </w:r>
          </w:p>
        </w:tc>
        <w:tc>
          <w:tcPr>
            <w:tcW w:w="7484" w:type="dxa"/>
            <w:vAlign w:val="center"/>
          </w:tcPr>
          <w:p w14:paraId="745CB449">
            <w:pPr>
              <w:keepNext w:val="0"/>
              <w:keepLines w:val="0"/>
              <w:pageBreakBefore w:val="0"/>
              <w:widowControl w:val="0"/>
              <w:kinsoku/>
              <w:wordWrap/>
              <w:overflowPunct/>
              <w:topLinePunct w:val="0"/>
              <w:autoSpaceDE/>
              <w:autoSpaceDN/>
              <w:bidi w:val="0"/>
              <w:spacing w:line="380" w:lineRule="exact"/>
              <w:ind w:left="0" w:leftChars="0" w:firstLine="0" w:firstLineChars="0"/>
              <w:textAlignment w:val="auto"/>
              <w:rPr>
                <w:rFonts w:hint="eastAsia" w:ascii="宋体" w:hAnsi="宋体" w:cs="宋体"/>
                <w:kern w:val="0"/>
                <w:sz w:val="24"/>
              </w:rPr>
            </w:pPr>
            <w:r>
              <w:rPr>
                <w:rFonts w:hint="eastAsia" w:cs="宋体"/>
                <w:color w:val="000000"/>
                <w:sz w:val="24"/>
                <w:szCs w:val="24"/>
                <w:highlight w:val="none"/>
                <w:lang w:eastAsia="zh-CN"/>
              </w:rPr>
              <w:t>☑本项目</w:t>
            </w:r>
            <w:r>
              <w:rPr>
                <w:rFonts w:hint="eastAsia" w:ascii="宋体" w:hAnsi="宋体" w:cs="宋体"/>
                <w:kern w:val="0"/>
                <w:sz w:val="24"/>
              </w:rPr>
              <w:t>不允许采购进口产品。</w:t>
            </w:r>
          </w:p>
          <w:p w14:paraId="7657A8B4">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ascii="宋体" w:hAnsi="宋体" w:eastAsia="宋体" w:cs="宋体"/>
                <w:color w:val="000000"/>
                <w:sz w:val="24"/>
                <w:szCs w:val="24"/>
                <w:highlight w:val="none"/>
              </w:rPr>
            </w:pPr>
            <w:r>
              <w:rPr>
                <w:rFonts w:hint="eastAsia" w:cs="宋体"/>
                <w:color w:val="000000"/>
                <w:sz w:val="24"/>
                <w:szCs w:val="24"/>
                <w:highlight w:val="none"/>
                <w:lang w:eastAsia="zh-CN"/>
              </w:rPr>
              <w:t>□允许</w:t>
            </w:r>
            <w:r>
              <w:rPr>
                <w:rFonts w:hint="eastAsia" w:ascii="宋体" w:hAnsi="宋体" w:cs="宋体"/>
                <w:kern w:val="0"/>
                <w:sz w:val="24"/>
              </w:rPr>
              <w:t>采购进口产品</w:t>
            </w:r>
            <w:r>
              <w:rPr>
                <w:rFonts w:hint="eastAsia" w:cs="宋体"/>
                <w:kern w:val="0"/>
                <w:sz w:val="24"/>
                <w:lang w:eastAsia="zh-CN"/>
              </w:rPr>
              <w:t>。</w:t>
            </w:r>
          </w:p>
        </w:tc>
      </w:tr>
      <w:tr w14:paraId="2144B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72" w:type="dxa"/>
            <w:vAlign w:val="center"/>
          </w:tcPr>
          <w:p w14:paraId="5D89989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1</w:t>
            </w:r>
            <w:r>
              <w:rPr>
                <w:rFonts w:hint="eastAsia" w:cs="宋体"/>
                <w:sz w:val="24"/>
                <w:szCs w:val="24"/>
                <w:lang w:val="en-US" w:eastAsia="zh-CN"/>
              </w:rPr>
              <w:t>5</w:t>
            </w:r>
          </w:p>
        </w:tc>
        <w:tc>
          <w:tcPr>
            <w:tcW w:w="1991" w:type="dxa"/>
            <w:vAlign w:val="center"/>
          </w:tcPr>
          <w:p w14:paraId="36B7233C">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招标代理服务费</w:t>
            </w:r>
          </w:p>
        </w:tc>
        <w:tc>
          <w:tcPr>
            <w:tcW w:w="7484" w:type="dxa"/>
            <w:vAlign w:val="center"/>
          </w:tcPr>
          <w:p w14:paraId="6AA65A00">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lang w:val="en-US" w:eastAsia="zh-CN"/>
              </w:rPr>
              <w:t>（1）收费标准参照国家计委关于印发《招标代理服务收费管理暂行办法》的通知（计价格[2002]1980号），</w:t>
            </w:r>
            <w:r>
              <w:rPr>
                <w:rFonts w:hint="eastAsia" w:cs="宋体"/>
                <w:sz w:val="24"/>
                <w:szCs w:val="24"/>
                <w:lang w:val="en-US" w:eastAsia="zh-CN"/>
              </w:rPr>
              <w:t>在此基础上按70%折扣计取，</w:t>
            </w:r>
            <w:r>
              <w:rPr>
                <w:rFonts w:hint="eastAsia" w:ascii="宋体" w:hAnsi="宋体" w:eastAsia="宋体" w:cs="宋体"/>
                <w:sz w:val="24"/>
                <w:szCs w:val="24"/>
                <w:highlight w:val="none"/>
                <w:lang w:val="en-US" w:eastAsia="zh-CN"/>
              </w:rPr>
              <w:t>由中标供应商一次性向代理机构支付。</w:t>
            </w:r>
          </w:p>
          <w:p w14:paraId="132EE273">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eastAsia="zh-CN"/>
              </w:rPr>
              <w:t>）</w:t>
            </w:r>
            <w:r>
              <w:rPr>
                <w:rFonts w:hint="eastAsia" w:cs="宋体"/>
                <w:sz w:val="24"/>
                <w:szCs w:val="24"/>
                <w:highlight w:val="none"/>
                <w:lang w:val="en-US" w:eastAsia="zh-CN"/>
              </w:rPr>
              <w:t>本项目</w:t>
            </w:r>
            <w:r>
              <w:rPr>
                <w:rFonts w:hint="eastAsia" w:cs="宋体"/>
                <w:highlight w:val="none"/>
                <w:lang w:eastAsia="zh-CN"/>
              </w:rPr>
              <w:t>代理服务费按照</w:t>
            </w:r>
            <w:r>
              <w:rPr>
                <w:rFonts w:hint="eastAsia" w:cs="宋体"/>
                <w:b/>
                <w:bCs/>
                <w:highlight w:val="none"/>
                <w:lang w:val="en-US" w:eastAsia="zh-CN"/>
              </w:rPr>
              <w:t>11655</w:t>
            </w:r>
            <w:r>
              <w:rPr>
                <w:rFonts w:hint="eastAsia" w:cs="宋体"/>
                <w:b/>
                <w:bCs/>
                <w:highlight w:val="none"/>
              </w:rPr>
              <w:t>元</w:t>
            </w:r>
            <w:r>
              <w:rPr>
                <w:rFonts w:hint="eastAsia" w:cs="宋体"/>
                <w:highlight w:val="none"/>
                <w:lang w:eastAsia="zh-CN"/>
              </w:rPr>
              <w:t>收取，</w:t>
            </w:r>
            <w:r>
              <w:rPr>
                <w:rFonts w:hint="eastAsia" w:ascii="宋体" w:hAnsi="宋体" w:eastAsia="宋体" w:cs="宋体"/>
                <w:color w:val="000000"/>
                <w:sz w:val="24"/>
                <w:szCs w:val="24"/>
                <w:highlight w:val="none"/>
              </w:rPr>
              <w:t>中标人在中</w:t>
            </w:r>
            <w:r>
              <w:rPr>
                <w:rFonts w:hint="eastAsia" w:ascii="宋体" w:hAnsi="宋体" w:eastAsia="宋体" w:cs="宋体"/>
                <w:color w:val="000000"/>
                <w:sz w:val="24"/>
                <w:szCs w:val="24"/>
              </w:rPr>
              <w:t>标通知书</w:t>
            </w:r>
            <w:r>
              <w:rPr>
                <w:rFonts w:hint="eastAsia" w:cs="宋体"/>
                <w:color w:val="000000"/>
                <w:sz w:val="24"/>
                <w:szCs w:val="24"/>
                <w:lang w:eastAsia="zh-CN"/>
              </w:rPr>
              <w:t>发出当日</w:t>
            </w:r>
            <w:r>
              <w:rPr>
                <w:rFonts w:hint="eastAsia" w:ascii="宋体" w:hAnsi="宋体" w:eastAsia="宋体" w:cs="宋体"/>
                <w:color w:val="000000"/>
                <w:sz w:val="24"/>
                <w:szCs w:val="24"/>
              </w:rPr>
              <w:t>，</w:t>
            </w:r>
            <w:r>
              <w:rPr>
                <w:rFonts w:hint="eastAsia" w:cs="宋体"/>
                <w:color w:val="000000"/>
                <w:sz w:val="24"/>
                <w:szCs w:val="24"/>
                <w:lang w:eastAsia="zh-CN"/>
              </w:rPr>
              <w:t>以电汇方式</w:t>
            </w:r>
            <w:r>
              <w:rPr>
                <w:rFonts w:hint="eastAsia" w:ascii="宋体" w:hAnsi="宋体" w:eastAsia="宋体" w:cs="宋体"/>
                <w:color w:val="000000"/>
                <w:sz w:val="24"/>
                <w:szCs w:val="24"/>
              </w:rPr>
              <w:t>向招标代理机构交纳代理服务费，如未按上述规定办理，招标代理机构有权对于代理服务费不足部分进行追索。</w:t>
            </w:r>
          </w:p>
          <w:p w14:paraId="4D3F4EF8">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cs="宋体"/>
                <w:color w:val="000000"/>
                <w:sz w:val="24"/>
                <w:szCs w:val="24"/>
                <w:lang w:val="en-US" w:eastAsia="zh-CN"/>
              </w:rPr>
              <w:t>3</w:t>
            </w:r>
            <w:r>
              <w:rPr>
                <w:rFonts w:hint="eastAsia" w:ascii="宋体" w:hAnsi="宋体" w:eastAsia="宋体" w:cs="宋体"/>
                <w:color w:val="000000"/>
                <w:sz w:val="24"/>
                <w:szCs w:val="24"/>
              </w:rPr>
              <w:t>）服务费缴纳账号：</w:t>
            </w:r>
          </w:p>
          <w:p w14:paraId="5BFFE345">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收款人：浙江致信招标代理有限公司湖州分公司</w:t>
            </w:r>
          </w:p>
          <w:p w14:paraId="579454CB">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开户银行：恒丰银行股份有限公司湖州分行</w:t>
            </w:r>
          </w:p>
          <w:p w14:paraId="46A7B1BC">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账号：33050106100100000031</w:t>
            </w:r>
          </w:p>
          <w:p w14:paraId="538F2005">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开票及相关问题联系人：</w:t>
            </w:r>
            <w:r>
              <w:rPr>
                <w:rFonts w:hint="eastAsia" w:cs="宋体"/>
                <w:sz w:val="24"/>
                <w:szCs w:val="24"/>
                <w:lang w:val="en-US" w:eastAsia="zh-CN"/>
              </w:rPr>
              <w:t>潘</w:t>
            </w:r>
            <w:r>
              <w:rPr>
                <w:rFonts w:hint="eastAsia" w:ascii="宋体" w:hAnsi="宋体" w:eastAsia="宋体" w:cs="宋体"/>
                <w:sz w:val="24"/>
                <w:szCs w:val="24"/>
              </w:rPr>
              <w:t>工</w:t>
            </w:r>
            <w:r>
              <w:rPr>
                <w:rFonts w:hint="eastAsia" w:cs="宋体"/>
                <w:sz w:val="24"/>
                <w:szCs w:val="24"/>
                <w:lang w:val="en-US" w:eastAsia="zh-CN"/>
              </w:rPr>
              <w:t>/</w:t>
            </w:r>
            <w:r>
              <w:rPr>
                <w:rFonts w:hint="eastAsia" w:ascii="宋体" w:hAnsi="宋体" w:eastAsia="宋体" w:cs="宋体"/>
                <w:sz w:val="24"/>
                <w:szCs w:val="24"/>
              </w:rPr>
              <w:t>0572-2038559</w:t>
            </w:r>
          </w:p>
        </w:tc>
      </w:tr>
      <w:tr w14:paraId="521D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72" w:type="dxa"/>
            <w:vAlign w:val="center"/>
          </w:tcPr>
          <w:p w14:paraId="6321A07D">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w:t>
            </w:r>
            <w:r>
              <w:rPr>
                <w:rFonts w:hint="eastAsia" w:cs="宋体"/>
                <w:sz w:val="24"/>
                <w:szCs w:val="24"/>
                <w:lang w:val="en-US" w:eastAsia="zh-CN"/>
              </w:rPr>
              <w:t>6</w:t>
            </w:r>
          </w:p>
        </w:tc>
        <w:tc>
          <w:tcPr>
            <w:tcW w:w="1991" w:type="dxa"/>
            <w:vAlign w:val="center"/>
          </w:tcPr>
          <w:p w14:paraId="7B2B98E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中标后注意事项</w:t>
            </w:r>
          </w:p>
        </w:tc>
        <w:tc>
          <w:tcPr>
            <w:tcW w:w="7484" w:type="dxa"/>
            <w:vAlign w:val="center"/>
          </w:tcPr>
          <w:p w14:paraId="74420B86">
            <w:pPr>
              <w:keepNext w:val="0"/>
              <w:keepLines w:val="0"/>
              <w:pageBreakBefore w:val="0"/>
              <w:widowControl w:val="0"/>
              <w:tabs>
                <w:tab w:val="left" w:pos="312"/>
              </w:tabs>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（1）中标人在中标之后领取通知书时，应向招标代理机构交纳招标代理服务费。</w:t>
            </w:r>
          </w:p>
          <w:p w14:paraId="638385D4">
            <w:pPr>
              <w:keepNext w:val="0"/>
              <w:keepLines w:val="0"/>
              <w:pageBreakBefore w:val="0"/>
              <w:widowControl w:val="0"/>
              <w:tabs>
                <w:tab w:val="left" w:pos="312"/>
              </w:tabs>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（2）若中标人未在约定时间内支付招标代理服务费，从逾期之日起按日利率千分之一承担违约金。</w:t>
            </w:r>
          </w:p>
          <w:p w14:paraId="45EB4A2C">
            <w:pPr>
              <w:keepNext w:val="0"/>
              <w:keepLines w:val="0"/>
              <w:pageBreakBefore w:val="0"/>
              <w:widowControl w:val="0"/>
              <w:numPr>
                <w:ilvl w:val="0"/>
                <w:numId w:val="0"/>
              </w:numPr>
              <w:kinsoku/>
              <w:wordWrap/>
              <w:overflowPunct/>
              <w:topLinePunct w:val="0"/>
              <w:autoSpaceDE/>
              <w:autoSpaceDN/>
              <w:bidi w:val="0"/>
              <w:adjustRightInd/>
              <w:snapToGrid/>
              <w:spacing w:line="38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（3）若中标人未按上述规定办理，需承担招标代理机构为实现债权的所有费用（包括但不限于律师费、催讨车旅费、保全担保费等）</w:t>
            </w:r>
            <w:r>
              <w:rPr>
                <w:rFonts w:hint="eastAsia" w:ascii="宋体" w:hAnsi="宋体" w:eastAsia="宋体" w:cs="宋体"/>
                <w:sz w:val="24"/>
                <w:szCs w:val="24"/>
                <w:lang w:eastAsia="zh-CN"/>
              </w:rPr>
              <w:t>。</w:t>
            </w:r>
          </w:p>
        </w:tc>
      </w:tr>
      <w:tr w14:paraId="33A4B1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2" w:type="dxa"/>
            <w:vAlign w:val="center"/>
          </w:tcPr>
          <w:p w14:paraId="27BACA8A">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ascii="宋体" w:hAnsi="宋体" w:eastAsia="宋体" w:cs="宋体"/>
                <w:sz w:val="24"/>
                <w:szCs w:val="24"/>
                <w:lang w:val="en-US" w:eastAsia="zh-CN"/>
              </w:rPr>
            </w:pPr>
            <w:r>
              <w:rPr>
                <w:rFonts w:hint="eastAsia" w:cs="宋体"/>
                <w:sz w:val="24"/>
                <w:szCs w:val="24"/>
                <w:lang w:val="en-US" w:eastAsia="zh-CN"/>
              </w:rPr>
              <w:t>17</w:t>
            </w:r>
          </w:p>
        </w:tc>
        <w:tc>
          <w:tcPr>
            <w:tcW w:w="1991" w:type="dxa"/>
            <w:vAlign w:val="center"/>
          </w:tcPr>
          <w:p w14:paraId="34C34DD4">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lang w:eastAsia="zh-CN"/>
              </w:rPr>
              <w:t>实质性条款</w:t>
            </w:r>
          </w:p>
        </w:tc>
        <w:tc>
          <w:tcPr>
            <w:tcW w:w="7484" w:type="dxa"/>
            <w:vAlign w:val="center"/>
          </w:tcPr>
          <w:p w14:paraId="62219AE9">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rPr>
            </w:pPr>
            <w:r>
              <w:rPr>
                <w:rFonts w:hint="eastAsia"/>
                <w:sz w:val="24"/>
                <w:szCs w:val="24"/>
                <w:lang w:val="zh-CN"/>
              </w:rPr>
              <w:t>带“</w:t>
            </w:r>
            <w:r>
              <w:rPr>
                <w:rFonts w:hint="eastAsia"/>
                <w:sz w:val="24"/>
                <w:szCs w:val="24"/>
              </w:rPr>
              <w:t>▲”的条款是实质性条款，投标文件须作出实质性响应，否则作无效投标处理。</w:t>
            </w:r>
          </w:p>
        </w:tc>
      </w:tr>
      <w:tr w14:paraId="2A295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772" w:type="dxa"/>
            <w:vAlign w:val="center"/>
          </w:tcPr>
          <w:p w14:paraId="43198767">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default" w:cs="宋体"/>
                <w:sz w:val="24"/>
                <w:szCs w:val="24"/>
                <w:lang w:val="en-US" w:eastAsia="zh-CN"/>
              </w:rPr>
            </w:pPr>
            <w:r>
              <w:rPr>
                <w:rFonts w:hint="eastAsia" w:cs="宋体"/>
                <w:sz w:val="24"/>
                <w:szCs w:val="24"/>
                <w:lang w:val="en-US" w:eastAsia="zh-CN"/>
              </w:rPr>
              <w:t>18</w:t>
            </w:r>
          </w:p>
        </w:tc>
        <w:tc>
          <w:tcPr>
            <w:tcW w:w="1991" w:type="dxa"/>
            <w:vAlign w:val="center"/>
          </w:tcPr>
          <w:p w14:paraId="5555D1C0">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cs="宋体"/>
                <w:sz w:val="24"/>
                <w:szCs w:val="24"/>
                <w:lang w:val="en-US" w:eastAsia="zh-CN"/>
              </w:rPr>
            </w:pPr>
            <w:r>
              <w:rPr>
                <w:rFonts w:hint="eastAsia" w:cs="宋体"/>
                <w:sz w:val="24"/>
                <w:szCs w:val="24"/>
                <w:lang w:val="en-US" w:eastAsia="zh-CN"/>
              </w:rPr>
              <w:t>中小企业扶持</w:t>
            </w:r>
          </w:p>
          <w:p w14:paraId="6AC5D4FB">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jc w:val="center"/>
              <w:textAlignment w:val="auto"/>
              <w:rPr>
                <w:rFonts w:hint="eastAsia" w:ascii="宋体" w:hAnsi="宋体" w:eastAsia="宋体" w:cs="宋体"/>
                <w:sz w:val="24"/>
                <w:szCs w:val="24"/>
                <w:lang w:val="en-US" w:eastAsia="zh-CN"/>
              </w:rPr>
            </w:pPr>
            <w:r>
              <w:rPr>
                <w:rFonts w:hint="eastAsia" w:cs="宋体"/>
                <w:sz w:val="24"/>
                <w:szCs w:val="24"/>
                <w:lang w:val="en-US" w:eastAsia="zh-CN"/>
              </w:rPr>
              <w:t>政策</w:t>
            </w:r>
          </w:p>
        </w:tc>
        <w:tc>
          <w:tcPr>
            <w:tcW w:w="7484" w:type="dxa"/>
            <w:vAlign w:val="center"/>
          </w:tcPr>
          <w:p w14:paraId="3598A321">
            <w:pPr>
              <w:keepNext w:val="0"/>
              <w:keepLines w:val="0"/>
              <w:pageBreakBefore w:val="0"/>
              <w:widowControl w:val="0"/>
              <w:numPr>
                <w:ilvl w:val="0"/>
                <w:numId w:val="0"/>
              </w:numPr>
              <w:kinsoku/>
              <w:wordWrap/>
              <w:overflowPunct/>
              <w:topLinePunct w:val="0"/>
              <w:autoSpaceDE/>
              <w:autoSpaceDN/>
              <w:bidi w:val="0"/>
              <w:adjustRightInd/>
              <w:snapToGrid/>
              <w:spacing w:line="380" w:lineRule="exact"/>
              <w:ind w:leftChars="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w:t>
            </w:r>
            <w:r>
              <w:rPr>
                <w:rFonts w:hint="eastAsia" w:ascii="宋体" w:hAnsi="宋体" w:eastAsia="宋体" w:cs="宋体"/>
                <w:b/>
                <w:bCs/>
                <w:sz w:val="24"/>
                <w:szCs w:val="24"/>
                <w:lang w:val="zh-CN"/>
              </w:rPr>
              <w:t>本项目专门面向中小企业预留采购份额。</w:t>
            </w:r>
          </w:p>
          <w:p w14:paraId="3D0E91AF">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2）本</w:t>
            </w:r>
            <w:r>
              <w:rPr>
                <w:rFonts w:hint="eastAsia" w:cs="宋体"/>
                <w:color w:val="auto"/>
                <w:kern w:val="0"/>
                <w:sz w:val="24"/>
                <w:szCs w:val="24"/>
                <w:lang w:eastAsia="zh-CN"/>
              </w:rPr>
              <w:t>招标文件</w:t>
            </w:r>
            <w:r>
              <w:rPr>
                <w:rFonts w:hint="eastAsia" w:ascii="宋体" w:hAnsi="宋体" w:eastAsia="宋体" w:cs="宋体"/>
                <w:color w:val="auto"/>
                <w:kern w:val="0"/>
                <w:sz w:val="24"/>
                <w:szCs w:val="24"/>
              </w:rPr>
              <w:t>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B000705">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b w:val="0"/>
                <w:bCs/>
                <w:color w:val="auto"/>
                <w:kern w:val="0"/>
                <w:sz w:val="24"/>
                <w:szCs w:val="24"/>
                <w:u w:val="none"/>
                <w:lang w:eastAsia="zh-CN"/>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3）本次采购标的为</w:t>
            </w:r>
            <w:r>
              <w:rPr>
                <w:rFonts w:hint="eastAsia" w:cs="宋体"/>
                <w:b/>
                <w:bCs/>
                <w:color w:val="auto"/>
                <w:kern w:val="0"/>
                <w:sz w:val="24"/>
                <w:szCs w:val="24"/>
                <w:u w:val="single"/>
                <w:lang w:eastAsia="zh-CN"/>
              </w:rPr>
              <w:t>货物</w:t>
            </w:r>
            <w:r>
              <w:rPr>
                <w:rFonts w:hint="eastAsia" w:ascii="宋体" w:hAnsi="宋体" w:eastAsia="宋体" w:cs="宋体"/>
                <w:color w:val="auto"/>
                <w:kern w:val="0"/>
                <w:sz w:val="24"/>
                <w:szCs w:val="24"/>
              </w:rPr>
              <w:t>，对应的中小企业划分标准所属行业是：</w:t>
            </w:r>
            <w:r>
              <w:rPr>
                <w:rFonts w:hint="eastAsia" w:cs="宋体"/>
                <w:b/>
                <w:bCs/>
                <w:color w:val="auto"/>
                <w:kern w:val="0"/>
                <w:sz w:val="24"/>
                <w:szCs w:val="24"/>
                <w:u w:val="single"/>
                <w:lang w:eastAsia="zh-CN"/>
              </w:rPr>
              <w:t>工业</w:t>
            </w:r>
            <w:r>
              <w:rPr>
                <w:rFonts w:hint="eastAsia" w:ascii="宋体" w:hAnsi="宋体" w:eastAsia="宋体" w:cs="宋体"/>
                <w:b w:val="0"/>
                <w:bCs/>
                <w:color w:val="auto"/>
                <w:kern w:val="0"/>
                <w:sz w:val="24"/>
                <w:szCs w:val="24"/>
                <w:u w:val="none"/>
                <w:lang w:eastAsia="zh-CN"/>
              </w:rPr>
              <w:t>。</w:t>
            </w:r>
          </w:p>
          <w:p w14:paraId="44EDF4D9">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rPr>
              <w:t>（</w:t>
            </w:r>
            <w:r>
              <w:rPr>
                <w:rFonts w:hint="eastAsia" w:ascii="宋体" w:hAnsi="宋体" w:eastAsia="宋体" w:cs="宋体"/>
                <w:color w:val="auto"/>
                <w:kern w:val="0"/>
                <w:sz w:val="24"/>
                <w:szCs w:val="24"/>
              </w:rPr>
              <w:t>4）参加本次采购活动的供应商</w:t>
            </w:r>
            <w:r>
              <w:rPr>
                <w:rFonts w:hint="eastAsia" w:ascii="宋体" w:hAnsi="宋体" w:eastAsia="宋体" w:cs="宋体"/>
                <w:b/>
                <w:color w:val="auto"/>
                <w:kern w:val="0"/>
                <w:sz w:val="24"/>
                <w:szCs w:val="24"/>
                <w:u w:val="single"/>
              </w:rPr>
              <w:t>提供的</w:t>
            </w:r>
            <w:r>
              <w:rPr>
                <w:rFonts w:hint="eastAsia" w:cs="宋体"/>
                <w:b/>
                <w:color w:val="auto"/>
                <w:kern w:val="0"/>
                <w:sz w:val="24"/>
                <w:szCs w:val="24"/>
                <w:u w:val="single"/>
                <w:lang w:eastAsia="zh-CN"/>
              </w:rPr>
              <w:t>货物</w:t>
            </w:r>
            <w:r>
              <w:rPr>
                <w:rFonts w:hint="eastAsia" w:ascii="宋体" w:hAnsi="宋体" w:eastAsia="宋体" w:cs="宋体"/>
                <w:b/>
                <w:color w:val="auto"/>
                <w:kern w:val="0"/>
                <w:sz w:val="24"/>
                <w:szCs w:val="24"/>
                <w:u w:val="single"/>
              </w:rPr>
              <w:t>全部由</w:t>
            </w:r>
            <w:r>
              <w:rPr>
                <w:rFonts w:hint="eastAsia" w:cs="宋体"/>
                <w:b/>
                <w:color w:val="auto"/>
                <w:kern w:val="0"/>
                <w:sz w:val="24"/>
                <w:szCs w:val="24"/>
                <w:u w:val="single"/>
                <w:lang w:eastAsia="zh-CN"/>
              </w:rPr>
              <w:t>中</w:t>
            </w:r>
            <w:r>
              <w:rPr>
                <w:rFonts w:hint="eastAsia" w:cs="宋体"/>
                <w:b/>
                <w:color w:val="auto"/>
                <w:kern w:val="0"/>
                <w:sz w:val="24"/>
                <w:szCs w:val="24"/>
                <w:u w:val="single"/>
                <w:lang w:val="en-US" w:eastAsia="zh-CN"/>
              </w:rPr>
              <w:t>小</w:t>
            </w:r>
            <w:r>
              <w:rPr>
                <w:rFonts w:hint="eastAsia" w:ascii="宋体" w:hAnsi="宋体" w:eastAsia="宋体" w:cs="宋体"/>
                <w:b/>
                <w:color w:val="auto"/>
                <w:kern w:val="0"/>
                <w:sz w:val="24"/>
                <w:szCs w:val="24"/>
                <w:u w:val="single"/>
              </w:rPr>
              <w:t>企业</w:t>
            </w:r>
            <w:r>
              <w:rPr>
                <w:rFonts w:hint="eastAsia" w:cs="宋体"/>
                <w:b/>
                <w:color w:val="auto"/>
                <w:kern w:val="0"/>
                <w:sz w:val="24"/>
                <w:szCs w:val="24"/>
                <w:u w:val="single"/>
                <w:lang w:eastAsia="zh-CN"/>
              </w:rPr>
              <w:t>制造</w:t>
            </w:r>
            <w:r>
              <w:rPr>
                <w:rFonts w:hint="eastAsia" w:ascii="宋体" w:hAnsi="宋体" w:eastAsia="宋体" w:cs="宋体"/>
                <w:b/>
                <w:color w:val="auto"/>
                <w:kern w:val="0"/>
                <w:sz w:val="24"/>
                <w:szCs w:val="24"/>
                <w:u w:val="none"/>
                <w:lang w:eastAsia="zh-CN"/>
              </w:rPr>
              <w:t>，</w:t>
            </w:r>
            <w:r>
              <w:rPr>
                <w:rFonts w:hint="eastAsia" w:ascii="宋体" w:hAnsi="宋体" w:eastAsia="宋体" w:cs="宋体"/>
                <w:color w:val="auto"/>
                <w:kern w:val="0"/>
                <w:sz w:val="24"/>
                <w:szCs w:val="24"/>
                <w:highlight w:val="none"/>
              </w:rPr>
              <w:t>其报价给予</w:t>
            </w:r>
            <w:r>
              <w:rPr>
                <w:rFonts w:hint="eastAsia" w:ascii="宋体" w:hAnsi="宋体" w:eastAsia="宋体" w:cs="宋体"/>
                <w:b/>
                <w:bCs/>
                <w:color w:val="auto"/>
                <w:kern w:val="0"/>
                <w:sz w:val="24"/>
                <w:szCs w:val="24"/>
                <w:highlight w:val="none"/>
                <w:u w:val="single"/>
                <w:lang w:val="en-US" w:eastAsia="zh-CN"/>
              </w:rPr>
              <w:t>1</w:t>
            </w:r>
            <w:r>
              <w:rPr>
                <w:rFonts w:hint="eastAsia" w:ascii="宋体" w:hAnsi="宋体" w:eastAsia="宋体" w:cs="宋体"/>
                <w:b/>
                <w:color w:val="auto"/>
                <w:kern w:val="0"/>
                <w:sz w:val="24"/>
                <w:szCs w:val="24"/>
                <w:highlight w:val="none"/>
                <w:u w:val="single"/>
              </w:rPr>
              <w:t>0%</w:t>
            </w:r>
            <w:r>
              <w:rPr>
                <w:rFonts w:hint="eastAsia" w:ascii="宋体" w:hAnsi="宋体" w:eastAsia="宋体" w:cs="宋体"/>
                <w:color w:val="auto"/>
                <w:kern w:val="0"/>
                <w:sz w:val="24"/>
                <w:szCs w:val="24"/>
                <w:highlight w:val="none"/>
              </w:rPr>
              <w:t>的扣除，用扣除后的价格参加评审。</w:t>
            </w:r>
            <w:r>
              <w:rPr>
                <w:rFonts w:hint="eastAsia" w:cs="宋体"/>
                <w:b/>
                <w:bCs/>
                <w:color w:val="auto"/>
                <w:kern w:val="0"/>
                <w:sz w:val="24"/>
                <w:szCs w:val="24"/>
                <w:highlight w:val="none"/>
                <w:lang w:eastAsia="zh-CN"/>
              </w:rPr>
              <w:t>（本项目不适用）</w:t>
            </w:r>
          </w:p>
          <w:p w14:paraId="6627EFFB">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5</w:t>
            </w:r>
            <w:r>
              <w:rPr>
                <w:rFonts w:hint="eastAsia" w:ascii="宋体" w:hAnsi="宋体" w:eastAsia="宋体" w:cs="宋体"/>
                <w:color w:val="auto"/>
                <w:kern w:val="0"/>
                <w:sz w:val="24"/>
                <w:szCs w:val="24"/>
                <w:highlight w:val="none"/>
              </w:rPr>
              <w:t>）符合小微企业划分标准的个体工商户，视同小微企业。</w:t>
            </w:r>
          </w:p>
          <w:p w14:paraId="355876D9">
            <w:pPr>
              <w:keepNext w:val="0"/>
              <w:keepLines w:val="0"/>
              <w:pageBreakBefore w:val="0"/>
              <w:widowControl w:val="0"/>
              <w:kinsoku/>
              <w:wordWrap/>
              <w:overflowPunct/>
              <w:topLinePunct w:val="0"/>
              <w:autoSpaceDE/>
              <w:autoSpaceDN/>
              <w:bidi w:val="0"/>
              <w:adjustRightInd/>
              <w:snapToGrid/>
              <w:spacing w:line="380" w:lineRule="exact"/>
              <w:ind w:firstLine="0" w:firstLineChars="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r>
              <w:rPr>
                <w:rFonts w:hint="eastAsia" w:cs="宋体"/>
                <w:color w:val="auto"/>
                <w:kern w:val="0"/>
                <w:sz w:val="24"/>
                <w:szCs w:val="24"/>
                <w:highlight w:val="none"/>
                <w:lang w:val="en-US" w:eastAsia="zh-CN"/>
              </w:rPr>
              <w:t>6</w:t>
            </w:r>
            <w:r>
              <w:rPr>
                <w:rFonts w:hint="eastAsia" w:ascii="宋体" w:hAnsi="宋体" w:eastAsia="宋体" w:cs="宋体"/>
                <w:color w:val="auto"/>
                <w:kern w:val="0"/>
                <w:sz w:val="24"/>
                <w:szCs w:val="24"/>
                <w:highlight w:val="none"/>
              </w:rPr>
              <w:t>）小微企业参加政府采购活动，应当出具《中小企业声明函》。</w:t>
            </w:r>
          </w:p>
          <w:p w14:paraId="7CB79561">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ascii="宋体" w:hAnsi="宋体" w:eastAsia="宋体" w:cs="宋体"/>
              </w:rPr>
            </w:pPr>
            <w:r>
              <w:rPr>
                <w:rFonts w:hint="eastAsia" w:ascii="宋体" w:hAnsi="宋体" w:eastAsia="宋体" w:cs="宋体"/>
                <w:lang w:eastAsia="zh-CN"/>
              </w:rPr>
              <w:t>（</w:t>
            </w:r>
            <w:r>
              <w:rPr>
                <w:rFonts w:hint="eastAsia" w:cs="宋体"/>
                <w:lang w:val="en-US" w:eastAsia="zh-CN"/>
              </w:rPr>
              <w:t>7</w:t>
            </w:r>
            <w:r>
              <w:rPr>
                <w:rFonts w:hint="eastAsia" w:ascii="宋体" w:hAnsi="宋体" w:eastAsia="宋体" w:cs="宋体"/>
                <w:lang w:eastAsia="zh-CN"/>
              </w:rPr>
              <w:t>）</w:t>
            </w:r>
            <w:r>
              <w:rPr>
                <w:rFonts w:hint="eastAsia" w:ascii="宋体" w:hAnsi="宋体" w:eastAsia="宋体" w:cs="宋体"/>
              </w:rPr>
              <w:t>监狱企业和残疾人福利性单位视同小型、微型企业，按《财政部司法部关于政府采购支持监狱企业发展有关问题的通知》(财库〔2014〕68号)、《财政部民政部中国残疾人联合会关于促进残疾人就业政府采购政策的通知》（财库〔2017〕141号）的规定执行。</w:t>
            </w:r>
          </w:p>
          <w:p w14:paraId="61A2953A">
            <w:pPr>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eastAsia="宋体"/>
                <w:lang w:val="zh-CN" w:eastAsia="zh-CN"/>
              </w:rPr>
            </w:pPr>
            <w:r>
              <w:rPr>
                <w:rFonts w:hint="eastAsia"/>
                <w:lang w:eastAsia="zh-CN"/>
              </w:rPr>
              <w:t>（</w:t>
            </w:r>
            <w:r>
              <w:rPr>
                <w:rFonts w:hint="eastAsia"/>
                <w:lang w:val="en-US" w:eastAsia="zh-CN"/>
              </w:rPr>
              <w:t>8</w:t>
            </w:r>
            <w:r>
              <w:rPr>
                <w:rFonts w:hint="eastAsia"/>
                <w:lang w:eastAsia="zh-CN"/>
              </w:rPr>
              <w:t>）</w:t>
            </w:r>
            <w:r>
              <w:rPr>
                <w:rFonts w:hint="eastAsia"/>
              </w:rPr>
              <w:t>小微企业不得将合同分包给大中型企业，中型企业不得将合同分包给大型企业。</w:t>
            </w:r>
          </w:p>
        </w:tc>
      </w:tr>
    </w:tbl>
    <w:p w14:paraId="7BAFD263">
      <w:pPr>
        <w:pStyle w:val="3"/>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4"/>
          <w:szCs w:val="24"/>
        </w:rPr>
      </w:pPr>
      <w:r>
        <w:rPr>
          <w:rFonts w:hint="eastAsia" w:ascii="宋体" w:hAnsi="宋体" w:eastAsia="宋体" w:cs="宋体"/>
          <w:sz w:val="24"/>
          <w:szCs w:val="24"/>
        </w:rPr>
        <w:br w:type="page"/>
      </w:r>
      <w:bookmarkEnd w:id="29"/>
      <w:bookmarkEnd w:id="30"/>
      <w:bookmarkEnd w:id="31"/>
      <w:bookmarkEnd w:id="32"/>
      <w:bookmarkEnd w:id="33"/>
      <w:bookmarkEnd w:id="34"/>
      <w:bookmarkEnd w:id="35"/>
      <w:bookmarkEnd w:id="36"/>
      <w:bookmarkEnd w:id="37"/>
      <w:bookmarkStart w:id="38" w:name="_Toc2440"/>
      <w:bookmarkStart w:id="39" w:name="_Toc22147"/>
      <w:bookmarkStart w:id="40" w:name="_Toc144974498"/>
      <w:bookmarkStart w:id="41" w:name="_Toc179632547"/>
      <w:bookmarkStart w:id="42" w:name="_Toc246996919"/>
      <w:bookmarkStart w:id="43" w:name="_Toc246996176"/>
      <w:bookmarkStart w:id="44" w:name="_Toc152042306"/>
      <w:bookmarkStart w:id="45" w:name="_Toc247085690"/>
      <w:bookmarkStart w:id="46" w:name="_Toc296602421"/>
      <w:bookmarkStart w:id="47" w:name="_Toc152045530"/>
      <w:r>
        <w:rPr>
          <w:rFonts w:hint="eastAsia" w:ascii="宋体" w:hAnsi="宋体" w:eastAsia="宋体" w:cs="宋体"/>
          <w:sz w:val="24"/>
          <w:szCs w:val="24"/>
        </w:rPr>
        <w:t xml:space="preserve">第一节 </w:t>
      </w:r>
      <w:r>
        <w:rPr>
          <w:rFonts w:hint="eastAsia" w:ascii="宋体" w:hAnsi="宋体" w:cs="宋体"/>
          <w:sz w:val="24"/>
          <w:szCs w:val="24"/>
          <w:lang w:val="en-US" w:eastAsia="zh-CN"/>
        </w:rPr>
        <w:t xml:space="preserve"> </w:t>
      </w:r>
      <w:r>
        <w:rPr>
          <w:rFonts w:hint="eastAsia" w:ascii="宋体" w:hAnsi="宋体" w:eastAsia="宋体" w:cs="宋体"/>
          <w:sz w:val="24"/>
          <w:szCs w:val="24"/>
        </w:rPr>
        <w:t>总 则</w:t>
      </w:r>
      <w:bookmarkEnd w:id="38"/>
      <w:bookmarkEnd w:id="39"/>
    </w:p>
    <w:p w14:paraId="6DDE6F91">
      <w:pPr>
        <w:bidi w:val="0"/>
        <w:spacing w:line="360" w:lineRule="auto"/>
        <w:ind w:left="0" w:leftChars="0" w:firstLine="0" w:firstLineChars="0"/>
        <w:rPr>
          <w:rFonts w:hint="eastAsia" w:ascii="宋体" w:hAnsi="宋体" w:eastAsia="宋体" w:cs="宋体"/>
          <w:szCs w:val="24"/>
        </w:rPr>
      </w:pPr>
      <w:r>
        <w:rPr>
          <w:rFonts w:hint="eastAsia"/>
          <w:b/>
          <w:bCs/>
        </w:rPr>
        <w:t>一、适用范围</w:t>
      </w:r>
    </w:p>
    <w:p w14:paraId="2AD59E21">
      <w:pPr>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本招标文件适用于该项目的招标、投标、开标、资格审查及信用信息查询、评标、定标、合同、验收等行为（法律、法规另有规定的，从其规定）。</w:t>
      </w:r>
    </w:p>
    <w:p w14:paraId="4971217B">
      <w:pPr>
        <w:bidi w:val="0"/>
        <w:spacing w:line="360" w:lineRule="auto"/>
        <w:ind w:left="0" w:leftChars="0" w:firstLine="0" w:firstLineChars="0"/>
        <w:rPr>
          <w:rFonts w:hint="eastAsia" w:ascii="宋体" w:hAnsi="宋体" w:eastAsia="宋体" w:cs="宋体"/>
          <w:szCs w:val="24"/>
        </w:rPr>
      </w:pPr>
      <w:r>
        <w:rPr>
          <w:rFonts w:hint="eastAsia"/>
          <w:b/>
          <w:bCs/>
        </w:rPr>
        <w:t>二、定义</w:t>
      </w:r>
    </w:p>
    <w:p w14:paraId="0A1405AE">
      <w:pPr>
        <w:pageBreakBefore w:val="0"/>
        <w:widowControl w:val="0"/>
        <w:kinsoku/>
        <w:wordWrap/>
        <w:overflowPunct/>
        <w:topLinePunct w:val="0"/>
        <w:autoSpaceDE/>
        <w:autoSpaceDN/>
        <w:bidi w:val="0"/>
        <w:adjustRightInd/>
        <w:snapToGrid/>
        <w:spacing w:line="360" w:lineRule="auto"/>
        <w:ind w:firstLine="480"/>
        <w:textAlignment w:val="auto"/>
        <w:rPr>
          <w:rFonts w:hint="default" w:ascii="宋体" w:hAnsi="宋体" w:eastAsia="宋体" w:cs="宋体"/>
          <w:lang w:val="en-US" w:eastAsia="zh-CN"/>
        </w:rPr>
      </w:pPr>
      <w:r>
        <w:rPr>
          <w:rFonts w:hint="eastAsia" w:ascii="宋体" w:hAnsi="宋体" w:eastAsia="宋体" w:cs="宋体"/>
        </w:rPr>
        <w:t>1.“招标人”系指</w:t>
      </w:r>
      <w:r>
        <w:rPr>
          <w:rFonts w:hint="eastAsia" w:cs="宋体"/>
          <w:lang w:eastAsia="zh-CN"/>
        </w:rPr>
        <w:t>长兴县实验小学</w:t>
      </w:r>
      <w:r>
        <w:rPr>
          <w:rFonts w:hint="eastAsia" w:cs="宋体"/>
          <w:lang w:val="en-US" w:eastAsia="zh-CN"/>
        </w:rPr>
        <w:t>。</w:t>
      </w:r>
    </w:p>
    <w:p w14:paraId="1FE14688">
      <w:pPr>
        <w:pageBreakBefore w:val="0"/>
        <w:kinsoku/>
        <w:wordWrap/>
        <w:overflowPunct/>
        <w:topLinePunct w:val="0"/>
        <w:bidi w:val="0"/>
        <w:adjustRightInd/>
        <w:snapToGrid/>
        <w:spacing w:line="360" w:lineRule="auto"/>
        <w:ind w:firstLine="480"/>
        <w:textAlignment w:val="auto"/>
        <w:rPr>
          <w:rFonts w:hint="default" w:ascii="宋体" w:hAnsi="宋体" w:eastAsia="宋体" w:cs="宋体"/>
          <w:lang w:val="en-US" w:eastAsia="zh-CN"/>
        </w:rPr>
      </w:pPr>
      <w:r>
        <w:rPr>
          <w:rFonts w:hint="eastAsia" w:ascii="宋体" w:hAnsi="宋体" w:eastAsia="宋体" w:cs="宋体"/>
        </w:rPr>
        <w:t>2.“招标代理机构”系</w:t>
      </w:r>
      <w:r>
        <w:rPr>
          <w:rFonts w:hint="eastAsia" w:cs="宋体"/>
          <w:lang w:eastAsia="zh-CN"/>
        </w:rPr>
        <w:t>指组织本次招标的浙江致信招标代理有限公司</w:t>
      </w:r>
      <w:r>
        <w:rPr>
          <w:rFonts w:hint="eastAsia" w:cs="宋体"/>
          <w:lang w:val="en-US" w:eastAsia="zh-CN"/>
        </w:rPr>
        <w:t>。</w:t>
      </w:r>
    </w:p>
    <w:p w14:paraId="3D159FE7">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3.“投标人”和“投标方”系指参加本次招标活动符合资格条件的</w:t>
      </w:r>
      <w:r>
        <w:rPr>
          <w:rFonts w:hint="eastAsia" w:cs="宋体"/>
          <w:lang w:eastAsia="zh-CN"/>
        </w:rPr>
        <w:t>供应商</w:t>
      </w:r>
      <w:r>
        <w:rPr>
          <w:rFonts w:hint="eastAsia" w:ascii="宋体" w:hAnsi="宋体" w:eastAsia="宋体" w:cs="宋体"/>
        </w:rPr>
        <w:t>。</w:t>
      </w:r>
    </w:p>
    <w:p w14:paraId="7606D79D">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4.“</w:t>
      </w:r>
      <w:r>
        <w:rPr>
          <w:rFonts w:hint="eastAsia" w:cs="宋体"/>
          <w:lang w:eastAsia="zh-CN"/>
        </w:rPr>
        <w:t>授</w:t>
      </w:r>
      <w:r>
        <w:rPr>
          <w:rFonts w:hint="eastAsia" w:ascii="宋体" w:hAnsi="宋体" w:eastAsia="宋体" w:cs="宋体"/>
        </w:rPr>
        <w:t>权代表”系指参加本次招标活动的</w:t>
      </w:r>
      <w:r>
        <w:rPr>
          <w:rFonts w:hint="eastAsia" w:cs="宋体"/>
          <w:lang w:eastAsia="zh-CN"/>
        </w:rPr>
        <w:t>授权代表</w:t>
      </w:r>
      <w:r>
        <w:rPr>
          <w:rFonts w:hint="eastAsia" w:ascii="宋体" w:hAnsi="宋体" w:eastAsia="宋体" w:cs="宋体"/>
        </w:rPr>
        <w:t>。</w:t>
      </w:r>
    </w:p>
    <w:p w14:paraId="01FFA812">
      <w:pPr>
        <w:pageBreakBefore w:val="0"/>
        <w:kinsoku/>
        <w:wordWrap/>
        <w:overflowPunct/>
        <w:topLinePunct w:val="0"/>
        <w:bidi w:val="0"/>
        <w:adjustRightInd/>
        <w:snapToGrid/>
        <w:spacing w:line="360" w:lineRule="auto"/>
        <w:textAlignment w:val="auto"/>
        <w:rPr>
          <w:rFonts w:hint="eastAsia" w:cs="宋体"/>
          <w:sz w:val="24"/>
          <w:szCs w:val="24"/>
          <w:lang w:eastAsia="zh-CN"/>
        </w:rPr>
      </w:pPr>
      <w:r>
        <w:rPr>
          <w:rFonts w:hint="eastAsia"/>
          <w:lang w:val="en-US" w:eastAsia="zh-CN"/>
        </w:rPr>
        <w:t>5.</w:t>
      </w:r>
      <w:r>
        <w:rPr>
          <w:rFonts w:hint="eastAsia" w:cs="宋体"/>
          <w:sz w:val="24"/>
          <w:szCs w:val="24"/>
        </w:rPr>
        <w:t>“书面形式”包括信函、传真、电子文档等</w:t>
      </w:r>
      <w:r>
        <w:rPr>
          <w:rFonts w:hint="eastAsia" w:cs="宋体"/>
          <w:sz w:val="24"/>
          <w:szCs w:val="24"/>
          <w:lang w:eastAsia="zh-CN"/>
        </w:rPr>
        <w:t>。</w:t>
      </w:r>
    </w:p>
    <w:p w14:paraId="1D2FF305">
      <w:pPr>
        <w:pStyle w:val="5"/>
        <w:pageBreakBefore w:val="0"/>
        <w:kinsoku/>
        <w:wordWrap/>
        <w:overflowPunct/>
        <w:topLinePunct w:val="0"/>
        <w:bidi w:val="0"/>
        <w:adjustRightInd/>
        <w:snapToGrid/>
        <w:spacing w:line="360" w:lineRule="auto"/>
        <w:textAlignment w:val="auto"/>
        <w:rPr>
          <w:rFonts w:hint="eastAsia" w:ascii="宋体" w:hAnsi="宋体" w:cs="宋体"/>
          <w:b w:val="0"/>
          <w:bCs w:val="0"/>
          <w:sz w:val="24"/>
          <w:lang w:eastAsia="zh-CN"/>
        </w:rPr>
      </w:pPr>
      <w:r>
        <w:rPr>
          <w:rFonts w:hint="eastAsia"/>
          <w:b w:val="0"/>
          <w:bCs w:val="0"/>
          <w:lang w:val="en-US" w:eastAsia="zh-CN"/>
        </w:rPr>
        <w:t>6.</w:t>
      </w:r>
      <w:r>
        <w:rPr>
          <w:rFonts w:hint="eastAsia" w:ascii="宋体" w:hAnsi="宋体" w:cs="宋体"/>
          <w:b w:val="0"/>
          <w:bCs w:val="0"/>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r>
        <w:rPr>
          <w:rFonts w:hint="eastAsia" w:ascii="宋体" w:hAnsi="宋体" w:cs="宋体"/>
          <w:b w:val="0"/>
          <w:bCs w:val="0"/>
          <w:sz w:val="24"/>
          <w:lang w:eastAsia="zh-CN"/>
        </w:rPr>
        <w:t>。</w:t>
      </w:r>
    </w:p>
    <w:p w14:paraId="38C8B3BE">
      <w:pPr>
        <w:pageBreakBefore w:val="0"/>
        <w:kinsoku/>
        <w:wordWrap/>
        <w:overflowPunct/>
        <w:topLinePunct w:val="0"/>
        <w:bidi w:val="0"/>
        <w:adjustRightInd/>
        <w:snapToGrid/>
        <w:spacing w:line="360" w:lineRule="auto"/>
        <w:textAlignment w:val="auto"/>
        <w:rPr>
          <w:rFonts w:hint="default"/>
          <w:lang w:val="en-US" w:eastAsia="zh-CN"/>
        </w:rPr>
      </w:pPr>
      <w:r>
        <w:rPr>
          <w:rFonts w:hint="eastAsia" w:ascii="宋体" w:hAnsi="宋体" w:cs="宋体"/>
          <w:b w:val="0"/>
          <w:bCs w:val="0"/>
          <w:sz w:val="24"/>
          <w:lang w:val="en-US" w:eastAsia="zh-CN"/>
        </w:rPr>
        <w:t>7.</w:t>
      </w:r>
      <w:r>
        <w:rPr>
          <w:rFonts w:hint="eastAsia" w:ascii="宋体" w:hAnsi="宋体" w:cs="宋体"/>
          <w:sz w:val="24"/>
        </w:rPr>
        <w:t>“电子交易平台”是指本项目政府采购活动所依托的政府采购云平台（https://www.zcygov.cn/）。</w:t>
      </w:r>
    </w:p>
    <w:p w14:paraId="6F22868C">
      <w:pPr>
        <w:pageBreakBefore w:val="0"/>
        <w:kinsoku/>
        <w:wordWrap/>
        <w:overflowPunct/>
        <w:topLinePunct w:val="0"/>
        <w:bidi w:val="0"/>
        <w:adjustRightInd/>
        <w:snapToGrid/>
        <w:spacing w:line="360" w:lineRule="auto"/>
        <w:ind w:firstLine="480"/>
        <w:textAlignment w:val="auto"/>
        <w:rPr>
          <w:rFonts w:hint="eastAsia" w:ascii="宋体" w:hAnsi="宋体" w:eastAsia="宋体" w:cs="宋体"/>
          <w:lang w:eastAsia="zh-CN"/>
        </w:rPr>
      </w:pPr>
      <w:r>
        <w:rPr>
          <w:rFonts w:hint="eastAsia" w:cs="宋体"/>
          <w:lang w:val="en-US" w:eastAsia="zh-CN"/>
        </w:rPr>
        <w:t>8</w:t>
      </w:r>
      <w:r>
        <w:rPr>
          <w:rFonts w:hint="eastAsia" w:ascii="宋体" w:hAnsi="宋体" w:eastAsia="宋体" w:cs="宋体"/>
        </w:rPr>
        <w:t>.“▲”系指实质性要求条款，投标人应做出实质性响应；</w:t>
      </w:r>
      <w:r>
        <w:rPr>
          <w:rFonts w:hint="eastAsia" w:ascii="宋体" w:hAnsi="宋体" w:eastAsia="宋体" w:cs="宋体"/>
          <w:lang w:eastAsia="zh-CN"/>
        </w:rPr>
        <w:t>“★”</w:t>
      </w:r>
      <w:r>
        <w:rPr>
          <w:rFonts w:hint="eastAsia" w:ascii="宋体" w:hAnsi="宋体" w:eastAsia="宋体" w:cs="宋体"/>
        </w:rPr>
        <w:t>系指</w:t>
      </w:r>
      <w:r>
        <w:rPr>
          <w:rFonts w:hint="eastAsia" w:ascii="宋体" w:hAnsi="宋体" w:eastAsia="宋体" w:cs="宋体"/>
          <w:lang w:val="en-US" w:eastAsia="zh-CN"/>
        </w:rPr>
        <w:t>重要</w:t>
      </w:r>
      <w:r>
        <w:rPr>
          <w:rFonts w:hint="eastAsia" w:ascii="宋体" w:hAnsi="宋体" w:eastAsia="宋体" w:cs="宋体"/>
        </w:rPr>
        <w:t>要求条款</w:t>
      </w:r>
      <w:r>
        <w:rPr>
          <w:rFonts w:hint="eastAsia" w:ascii="宋体" w:hAnsi="宋体" w:eastAsia="宋体" w:cs="宋体"/>
          <w:lang w:eastAsia="zh-CN"/>
        </w:rPr>
        <w:t>。</w:t>
      </w:r>
    </w:p>
    <w:p w14:paraId="1EB42687">
      <w:pPr>
        <w:pageBreakBefore w:val="0"/>
        <w:kinsoku/>
        <w:wordWrap/>
        <w:overflowPunct/>
        <w:topLinePunct w:val="0"/>
        <w:bidi w:val="0"/>
        <w:adjustRightInd/>
        <w:snapToGrid/>
        <w:spacing w:line="360" w:lineRule="auto"/>
        <w:ind w:left="0" w:leftChars="0" w:firstLine="0" w:firstLineChars="0"/>
        <w:textAlignment w:val="auto"/>
        <w:rPr>
          <w:rFonts w:ascii="宋体" w:hAnsi="宋体" w:cs="宋体"/>
        </w:rPr>
      </w:pPr>
      <w:r>
        <w:rPr>
          <w:rFonts w:hint="eastAsia" w:cs="宋体"/>
          <w:lang w:eastAsia="zh-CN"/>
        </w:rPr>
        <w:t>“</w:t>
      </w:r>
      <w:r>
        <w:rPr>
          <w:rFonts w:hint="eastAsia" w:cs="宋体"/>
          <w:color w:val="000000"/>
          <w:sz w:val="24"/>
          <w:szCs w:val="24"/>
          <w:highlight w:val="none"/>
          <w:lang w:eastAsia="zh-CN"/>
        </w:rPr>
        <w:t>☑</w:t>
      </w:r>
      <w:r>
        <w:rPr>
          <w:rFonts w:hint="eastAsia" w:cs="宋体"/>
          <w:lang w:eastAsia="zh-CN"/>
        </w:rPr>
        <w:t>”</w:t>
      </w:r>
      <w:r>
        <w:rPr>
          <w:rFonts w:hint="eastAsia" w:ascii="宋体" w:hAnsi="宋体" w:cs="宋体"/>
        </w:rPr>
        <w:t>系指适用本项目的要求，“</w:t>
      </w:r>
      <w:sdt>
        <w:sdtPr>
          <w:rPr>
            <w:rFonts w:hint="eastAsia" w:ascii="宋体" w:hAnsi="宋体" w:cs="宋体"/>
            <w:kern w:val="0"/>
          </w:rPr>
          <w:id w:val="404888855"/>
          <w14:checkbox>
            <w14:checked w14:val="0"/>
            <w14:checkedState w14:val="00FE" w14:font="Wingdings"/>
            <w14:uncheckedState w14:val="2610" w14:font="MS Gothic"/>
          </w14:checkbox>
        </w:sdtPr>
        <w:sdtEndPr>
          <w:rPr>
            <w:rFonts w:hint="eastAsia" w:ascii="宋体" w:hAnsi="宋体" w:cs="宋体"/>
            <w:kern w:val="0"/>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rPr>
        <w:t>”系指不适用本项目的要求。</w:t>
      </w:r>
    </w:p>
    <w:p w14:paraId="10C02C3C">
      <w:pPr>
        <w:bidi w:val="0"/>
        <w:spacing w:line="360" w:lineRule="auto"/>
        <w:ind w:left="0" w:leftChars="0" w:firstLine="0" w:firstLineChars="0"/>
        <w:rPr>
          <w:rFonts w:hint="eastAsia" w:ascii="宋体" w:hAnsi="宋体" w:eastAsia="宋体" w:cs="宋体"/>
          <w:szCs w:val="24"/>
        </w:rPr>
      </w:pPr>
      <w:r>
        <w:rPr>
          <w:rFonts w:hint="eastAsia"/>
          <w:b/>
          <w:bCs/>
        </w:rPr>
        <w:t>三、合格的投标人</w:t>
      </w:r>
    </w:p>
    <w:p w14:paraId="326AB316">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详见</w:t>
      </w:r>
      <w:r>
        <w:rPr>
          <w:rFonts w:hint="eastAsia" w:cs="宋体"/>
          <w:lang w:eastAsia="zh-CN"/>
        </w:rPr>
        <w:t>“</w:t>
      </w:r>
      <w:r>
        <w:rPr>
          <w:rFonts w:hint="eastAsia" w:ascii="宋体" w:hAnsi="宋体" w:eastAsia="宋体" w:cs="宋体"/>
        </w:rPr>
        <w:t>招标公告</w:t>
      </w:r>
      <w:r>
        <w:rPr>
          <w:rFonts w:hint="eastAsia" w:cs="宋体"/>
          <w:lang w:val="en-US" w:eastAsia="zh-CN"/>
        </w:rPr>
        <w:t>-申请</w:t>
      </w:r>
      <w:r>
        <w:rPr>
          <w:rFonts w:hint="eastAsia" w:ascii="宋体" w:hAnsi="宋体" w:eastAsia="宋体" w:cs="宋体"/>
        </w:rPr>
        <w:t>人</w:t>
      </w:r>
      <w:r>
        <w:rPr>
          <w:rFonts w:hint="eastAsia" w:cs="宋体"/>
          <w:lang w:eastAsia="zh-CN"/>
        </w:rPr>
        <w:t>的</w:t>
      </w:r>
      <w:r>
        <w:rPr>
          <w:rFonts w:hint="eastAsia" w:ascii="宋体" w:hAnsi="宋体" w:eastAsia="宋体" w:cs="宋体"/>
        </w:rPr>
        <w:t>资格要求</w:t>
      </w:r>
      <w:r>
        <w:rPr>
          <w:rFonts w:hint="eastAsia" w:cs="宋体"/>
          <w:lang w:eastAsia="zh-CN"/>
        </w:rPr>
        <w:t>”</w:t>
      </w:r>
      <w:r>
        <w:rPr>
          <w:rFonts w:hint="eastAsia" w:ascii="宋体" w:hAnsi="宋体" w:eastAsia="宋体" w:cs="宋体"/>
        </w:rPr>
        <w:t>。</w:t>
      </w:r>
    </w:p>
    <w:p w14:paraId="41FC95B6">
      <w:pPr>
        <w:bidi w:val="0"/>
        <w:spacing w:line="360" w:lineRule="auto"/>
        <w:ind w:left="0" w:leftChars="0" w:firstLine="0" w:firstLineChars="0"/>
        <w:rPr>
          <w:rFonts w:hint="eastAsia" w:ascii="宋体" w:hAnsi="宋体" w:eastAsia="宋体" w:cs="宋体"/>
          <w:szCs w:val="24"/>
        </w:rPr>
      </w:pPr>
      <w:r>
        <w:rPr>
          <w:rFonts w:hint="eastAsia"/>
          <w:b/>
          <w:bCs/>
        </w:rPr>
        <w:t>四、投标费用</w:t>
      </w:r>
    </w:p>
    <w:p w14:paraId="072B73AA">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1.无论投标结果如何，投标人自行承担所有与参加投标有关的全部费用。</w:t>
      </w:r>
    </w:p>
    <w:p w14:paraId="2162CEF0">
      <w:pPr>
        <w:pageBreakBefore w:val="0"/>
        <w:kinsoku/>
        <w:wordWrap/>
        <w:overflowPunct/>
        <w:topLinePunct w:val="0"/>
        <w:bidi w:val="0"/>
        <w:adjustRightInd/>
        <w:snapToGrid/>
        <w:spacing w:line="360" w:lineRule="auto"/>
        <w:ind w:firstLine="480"/>
        <w:textAlignment w:val="auto"/>
        <w:rPr>
          <w:rFonts w:hint="eastAsia" w:ascii="宋体" w:hAnsi="宋体" w:eastAsia="宋体" w:cs="宋体"/>
        </w:rPr>
      </w:pPr>
      <w:r>
        <w:rPr>
          <w:rFonts w:hint="eastAsia" w:ascii="宋体" w:hAnsi="宋体" w:eastAsia="宋体" w:cs="宋体"/>
        </w:rPr>
        <w:t>2.中标人在中标通知书</w:t>
      </w:r>
      <w:r>
        <w:rPr>
          <w:rFonts w:hint="eastAsia" w:cs="宋体"/>
          <w:lang w:eastAsia="zh-CN"/>
        </w:rPr>
        <w:t>发出当日</w:t>
      </w:r>
      <w:r>
        <w:rPr>
          <w:rFonts w:hint="eastAsia" w:ascii="宋体" w:hAnsi="宋体" w:eastAsia="宋体" w:cs="宋体"/>
        </w:rPr>
        <w:t>，应向招标代理机构交纳代理服务费，收费标准见“第三章</w:t>
      </w:r>
      <w:r>
        <w:rPr>
          <w:rFonts w:hint="eastAsia" w:cs="宋体"/>
          <w:lang w:val="en-US" w:eastAsia="zh-CN"/>
        </w:rPr>
        <w:t>-</w:t>
      </w:r>
      <w:r>
        <w:rPr>
          <w:rFonts w:hint="eastAsia" w:ascii="宋体" w:hAnsi="宋体" w:eastAsia="宋体" w:cs="宋体"/>
        </w:rPr>
        <w:t>投标人须知</w:t>
      </w:r>
      <w:r>
        <w:rPr>
          <w:rFonts w:hint="eastAsia" w:cs="宋体"/>
          <w:lang w:val="en-US" w:eastAsia="zh-CN"/>
        </w:rPr>
        <w:t>-</w:t>
      </w:r>
      <w:r>
        <w:rPr>
          <w:rFonts w:hint="eastAsia" w:ascii="宋体" w:hAnsi="宋体" w:eastAsia="宋体" w:cs="宋体"/>
        </w:rPr>
        <w:t>前附表-</w:t>
      </w:r>
      <w:r>
        <w:rPr>
          <w:rFonts w:hint="eastAsia" w:cs="宋体"/>
          <w:lang w:eastAsia="zh-CN"/>
        </w:rPr>
        <w:t>第</w:t>
      </w:r>
      <w:r>
        <w:rPr>
          <w:rFonts w:hint="eastAsia" w:cs="宋体"/>
          <w:lang w:val="en-US" w:eastAsia="zh-CN"/>
        </w:rPr>
        <w:t>15项</w:t>
      </w:r>
      <w:r>
        <w:rPr>
          <w:rFonts w:hint="eastAsia" w:ascii="宋体" w:hAnsi="宋体" w:eastAsia="宋体" w:cs="宋体"/>
        </w:rPr>
        <w:t>”。</w:t>
      </w:r>
    </w:p>
    <w:p w14:paraId="337E3E7F">
      <w:pPr>
        <w:bidi w:val="0"/>
        <w:spacing w:line="360" w:lineRule="auto"/>
        <w:ind w:left="0" w:leftChars="0" w:firstLine="0" w:firstLineChars="0"/>
        <w:rPr>
          <w:rFonts w:hint="eastAsia"/>
          <w:b/>
          <w:bCs/>
        </w:rPr>
      </w:pPr>
      <w:r>
        <w:rPr>
          <w:rFonts w:hint="eastAsia"/>
          <w:b/>
          <w:bCs/>
          <w:lang w:eastAsia="zh-CN"/>
        </w:rPr>
        <w:t>五、</w:t>
      </w:r>
      <w:r>
        <w:rPr>
          <w:rFonts w:hint="eastAsia"/>
          <w:b/>
          <w:bCs/>
        </w:rPr>
        <w:t>采购项目需要落实的政府采购政策</w:t>
      </w:r>
    </w:p>
    <w:p w14:paraId="581FC0A4">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1</w:t>
      </w:r>
      <w:r>
        <w:rPr>
          <w:rFonts w:hint="eastAsia" w:ascii="宋体" w:hAnsi="宋体" w:cs="宋体"/>
          <w:sz w:val="24"/>
          <w:lang w:val="en-US" w:eastAsia="zh-CN"/>
        </w:rPr>
        <w:t>.</w:t>
      </w:r>
      <w:r>
        <w:rPr>
          <w:rFonts w:hint="eastAsia" w:ascii="宋体" w:hAnsi="宋体" w:cs="宋体"/>
          <w:sz w:val="24"/>
        </w:rPr>
        <w:t>本项目原则上采购本国生产的货物、工程和服务，不允许采购进口产品。除非</w:t>
      </w:r>
      <w:r>
        <w:rPr>
          <w:rFonts w:hint="eastAsia" w:cs="宋体"/>
          <w:sz w:val="24"/>
          <w:lang w:eastAsia="zh-CN"/>
        </w:rPr>
        <w:t>招标人</w:t>
      </w:r>
      <w:r>
        <w:rPr>
          <w:rFonts w:hint="eastAsia" w:ascii="宋体" w:hAnsi="宋体" w:cs="宋体"/>
          <w:sz w:val="24"/>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cs="宋体"/>
          <w:sz w:val="24"/>
          <w:lang w:eastAsia="zh-CN"/>
        </w:rPr>
        <w:t>招标人</w:t>
      </w:r>
      <w:r>
        <w:rPr>
          <w:rFonts w:hint="eastAsia" w:ascii="宋体" w:hAnsi="宋体" w:cs="宋体"/>
          <w:sz w:val="24"/>
        </w:rPr>
        <w:t>、</w:t>
      </w:r>
      <w:r>
        <w:rPr>
          <w:rFonts w:hint="eastAsia" w:cs="宋体"/>
          <w:sz w:val="24"/>
          <w:lang w:eastAsia="zh-CN"/>
        </w:rPr>
        <w:t>招标代理机构</w:t>
      </w:r>
      <w:r>
        <w:rPr>
          <w:rFonts w:hint="eastAsia" w:ascii="宋体" w:hAnsi="宋体" w:cs="宋体"/>
          <w:sz w:val="24"/>
        </w:rPr>
        <w:t>不会对其加以限制，仍将按照公平竞争原则实施采购）。</w:t>
      </w:r>
    </w:p>
    <w:p w14:paraId="6E91153B">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w:t>
      </w:r>
      <w:r>
        <w:rPr>
          <w:rFonts w:hint="eastAsia" w:ascii="宋体" w:hAnsi="宋体" w:cs="宋体"/>
          <w:sz w:val="24"/>
          <w:lang w:val="en-US" w:eastAsia="zh-CN"/>
        </w:rPr>
        <w:t>.</w:t>
      </w:r>
      <w:r>
        <w:rPr>
          <w:rFonts w:hint="eastAsia" w:ascii="宋体" w:hAnsi="宋体" w:cs="宋体"/>
          <w:sz w:val="24"/>
        </w:rPr>
        <w:t>支持绿色发展</w:t>
      </w:r>
    </w:p>
    <w:p w14:paraId="7309B0C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b/>
          <w:sz w:val="24"/>
          <w:highlight w:val="yellow"/>
        </w:rPr>
      </w:pPr>
      <w:r>
        <w:rPr>
          <w:rFonts w:hint="eastAsia" w:ascii="宋体" w:hAnsi="宋体" w:cs="宋体"/>
          <w:sz w:val="24"/>
        </w:rPr>
        <w:t>2.1</w:t>
      </w:r>
      <w:r>
        <w:rPr>
          <w:rFonts w:hint="eastAsia" w:cs="宋体"/>
          <w:sz w:val="24"/>
          <w:lang w:val="en-US" w:eastAsia="zh-CN"/>
        </w:rPr>
        <w:t xml:space="preserve"> </w:t>
      </w:r>
      <w:r>
        <w:rPr>
          <w:rFonts w:hint="eastAsia" w:cs="宋体"/>
          <w:sz w:val="24"/>
          <w:lang w:eastAsia="zh-CN"/>
        </w:rPr>
        <w:t>招标人</w:t>
      </w:r>
      <w:r>
        <w:rPr>
          <w:rFonts w:hint="eastAsia" w:ascii="宋体" w:hAnsi="宋体" w:cs="宋体"/>
          <w:sz w:val="24"/>
        </w:rPr>
        <w:t>拟采购的产品属于品目清单范围的，</w:t>
      </w:r>
      <w:r>
        <w:rPr>
          <w:rFonts w:hint="eastAsia" w:cs="宋体"/>
          <w:sz w:val="24"/>
          <w:lang w:eastAsia="zh-CN"/>
        </w:rPr>
        <w:t>招标人</w:t>
      </w:r>
      <w:r>
        <w:rPr>
          <w:rFonts w:hint="eastAsia" w:ascii="宋体" w:hAnsi="宋体" w:cs="宋体"/>
          <w:sz w:val="24"/>
        </w:rPr>
        <w:t>及其委托的</w:t>
      </w:r>
      <w:r>
        <w:rPr>
          <w:rFonts w:hint="eastAsia" w:cs="宋体"/>
          <w:sz w:val="24"/>
          <w:lang w:eastAsia="zh-CN"/>
        </w:rPr>
        <w:t>招标代理机构</w:t>
      </w:r>
      <w:r>
        <w:rPr>
          <w:rFonts w:hint="eastAsia" w:ascii="宋体" w:hAnsi="宋体" w:cs="宋体"/>
          <w:sz w:val="24"/>
        </w:rPr>
        <w:t>将依据国家确定的认证机构出具的、处于有效期之内的节能产品、环境标志产品认证证书，对获得证书的产品实施政府优先采购或强制采购。投标人须按招标文件要求提供相关产品认证证书。</w:t>
      </w:r>
    </w:p>
    <w:p w14:paraId="48B7A15E">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2.2</w:t>
      </w:r>
      <w:r>
        <w:rPr>
          <w:rFonts w:hint="eastAsia" w:cs="宋体"/>
          <w:sz w:val="24"/>
          <w:lang w:val="en-US" w:eastAsia="zh-CN"/>
        </w:rPr>
        <w:t xml:space="preserve"> </w:t>
      </w:r>
      <w:r>
        <w:rPr>
          <w:rFonts w:hint="eastAsia" w:ascii="宋体" w:hAnsi="宋体" w:cs="宋体"/>
          <w:sz w:val="24"/>
        </w:rPr>
        <w:t>为助力打好污染防治攻坚战，推广使用绿色包装，政府采购货物、工程和服务项目中涉及商品包装和快递包装的，投标人提供产品及相关快递服务的具体包装要求要参考《商品包装政府采购需求标准（试行）》、《快递包装政府采购需求标准（试行）》。</w:t>
      </w:r>
    </w:p>
    <w:p w14:paraId="68D21F17">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3.支持中小企业发展</w:t>
      </w:r>
    </w:p>
    <w:p w14:paraId="01189B6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3.1</w:t>
      </w:r>
      <w:r>
        <w:rPr>
          <w:rFonts w:hint="eastAsia" w:cs="宋体"/>
          <w:sz w:val="24"/>
          <w:lang w:val="en-US" w:eastAsia="zh-CN"/>
        </w:rPr>
        <w:t xml:space="preserve"> </w:t>
      </w:r>
      <w:r>
        <w:rPr>
          <w:rFonts w:hint="eastAsia" w:ascii="宋体" w:hAnsi="宋体" w:cs="宋体"/>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024A4C8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7CBDAFD8">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bCs/>
          <w:sz w:val="24"/>
        </w:rPr>
        <w:t>3.2</w:t>
      </w:r>
      <w:r>
        <w:rPr>
          <w:rFonts w:hint="eastAsia" w:cs="宋体"/>
          <w:bCs/>
          <w:sz w:val="24"/>
          <w:lang w:val="en-US" w:eastAsia="zh-CN"/>
        </w:rPr>
        <w:t xml:space="preserve"> </w:t>
      </w:r>
      <w:r>
        <w:rPr>
          <w:rFonts w:hint="eastAsia" w:ascii="宋体" w:hAnsi="宋体" w:cs="宋体"/>
          <w:kern w:val="0"/>
          <w:sz w:val="24"/>
        </w:rPr>
        <w:t>在政府采购活动中，投标人提供的货物、工程或者服务符合下列情形的，享受中小企业扶持政策：</w:t>
      </w:r>
    </w:p>
    <w:p w14:paraId="7C7F49D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2.1</w:t>
      </w:r>
      <w:r>
        <w:rPr>
          <w:rFonts w:hint="eastAsia" w:cs="宋体"/>
          <w:kern w:val="0"/>
          <w:sz w:val="24"/>
          <w:lang w:val="en-US" w:eastAsia="zh-CN"/>
        </w:rPr>
        <w:t xml:space="preserve"> </w:t>
      </w:r>
      <w:r>
        <w:rPr>
          <w:rFonts w:hint="eastAsia" w:ascii="宋体" w:hAnsi="宋体" w:cs="宋体"/>
          <w:kern w:val="0"/>
          <w:sz w:val="24"/>
        </w:rPr>
        <w:t>在货物采购项目中，货物由中小企业制造，即货物由中小企业生产且使用该中小企业商号或者注册商标；</w:t>
      </w:r>
    </w:p>
    <w:p w14:paraId="090DF29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2.2</w:t>
      </w:r>
      <w:r>
        <w:rPr>
          <w:rFonts w:hint="eastAsia" w:cs="宋体"/>
          <w:kern w:val="0"/>
          <w:sz w:val="24"/>
          <w:lang w:val="en-US" w:eastAsia="zh-CN"/>
        </w:rPr>
        <w:t xml:space="preserve"> </w:t>
      </w:r>
      <w:r>
        <w:rPr>
          <w:rFonts w:hint="eastAsia" w:ascii="宋体" w:hAnsi="宋体" w:cs="宋体"/>
          <w:kern w:val="0"/>
          <w:sz w:val="24"/>
        </w:rPr>
        <w:t>在工程采购项目中，工程由中小企业承建，即工程施工单位为中小企业；</w:t>
      </w:r>
    </w:p>
    <w:p w14:paraId="6C4868FF">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3.</w:t>
      </w:r>
      <w:r>
        <w:rPr>
          <w:rFonts w:hint="eastAsia" w:ascii="宋体" w:hAnsi="宋体" w:cs="宋体"/>
          <w:kern w:val="0"/>
          <w:sz w:val="24"/>
          <w:lang w:val="en-US" w:eastAsia="zh-CN"/>
        </w:rPr>
        <w:t>2.3</w:t>
      </w:r>
      <w:r>
        <w:rPr>
          <w:rFonts w:hint="eastAsia" w:cs="宋体"/>
          <w:kern w:val="0"/>
          <w:sz w:val="24"/>
          <w:lang w:val="en-US" w:eastAsia="zh-CN"/>
        </w:rPr>
        <w:t xml:space="preserve"> </w:t>
      </w:r>
      <w:r>
        <w:rPr>
          <w:rFonts w:hint="eastAsia" w:ascii="宋体" w:hAnsi="宋体" w:cs="宋体"/>
          <w:kern w:val="0"/>
          <w:sz w:val="24"/>
        </w:rPr>
        <w:t>在服务采购项目中，服务由中小企业承接，即提供服务的人员为中小企业依照《中华人民共和国劳动合同法》订立劳动合同的从业人员。</w:t>
      </w:r>
    </w:p>
    <w:p w14:paraId="78A692FB">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23999E54">
      <w:pPr>
        <w:pageBreakBefore w:val="0"/>
        <w:widowControl/>
        <w:kinsoku/>
        <w:wordWrap/>
        <w:overflowPunct/>
        <w:topLinePunct w:val="0"/>
        <w:bidi w:val="0"/>
        <w:adjustRightInd/>
        <w:snapToGrid/>
        <w:spacing w:line="360" w:lineRule="auto"/>
        <w:ind w:firstLine="480" w:firstLineChars="200"/>
        <w:jc w:val="left"/>
        <w:textAlignment w:val="auto"/>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C88042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3.3</w:t>
      </w:r>
      <w:r>
        <w:rPr>
          <w:rFonts w:hint="eastAsia" w:cs="宋体"/>
          <w:sz w:val="24"/>
          <w:lang w:val="en-US" w:eastAsia="zh-CN"/>
        </w:rPr>
        <w:t xml:space="preserve"> </w:t>
      </w:r>
      <w:r>
        <w:rPr>
          <w:rFonts w:hint="eastAsia" w:ascii="宋体" w:hAnsi="宋体" w:cs="宋体"/>
          <w:sz w:val="24"/>
        </w:rPr>
        <w:t>对于未预留份额专门面向中小企业的政府采购货物或服务项目，以及预留份额政府采购货物或服务项目中的非预留部分标项，对小型和微型企业的投标报价给予</w:t>
      </w:r>
      <w:r>
        <w:rPr>
          <w:rFonts w:hint="eastAsia" w:cs="宋体"/>
          <w:sz w:val="24"/>
          <w:lang w:val="en-US" w:eastAsia="zh-CN"/>
        </w:rPr>
        <w:t>1</w:t>
      </w:r>
      <w:r>
        <w:rPr>
          <w:rFonts w:hint="eastAsia" w:ascii="宋体" w:hAnsi="宋体" w:cs="宋体"/>
          <w:b w:val="0"/>
          <w:bCs w:val="0"/>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s="宋体"/>
          <w:sz w:val="24"/>
          <w:lang w:val="en-US" w:eastAsia="zh-CN"/>
        </w:rPr>
        <w:t>3%</w:t>
      </w:r>
      <w:bookmarkStart w:id="84" w:name="_GoBack"/>
      <w:bookmarkEnd w:id="84"/>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36AB75AE">
      <w:pPr>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lang w:eastAsia="zh-CN"/>
        </w:rPr>
      </w:pPr>
      <w:r>
        <w:rPr>
          <w:rFonts w:hint="eastAsia" w:ascii="宋体" w:hAnsi="宋体" w:cs="宋体"/>
          <w:sz w:val="24"/>
        </w:rPr>
        <w:t>3.</w:t>
      </w:r>
      <w:r>
        <w:rPr>
          <w:rFonts w:hint="eastAsia" w:ascii="宋体" w:hAnsi="宋体" w:cs="宋体"/>
          <w:sz w:val="24"/>
          <w:lang w:val="en-US" w:eastAsia="zh-CN"/>
        </w:rPr>
        <w:t>4</w:t>
      </w:r>
      <w:r>
        <w:rPr>
          <w:rFonts w:hint="eastAsia" w:cs="宋体"/>
          <w:sz w:val="24"/>
          <w:lang w:val="en-US" w:eastAsia="zh-CN"/>
        </w:rPr>
        <w:t xml:space="preserve"> </w:t>
      </w:r>
      <w:r>
        <w:rPr>
          <w:rFonts w:hint="eastAsia" w:ascii="宋体" w:hAnsi="宋体" w:cs="宋体"/>
          <w:sz w:val="24"/>
        </w:rPr>
        <w:t>符合《关于促进残疾人就业政府采购政策的通知》（财库〔2017〕141号）规定的条件并提供《残疾人福利性单位声明函》的残疾人福利性单位视同小型、微型企业</w:t>
      </w:r>
      <w:r>
        <w:rPr>
          <w:rFonts w:hint="eastAsia" w:ascii="宋体" w:hAnsi="宋体" w:cs="宋体"/>
          <w:sz w:val="24"/>
          <w:lang w:eastAsia="zh-CN"/>
        </w:rPr>
        <w:t>。</w:t>
      </w:r>
    </w:p>
    <w:p w14:paraId="22824F50">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3.5</w:t>
      </w:r>
      <w:r>
        <w:rPr>
          <w:rFonts w:hint="eastAsia" w:cs="宋体"/>
          <w:sz w:val="24"/>
          <w:lang w:val="en-US" w:eastAsia="zh-CN"/>
        </w:rPr>
        <w:t xml:space="preserve"> </w:t>
      </w:r>
      <w:r>
        <w:rPr>
          <w:rFonts w:hint="eastAsia" w:ascii="宋体" w:hAnsi="宋体" w:cs="宋体"/>
          <w:sz w:val="24"/>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41B4B3F1">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3.6</w:t>
      </w:r>
      <w:r>
        <w:rPr>
          <w:rFonts w:hint="eastAsia" w:cs="宋体"/>
          <w:sz w:val="24"/>
          <w:lang w:val="en-US" w:eastAsia="zh-CN"/>
        </w:rPr>
        <w:t xml:space="preserve"> </w:t>
      </w:r>
      <w:r>
        <w:rPr>
          <w:rFonts w:hint="eastAsia" w:ascii="宋体" w:hAnsi="宋体" w:cs="宋体"/>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0917AC1">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3.7</w:t>
      </w:r>
      <w:r>
        <w:rPr>
          <w:rFonts w:hint="eastAsia" w:cs="宋体"/>
          <w:sz w:val="24"/>
          <w:lang w:val="en-US" w:eastAsia="zh-CN"/>
        </w:rPr>
        <w:t xml:space="preserve"> </w:t>
      </w:r>
      <w:r>
        <w:rPr>
          <w:rFonts w:hint="eastAsia" w:ascii="宋体" w:hAnsi="宋体" w:cs="宋体"/>
          <w:sz w:val="24"/>
        </w:rPr>
        <w:t>中小企业享受扶持政策获得政府采购合同的，小微企业不得将合同分包给大中型企业，中型企业不得将合同分包给大型企业。</w:t>
      </w:r>
    </w:p>
    <w:p w14:paraId="2F2A5379">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w:t>
      </w:r>
      <w:r>
        <w:rPr>
          <w:rFonts w:hint="eastAsia" w:ascii="宋体" w:hAnsi="宋体" w:cs="宋体"/>
          <w:sz w:val="24"/>
          <w:lang w:val="en-US" w:eastAsia="zh-CN"/>
        </w:rPr>
        <w:t>.</w:t>
      </w:r>
      <w:r>
        <w:rPr>
          <w:rFonts w:hint="eastAsia" w:ascii="宋体" w:hAnsi="宋体" w:cs="宋体"/>
          <w:bCs/>
          <w:sz w:val="24"/>
        </w:rPr>
        <w:t>支持创新发展</w:t>
      </w:r>
    </w:p>
    <w:p w14:paraId="022CFBFA">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 xml:space="preserve">4.1 </w:t>
      </w:r>
      <w:r>
        <w:rPr>
          <w:rFonts w:hint="eastAsia" w:cs="宋体"/>
          <w:sz w:val="24"/>
          <w:lang w:eastAsia="zh-CN"/>
        </w:rPr>
        <w:t>招标人</w:t>
      </w:r>
      <w:r>
        <w:rPr>
          <w:rFonts w:hint="eastAsia" w:ascii="宋体" w:hAnsi="宋体" w:cs="宋体"/>
          <w:sz w:val="24"/>
        </w:rPr>
        <w:t>优先采购被认定为首台套产品和“制造精品”的自主创新产品。</w:t>
      </w:r>
    </w:p>
    <w:p w14:paraId="2CF23376">
      <w:pPr>
        <w:pageBreakBefore w:val="0"/>
        <w:kinsoku/>
        <w:wordWrap/>
        <w:overflowPunct/>
        <w:topLinePunct w:val="0"/>
        <w:bidi w:val="0"/>
        <w:adjustRightInd/>
        <w:snapToGrid/>
        <w:spacing w:line="360" w:lineRule="auto"/>
        <w:ind w:firstLine="480" w:firstLineChars="200"/>
        <w:textAlignment w:val="auto"/>
        <w:rPr>
          <w:rFonts w:hint="eastAsia" w:ascii="宋体" w:hAnsi="宋体" w:cs="宋体"/>
          <w:sz w:val="24"/>
        </w:rPr>
      </w:pPr>
      <w:r>
        <w:rPr>
          <w:rFonts w:hint="eastAsia" w:ascii="宋体" w:hAnsi="宋体" w:cs="宋体"/>
          <w:sz w:val="24"/>
        </w:rPr>
        <w:t>4.2</w:t>
      </w:r>
      <w:r>
        <w:rPr>
          <w:rFonts w:hint="eastAsia" w:cs="宋体"/>
          <w:sz w:val="24"/>
          <w:lang w:val="en-US" w:eastAsia="zh-CN"/>
        </w:rPr>
        <w:t xml:space="preserve"> </w:t>
      </w:r>
      <w:r>
        <w:rPr>
          <w:rFonts w:hint="eastAsia" w:ascii="宋体" w:hAnsi="宋体" w:cs="宋体"/>
          <w:sz w:val="24"/>
        </w:rPr>
        <w:t>首台套产品被纳入《首台套产品推广应用指导目录》之日起3年内，以及产品核心技术高于国内领先水平，并具有明晰自主知识产权的“制造精品”产品，自认定之日起三年内视同已具备相应销售业绩，参加政府采购活动时业绩分值为满分。</w:t>
      </w:r>
    </w:p>
    <w:p w14:paraId="65B3647E">
      <w:pPr>
        <w:pStyle w:val="4"/>
        <w:pageBreakBefore w:val="0"/>
        <w:numPr>
          <w:ilvl w:val="0"/>
          <w:numId w:val="0"/>
        </w:numPr>
        <w:kinsoku/>
        <w:wordWrap/>
        <w:overflowPunct/>
        <w:topLinePunct w:val="0"/>
        <w:bidi w:val="0"/>
        <w:adjustRightInd/>
        <w:snapToGrid/>
        <w:spacing w:line="360" w:lineRule="auto"/>
        <w:ind w:leftChars="200"/>
        <w:textAlignment w:val="auto"/>
        <w:rPr>
          <w:rFonts w:hint="eastAsia" w:ascii="宋体" w:hAnsi="宋体" w:cs="宋体"/>
          <w:b w:val="0"/>
          <w:bCs w:val="0"/>
          <w:sz w:val="24"/>
        </w:rPr>
      </w:pPr>
      <w:r>
        <w:rPr>
          <w:rFonts w:hint="eastAsia" w:ascii="宋体" w:hAnsi="宋体" w:cs="宋体"/>
          <w:b w:val="0"/>
          <w:bCs w:val="0"/>
          <w:sz w:val="24"/>
          <w:lang w:val="en-US" w:eastAsia="zh-CN"/>
        </w:rPr>
        <w:t>5.</w:t>
      </w:r>
      <w:r>
        <w:rPr>
          <w:rFonts w:hint="eastAsia" w:ascii="宋体" w:hAnsi="宋体" w:cs="宋体"/>
          <w:b w:val="0"/>
          <w:bCs w:val="0"/>
          <w:sz w:val="24"/>
        </w:rPr>
        <w:t>中小企业信用融资</w:t>
      </w:r>
    </w:p>
    <w:p w14:paraId="3C552517">
      <w:pPr>
        <w:pStyle w:val="4"/>
        <w:pageBreakBefore w:val="0"/>
        <w:numPr>
          <w:ilvl w:val="0"/>
          <w:numId w:val="0"/>
        </w:numPr>
        <w:kinsoku/>
        <w:wordWrap/>
        <w:overflowPunct/>
        <w:topLinePunct w:val="0"/>
        <w:bidi w:val="0"/>
        <w:adjustRightInd/>
        <w:snapToGrid/>
        <w:spacing w:line="360" w:lineRule="auto"/>
        <w:ind w:left="0" w:leftChars="0" w:firstLine="480" w:firstLineChars="200"/>
        <w:textAlignment w:val="auto"/>
        <w:rPr>
          <w:rFonts w:hint="eastAsia" w:ascii="宋体" w:hAnsi="宋体" w:cs="宋体"/>
          <w:sz w:val="24"/>
        </w:rPr>
      </w:pPr>
      <w:r>
        <w:rPr>
          <w:rFonts w:hint="eastAsia" w:ascii="宋体" w:hAnsi="宋体" w:cs="宋体"/>
          <w:b w:val="0"/>
          <w:bCs w:val="0"/>
          <w:sz w:val="24"/>
        </w:rPr>
        <w:t>投标人若有融资意向，详见《政府采购支持中小企业信用融资相关事项通知》，或登录</w:t>
      </w:r>
      <w:r>
        <w:rPr>
          <w:rFonts w:hint="eastAsia" w:ascii="宋体" w:hAnsi="宋体" w:cs="宋体"/>
          <w:b w:val="0"/>
          <w:bCs w:val="0"/>
          <w:sz w:val="24"/>
          <w:lang w:eastAsia="zh-CN"/>
        </w:rPr>
        <w:t>浙江</w:t>
      </w:r>
      <w:r>
        <w:rPr>
          <w:rFonts w:hint="eastAsia" w:ascii="宋体" w:hAnsi="宋体" w:cs="宋体"/>
          <w:b w:val="0"/>
          <w:bCs w:val="0"/>
          <w:sz w:val="24"/>
        </w:rPr>
        <w:t>政府采购网“中小企业信用融资”模块，查看信用融资政策及相关银行服务方案。</w:t>
      </w:r>
    </w:p>
    <w:p w14:paraId="205194BE">
      <w:pPr>
        <w:bidi w:val="0"/>
        <w:spacing w:line="360" w:lineRule="auto"/>
        <w:ind w:left="0" w:leftChars="0" w:firstLine="0" w:firstLineChars="0"/>
        <w:rPr>
          <w:rFonts w:hint="eastAsia" w:ascii="宋体" w:hAnsi="宋体" w:eastAsia="宋体" w:cs="宋体"/>
          <w:szCs w:val="24"/>
        </w:rPr>
      </w:pPr>
      <w:r>
        <w:rPr>
          <w:rFonts w:hint="eastAsia"/>
          <w:b/>
          <w:bCs/>
          <w:lang w:eastAsia="zh-CN"/>
        </w:rPr>
        <w:t>六</w:t>
      </w:r>
      <w:r>
        <w:rPr>
          <w:rFonts w:hint="eastAsia"/>
          <w:b/>
          <w:bCs/>
        </w:rPr>
        <w:t>、询问、质疑、投诉</w:t>
      </w:r>
    </w:p>
    <w:p w14:paraId="46D58E74">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1</w:t>
      </w:r>
      <w:r>
        <w:rPr>
          <w:rFonts w:hint="eastAsia" w:ascii="宋体" w:hAnsi="宋体" w:eastAsia="宋体" w:cs="宋体"/>
          <w:kern w:val="0"/>
        </w:rPr>
        <w:t>.</w:t>
      </w:r>
      <w:r>
        <w:rPr>
          <w:rFonts w:hint="eastAsia" w:ascii="宋体" w:hAnsi="宋体" w:eastAsia="宋体" w:cs="宋体"/>
          <w:kern w:val="0"/>
          <w:lang w:val="zh-CN"/>
        </w:rPr>
        <w:t>投标人询问</w:t>
      </w:r>
    </w:p>
    <w:p w14:paraId="3EB49B15">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投标人对政府采购活动事项有疑问的，可以提出询问，招标人或者招标代理机构应当在3个工作日内对投标人依法提出的询问作出答复，但答复的内容不得涉及商业秘密。投标人提出的询问超出招标人对招标代理机构委托授权范围的，招标代理机构应当告知投标人向招标人提出。</w:t>
      </w:r>
    </w:p>
    <w:p w14:paraId="04644D87">
      <w:pPr>
        <w:pageBreakBefore w:val="0"/>
        <w:kinsoku/>
        <w:wordWrap/>
        <w:overflowPunct/>
        <w:topLinePunct w:val="0"/>
        <w:autoSpaceDE w:val="0"/>
        <w:autoSpaceDN w:val="0"/>
        <w:bidi w:val="0"/>
        <w:adjustRightInd/>
        <w:snapToGrid/>
        <w:spacing w:line="360" w:lineRule="auto"/>
        <w:ind w:firstLine="480"/>
        <w:jc w:val="left"/>
        <w:textAlignment w:val="auto"/>
        <w:rPr>
          <w:rFonts w:hint="eastAsia" w:ascii="宋体" w:hAnsi="宋体" w:eastAsia="宋体" w:cs="宋体"/>
          <w:kern w:val="0"/>
          <w:lang w:val="zh-CN"/>
        </w:rPr>
      </w:pPr>
      <w:r>
        <w:rPr>
          <w:rFonts w:hint="eastAsia" w:ascii="宋体" w:hAnsi="宋体" w:eastAsia="宋体" w:cs="宋体"/>
          <w:kern w:val="0"/>
          <w:lang w:val="zh-CN"/>
        </w:rPr>
        <w:t>2</w:t>
      </w:r>
      <w:r>
        <w:rPr>
          <w:rFonts w:hint="eastAsia" w:ascii="宋体" w:hAnsi="宋体" w:eastAsia="宋体" w:cs="宋体"/>
          <w:kern w:val="0"/>
        </w:rPr>
        <w:t>.</w:t>
      </w:r>
      <w:r>
        <w:rPr>
          <w:rFonts w:hint="eastAsia" w:ascii="宋体" w:hAnsi="宋体" w:eastAsia="宋体" w:cs="宋体"/>
          <w:kern w:val="0"/>
          <w:lang w:val="zh-CN"/>
        </w:rPr>
        <w:t>投标人质疑</w:t>
      </w:r>
    </w:p>
    <w:p w14:paraId="0CA511A2">
      <w:pPr>
        <w:pStyle w:val="22"/>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eastAsia="宋体" w:cs="宋体"/>
          <w:sz w:val="24"/>
        </w:rPr>
        <w:t>（1）提出质疑的投标人应当是参与所质疑项目招标活动的投标人。潜在投标人已依法获取其可质疑的招标文件的，可以对该文件提出质疑。</w:t>
      </w:r>
    </w:p>
    <w:p w14:paraId="4E164A03">
      <w:pPr>
        <w:pStyle w:val="22"/>
        <w:pageBreakBefore w:val="0"/>
        <w:kinsoku/>
        <w:wordWrap/>
        <w:overflowPunct/>
        <w:topLinePunct w:val="0"/>
        <w:bidi w:val="0"/>
        <w:adjustRightInd/>
        <w:snapToGrid/>
        <w:spacing w:line="360" w:lineRule="auto"/>
        <w:ind w:firstLine="480" w:firstLineChars="200"/>
        <w:textAlignment w:val="auto"/>
        <w:rPr>
          <w:rFonts w:hint="eastAsia" w:ascii="宋体" w:hAnsi="宋体" w:eastAsia="宋体" w:cs="宋体"/>
          <w:sz w:val="24"/>
        </w:rPr>
      </w:pPr>
      <w:r>
        <w:rPr>
          <w:rFonts w:hint="eastAsia" w:ascii="宋体" w:hAnsi="宋体" w:eastAsia="宋体" w:cs="宋体"/>
          <w:kern w:val="0"/>
          <w:sz w:val="24"/>
          <w:lang w:val="zh-CN"/>
        </w:rPr>
        <w:t>（</w:t>
      </w:r>
      <w:r>
        <w:rPr>
          <w:rFonts w:hint="eastAsia" w:ascii="宋体" w:hAnsi="宋体" w:eastAsia="宋体" w:cs="宋体"/>
          <w:sz w:val="24"/>
        </w:rPr>
        <w:t>2）投标人认为招标文件、招标过程和中标结果使自己的权益受到损害的，可以在知道或者应知其权益受到损害之日起七个工作日内，以书面形式向招标人或者招标机构提出质疑，否则，招标人或者招标机构不予受理：</w:t>
      </w:r>
    </w:p>
    <w:p w14:paraId="4C5974E9">
      <w:pPr>
        <w:pStyle w:val="8"/>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sz w:val="24"/>
        </w:rPr>
      </w:pPr>
      <w:r>
        <w:rPr>
          <w:rFonts w:hint="eastAsia" w:ascii="宋体" w:hAnsi="宋体" w:eastAsia="宋体" w:cs="宋体"/>
          <w:sz w:val="24"/>
        </w:rPr>
        <w:t>1）对招标文件提出质疑的，质疑期限为投标人获得招标文件之日或者招标文件公告期限届满之日起计算。</w:t>
      </w:r>
    </w:p>
    <w:p w14:paraId="0C056DF1">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sz w:val="24"/>
        </w:rPr>
      </w:pPr>
      <w:r>
        <w:rPr>
          <w:rFonts w:hint="eastAsia" w:ascii="宋体" w:hAnsi="宋体" w:eastAsia="宋体" w:cs="宋体"/>
          <w:sz w:val="24"/>
        </w:rPr>
        <w:t>2）对招标过程提出质疑的，质疑期限为各招标程序环节结束之日起计算。对同一招标程序环节的质疑，投标人须一次性提出。</w:t>
      </w:r>
    </w:p>
    <w:p w14:paraId="1A3E65FB">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sz w:val="24"/>
        </w:rPr>
      </w:pPr>
      <w:r>
        <w:rPr>
          <w:rFonts w:hint="eastAsia" w:ascii="宋体" w:hAnsi="宋体" w:eastAsia="宋体" w:cs="宋体"/>
          <w:sz w:val="24"/>
        </w:rPr>
        <w:t>3）对招标结果提出质疑的，质疑期限自招标结果公告期限届满之日起计算。</w:t>
      </w:r>
    </w:p>
    <w:p w14:paraId="17914D06">
      <w:pPr>
        <w:pStyle w:val="2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kern w:val="0"/>
          <w:sz w:val="24"/>
          <w:lang w:val="zh-CN"/>
        </w:rPr>
      </w:pPr>
      <w:r>
        <w:rPr>
          <w:rFonts w:hint="eastAsia" w:ascii="宋体" w:hAnsi="宋体" w:eastAsia="宋体" w:cs="宋体"/>
          <w:kern w:val="0"/>
          <w:sz w:val="24"/>
          <w:lang w:val="zh-CN"/>
        </w:rPr>
        <w:t>（</w:t>
      </w:r>
      <w:r>
        <w:rPr>
          <w:rFonts w:hint="eastAsia" w:ascii="宋体" w:hAnsi="宋体" w:eastAsia="宋体" w:cs="宋体"/>
          <w:kern w:val="0"/>
          <w:sz w:val="24"/>
        </w:rPr>
        <w:t>3）</w:t>
      </w:r>
      <w:r>
        <w:rPr>
          <w:rFonts w:hint="eastAsia" w:ascii="宋体" w:hAnsi="宋体" w:eastAsia="宋体" w:cs="宋体"/>
          <w:sz w:val="24"/>
        </w:rPr>
        <w:t>投标人提出质疑应当提交质疑函和必要的证明材料。质疑函应当包括下列内容：</w:t>
      </w:r>
    </w:p>
    <w:p w14:paraId="37561D10">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1）</w:t>
      </w:r>
      <w:r>
        <w:rPr>
          <w:rFonts w:hint="eastAsia" w:ascii="宋体" w:hAnsi="宋体" w:eastAsia="宋体" w:cs="宋体"/>
          <w:kern w:val="0"/>
          <w:sz w:val="24"/>
          <w:lang w:val="zh-CN"/>
        </w:rPr>
        <w:t>投标人的姓名或者名称、地址、邮编、联系人及联系电话；</w:t>
      </w:r>
    </w:p>
    <w:p w14:paraId="569E33E7">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2）</w:t>
      </w:r>
      <w:r>
        <w:rPr>
          <w:rFonts w:hint="eastAsia" w:ascii="宋体" w:hAnsi="宋体" w:eastAsia="宋体" w:cs="宋体"/>
          <w:kern w:val="0"/>
          <w:sz w:val="24"/>
          <w:lang w:val="zh-CN"/>
        </w:rPr>
        <w:t>质疑项目的名称、编号；</w:t>
      </w:r>
    </w:p>
    <w:p w14:paraId="51D8546B">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3）</w:t>
      </w:r>
      <w:r>
        <w:rPr>
          <w:rFonts w:hint="eastAsia" w:ascii="宋体" w:hAnsi="宋体" w:eastAsia="宋体" w:cs="宋体"/>
          <w:kern w:val="0"/>
          <w:sz w:val="24"/>
          <w:lang w:val="zh-CN"/>
        </w:rPr>
        <w:t>具体、明确的质疑事项和与质疑事项相关的请求；</w:t>
      </w:r>
    </w:p>
    <w:p w14:paraId="3E1BB4AF">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4）</w:t>
      </w:r>
      <w:r>
        <w:rPr>
          <w:rFonts w:hint="eastAsia" w:ascii="宋体" w:hAnsi="宋体" w:eastAsia="宋体" w:cs="宋体"/>
          <w:kern w:val="0"/>
          <w:sz w:val="24"/>
          <w:lang w:val="zh-CN"/>
        </w:rPr>
        <w:t>事实依据；</w:t>
      </w:r>
    </w:p>
    <w:p w14:paraId="73A75AC2">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5）</w:t>
      </w:r>
      <w:r>
        <w:rPr>
          <w:rFonts w:hint="eastAsia" w:ascii="宋体" w:hAnsi="宋体" w:eastAsia="宋体" w:cs="宋体"/>
          <w:kern w:val="0"/>
          <w:sz w:val="24"/>
          <w:lang w:val="zh-CN"/>
        </w:rPr>
        <w:t>必要的法律依据；</w:t>
      </w:r>
    </w:p>
    <w:p w14:paraId="48A03F2C">
      <w:pPr>
        <w:pStyle w:val="22"/>
        <w:keepNext w:val="0"/>
        <w:keepLines w:val="0"/>
        <w:pageBreakBefore w:val="0"/>
        <w:widowControl w:val="0"/>
        <w:kinsoku/>
        <w:wordWrap/>
        <w:overflowPunct/>
        <w:topLinePunct w:val="0"/>
        <w:autoSpaceDE/>
        <w:autoSpaceDN/>
        <w:bidi w:val="0"/>
        <w:adjustRightInd/>
        <w:snapToGrid/>
        <w:spacing w:line="360" w:lineRule="auto"/>
        <w:ind w:firstLine="720" w:firstLineChars="300"/>
        <w:textAlignment w:val="auto"/>
        <w:rPr>
          <w:rFonts w:hint="eastAsia" w:ascii="宋体" w:hAnsi="宋体" w:eastAsia="宋体" w:cs="宋体"/>
          <w:kern w:val="0"/>
          <w:sz w:val="24"/>
          <w:lang w:val="zh-CN"/>
        </w:rPr>
      </w:pPr>
      <w:r>
        <w:rPr>
          <w:rFonts w:hint="eastAsia" w:ascii="宋体" w:hAnsi="宋体" w:eastAsia="宋体" w:cs="宋体"/>
          <w:sz w:val="24"/>
        </w:rPr>
        <w:t>6）</w:t>
      </w:r>
      <w:r>
        <w:rPr>
          <w:rFonts w:hint="eastAsia" w:ascii="宋体" w:hAnsi="宋体" w:eastAsia="宋体" w:cs="宋体"/>
          <w:kern w:val="0"/>
          <w:sz w:val="24"/>
          <w:lang w:val="zh-CN"/>
        </w:rPr>
        <w:t>提出质疑的日期。</w:t>
      </w:r>
    </w:p>
    <w:p w14:paraId="1743268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rPr>
      </w:pPr>
      <w:r>
        <w:rPr>
          <w:rFonts w:hint="eastAsia"/>
        </w:rPr>
        <w:t>投标人提交的质疑函需一式三份。投标人为自然人的，应当由本人签字；投标人为法人或者其他组织的，应当由法定代表人、主要负责人，或者其</w:t>
      </w:r>
      <w:r>
        <w:rPr>
          <w:rFonts w:hint="eastAsia"/>
          <w:lang w:eastAsia="zh-CN"/>
        </w:rPr>
        <w:t>授权代表</w:t>
      </w:r>
      <w:r>
        <w:rPr>
          <w:rFonts w:hint="eastAsia"/>
        </w:rPr>
        <w:t>签字或者盖章，并加盖公章。</w:t>
      </w:r>
    </w:p>
    <w:p w14:paraId="1F63A8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rPr>
      </w:pPr>
      <w:r>
        <w:rPr>
          <w:rFonts w:hint="eastAsia"/>
          <w:lang w:val="zh-CN"/>
        </w:rPr>
        <w:t>（</w:t>
      </w:r>
      <w:r>
        <w:rPr>
          <w:rFonts w:hint="eastAsia"/>
        </w:rPr>
        <w:t>4）招标人或者招标机构应当在收到投标人的书面质疑后七个工作日内作出答复，并以书面形式通知质疑投标人和其他与质疑处理结果有利害关系的政府采购当事人，但答复的内容不得涉及商业秘密。招标人或者招标机构在质疑回复后5个工作日内，在浙江政府采购网的“其他公告”栏目公开质疑答复，答复内容应当完整。质疑函作为附件上传。</w:t>
      </w:r>
    </w:p>
    <w:p w14:paraId="1A74F3A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rPr>
      </w:pPr>
      <w:r>
        <w:rPr>
          <w:rFonts w:hint="eastAsia"/>
          <w:lang w:val="zh-CN"/>
        </w:rPr>
        <w:t>（</w:t>
      </w:r>
      <w:r>
        <w:rPr>
          <w:rFonts w:hint="eastAsia"/>
        </w:rPr>
        <w:t>5）询问或者质疑事项可能影响采购结果的，招标人应当暂停签订合同，已经签订合同的，应当中止履行合同。</w:t>
      </w:r>
    </w:p>
    <w:p w14:paraId="17BE3D5E">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lang w:val="zh-CN"/>
        </w:rPr>
      </w:pPr>
      <w:r>
        <w:rPr>
          <w:rFonts w:hint="eastAsia"/>
        </w:rPr>
        <w:t>3.</w:t>
      </w:r>
      <w:r>
        <w:rPr>
          <w:rFonts w:hint="eastAsia"/>
          <w:lang w:val="zh-CN"/>
        </w:rPr>
        <w:t>投标人投诉</w:t>
      </w:r>
    </w:p>
    <w:p w14:paraId="3F9634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rPr>
      </w:pPr>
      <w:r>
        <w:rPr>
          <w:rFonts w:hint="eastAsia"/>
        </w:rPr>
        <w:t>（1）质疑投标人对招标人、招标机构的答复不满意或者招标人、招标机构未在规定的时间内作出答复的，可以在答复期满后十五个工作日内向</w:t>
      </w:r>
      <w:r>
        <w:rPr>
          <w:rFonts w:hint="eastAsia"/>
          <w:lang w:eastAsia="zh-CN"/>
        </w:rPr>
        <w:t>同级政府采购</w:t>
      </w:r>
      <w:r>
        <w:rPr>
          <w:rFonts w:hint="eastAsia"/>
        </w:rPr>
        <w:t>监督管理部门提出投诉。</w:t>
      </w:r>
    </w:p>
    <w:p w14:paraId="43274424">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rPr>
      </w:pPr>
      <w:r>
        <w:rPr>
          <w:rFonts w:hint="eastAsia"/>
        </w:rPr>
        <w:t>（</w:t>
      </w:r>
      <w:r>
        <w:rPr>
          <w:rFonts w:hint="eastAsia"/>
          <w:lang w:val="zh-CN"/>
        </w:rPr>
        <w:t>2）</w:t>
      </w:r>
      <w:r>
        <w:rPr>
          <w:rFonts w:hint="eastAsia"/>
        </w:rPr>
        <w:t>投标人投诉的事项不得超出已质疑事项的范围，基于质疑答复内容提出的投诉事项除外。</w:t>
      </w:r>
    </w:p>
    <w:p w14:paraId="060B6E17">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rPr>
      </w:pPr>
      <w:r>
        <w:rPr>
          <w:rFonts w:hint="eastAsia"/>
        </w:rPr>
        <w:t>（3）投标人投诉应当有明确的请求和必要的证明材料。</w:t>
      </w:r>
    </w:p>
    <w:p w14:paraId="4A3CFF0E">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b/>
          <w:bCs/>
        </w:rPr>
      </w:pPr>
      <w:r>
        <w:rPr>
          <w:rFonts w:hint="eastAsia"/>
          <w:b/>
          <w:bCs/>
        </w:rPr>
        <w:t>七、特别说明</w:t>
      </w:r>
    </w:p>
    <w:p w14:paraId="1B0D617F">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rPr>
        <w:sectPr>
          <w:pgSz w:w="11906" w:h="16838"/>
          <w:pgMar w:top="1247" w:right="1134" w:bottom="1247" w:left="1134" w:header="170" w:footer="567" w:gutter="0"/>
          <w:pgNumType w:fmt="decimal"/>
          <w:cols w:space="720" w:num="1"/>
          <w:docGrid w:linePitch="381" w:charSpace="0"/>
        </w:sectPr>
      </w:pPr>
      <w:r>
        <w:rPr>
          <w:rFonts w:hint="eastAsia" w:ascii="宋体" w:hAnsi="宋体" w:eastAsia="宋体" w:cs="宋体"/>
        </w:rPr>
        <w:t>投标人在投标活动中提供任何虚假材料</w:t>
      </w:r>
      <w:r>
        <w:rPr>
          <w:rFonts w:hint="eastAsia" w:cs="宋体"/>
          <w:lang w:eastAsia="zh-CN"/>
        </w:rPr>
        <w:t>，</w:t>
      </w:r>
      <w:r>
        <w:rPr>
          <w:rFonts w:hint="eastAsia" w:ascii="宋体" w:hAnsi="宋体" w:eastAsia="宋体" w:cs="宋体"/>
        </w:rPr>
        <w:t>其投标无效，并报相关监管部门查处；中标后发现的,处以招标金额千分之五以上千分之十以下的罚款，列入不良行为记录名单，在一至三年内禁止参加招标活动，有违法所得的，并处没收违法所得，情节严重的，由相关管理机关吊销营业执照；构成犯罪的，依法追究刑事责任。</w:t>
      </w:r>
    </w:p>
    <w:p w14:paraId="0ED17D4C">
      <w:pPr>
        <w:pStyle w:val="3"/>
        <w:spacing w:line="360" w:lineRule="auto"/>
        <w:jc w:val="center"/>
        <w:rPr>
          <w:rFonts w:hint="eastAsia" w:ascii="宋体" w:hAnsi="宋体" w:eastAsia="宋体" w:cs="宋体"/>
          <w:sz w:val="24"/>
          <w:szCs w:val="24"/>
        </w:rPr>
      </w:pPr>
      <w:bookmarkStart w:id="48" w:name="_Toc91899879"/>
      <w:bookmarkStart w:id="49" w:name="_Toc16985"/>
      <w:r>
        <w:rPr>
          <w:rFonts w:hint="eastAsia" w:ascii="宋体" w:hAnsi="宋体" w:eastAsia="宋体" w:cs="宋体"/>
          <w:sz w:val="24"/>
          <w:szCs w:val="24"/>
        </w:rPr>
        <w:t xml:space="preserve">第二节 </w:t>
      </w:r>
      <w:r>
        <w:rPr>
          <w:rFonts w:hint="eastAsia" w:ascii="宋体" w:hAnsi="宋体" w:cs="宋体"/>
          <w:sz w:val="24"/>
          <w:szCs w:val="24"/>
          <w:lang w:val="en-US" w:eastAsia="zh-CN"/>
        </w:rPr>
        <w:t xml:space="preserve"> </w:t>
      </w:r>
      <w:r>
        <w:rPr>
          <w:rFonts w:hint="eastAsia" w:ascii="宋体" w:hAnsi="宋体" w:eastAsia="宋体" w:cs="宋体"/>
          <w:sz w:val="24"/>
          <w:szCs w:val="24"/>
        </w:rPr>
        <w:t>招标文件</w:t>
      </w:r>
      <w:bookmarkEnd w:id="48"/>
      <w:r>
        <w:rPr>
          <w:rFonts w:hint="eastAsia" w:ascii="宋体" w:hAnsi="宋体" w:eastAsia="宋体" w:cs="宋体"/>
          <w:sz w:val="24"/>
          <w:szCs w:val="24"/>
        </w:rPr>
        <w:t>的构成、澄清、修改</w:t>
      </w:r>
      <w:bookmarkEnd w:id="49"/>
    </w:p>
    <w:p w14:paraId="324CA5D3">
      <w:pPr>
        <w:bidi w:val="0"/>
        <w:spacing w:line="360" w:lineRule="auto"/>
        <w:ind w:left="0" w:leftChars="0" w:firstLine="0" w:firstLineChars="0"/>
        <w:rPr>
          <w:rFonts w:hint="eastAsia"/>
          <w:b/>
          <w:bCs/>
        </w:rPr>
      </w:pPr>
      <w:bookmarkStart w:id="50" w:name="_Toc91899880"/>
      <w:bookmarkStart w:id="51" w:name="_Hlt74730307"/>
      <w:r>
        <w:rPr>
          <w:rFonts w:hint="eastAsia"/>
          <w:b/>
          <w:bCs/>
        </w:rPr>
        <w:t>一、招标文件的构成</w:t>
      </w:r>
      <w:bookmarkEnd w:id="50"/>
    </w:p>
    <w:bookmarkEnd w:id="51"/>
    <w:p w14:paraId="589634FD">
      <w:pPr>
        <w:pStyle w:val="22"/>
        <w:spacing w:line="360" w:lineRule="auto"/>
        <w:ind w:firstLine="480" w:firstLineChars="200"/>
        <w:rPr>
          <w:rFonts w:hint="eastAsia" w:ascii="宋体" w:hAnsi="宋体" w:eastAsia="宋体" w:cs="宋体"/>
          <w:sz w:val="24"/>
          <w:szCs w:val="24"/>
          <w:lang w:eastAsia="zh-CN"/>
        </w:rPr>
      </w:pPr>
      <w:r>
        <w:rPr>
          <w:rFonts w:hint="eastAsia" w:ascii="宋体" w:hAnsi="宋体" w:eastAsia="宋体" w:cs="宋体"/>
          <w:sz w:val="24"/>
          <w:szCs w:val="24"/>
        </w:rPr>
        <w:t>1.招标文件包括下列文件及附件</w:t>
      </w:r>
      <w:r>
        <w:rPr>
          <w:rFonts w:hint="eastAsia" w:ascii="宋体" w:hAnsi="宋体" w:eastAsia="宋体" w:cs="宋体"/>
          <w:sz w:val="24"/>
          <w:szCs w:val="24"/>
          <w:lang w:eastAsia="zh-CN"/>
        </w:rPr>
        <w:t>：</w:t>
      </w:r>
    </w:p>
    <w:p w14:paraId="4950EDF2">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"_Toc32332" </w:instrText>
      </w:r>
      <w:r>
        <w:rPr>
          <w:rFonts w:hint="eastAsia" w:ascii="宋体" w:hAnsi="宋体" w:eastAsia="宋体" w:cs="宋体"/>
          <w:sz w:val="24"/>
          <w:szCs w:val="24"/>
        </w:rPr>
        <w:fldChar w:fldCharType="separate"/>
      </w:r>
      <w:r>
        <w:rPr>
          <w:rFonts w:hint="eastAsia" w:ascii="宋体" w:hAnsi="宋体" w:eastAsia="宋体" w:cs="宋体"/>
          <w:sz w:val="24"/>
          <w:szCs w:val="24"/>
        </w:rPr>
        <w:t>第一章 招标公告</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0F140E18">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"_Toc24282"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第二章 </w:t>
      </w:r>
      <w:r>
        <w:rPr>
          <w:rFonts w:hint="eastAsia" w:hAnsi="宋体" w:cs="宋体"/>
          <w:sz w:val="24"/>
          <w:szCs w:val="24"/>
          <w:lang w:eastAsia="zh-CN"/>
        </w:rPr>
        <w:t>采购</w:t>
      </w:r>
      <w:r>
        <w:rPr>
          <w:rFonts w:hint="eastAsia" w:ascii="宋体" w:hAnsi="宋体" w:eastAsia="宋体" w:cs="宋体"/>
          <w:sz w:val="24"/>
          <w:szCs w:val="24"/>
        </w:rPr>
        <w:t>需求</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45C7BBEC">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"_Toc7338" </w:instrText>
      </w:r>
      <w:r>
        <w:rPr>
          <w:rFonts w:hint="eastAsia" w:ascii="宋体" w:hAnsi="宋体" w:eastAsia="宋体" w:cs="宋体"/>
          <w:sz w:val="24"/>
          <w:szCs w:val="24"/>
        </w:rPr>
        <w:fldChar w:fldCharType="separate"/>
      </w:r>
      <w:r>
        <w:rPr>
          <w:rFonts w:hint="eastAsia" w:ascii="宋体" w:hAnsi="宋体" w:eastAsia="宋体" w:cs="宋体"/>
          <w:sz w:val="24"/>
          <w:szCs w:val="24"/>
        </w:rPr>
        <w:t>第三章 投标人须知</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1E884E04">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"_Toc22869" </w:instrText>
      </w:r>
      <w:r>
        <w:rPr>
          <w:rFonts w:hint="eastAsia" w:ascii="宋体" w:hAnsi="宋体" w:eastAsia="宋体" w:cs="宋体"/>
          <w:sz w:val="24"/>
          <w:szCs w:val="24"/>
        </w:rPr>
        <w:fldChar w:fldCharType="separate"/>
      </w:r>
      <w:r>
        <w:rPr>
          <w:rFonts w:hint="eastAsia" w:ascii="宋体" w:hAnsi="宋体" w:eastAsia="宋体" w:cs="宋体"/>
          <w:sz w:val="24"/>
          <w:szCs w:val="24"/>
        </w:rPr>
        <w:t>第四章 评标办法及评分标准</w:t>
      </w:r>
      <w:r>
        <w:rPr>
          <w:rFonts w:hint="eastAsia" w:ascii="宋体" w:hAnsi="宋体" w:eastAsia="宋体" w:cs="宋体"/>
          <w:sz w:val="24"/>
          <w:szCs w:val="24"/>
        </w:rPr>
        <w:fldChar w:fldCharType="end"/>
      </w:r>
      <w:r>
        <w:rPr>
          <w:rFonts w:hint="eastAsia" w:ascii="宋体" w:hAnsi="宋体" w:eastAsia="宋体" w:cs="宋体"/>
          <w:sz w:val="24"/>
          <w:szCs w:val="24"/>
          <w:lang w:eastAsia="zh-CN"/>
        </w:rPr>
        <w:t>；</w:t>
      </w:r>
    </w:p>
    <w:p w14:paraId="21212F07">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"_Toc7087" </w:instrText>
      </w:r>
      <w:r>
        <w:rPr>
          <w:rFonts w:hint="eastAsia" w:ascii="宋体" w:hAnsi="宋体" w:eastAsia="宋体" w:cs="宋体"/>
          <w:sz w:val="24"/>
          <w:szCs w:val="24"/>
        </w:rPr>
        <w:fldChar w:fldCharType="separate"/>
      </w:r>
      <w:r>
        <w:rPr>
          <w:rFonts w:hint="eastAsia" w:ascii="宋体" w:hAnsi="宋体" w:eastAsia="宋体" w:cs="宋体"/>
          <w:sz w:val="24"/>
          <w:szCs w:val="24"/>
        </w:rPr>
        <w:t>第五章 合同</w:t>
      </w:r>
      <w:r>
        <w:rPr>
          <w:rFonts w:hint="eastAsia" w:hAnsi="宋体" w:cs="宋体"/>
          <w:sz w:val="24"/>
          <w:szCs w:val="24"/>
          <w:lang w:eastAsia="zh-CN"/>
        </w:rPr>
        <w:t>主要</w:t>
      </w:r>
      <w:r>
        <w:rPr>
          <w:rFonts w:hint="eastAsia" w:ascii="宋体" w:hAnsi="宋体" w:eastAsia="宋体" w:cs="宋体"/>
          <w:sz w:val="24"/>
          <w:szCs w:val="24"/>
        </w:rPr>
        <w:t>格式</w:t>
      </w:r>
      <w:r>
        <w:rPr>
          <w:rFonts w:hint="eastAsia" w:ascii="宋体" w:hAnsi="宋体" w:eastAsia="宋体" w:cs="宋体"/>
          <w:sz w:val="24"/>
          <w:szCs w:val="24"/>
        </w:rPr>
        <w:fldChar w:fldCharType="end"/>
      </w:r>
      <w:r>
        <w:rPr>
          <w:rFonts w:hint="eastAsia" w:hAnsi="宋体" w:cs="宋体"/>
          <w:sz w:val="24"/>
          <w:szCs w:val="24"/>
          <w:lang w:eastAsia="zh-CN"/>
        </w:rPr>
        <w:t>及条款</w:t>
      </w:r>
      <w:r>
        <w:rPr>
          <w:rFonts w:hint="eastAsia" w:ascii="宋体" w:hAnsi="宋体" w:eastAsia="宋体" w:cs="宋体"/>
          <w:sz w:val="24"/>
          <w:szCs w:val="24"/>
          <w:lang w:eastAsia="zh-CN"/>
        </w:rPr>
        <w:t>；</w:t>
      </w:r>
    </w:p>
    <w:p w14:paraId="1B2832C5">
      <w:pPr>
        <w:pStyle w:val="22"/>
        <w:numPr>
          <w:ilvl w:val="0"/>
          <w:numId w:val="6"/>
        </w:numPr>
        <w:adjustRightInd w:val="0"/>
        <w:spacing w:line="360" w:lineRule="auto"/>
        <w:ind w:left="839" w:firstLine="120" w:firstLineChars="50"/>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"_Toc29638" </w:instrText>
      </w:r>
      <w:r>
        <w:rPr>
          <w:rFonts w:hint="eastAsia" w:ascii="宋体" w:hAnsi="宋体" w:eastAsia="宋体" w:cs="宋体"/>
          <w:sz w:val="24"/>
          <w:szCs w:val="24"/>
        </w:rPr>
        <w:fldChar w:fldCharType="separate"/>
      </w:r>
      <w:r>
        <w:rPr>
          <w:rFonts w:hint="eastAsia" w:ascii="宋体" w:hAnsi="宋体" w:eastAsia="宋体" w:cs="宋体"/>
          <w:sz w:val="24"/>
          <w:szCs w:val="24"/>
        </w:rPr>
        <w:t>第六章 投标文件格式/</w:t>
      </w:r>
      <w:r>
        <w:rPr>
          <w:rFonts w:hint="eastAsia" w:ascii="宋体" w:hAnsi="宋体" w:eastAsia="宋体" w:cs="宋体"/>
          <w:sz w:val="24"/>
          <w:szCs w:val="24"/>
        </w:rPr>
        <w:fldChar w:fldCharType="end"/>
      </w:r>
      <w:r>
        <w:rPr>
          <w:rFonts w:hint="eastAsia" w:ascii="宋体" w:hAnsi="宋体" w:eastAsia="宋体" w:cs="宋体"/>
          <w:sz w:val="24"/>
          <w:szCs w:val="24"/>
        </w:rPr>
        <w:t>应提交的有关格式范例</w:t>
      </w:r>
      <w:r>
        <w:rPr>
          <w:rFonts w:hint="eastAsia" w:ascii="宋体" w:hAnsi="宋体" w:eastAsia="宋体" w:cs="宋体"/>
          <w:sz w:val="24"/>
          <w:szCs w:val="24"/>
          <w:lang w:eastAsia="zh-CN"/>
        </w:rPr>
        <w:t>。</w:t>
      </w:r>
    </w:p>
    <w:p w14:paraId="6587C7C0">
      <w:pPr>
        <w:spacing w:line="360" w:lineRule="auto"/>
        <w:ind w:firstLine="480"/>
        <w:rPr>
          <w:rFonts w:hint="eastAsia" w:ascii="宋体" w:hAnsi="宋体" w:eastAsia="宋体" w:cs="宋体"/>
        </w:rPr>
      </w:pPr>
      <w:r>
        <w:rPr>
          <w:rFonts w:hint="eastAsia" w:ascii="宋体" w:hAnsi="宋体" w:eastAsia="宋体" w:cs="宋体"/>
        </w:rPr>
        <w:t>2.与本项目有关的</w:t>
      </w:r>
      <w:r>
        <w:rPr>
          <w:rFonts w:hint="eastAsia" w:ascii="宋体" w:hAnsi="宋体" w:eastAsia="宋体" w:cs="宋体"/>
          <w:bCs/>
        </w:rPr>
        <w:t>澄清或者修改的内容为招标文件的组成部分</w:t>
      </w:r>
      <w:r>
        <w:rPr>
          <w:rFonts w:hint="eastAsia" w:ascii="宋体" w:hAnsi="宋体" w:eastAsia="宋体" w:cs="宋体"/>
        </w:rPr>
        <w:t>。</w:t>
      </w:r>
    </w:p>
    <w:p w14:paraId="7F367B8D">
      <w:pPr>
        <w:bidi w:val="0"/>
        <w:spacing w:line="360" w:lineRule="auto"/>
        <w:ind w:left="0" w:leftChars="0" w:firstLine="0" w:firstLineChars="0"/>
        <w:rPr>
          <w:rFonts w:hint="eastAsia" w:ascii="宋体" w:hAnsi="宋体" w:eastAsia="宋体" w:cs="宋体"/>
          <w:b/>
          <w:szCs w:val="24"/>
        </w:rPr>
      </w:pPr>
      <w:r>
        <w:rPr>
          <w:rFonts w:hint="eastAsia"/>
          <w:b/>
          <w:bCs/>
        </w:rPr>
        <w:t>二、招标文件的澄清、修改</w:t>
      </w:r>
    </w:p>
    <w:p w14:paraId="7FDD7519">
      <w:pPr>
        <w:pStyle w:val="146"/>
        <w:snapToGrid w:val="0"/>
        <w:spacing w:before="0" w:line="360" w:lineRule="auto"/>
        <w:ind w:firstLine="480"/>
        <w:rPr>
          <w:rFonts w:hint="eastAsia" w:ascii="宋体" w:hAnsi="宋体" w:eastAsia="宋体" w:cs="宋体"/>
        </w:rPr>
      </w:pPr>
      <w:r>
        <w:rPr>
          <w:rFonts w:hint="eastAsia" w:ascii="宋体" w:hAnsi="宋体" w:eastAsia="宋体" w:cs="宋体"/>
        </w:rPr>
        <w:t>1.已获取招标文件的潜在投标人，若有问题需要澄清，应于投标截止时间前，以书面形式向招标代理机构提出，招标代理机构与招标人研究后，对认为有必要回答的问题，将以书面解答形式通知所有招标文件收受人。</w:t>
      </w:r>
    </w:p>
    <w:p w14:paraId="291A0178">
      <w:pPr>
        <w:pStyle w:val="146"/>
        <w:snapToGrid w:val="0"/>
        <w:spacing w:before="0" w:line="360" w:lineRule="auto"/>
        <w:ind w:firstLine="480"/>
        <w:rPr>
          <w:rFonts w:hint="eastAsia" w:ascii="宋体" w:hAnsi="宋体" w:eastAsia="宋体" w:cs="宋体"/>
        </w:rPr>
      </w:pPr>
      <w:r>
        <w:rPr>
          <w:rFonts w:hint="eastAsia" w:ascii="宋体" w:hAnsi="宋体" w:eastAsia="宋体" w:cs="宋体"/>
        </w:rPr>
        <w:t>2.招标人或者招标代理机构可以对已发出的招标文件进行必要的澄清或者修改，澄清或者修改</w:t>
      </w:r>
      <w:r>
        <w:rPr>
          <w:rFonts w:hint="eastAsia" w:ascii="宋体" w:hAnsi="宋体" w:cs="宋体"/>
          <w:lang w:eastAsia="zh-CN"/>
        </w:rPr>
        <w:t>应</w:t>
      </w:r>
      <w:r>
        <w:rPr>
          <w:rFonts w:hint="eastAsia" w:ascii="宋体" w:hAnsi="宋体" w:eastAsia="宋体" w:cs="宋体"/>
        </w:rPr>
        <w:t>在原公告发布媒体上发布澄清公告，澄清</w:t>
      </w:r>
      <w:r>
        <w:rPr>
          <w:rFonts w:hint="eastAsia" w:ascii="宋体" w:hAnsi="宋体" w:cs="宋体"/>
          <w:lang w:eastAsia="zh-CN"/>
        </w:rPr>
        <w:t>、</w:t>
      </w:r>
      <w:r>
        <w:rPr>
          <w:rFonts w:hint="eastAsia" w:ascii="宋体" w:hAnsi="宋体" w:eastAsia="宋体" w:cs="宋体"/>
        </w:rPr>
        <w:t>修改的内容为招标文件的组成部分。</w:t>
      </w:r>
    </w:p>
    <w:p w14:paraId="0FCF3992">
      <w:pPr>
        <w:pStyle w:val="146"/>
        <w:snapToGrid w:val="0"/>
        <w:spacing w:before="0" w:line="360" w:lineRule="auto"/>
        <w:ind w:firstLine="480"/>
        <w:rPr>
          <w:rFonts w:hint="eastAsia" w:ascii="宋体" w:hAnsi="宋体" w:eastAsia="宋体" w:cs="宋体"/>
        </w:rPr>
      </w:pPr>
      <w:r>
        <w:rPr>
          <w:rFonts w:hint="eastAsia" w:ascii="宋体" w:hAnsi="宋体" w:eastAsia="宋体" w:cs="宋体"/>
        </w:rPr>
        <w:t>澄清或者修改的内容可能影响投标文件编制的，招标人或者招标代理机构</w:t>
      </w:r>
      <w:r>
        <w:rPr>
          <w:rFonts w:hint="eastAsia" w:ascii="宋体" w:hAnsi="宋体" w:cs="宋体"/>
          <w:lang w:eastAsia="zh-CN"/>
        </w:rPr>
        <w:t>应</w:t>
      </w:r>
      <w:r>
        <w:rPr>
          <w:rFonts w:hint="eastAsia" w:ascii="宋体" w:hAnsi="宋体" w:eastAsia="宋体" w:cs="宋体"/>
        </w:rPr>
        <w:t>在投标截止时间至少15日前，以书面形式通知所有</w:t>
      </w:r>
      <w:r>
        <w:rPr>
          <w:rFonts w:hint="eastAsia" w:ascii="宋体" w:hAnsi="宋体" w:cs="宋体"/>
          <w:lang w:eastAsia="zh-CN"/>
        </w:rPr>
        <w:t>已</w:t>
      </w:r>
      <w:r>
        <w:rPr>
          <w:rFonts w:hint="eastAsia" w:ascii="宋体" w:hAnsi="宋体" w:eastAsia="宋体" w:cs="宋体"/>
        </w:rPr>
        <w:t>获取招标文件的潜在投标人；不足15日的，招标人或者招标代理机构</w:t>
      </w:r>
      <w:r>
        <w:rPr>
          <w:rFonts w:hint="eastAsia" w:ascii="宋体" w:hAnsi="宋体" w:cs="宋体"/>
          <w:lang w:eastAsia="zh-CN"/>
        </w:rPr>
        <w:t>应</w:t>
      </w:r>
      <w:r>
        <w:rPr>
          <w:rFonts w:hint="eastAsia" w:ascii="宋体" w:hAnsi="宋体" w:eastAsia="宋体" w:cs="宋体"/>
        </w:rPr>
        <w:t>顺延提交投标文件的截止时间。</w:t>
      </w:r>
    </w:p>
    <w:p w14:paraId="41C0B819">
      <w:pPr>
        <w:pStyle w:val="146"/>
        <w:snapToGrid w:val="0"/>
        <w:spacing w:before="0" w:line="360" w:lineRule="auto"/>
        <w:ind w:firstLine="480"/>
        <w:rPr>
          <w:rFonts w:hint="eastAsia" w:ascii="宋体" w:hAnsi="宋体" w:eastAsia="宋体" w:cs="宋体"/>
        </w:rPr>
      </w:pPr>
      <w:r>
        <w:rPr>
          <w:rFonts w:hint="eastAsia" w:ascii="宋体" w:hAnsi="宋体" w:eastAsia="宋体" w:cs="宋体"/>
        </w:rPr>
        <w:t>3.招标文件的修改将以书面形式通知所有购买招标文件的投标人，并对其具有约束力。投标人在收到上述通知后，应立即向招标代理机构回函确认。若无书面回函确认，视同投标人已收到招标文件修改的通知，并受其约束。</w:t>
      </w:r>
    </w:p>
    <w:p w14:paraId="347D7E44">
      <w:pPr>
        <w:spacing w:line="360" w:lineRule="auto"/>
        <w:ind w:firstLine="480"/>
        <w:rPr>
          <w:rFonts w:hint="eastAsia" w:ascii="宋体" w:hAnsi="宋体" w:eastAsia="宋体" w:cs="宋体"/>
          <w:b/>
        </w:rPr>
      </w:pPr>
      <w:r>
        <w:rPr>
          <w:rFonts w:hint="eastAsia" w:ascii="宋体" w:hAnsi="宋体" w:eastAsia="宋体" w:cs="宋体"/>
        </w:rPr>
        <w:t>▲</w:t>
      </w:r>
      <w:r>
        <w:rPr>
          <w:rFonts w:hint="eastAsia" w:ascii="宋体" w:hAnsi="宋体" w:eastAsia="宋体" w:cs="宋体"/>
          <w:b/>
        </w:rPr>
        <w:t>投标文件未按招标文件澄清、修改的内容编制，又不符合实质性要求的，投标无效。</w:t>
      </w:r>
    </w:p>
    <w:p w14:paraId="39D152C7">
      <w:pPr>
        <w:pStyle w:val="79"/>
        <w:rPr>
          <w:rFonts w:hint="eastAsia" w:ascii="宋体" w:hAnsi="宋体" w:eastAsia="宋体" w:cs="宋体"/>
          <w:color w:val="auto"/>
        </w:rPr>
      </w:pPr>
    </w:p>
    <w:p w14:paraId="5739BBD4">
      <w:pPr>
        <w:pStyle w:val="3"/>
        <w:spacing w:line="360" w:lineRule="auto"/>
        <w:jc w:val="center"/>
        <w:rPr>
          <w:rFonts w:hint="eastAsia" w:ascii="宋体" w:hAnsi="宋体" w:eastAsia="宋体" w:cs="宋体"/>
          <w:sz w:val="24"/>
          <w:szCs w:val="24"/>
          <w:lang w:eastAsia="zh-CN"/>
        </w:rPr>
      </w:pPr>
      <w:bookmarkStart w:id="52" w:name="_Toc82338241"/>
      <w:bookmarkStart w:id="53" w:name="_Toc450840075"/>
      <w:bookmarkStart w:id="54" w:name="_Toc204"/>
      <w:bookmarkStart w:id="55" w:name="_Toc82873324"/>
      <w:bookmarkStart w:id="56" w:name="_Toc1096"/>
      <w:r>
        <w:rPr>
          <w:rFonts w:hint="eastAsia" w:ascii="宋体" w:hAnsi="宋体" w:eastAsia="宋体" w:cs="宋体"/>
          <w:sz w:val="24"/>
          <w:szCs w:val="24"/>
        </w:rPr>
        <w:t xml:space="preserve">第三节 </w:t>
      </w:r>
      <w:r>
        <w:rPr>
          <w:rFonts w:hint="eastAsia" w:ascii="宋体" w:hAnsi="宋体" w:cs="宋体"/>
          <w:sz w:val="24"/>
          <w:szCs w:val="24"/>
          <w:lang w:val="en-US" w:eastAsia="zh-CN"/>
        </w:rPr>
        <w:t xml:space="preserve"> </w:t>
      </w:r>
      <w:r>
        <w:rPr>
          <w:rFonts w:hint="eastAsia" w:ascii="宋体" w:hAnsi="宋体" w:eastAsia="宋体" w:cs="宋体"/>
          <w:sz w:val="24"/>
          <w:szCs w:val="24"/>
        </w:rPr>
        <w:t>投标文件</w:t>
      </w:r>
      <w:bookmarkEnd w:id="52"/>
      <w:bookmarkEnd w:id="53"/>
      <w:bookmarkEnd w:id="54"/>
      <w:bookmarkEnd w:id="55"/>
      <w:bookmarkEnd w:id="56"/>
    </w:p>
    <w:p w14:paraId="176B9923">
      <w:pPr>
        <w:bidi w:val="0"/>
        <w:spacing w:line="360" w:lineRule="auto"/>
        <w:ind w:left="0" w:leftChars="0" w:firstLine="0" w:firstLineChars="0"/>
        <w:rPr>
          <w:rFonts w:hint="eastAsia" w:ascii="宋体" w:hAnsi="宋体" w:eastAsia="宋体" w:cs="宋体"/>
          <w:szCs w:val="24"/>
        </w:rPr>
      </w:pPr>
      <w:r>
        <w:rPr>
          <w:rFonts w:hint="eastAsia"/>
          <w:b/>
          <w:bCs/>
        </w:rPr>
        <w:t>一、投标文件语言和计量单位</w:t>
      </w:r>
    </w:p>
    <w:p w14:paraId="3D71BE50">
      <w:pPr>
        <w:spacing w:line="360" w:lineRule="auto"/>
        <w:ind w:firstLine="480" w:firstLineChars="200"/>
        <w:rPr>
          <w:rFonts w:hint="eastAsia" w:ascii="宋体" w:hAnsi="宋体" w:eastAsia="宋体" w:cs="宋体"/>
          <w:sz w:val="24"/>
          <w:szCs w:val="24"/>
        </w:rPr>
      </w:pPr>
      <w:r>
        <w:rPr>
          <w:rFonts w:hint="eastAsia" w:ascii="宋体" w:hAnsi="宋体" w:eastAsia="宋体" w:cs="宋体"/>
        </w:rPr>
        <w:t>1.</w:t>
      </w:r>
      <w:r>
        <w:rPr>
          <w:rFonts w:hint="eastAsia" w:cs="宋体"/>
          <w:sz w:val="24"/>
          <w:szCs w:val="24"/>
        </w:rPr>
        <w:t>投标文件以及供应商与</w:t>
      </w:r>
      <w:r>
        <w:rPr>
          <w:rFonts w:hint="eastAsia" w:cs="宋体"/>
          <w:sz w:val="24"/>
          <w:szCs w:val="24"/>
          <w:lang w:eastAsia="zh-CN"/>
        </w:rPr>
        <w:t>招标人</w:t>
      </w:r>
      <w:r>
        <w:rPr>
          <w:rFonts w:hint="eastAsia" w:cs="宋体"/>
          <w:sz w:val="24"/>
          <w:szCs w:val="24"/>
        </w:rPr>
        <w:t>就有关投标事宜的来往函电，均应以中文书写。</w:t>
      </w:r>
      <w:r>
        <w:rPr>
          <w:rFonts w:hint="eastAsia" w:ascii="宋体" w:hAnsi="宋体" w:eastAsia="宋体" w:cs="宋体"/>
          <w:sz w:val="24"/>
          <w:szCs w:val="24"/>
        </w:rPr>
        <w:t>投标文件中所附或所引用的原件不是中文时，应附中文译本。</w:t>
      </w:r>
    </w:p>
    <w:p w14:paraId="2A23E93F">
      <w:pPr>
        <w:spacing w:line="360" w:lineRule="auto"/>
        <w:ind w:firstLine="480"/>
        <w:rPr>
          <w:rFonts w:hint="eastAsia" w:ascii="宋体" w:hAnsi="宋体" w:eastAsia="宋体" w:cs="宋体"/>
        </w:rPr>
      </w:pPr>
      <w:r>
        <w:rPr>
          <w:rFonts w:hint="eastAsia" w:ascii="宋体" w:hAnsi="宋体" w:eastAsia="宋体" w:cs="宋体"/>
        </w:rPr>
        <w:t>2.投标文件中所使用的计量单位，除招标文件中有特殊要求外，</w:t>
      </w:r>
      <w:r>
        <w:rPr>
          <w:rFonts w:hint="eastAsia" w:cs="宋体"/>
          <w:lang w:eastAsia="zh-CN"/>
        </w:rPr>
        <w:t>均</w:t>
      </w:r>
      <w:r>
        <w:rPr>
          <w:rFonts w:hint="eastAsia" w:ascii="宋体" w:hAnsi="宋体" w:eastAsia="宋体" w:cs="宋体"/>
        </w:rPr>
        <w:t>应采用国家法定计量单位。</w:t>
      </w:r>
    </w:p>
    <w:p w14:paraId="4DA9F853">
      <w:pPr>
        <w:bidi w:val="0"/>
        <w:spacing w:line="360" w:lineRule="auto"/>
        <w:ind w:left="0" w:leftChars="0" w:firstLine="0" w:firstLineChars="0"/>
        <w:rPr>
          <w:rFonts w:hint="eastAsia" w:ascii="宋体" w:hAnsi="宋体" w:eastAsia="宋体" w:cs="宋体"/>
          <w:szCs w:val="24"/>
        </w:rPr>
      </w:pPr>
      <w:r>
        <w:rPr>
          <w:rFonts w:hint="eastAsia"/>
          <w:b/>
          <w:bCs/>
        </w:rPr>
        <w:t>二、投标文件的组成</w:t>
      </w:r>
    </w:p>
    <w:p w14:paraId="6C100DCF">
      <w:pPr>
        <w:spacing w:line="360" w:lineRule="auto"/>
        <w:ind w:left="0" w:leftChars="0" w:firstLine="480" w:firstLineChars="200"/>
        <w:rPr>
          <w:rFonts w:hint="eastAsia" w:cs="宋体"/>
          <w:sz w:val="24"/>
          <w:szCs w:val="24"/>
          <w:lang w:eastAsia="zh-CN"/>
        </w:rPr>
      </w:pPr>
      <w:r>
        <w:rPr>
          <w:rFonts w:hint="eastAsia" w:cs="宋体"/>
          <w:sz w:val="24"/>
          <w:szCs w:val="24"/>
        </w:rPr>
        <w:t>投标文件由《资格文件》、《</w:t>
      </w:r>
      <w:r>
        <w:rPr>
          <w:rFonts w:hint="eastAsia" w:cs="宋体"/>
          <w:sz w:val="24"/>
          <w:szCs w:val="24"/>
          <w:lang w:eastAsia="zh-CN"/>
        </w:rPr>
        <w:t>商务技术</w:t>
      </w:r>
      <w:r>
        <w:rPr>
          <w:rFonts w:hint="eastAsia" w:cs="宋体"/>
          <w:sz w:val="24"/>
          <w:szCs w:val="24"/>
        </w:rPr>
        <w:t>文件》和《报价文件》</w:t>
      </w:r>
      <w:r>
        <w:rPr>
          <w:rFonts w:hint="eastAsia" w:cs="宋体"/>
          <w:sz w:val="24"/>
          <w:szCs w:val="24"/>
          <w:lang w:eastAsia="zh-CN"/>
        </w:rPr>
        <w:t>三部分</w:t>
      </w:r>
      <w:r>
        <w:rPr>
          <w:rFonts w:hint="eastAsia" w:cs="宋体"/>
          <w:sz w:val="24"/>
          <w:szCs w:val="24"/>
        </w:rPr>
        <w:t>组成</w:t>
      </w:r>
      <w:r>
        <w:rPr>
          <w:rFonts w:hint="eastAsia" w:cs="宋体"/>
          <w:sz w:val="24"/>
          <w:szCs w:val="24"/>
          <w:lang w:eastAsia="zh-CN"/>
        </w:rPr>
        <w:t>。</w:t>
      </w:r>
    </w:p>
    <w:p w14:paraId="4669269D">
      <w:pPr>
        <w:bidi w:val="0"/>
        <w:spacing w:line="360" w:lineRule="auto"/>
        <w:rPr>
          <w:rFonts w:hint="eastAsia" w:eastAsia="宋体"/>
          <w:lang w:val="en-US" w:eastAsia="zh-CN"/>
        </w:rPr>
      </w:pPr>
      <w:r>
        <w:rPr>
          <w:rFonts w:hint="eastAsia"/>
          <w:b/>
          <w:bCs/>
        </w:rPr>
        <w:t>每个</w:t>
      </w:r>
      <w:r>
        <w:rPr>
          <w:rFonts w:hint="eastAsia"/>
          <w:b/>
          <w:bCs/>
          <w:lang w:eastAsia="zh-CN"/>
        </w:rPr>
        <w:t>部分</w:t>
      </w:r>
      <w:r>
        <w:rPr>
          <w:rFonts w:hint="eastAsia"/>
          <w:b/>
          <w:bCs/>
        </w:rPr>
        <w:t>的投标文件需要分别制作、上传、提交</w:t>
      </w:r>
      <w:r>
        <w:rPr>
          <w:rFonts w:hint="eastAsia"/>
          <w:b/>
          <w:bCs/>
          <w:lang w:eastAsia="zh-CN"/>
        </w:rPr>
        <w:t>。</w:t>
      </w:r>
    </w:p>
    <w:p w14:paraId="153EF3B5">
      <w:pPr>
        <w:spacing w:line="360" w:lineRule="auto"/>
        <w:ind w:firstLine="0" w:firstLineChars="0"/>
        <w:rPr>
          <w:rFonts w:hint="eastAsia" w:ascii="宋体" w:hAnsi="宋体" w:eastAsia="宋体" w:cs="宋体"/>
        </w:rPr>
      </w:pPr>
      <w:r>
        <w:rPr>
          <w:rFonts w:hint="eastAsia" w:ascii="宋体" w:hAnsi="宋体" w:eastAsia="宋体" w:cs="宋体"/>
          <w:b/>
          <w:bCs/>
        </w:rPr>
        <w:t>（一）</w:t>
      </w:r>
      <w:r>
        <w:rPr>
          <w:rFonts w:hint="eastAsia" w:cs="宋体"/>
          <w:b/>
          <w:bCs/>
          <w:lang w:eastAsia="zh-CN"/>
        </w:rPr>
        <w:t>《</w:t>
      </w:r>
      <w:r>
        <w:rPr>
          <w:rFonts w:hint="eastAsia" w:ascii="宋体" w:hAnsi="宋体" w:eastAsia="宋体" w:cs="宋体"/>
          <w:b/>
          <w:bCs/>
        </w:rPr>
        <w:t>资格</w:t>
      </w:r>
      <w:r>
        <w:rPr>
          <w:rFonts w:hint="eastAsia" w:cs="宋体"/>
          <w:b/>
          <w:bCs/>
          <w:lang w:eastAsia="zh-CN"/>
        </w:rPr>
        <w:t>文件》</w:t>
      </w:r>
      <w:r>
        <w:rPr>
          <w:rFonts w:hint="eastAsia" w:ascii="宋体" w:hAnsi="宋体" w:eastAsia="宋体" w:cs="宋体"/>
          <w:b/>
          <w:bCs/>
        </w:rPr>
        <w:t>：</w:t>
      </w:r>
    </w:p>
    <w:p w14:paraId="59769620">
      <w:pPr>
        <w:numPr>
          <w:ilvl w:val="0"/>
          <w:numId w:val="0"/>
        </w:numPr>
        <w:spacing w:line="360" w:lineRule="auto"/>
        <w:ind w:firstLine="480" w:firstLineChars="200"/>
        <w:rPr>
          <w:rFonts w:hint="default" w:cs="宋体"/>
          <w:lang w:val="en-US" w:eastAsia="zh-CN"/>
        </w:rPr>
      </w:pPr>
      <w:r>
        <w:rPr>
          <w:rFonts w:hint="eastAsia" w:cs="宋体"/>
          <w:lang w:val="en-US" w:eastAsia="zh-CN"/>
        </w:rPr>
        <w:t>1.投标声明书；（附件一）</w:t>
      </w:r>
    </w:p>
    <w:p w14:paraId="0A1928B9">
      <w:pPr>
        <w:numPr>
          <w:ilvl w:val="0"/>
          <w:numId w:val="0"/>
        </w:numPr>
        <w:spacing w:line="360" w:lineRule="auto"/>
        <w:ind w:firstLine="480" w:firstLineChars="200"/>
        <w:rPr>
          <w:rFonts w:hint="default" w:cs="宋体"/>
          <w:lang w:val="en-US" w:eastAsia="zh-CN"/>
        </w:rPr>
      </w:pPr>
      <w:r>
        <w:rPr>
          <w:rFonts w:hint="eastAsia" w:cs="宋体"/>
          <w:lang w:val="en-US" w:eastAsia="zh-CN"/>
        </w:rPr>
        <w:t>2.</w:t>
      </w:r>
      <w:r>
        <w:rPr>
          <w:rFonts w:hint="eastAsia" w:ascii="宋体" w:hAnsi="宋体" w:eastAsia="宋体" w:cs="宋体"/>
        </w:rPr>
        <w:t>有效的</w:t>
      </w:r>
      <w:r>
        <w:rPr>
          <w:rFonts w:hint="eastAsia" w:cs="宋体"/>
          <w:lang w:eastAsia="zh-CN"/>
        </w:rPr>
        <w:t>营业</w:t>
      </w:r>
      <w:r>
        <w:rPr>
          <w:rFonts w:hint="eastAsia" w:ascii="宋体" w:hAnsi="宋体" w:eastAsia="宋体" w:cs="宋体"/>
        </w:rPr>
        <w:t>执照</w:t>
      </w:r>
      <w:r>
        <w:rPr>
          <w:rFonts w:hint="eastAsia" w:ascii="宋体" w:hAnsi="宋体" w:eastAsia="宋体" w:cs="宋体"/>
          <w:lang w:eastAsia="zh-CN"/>
        </w:rPr>
        <w:t>副本；（扫描件一份）</w:t>
      </w:r>
    </w:p>
    <w:p w14:paraId="30D997E8">
      <w:pPr>
        <w:numPr>
          <w:ilvl w:val="0"/>
          <w:numId w:val="0"/>
        </w:numPr>
        <w:spacing w:line="360" w:lineRule="auto"/>
        <w:ind w:firstLine="480" w:firstLineChars="200"/>
        <w:rPr>
          <w:rFonts w:hint="eastAsia" w:eastAsia="宋体" w:cs="宋体"/>
          <w:lang w:val="en-US" w:eastAsia="zh-CN"/>
        </w:rPr>
      </w:pPr>
      <w:r>
        <w:rPr>
          <w:rFonts w:hint="eastAsia" w:cs="宋体"/>
          <w:lang w:val="en-US" w:eastAsia="zh-CN"/>
        </w:rPr>
        <w:t>3.</w:t>
      </w:r>
      <w:r>
        <w:rPr>
          <w:rFonts w:hint="eastAsia" w:ascii="宋体" w:hAnsi="宋体" w:eastAsia="宋体" w:cs="宋体"/>
        </w:rPr>
        <w:t>符合参加政府采购活动应当具备的一般条件的承诺函</w:t>
      </w:r>
      <w:r>
        <w:rPr>
          <w:rFonts w:hint="eastAsia" w:cs="宋体"/>
          <w:lang w:eastAsia="zh-CN"/>
        </w:rPr>
        <w:t>；（附件二）</w:t>
      </w:r>
    </w:p>
    <w:p w14:paraId="15227C95">
      <w:pPr>
        <w:numPr>
          <w:ilvl w:val="0"/>
          <w:numId w:val="0"/>
        </w:numPr>
        <w:spacing w:line="360" w:lineRule="auto"/>
        <w:ind w:firstLine="480" w:firstLineChars="200"/>
        <w:rPr>
          <w:rFonts w:hint="default" w:cs="宋体"/>
          <w:lang w:val="en-US" w:eastAsia="zh-CN"/>
        </w:rPr>
      </w:pPr>
      <w:r>
        <w:rPr>
          <w:rFonts w:hint="eastAsia" w:cs="宋体"/>
          <w:lang w:val="en-US" w:eastAsia="zh-CN"/>
        </w:rPr>
        <w:t>4.</w:t>
      </w:r>
      <w:r>
        <w:rPr>
          <w:rFonts w:hint="eastAsia" w:ascii="宋体" w:hAnsi="宋体"/>
          <w:sz w:val="24"/>
        </w:rPr>
        <w:t>投标人</w:t>
      </w:r>
      <w:r>
        <w:rPr>
          <w:rFonts w:hint="eastAsia" w:ascii="宋体" w:hAnsi="宋体"/>
          <w:sz w:val="24"/>
          <w:lang w:eastAsia="zh-CN"/>
        </w:rPr>
        <w:t>股权信息表；（附件三）</w:t>
      </w:r>
    </w:p>
    <w:p w14:paraId="7C9737E7">
      <w:pPr>
        <w:numPr>
          <w:ilvl w:val="0"/>
          <w:numId w:val="0"/>
        </w:numPr>
        <w:bidi w:val="0"/>
        <w:spacing w:line="360" w:lineRule="auto"/>
        <w:ind w:firstLine="480" w:firstLineChars="200"/>
        <w:rPr>
          <w:rFonts w:hint="eastAsia" w:eastAsia="宋体"/>
          <w:lang w:val="en-US" w:eastAsia="zh-CN"/>
        </w:rPr>
      </w:pPr>
      <w:r>
        <w:rPr>
          <w:rFonts w:hint="eastAsia"/>
          <w:lang w:val="en-US" w:eastAsia="zh-CN"/>
        </w:rPr>
        <w:t>5.</w:t>
      </w:r>
      <w:r>
        <w:rPr>
          <w:rFonts w:hint="eastAsia" w:cs="宋体"/>
          <w:b w:val="0"/>
          <w:bCs w:val="0"/>
          <w:sz w:val="24"/>
          <w:szCs w:val="24"/>
        </w:rPr>
        <w:t>法定代表人</w:t>
      </w:r>
      <w:r>
        <w:rPr>
          <w:rFonts w:hint="eastAsia" w:cs="宋体"/>
          <w:b w:val="0"/>
          <w:bCs w:val="0"/>
          <w:sz w:val="24"/>
          <w:szCs w:val="24"/>
          <w:lang w:eastAsia="zh-CN"/>
        </w:rPr>
        <w:t>有效身份</w:t>
      </w:r>
      <w:r>
        <w:rPr>
          <w:rFonts w:hint="eastAsia" w:cs="宋体"/>
          <w:b w:val="0"/>
          <w:bCs w:val="0"/>
          <w:sz w:val="24"/>
          <w:szCs w:val="24"/>
        </w:rPr>
        <w:t>证明书和法定代表人授权委托书（投标人的代表若为非法定代表人的，必须提交法定代表人授权</w:t>
      </w:r>
      <w:r>
        <w:rPr>
          <w:rFonts w:hint="eastAsia" w:cs="宋体"/>
          <w:b w:val="0"/>
          <w:bCs w:val="0"/>
          <w:sz w:val="24"/>
          <w:szCs w:val="24"/>
          <w:lang w:eastAsia="zh-CN"/>
        </w:rPr>
        <w:t>委托</w:t>
      </w:r>
      <w:r>
        <w:rPr>
          <w:rFonts w:hint="eastAsia" w:cs="宋体"/>
          <w:b w:val="0"/>
          <w:bCs w:val="0"/>
          <w:sz w:val="24"/>
          <w:szCs w:val="24"/>
        </w:rPr>
        <w:t>书</w:t>
      </w:r>
      <w:r>
        <w:rPr>
          <w:rFonts w:hint="eastAsia" w:cs="宋体"/>
          <w:b w:val="0"/>
          <w:bCs w:val="0"/>
          <w:sz w:val="24"/>
          <w:szCs w:val="24"/>
          <w:lang w:eastAsia="zh-CN"/>
        </w:rPr>
        <w:t>、授权代表</w:t>
      </w:r>
      <w:r>
        <w:rPr>
          <w:rFonts w:hint="eastAsia" w:cs="宋体"/>
          <w:b w:val="0"/>
          <w:bCs w:val="0"/>
          <w:sz w:val="24"/>
          <w:szCs w:val="24"/>
        </w:rPr>
        <w:t>身份证复印件、授权</w:t>
      </w:r>
      <w:r>
        <w:rPr>
          <w:rFonts w:hint="eastAsia" w:cs="宋体"/>
          <w:b w:val="0"/>
          <w:bCs w:val="0"/>
          <w:sz w:val="24"/>
          <w:szCs w:val="24"/>
          <w:lang w:eastAsia="zh-CN"/>
        </w:rPr>
        <w:t>代表</w:t>
      </w:r>
      <w:r>
        <w:rPr>
          <w:rFonts w:hint="eastAsia" w:cs="宋体"/>
          <w:b w:val="0"/>
          <w:bCs w:val="0"/>
          <w:sz w:val="24"/>
          <w:szCs w:val="24"/>
        </w:rPr>
        <w:t>社保证明（提供近</w:t>
      </w:r>
      <w:r>
        <w:rPr>
          <w:rFonts w:hint="eastAsia" w:cs="宋体"/>
          <w:b w:val="0"/>
          <w:bCs w:val="0"/>
          <w:sz w:val="24"/>
          <w:szCs w:val="24"/>
          <w:lang w:eastAsia="zh-CN"/>
        </w:rPr>
        <w:t>三个月</w:t>
      </w:r>
      <w:r>
        <w:rPr>
          <w:rFonts w:hint="eastAsia" w:cs="宋体"/>
          <w:b w:val="0"/>
          <w:bCs w:val="0"/>
          <w:sz w:val="24"/>
          <w:szCs w:val="24"/>
        </w:rPr>
        <w:t>任意一</w:t>
      </w:r>
      <w:r>
        <w:rPr>
          <w:rFonts w:hint="eastAsia" w:cs="宋体"/>
          <w:b w:val="0"/>
          <w:bCs w:val="0"/>
          <w:sz w:val="24"/>
          <w:szCs w:val="24"/>
          <w:lang w:eastAsia="zh-CN"/>
        </w:rPr>
        <w:t>个</w:t>
      </w:r>
      <w:r>
        <w:rPr>
          <w:rFonts w:hint="eastAsia" w:cs="宋体"/>
          <w:b w:val="0"/>
          <w:bCs w:val="0"/>
          <w:sz w:val="24"/>
          <w:szCs w:val="24"/>
        </w:rPr>
        <w:t>月的社保缴纳证明）</w:t>
      </w:r>
      <w:r>
        <w:rPr>
          <w:rFonts w:hint="eastAsia" w:cs="宋体"/>
          <w:b w:val="0"/>
          <w:bCs w:val="0"/>
          <w:sz w:val="24"/>
          <w:szCs w:val="24"/>
          <w:lang w:eastAsia="zh-CN"/>
        </w:rPr>
        <w:t>；（附件四）</w:t>
      </w:r>
    </w:p>
    <w:p w14:paraId="67E5B2CE">
      <w:pPr>
        <w:numPr>
          <w:ilvl w:val="0"/>
          <w:numId w:val="0"/>
        </w:numPr>
        <w:bidi w:val="0"/>
        <w:spacing w:line="360" w:lineRule="auto"/>
        <w:ind w:firstLine="480" w:firstLineChars="200"/>
        <w:rPr>
          <w:rFonts w:hint="default"/>
          <w:lang w:val="en-US" w:eastAsia="zh-CN"/>
        </w:rPr>
      </w:pPr>
      <w:r>
        <w:rPr>
          <w:rFonts w:hint="eastAsia"/>
          <w:lang w:val="en-US" w:eastAsia="zh-CN"/>
        </w:rPr>
        <w:t>6.廉政承诺书；（附件五）</w:t>
      </w:r>
    </w:p>
    <w:p w14:paraId="548453A8">
      <w:pPr>
        <w:numPr>
          <w:ilvl w:val="0"/>
          <w:numId w:val="0"/>
        </w:numPr>
        <w:bidi w:val="0"/>
        <w:spacing w:line="360" w:lineRule="auto"/>
        <w:ind w:firstLine="480" w:firstLineChars="200"/>
        <w:rPr>
          <w:rFonts w:hint="eastAsia" w:eastAsia="宋体"/>
          <w:lang w:val="en-US" w:eastAsia="zh-CN"/>
        </w:rPr>
      </w:pPr>
      <w:r>
        <w:rPr>
          <w:rFonts w:hint="eastAsia"/>
          <w:lang w:val="en-US" w:eastAsia="zh-CN"/>
        </w:rPr>
        <w:t>7.中小企业声明函或监狱企业、</w:t>
      </w:r>
      <w:r>
        <w:rPr>
          <w:rFonts w:hint="eastAsia" w:ascii="宋体" w:hAnsi="宋体" w:eastAsia="宋体" w:cs="宋体"/>
        </w:rPr>
        <w:t>残疾人福利性单位声明函</w:t>
      </w:r>
      <w:r>
        <w:rPr>
          <w:rFonts w:hint="eastAsia" w:cs="宋体"/>
          <w:lang w:eastAsia="zh-CN"/>
        </w:rPr>
        <w:t>。（附件六）</w:t>
      </w:r>
    </w:p>
    <w:p w14:paraId="4ADCA018">
      <w:pPr>
        <w:spacing w:line="360" w:lineRule="auto"/>
        <w:ind w:firstLine="0" w:firstLineChars="0"/>
        <w:rPr>
          <w:rFonts w:hint="eastAsia" w:ascii="宋体" w:hAnsi="宋体" w:eastAsia="宋体" w:cs="宋体"/>
          <w:b/>
          <w:bCs/>
          <w:highlight w:val="none"/>
        </w:rPr>
      </w:pPr>
      <w:r>
        <w:rPr>
          <w:rFonts w:hint="eastAsia" w:ascii="宋体" w:hAnsi="宋体" w:eastAsia="宋体" w:cs="宋体"/>
          <w:b/>
          <w:bCs/>
          <w:highlight w:val="none"/>
        </w:rPr>
        <w:t>（二）</w:t>
      </w:r>
      <w:r>
        <w:rPr>
          <w:rFonts w:hint="eastAsia" w:cs="宋体"/>
          <w:b/>
          <w:bCs/>
          <w:highlight w:val="none"/>
          <w:lang w:eastAsia="zh-CN"/>
        </w:rPr>
        <w:t>《商务</w:t>
      </w:r>
      <w:r>
        <w:rPr>
          <w:rFonts w:hint="eastAsia" w:ascii="宋体" w:hAnsi="宋体" w:eastAsia="宋体" w:cs="宋体"/>
          <w:b/>
          <w:bCs/>
          <w:highlight w:val="none"/>
        </w:rPr>
        <w:t>技术</w:t>
      </w:r>
      <w:r>
        <w:rPr>
          <w:rFonts w:hint="eastAsia" w:cs="宋体"/>
          <w:b/>
          <w:bCs/>
          <w:highlight w:val="none"/>
          <w:lang w:eastAsia="zh-CN"/>
        </w:rPr>
        <w:t>文件》</w:t>
      </w:r>
      <w:r>
        <w:rPr>
          <w:rFonts w:hint="eastAsia" w:ascii="宋体" w:hAnsi="宋体" w:eastAsia="宋体" w:cs="宋体"/>
          <w:b/>
          <w:bCs/>
          <w:highlight w:val="none"/>
        </w:rPr>
        <w:t>：</w:t>
      </w:r>
    </w:p>
    <w:p w14:paraId="345AC40A">
      <w:pPr>
        <w:numPr>
          <w:ilvl w:val="0"/>
          <w:numId w:val="0"/>
        </w:numPr>
        <w:spacing w:line="360" w:lineRule="auto"/>
        <w:ind w:firstLine="480" w:firstLineChars="200"/>
        <w:rPr>
          <w:rFonts w:hint="eastAsia" w:cs="宋体"/>
          <w:highlight w:val="none"/>
        </w:rPr>
      </w:pPr>
      <w:r>
        <w:rPr>
          <w:rFonts w:hint="eastAsia" w:cs="宋体"/>
          <w:highlight w:val="none"/>
          <w:lang w:val="en-US" w:eastAsia="zh-CN"/>
        </w:rPr>
        <w:t>1.</w:t>
      </w:r>
      <w:r>
        <w:rPr>
          <w:rFonts w:hint="eastAsia" w:cs="宋体"/>
          <w:highlight w:val="none"/>
          <w:lang w:eastAsia="zh-CN"/>
        </w:rPr>
        <w:t>评分索引表；（附件七）</w:t>
      </w:r>
    </w:p>
    <w:p w14:paraId="190C0F13">
      <w:pPr>
        <w:numPr>
          <w:ilvl w:val="0"/>
          <w:numId w:val="0"/>
        </w:numPr>
        <w:spacing w:line="360" w:lineRule="auto"/>
        <w:ind w:firstLine="480" w:firstLineChars="200"/>
        <w:rPr>
          <w:rFonts w:hint="default" w:cs="宋体"/>
          <w:highlight w:val="none"/>
          <w:lang w:val="en-US" w:eastAsia="zh-CN"/>
        </w:rPr>
      </w:pPr>
      <w:r>
        <w:rPr>
          <w:rFonts w:hint="eastAsia" w:cs="宋体"/>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技术</w:t>
      </w:r>
      <w:r>
        <w:rPr>
          <w:rFonts w:hint="eastAsia" w:asciiTheme="minorEastAsia" w:hAnsiTheme="minorEastAsia" w:eastAsiaTheme="minorEastAsia" w:cstheme="minorEastAsia"/>
          <w:b w:val="0"/>
          <w:bCs w:val="0"/>
          <w:color w:val="auto"/>
          <w:kern w:val="0"/>
          <w:sz w:val="24"/>
          <w:szCs w:val="24"/>
          <w:highlight w:val="none"/>
          <w:lang w:eastAsia="zh-CN"/>
        </w:rPr>
        <w:t>指标响应</w:t>
      </w:r>
      <w:r>
        <w:rPr>
          <w:rFonts w:hint="eastAsia" w:ascii="宋体" w:hAnsi="宋体" w:eastAsia="宋体" w:cs="宋体"/>
          <w:b w:val="0"/>
          <w:bCs/>
          <w:sz w:val="24"/>
          <w:szCs w:val="24"/>
          <w:lang w:eastAsia="zh-CN"/>
        </w:rPr>
        <w:t>（产品配置清单、技术规范偏离表）</w:t>
      </w:r>
      <w:r>
        <w:rPr>
          <w:rFonts w:hint="eastAsia" w:cs="宋体"/>
          <w:highlight w:val="none"/>
          <w:lang w:val="en-US" w:eastAsia="zh-CN"/>
        </w:rPr>
        <w:t>；（附件八）（附件九）</w:t>
      </w:r>
    </w:p>
    <w:p w14:paraId="37F438E9">
      <w:pPr>
        <w:numPr>
          <w:ilvl w:val="0"/>
          <w:numId w:val="0"/>
        </w:numPr>
        <w:spacing w:line="360" w:lineRule="auto"/>
        <w:ind w:firstLine="480" w:firstLineChars="200"/>
        <w:rPr>
          <w:rFonts w:hint="default" w:eastAsia="宋体" w:cs="宋体"/>
          <w:highlight w:val="none"/>
          <w:lang w:val="en-US" w:eastAsia="zh-CN"/>
        </w:rPr>
      </w:pPr>
      <w:r>
        <w:rPr>
          <w:rFonts w:hint="eastAsia" w:cs="宋体"/>
          <w:highlight w:val="none"/>
          <w:lang w:val="en-US" w:eastAsia="zh-CN"/>
        </w:rPr>
        <w:t>3.</w:t>
      </w:r>
      <w:r>
        <w:rPr>
          <w:rFonts w:hint="eastAsia" w:ascii="宋体" w:hAnsi="宋体" w:eastAsia="宋体" w:cs="宋体"/>
          <w:i w:val="0"/>
          <w:iCs w:val="0"/>
          <w:color w:val="000000"/>
          <w:kern w:val="0"/>
          <w:sz w:val="24"/>
          <w:szCs w:val="24"/>
          <w:u w:val="none"/>
          <w:lang w:val="en-US" w:eastAsia="zh-CN" w:bidi="ar"/>
        </w:rPr>
        <w:t>组织与实施方案</w:t>
      </w:r>
      <w:r>
        <w:rPr>
          <w:rFonts w:hint="eastAsia" w:cs="宋体"/>
          <w:highlight w:val="none"/>
          <w:lang w:val="en-US" w:eastAsia="zh-CN"/>
        </w:rPr>
        <w:t>；</w:t>
      </w:r>
    </w:p>
    <w:p w14:paraId="54E06220">
      <w:pPr>
        <w:numPr>
          <w:ilvl w:val="0"/>
          <w:numId w:val="0"/>
        </w:numPr>
        <w:spacing w:line="360" w:lineRule="auto"/>
        <w:ind w:leftChars="200"/>
        <w:rPr>
          <w:rFonts w:hint="default" w:cs="宋体"/>
          <w:highlight w:val="none"/>
          <w:lang w:val="en-US" w:eastAsia="zh-CN"/>
        </w:rPr>
      </w:pPr>
      <w:r>
        <w:rPr>
          <w:rFonts w:hint="eastAsia" w:cs="宋体"/>
          <w:highlight w:val="none"/>
          <w:lang w:val="en-US" w:eastAsia="zh-CN"/>
        </w:rPr>
        <w:t>4.</w:t>
      </w:r>
      <w:r>
        <w:rPr>
          <w:rFonts w:hint="eastAsia" w:ascii="宋体" w:hAnsi="宋体" w:eastAsia="宋体" w:cs="宋体"/>
          <w:i w:val="0"/>
          <w:iCs w:val="0"/>
          <w:color w:val="000000"/>
          <w:kern w:val="0"/>
          <w:sz w:val="24"/>
          <w:szCs w:val="24"/>
          <w:u w:val="none"/>
          <w:lang w:val="en-US" w:eastAsia="zh-CN" w:bidi="ar"/>
        </w:rPr>
        <w:t>整体深化设计方案</w:t>
      </w:r>
      <w:r>
        <w:rPr>
          <w:rFonts w:hint="eastAsia" w:cs="宋体"/>
          <w:highlight w:val="none"/>
          <w:lang w:val="en-US" w:eastAsia="zh-CN"/>
        </w:rPr>
        <w:t>；</w:t>
      </w:r>
    </w:p>
    <w:p w14:paraId="6ED78B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cs="宋体"/>
          <w:highlight w:val="none"/>
          <w:lang w:val="en-US" w:eastAsia="zh-CN"/>
        </w:rPr>
      </w:pPr>
      <w:r>
        <w:rPr>
          <w:rFonts w:hint="eastAsia" w:cs="宋体"/>
          <w:highlight w:val="none"/>
          <w:lang w:val="en-US" w:eastAsia="zh-CN"/>
        </w:rPr>
        <w:t>5.</w:t>
      </w:r>
      <w:r>
        <w:rPr>
          <w:rFonts w:hint="eastAsia" w:ascii="宋体" w:hAnsi="宋体" w:eastAsia="宋体" w:cs="宋体"/>
          <w:i w:val="0"/>
          <w:iCs w:val="0"/>
          <w:color w:val="000000"/>
          <w:kern w:val="0"/>
          <w:sz w:val="24"/>
          <w:szCs w:val="24"/>
          <w:u w:val="none"/>
          <w:lang w:val="en-US" w:eastAsia="zh-CN" w:bidi="ar"/>
        </w:rPr>
        <w:t>人员配置</w:t>
      </w:r>
      <w:r>
        <w:rPr>
          <w:rFonts w:hint="eastAsia" w:cs="宋体"/>
          <w:highlight w:val="none"/>
          <w:lang w:val="en-US" w:eastAsia="zh-CN"/>
        </w:rPr>
        <w:t>；</w:t>
      </w:r>
    </w:p>
    <w:p w14:paraId="2B93073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cs="宋体"/>
          <w:highlight w:val="none"/>
          <w:lang w:val="en-US" w:eastAsia="zh-CN"/>
        </w:rPr>
      </w:pPr>
      <w:r>
        <w:rPr>
          <w:rFonts w:hint="eastAsia" w:cs="宋体"/>
          <w:highlight w:val="none"/>
          <w:lang w:val="en-US" w:eastAsia="zh-CN"/>
        </w:rPr>
        <w:t>6.</w:t>
      </w:r>
      <w:r>
        <w:rPr>
          <w:rFonts w:hint="eastAsia" w:ascii="宋体" w:hAnsi="宋体" w:eastAsia="宋体" w:cs="宋体"/>
          <w:kern w:val="0"/>
          <w:sz w:val="24"/>
          <w:szCs w:val="24"/>
          <w:highlight w:val="none"/>
        </w:rPr>
        <w:t>售后服务方案</w:t>
      </w:r>
      <w:r>
        <w:rPr>
          <w:rFonts w:hint="eastAsia" w:cs="宋体"/>
          <w:highlight w:val="none"/>
          <w:lang w:val="en-US" w:eastAsia="zh-CN"/>
        </w:rPr>
        <w:t>；</w:t>
      </w:r>
    </w:p>
    <w:p w14:paraId="49908540">
      <w:pPr>
        <w:numPr>
          <w:ilvl w:val="0"/>
          <w:numId w:val="0"/>
        </w:numPr>
        <w:spacing w:line="360" w:lineRule="auto"/>
        <w:ind w:leftChars="200"/>
        <w:rPr>
          <w:rFonts w:hint="eastAsia" w:eastAsia="宋体" w:cs="宋体"/>
          <w:highlight w:val="none"/>
          <w:lang w:val="en-US" w:eastAsia="zh-CN"/>
        </w:rPr>
      </w:pPr>
      <w:r>
        <w:rPr>
          <w:rFonts w:hint="eastAsia" w:cs="宋体"/>
          <w:highlight w:val="none"/>
          <w:lang w:val="en-US" w:eastAsia="zh-CN"/>
        </w:rPr>
        <w:t>7.</w:t>
      </w:r>
      <w:r>
        <w:rPr>
          <w:rFonts w:hint="eastAsia" w:ascii="宋体" w:hAnsi="宋体" w:eastAsia="宋体" w:cs="宋体"/>
          <w:i w:val="0"/>
          <w:iCs w:val="0"/>
          <w:color w:val="000000"/>
          <w:kern w:val="0"/>
          <w:sz w:val="24"/>
          <w:szCs w:val="24"/>
          <w:u w:val="none"/>
          <w:lang w:val="en-US" w:eastAsia="zh-CN" w:bidi="ar"/>
        </w:rPr>
        <w:t>同类业绩</w:t>
      </w:r>
      <w:r>
        <w:rPr>
          <w:rFonts w:hint="eastAsia" w:cs="宋体"/>
          <w:i w:val="0"/>
          <w:iCs w:val="0"/>
          <w:color w:val="000000"/>
          <w:kern w:val="0"/>
          <w:sz w:val="24"/>
          <w:szCs w:val="24"/>
          <w:u w:val="none"/>
          <w:lang w:val="en-US" w:eastAsia="zh-CN" w:bidi="ar"/>
        </w:rPr>
        <w:t>：</w:t>
      </w:r>
      <w:r>
        <w:rPr>
          <w:rFonts w:hint="eastAsia" w:cs="宋体"/>
          <w:highlight w:val="none"/>
          <w:lang w:val="en-US" w:eastAsia="zh-CN"/>
        </w:rPr>
        <w:t>同类项目实施情况一览表；（附件十）</w:t>
      </w:r>
    </w:p>
    <w:p w14:paraId="61802C31">
      <w:pPr>
        <w:numPr>
          <w:ilvl w:val="0"/>
          <w:numId w:val="0"/>
        </w:numPr>
        <w:spacing w:line="360" w:lineRule="auto"/>
        <w:ind w:firstLine="480" w:firstLineChars="200"/>
        <w:rPr>
          <w:rFonts w:hint="eastAsia" w:cs="宋体"/>
          <w:highlight w:val="none"/>
          <w:lang w:val="en-US" w:eastAsia="zh-CN"/>
        </w:rPr>
      </w:pPr>
      <w:r>
        <w:rPr>
          <w:rFonts w:hint="eastAsia" w:cs="宋体"/>
          <w:highlight w:val="none"/>
          <w:lang w:val="en-US" w:eastAsia="zh-CN"/>
        </w:rPr>
        <w:t>8.</w:t>
      </w:r>
      <w:r>
        <w:rPr>
          <w:rFonts w:hint="eastAsia" w:ascii="宋体" w:hAnsi="宋体" w:eastAsia="宋体" w:cs="宋体"/>
          <w:i w:val="0"/>
          <w:iCs w:val="0"/>
          <w:color w:val="000000"/>
          <w:kern w:val="0"/>
          <w:sz w:val="24"/>
          <w:szCs w:val="24"/>
          <w:u w:val="none"/>
          <w:lang w:val="en-US" w:eastAsia="zh-CN" w:bidi="ar"/>
        </w:rPr>
        <w:t>企业生产实力</w:t>
      </w:r>
      <w:r>
        <w:rPr>
          <w:rFonts w:hint="eastAsia" w:cs="宋体"/>
          <w:highlight w:val="none"/>
          <w:lang w:val="en-US" w:eastAsia="zh-CN"/>
        </w:rPr>
        <w:t>；</w:t>
      </w:r>
    </w:p>
    <w:p w14:paraId="5E66C1D9">
      <w:pPr>
        <w:numPr>
          <w:ilvl w:val="0"/>
          <w:numId w:val="0"/>
        </w:numPr>
        <w:spacing w:line="360" w:lineRule="auto"/>
        <w:ind w:leftChars="200"/>
        <w:rPr>
          <w:rFonts w:hint="eastAsia" w:cs="宋体"/>
        </w:rPr>
      </w:pPr>
      <w:r>
        <w:rPr>
          <w:rFonts w:hint="eastAsia" w:cs="宋体"/>
          <w:highlight w:val="none"/>
          <w:lang w:val="en-US" w:eastAsia="zh-CN"/>
        </w:rPr>
        <w:t>9.</w:t>
      </w:r>
      <w:r>
        <w:rPr>
          <w:rFonts w:hint="eastAsia" w:cs="宋体"/>
          <w:highlight w:val="none"/>
        </w:rPr>
        <w:t>其它本招标文件评分表要求提供的材料或投标人认为需要</w:t>
      </w:r>
      <w:r>
        <w:rPr>
          <w:rFonts w:hint="eastAsia" w:cs="宋体"/>
          <w:highlight w:val="none"/>
          <w:lang w:eastAsia="zh-CN"/>
        </w:rPr>
        <w:t>补充</w:t>
      </w:r>
      <w:r>
        <w:rPr>
          <w:rFonts w:hint="eastAsia" w:cs="宋体"/>
          <w:highlight w:val="none"/>
        </w:rPr>
        <w:t>的其他资料或说明。</w:t>
      </w:r>
    </w:p>
    <w:p w14:paraId="3F844552">
      <w:pPr>
        <w:spacing w:line="360" w:lineRule="auto"/>
        <w:ind w:firstLine="0" w:firstLineChars="0"/>
        <w:rPr>
          <w:rFonts w:hint="eastAsia" w:ascii="宋体" w:hAnsi="宋体" w:eastAsia="宋体" w:cs="宋体"/>
        </w:rPr>
      </w:pPr>
      <w:r>
        <w:rPr>
          <w:rFonts w:hint="eastAsia" w:ascii="宋体" w:hAnsi="宋体" w:eastAsia="宋体" w:cs="宋体"/>
          <w:b/>
          <w:bCs/>
        </w:rPr>
        <w:t>（三）</w:t>
      </w:r>
      <w:r>
        <w:rPr>
          <w:rFonts w:hint="eastAsia" w:cs="宋体"/>
          <w:b/>
          <w:bCs/>
          <w:lang w:eastAsia="zh-CN"/>
        </w:rPr>
        <w:t>《</w:t>
      </w:r>
      <w:r>
        <w:rPr>
          <w:rFonts w:hint="eastAsia" w:ascii="宋体" w:hAnsi="宋体" w:eastAsia="宋体" w:cs="宋体"/>
          <w:b/>
          <w:bCs/>
        </w:rPr>
        <w:t>报价</w:t>
      </w:r>
      <w:r>
        <w:rPr>
          <w:rFonts w:hint="eastAsia" w:cs="宋体"/>
          <w:b/>
          <w:bCs/>
          <w:lang w:eastAsia="zh-CN"/>
        </w:rPr>
        <w:t>文件》</w:t>
      </w:r>
      <w:r>
        <w:rPr>
          <w:rFonts w:hint="eastAsia" w:ascii="宋体" w:hAnsi="宋体" w:eastAsia="宋体" w:cs="宋体"/>
          <w:b/>
          <w:bCs/>
        </w:rPr>
        <w:t>：</w:t>
      </w:r>
    </w:p>
    <w:p w14:paraId="34CB219C">
      <w:pPr>
        <w:numPr>
          <w:ilvl w:val="0"/>
          <w:numId w:val="0"/>
        </w:numPr>
        <w:spacing w:line="360" w:lineRule="auto"/>
        <w:ind w:firstLine="480" w:firstLineChars="200"/>
        <w:rPr>
          <w:rFonts w:hint="eastAsia" w:ascii="宋体" w:hAnsi="宋体" w:eastAsia="宋体" w:cs="宋体"/>
        </w:rPr>
      </w:pPr>
      <w:r>
        <w:rPr>
          <w:rFonts w:hint="eastAsia" w:cs="宋体"/>
          <w:lang w:val="en-US" w:eastAsia="zh-CN"/>
        </w:rPr>
        <w:t>1.</w:t>
      </w:r>
      <w:r>
        <w:rPr>
          <w:rFonts w:hint="eastAsia" w:ascii="宋体" w:hAnsi="宋体" w:eastAsia="宋体" w:cs="宋体"/>
        </w:rPr>
        <w:t>投标响应函；（附件</w:t>
      </w:r>
      <w:r>
        <w:rPr>
          <w:rFonts w:hint="eastAsia" w:cs="宋体"/>
          <w:lang w:eastAsia="zh-CN"/>
        </w:rPr>
        <w:t>十一</w:t>
      </w:r>
      <w:r>
        <w:rPr>
          <w:rFonts w:hint="eastAsia" w:ascii="宋体" w:hAnsi="宋体" w:eastAsia="宋体" w:cs="宋体"/>
        </w:rPr>
        <w:t>）</w:t>
      </w:r>
    </w:p>
    <w:p w14:paraId="3A78F1A0">
      <w:pPr>
        <w:numPr>
          <w:ilvl w:val="0"/>
          <w:numId w:val="0"/>
        </w:numPr>
        <w:spacing w:line="360" w:lineRule="auto"/>
        <w:ind w:firstLine="480" w:firstLineChars="200"/>
        <w:jc w:val="left"/>
        <w:rPr>
          <w:rFonts w:hint="eastAsia" w:ascii="宋体" w:hAnsi="宋体" w:eastAsia="宋体" w:cs="宋体"/>
        </w:rPr>
      </w:pPr>
      <w:r>
        <w:rPr>
          <w:rFonts w:hint="eastAsia" w:cs="宋体"/>
          <w:lang w:val="en-US" w:eastAsia="zh-CN"/>
        </w:rPr>
        <w:t>2.</w:t>
      </w:r>
      <w:r>
        <w:rPr>
          <w:rFonts w:hint="eastAsia" w:ascii="宋体" w:hAnsi="宋体" w:eastAsia="宋体" w:cs="宋体"/>
        </w:rPr>
        <w:t>开标一览表；（附件</w:t>
      </w:r>
      <w:r>
        <w:rPr>
          <w:rFonts w:hint="eastAsia" w:cs="宋体"/>
          <w:lang w:eastAsia="zh-CN"/>
        </w:rPr>
        <w:t>十二</w:t>
      </w:r>
      <w:r>
        <w:rPr>
          <w:rFonts w:hint="eastAsia" w:ascii="宋体" w:hAnsi="宋体" w:eastAsia="宋体" w:cs="宋体"/>
        </w:rPr>
        <w:t>）</w:t>
      </w:r>
    </w:p>
    <w:p w14:paraId="39A33875">
      <w:pPr>
        <w:bidi w:val="0"/>
        <w:spacing w:line="360" w:lineRule="auto"/>
        <w:rPr>
          <w:rFonts w:hint="default" w:cs="宋体"/>
          <w:b w:val="0"/>
          <w:bCs w:val="0"/>
          <w:sz w:val="24"/>
          <w:szCs w:val="24"/>
          <w:lang w:val="en-US" w:eastAsia="zh-CN"/>
        </w:rPr>
      </w:pPr>
      <w:r>
        <w:rPr>
          <w:rFonts w:hint="eastAsia" w:cs="宋体"/>
          <w:b w:val="0"/>
          <w:bCs w:val="0"/>
          <w:sz w:val="24"/>
          <w:szCs w:val="24"/>
          <w:lang w:val="en-US" w:eastAsia="zh-CN"/>
        </w:rPr>
        <w:t>3.报价明细表；（附件十三）</w:t>
      </w:r>
    </w:p>
    <w:p w14:paraId="58BC4B3D">
      <w:pPr>
        <w:bidi w:val="0"/>
        <w:spacing w:line="360" w:lineRule="auto"/>
        <w:rPr>
          <w:rFonts w:hint="eastAsia" w:eastAsia="宋体" w:cs="宋体"/>
          <w:b w:val="0"/>
          <w:bCs w:val="0"/>
          <w:sz w:val="24"/>
          <w:szCs w:val="24"/>
          <w:lang w:val="en-US" w:eastAsia="zh-CN"/>
        </w:rPr>
      </w:pPr>
      <w:r>
        <w:rPr>
          <w:rFonts w:hint="eastAsia" w:cs="宋体"/>
          <w:b w:val="0"/>
          <w:bCs w:val="0"/>
          <w:sz w:val="24"/>
          <w:szCs w:val="24"/>
          <w:lang w:val="en-US" w:eastAsia="zh-CN"/>
        </w:rPr>
        <w:t>4.</w:t>
      </w:r>
      <w:r>
        <w:rPr>
          <w:rFonts w:hint="eastAsia" w:ascii="宋体" w:hAnsi="宋体"/>
          <w:sz w:val="24"/>
          <w:lang w:val="en-US" w:eastAsia="zh-CN"/>
        </w:rPr>
        <w:t>缴纳</w:t>
      </w:r>
      <w:r>
        <w:rPr>
          <w:rFonts w:hint="eastAsia"/>
          <w:sz w:val="24"/>
          <w:lang w:val="en-US" w:eastAsia="zh-CN"/>
        </w:rPr>
        <w:t>采购</w:t>
      </w:r>
      <w:r>
        <w:rPr>
          <w:rFonts w:hint="eastAsia" w:ascii="宋体" w:hAnsi="宋体"/>
          <w:sz w:val="24"/>
        </w:rPr>
        <w:t>代理</w:t>
      </w:r>
      <w:r>
        <w:rPr>
          <w:rFonts w:hint="eastAsia" w:ascii="宋体" w:hAnsi="宋体"/>
          <w:sz w:val="24"/>
          <w:lang w:eastAsia="zh-CN"/>
        </w:rPr>
        <w:t>服务</w:t>
      </w:r>
      <w:r>
        <w:rPr>
          <w:rFonts w:hint="eastAsia" w:ascii="宋体" w:hAnsi="宋体"/>
          <w:sz w:val="24"/>
        </w:rPr>
        <w:t>费承诺函</w:t>
      </w:r>
      <w:r>
        <w:rPr>
          <w:rFonts w:hint="eastAsia" w:ascii="宋体" w:hAnsi="宋体"/>
          <w:sz w:val="24"/>
          <w:lang w:eastAsia="zh-CN"/>
        </w:rPr>
        <w:t>；（附件十</w:t>
      </w:r>
      <w:r>
        <w:rPr>
          <w:rFonts w:hint="eastAsia"/>
          <w:sz w:val="24"/>
          <w:lang w:eastAsia="zh-CN"/>
        </w:rPr>
        <w:t>四</w:t>
      </w:r>
      <w:r>
        <w:rPr>
          <w:rFonts w:hint="eastAsia" w:ascii="宋体" w:hAnsi="宋体"/>
          <w:sz w:val="24"/>
          <w:lang w:eastAsia="zh-CN"/>
        </w:rPr>
        <w:t>）</w:t>
      </w:r>
    </w:p>
    <w:p w14:paraId="2FD2606B">
      <w:pPr>
        <w:bidi w:val="0"/>
        <w:spacing w:line="360" w:lineRule="auto"/>
        <w:rPr>
          <w:rFonts w:hint="eastAsia" w:eastAsia="宋体" w:cs="宋体"/>
          <w:b w:val="0"/>
          <w:bCs w:val="0"/>
          <w:sz w:val="24"/>
          <w:szCs w:val="24"/>
          <w:lang w:val="en-US" w:eastAsia="zh-CN"/>
        </w:rPr>
      </w:pPr>
      <w:r>
        <w:rPr>
          <w:rFonts w:hint="eastAsia" w:cs="宋体"/>
          <w:b w:val="0"/>
          <w:bCs w:val="0"/>
          <w:sz w:val="24"/>
          <w:szCs w:val="24"/>
          <w:lang w:val="en-US" w:eastAsia="zh-CN"/>
        </w:rPr>
        <w:t>5.</w:t>
      </w:r>
      <w:r>
        <w:rPr>
          <w:rFonts w:hint="eastAsia" w:ascii="宋体" w:hAnsi="宋体" w:eastAsia="宋体" w:cs="宋体"/>
          <w:bCs/>
          <w:color w:val="auto"/>
          <w:highlight w:val="none"/>
          <w:lang w:eastAsia="zh-CN"/>
        </w:rPr>
        <w:t>投标人</w:t>
      </w:r>
      <w:r>
        <w:rPr>
          <w:rFonts w:hint="eastAsia" w:ascii="宋体" w:hAnsi="宋体" w:eastAsia="宋体" w:cs="宋体"/>
          <w:bCs/>
          <w:color w:val="auto"/>
          <w:highlight w:val="none"/>
        </w:rPr>
        <w:t>针对</w:t>
      </w:r>
      <w:r>
        <w:rPr>
          <w:rFonts w:hint="eastAsia" w:cs="宋体"/>
          <w:bCs/>
          <w:color w:val="auto"/>
          <w:highlight w:val="none"/>
          <w:lang w:eastAsia="zh-CN"/>
        </w:rPr>
        <w:t>投标</w:t>
      </w:r>
      <w:r>
        <w:rPr>
          <w:rFonts w:hint="eastAsia" w:ascii="宋体" w:hAnsi="宋体" w:eastAsia="宋体" w:cs="宋体"/>
          <w:bCs/>
          <w:color w:val="auto"/>
          <w:highlight w:val="none"/>
        </w:rPr>
        <w:t>报价需要</w:t>
      </w:r>
      <w:r>
        <w:rPr>
          <w:rFonts w:hint="eastAsia" w:cs="宋体"/>
          <w:bCs/>
          <w:color w:val="auto"/>
          <w:highlight w:val="none"/>
          <w:lang w:eastAsia="zh-CN"/>
        </w:rPr>
        <w:t>补充</w:t>
      </w:r>
      <w:r>
        <w:rPr>
          <w:rFonts w:hint="eastAsia" w:ascii="宋体" w:hAnsi="宋体" w:eastAsia="宋体" w:cs="宋体"/>
          <w:bCs/>
          <w:color w:val="auto"/>
          <w:highlight w:val="none"/>
        </w:rPr>
        <w:t>的其他文件和说明</w:t>
      </w:r>
      <w:r>
        <w:rPr>
          <w:rFonts w:hint="eastAsia" w:ascii="宋体" w:hAnsi="宋体"/>
          <w:sz w:val="24"/>
          <w:lang w:eastAsia="zh-CN"/>
        </w:rPr>
        <w:t>。</w:t>
      </w:r>
    </w:p>
    <w:p w14:paraId="697580C5">
      <w:pPr>
        <w:bidi w:val="0"/>
        <w:spacing w:line="360" w:lineRule="auto"/>
        <w:rPr>
          <w:rFonts w:hint="eastAsia" w:cs="宋体"/>
          <w:b/>
          <w:bCs/>
          <w:sz w:val="24"/>
          <w:szCs w:val="24"/>
        </w:rPr>
      </w:pPr>
      <w:r>
        <w:rPr>
          <w:rFonts w:hint="eastAsia" w:cs="宋体"/>
          <w:b/>
          <w:bCs/>
          <w:sz w:val="24"/>
          <w:szCs w:val="24"/>
        </w:rPr>
        <w:t>▲注：法定代表人授权委托书、投标声明书、投标</w:t>
      </w:r>
      <w:r>
        <w:rPr>
          <w:rFonts w:hint="eastAsia" w:cs="宋体"/>
          <w:b/>
          <w:bCs/>
          <w:sz w:val="24"/>
          <w:szCs w:val="24"/>
          <w:lang w:eastAsia="zh-CN"/>
        </w:rPr>
        <w:t>响应</w:t>
      </w:r>
      <w:r>
        <w:rPr>
          <w:rFonts w:hint="eastAsia" w:cs="宋体"/>
          <w:b/>
          <w:bCs/>
          <w:sz w:val="24"/>
          <w:szCs w:val="24"/>
        </w:rPr>
        <w:t>函必须由法定代表人或其授权代</w:t>
      </w:r>
      <w:r>
        <w:rPr>
          <w:rFonts w:hint="eastAsia" w:cs="宋体"/>
          <w:b/>
          <w:bCs/>
          <w:sz w:val="24"/>
          <w:szCs w:val="24"/>
          <w:lang w:eastAsia="zh-CN"/>
        </w:rPr>
        <w:t>表</w:t>
      </w:r>
      <w:r>
        <w:rPr>
          <w:rFonts w:hint="eastAsia" w:cs="宋体"/>
          <w:b/>
          <w:bCs/>
          <w:sz w:val="24"/>
          <w:szCs w:val="24"/>
        </w:rPr>
        <w:t>签名并加盖单位公章</w:t>
      </w:r>
      <w:r>
        <w:rPr>
          <w:rFonts w:hint="eastAsia" w:ascii="宋体" w:hAnsi="宋体" w:cs="宋体"/>
          <w:b/>
          <w:bCs/>
          <w:sz w:val="24"/>
        </w:rPr>
        <w:t>（或CA电子签章）</w:t>
      </w:r>
      <w:r>
        <w:rPr>
          <w:rFonts w:hint="eastAsia" w:cs="宋体"/>
          <w:b/>
          <w:bCs/>
          <w:sz w:val="24"/>
          <w:szCs w:val="24"/>
        </w:rPr>
        <w:t>。</w:t>
      </w:r>
    </w:p>
    <w:p w14:paraId="745B4EC5">
      <w:pPr>
        <w:bidi w:val="0"/>
        <w:spacing w:line="360" w:lineRule="auto"/>
        <w:ind w:left="0" w:leftChars="0" w:firstLine="0" w:firstLineChars="0"/>
        <w:rPr>
          <w:rFonts w:hint="eastAsia" w:cs="宋体"/>
          <w:b/>
          <w:bCs/>
          <w:szCs w:val="24"/>
          <w:lang w:eastAsia="zh-CN"/>
        </w:rPr>
      </w:pPr>
      <w:r>
        <w:rPr>
          <w:rFonts w:hint="eastAsia"/>
          <w:b/>
          <w:bCs/>
          <w:lang w:eastAsia="zh-CN"/>
        </w:rPr>
        <w:t>三、投标文件的编制</w:t>
      </w:r>
    </w:p>
    <w:p w14:paraId="0E2ACE55">
      <w:pPr>
        <w:numPr>
          <w:ilvl w:val="0"/>
          <w:numId w:val="0"/>
        </w:numPr>
        <w:spacing w:line="360" w:lineRule="auto"/>
        <w:ind w:leftChars="0" w:firstLine="480" w:firstLineChars="200"/>
        <w:rPr>
          <w:rFonts w:hint="eastAsia"/>
          <w:lang w:val="en-US" w:eastAsia="zh-CN"/>
        </w:rPr>
      </w:pPr>
      <w:r>
        <w:rPr>
          <w:rFonts w:hint="eastAsia"/>
          <w:lang w:val="en-US" w:eastAsia="zh-CN"/>
        </w:rPr>
        <w:t>本项目实行网上投标。</w:t>
      </w:r>
    </w:p>
    <w:p w14:paraId="135C8C5A">
      <w:pPr>
        <w:spacing w:line="360" w:lineRule="auto"/>
        <w:ind w:firstLine="480" w:firstLineChars="200"/>
        <w:rPr>
          <w:rFonts w:hint="eastAsia" w:ascii="宋体" w:hAnsi="宋体" w:cs="宋体"/>
          <w:b/>
          <w:sz w:val="24"/>
        </w:rPr>
      </w:pPr>
      <w:r>
        <w:rPr>
          <w:rFonts w:hint="eastAsia" w:ascii="宋体" w:hAnsi="宋体" w:cs="宋体"/>
          <w:kern w:val="0"/>
          <w:sz w:val="24"/>
          <w:lang w:val="zh-CN"/>
        </w:rPr>
        <w:t>1.投标文件分为</w:t>
      </w:r>
      <w:r>
        <w:rPr>
          <w:rFonts w:hint="eastAsia" w:cs="宋体"/>
          <w:kern w:val="0"/>
          <w:sz w:val="24"/>
          <w:lang w:val="zh-CN"/>
        </w:rPr>
        <w:t>《资格文件》</w:t>
      </w:r>
      <w:r>
        <w:rPr>
          <w:rFonts w:hint="eastAsia" w:ascii="宋体" w:hAnsi="宋体" w:cs="宋体"/>
          <w:kern w:val="0"/>
          <w:sz w:val="24"/>
          <w:lang w:val="zh-CN"/>
        </w:rPr>
        <w:t>、</w:t>
      </w:r>
      <w:r>
        <w:rPr>
          <w:rFonts w:hint="eastAsia" w:cs="宋体"/>
          <w:kern w:val="0"/>
          <w:sz w:val="24"/>
          <w:lang w:val="zh-CN"/>
        </w:rPr>
        <w:t>《</w:t>
      </w:r>
      <w:r>
        <w:rPr>
          <w:rFonts w:hint="eastAsia" w:ascii="宋体" w:hAnsi="宋体" w:cs="宋体"/>
          <w:kern w:val="0"/>
          <w:sz w:val="24"/>
          <w:lang w:val="zh-CN"/>
        </w:rPr>
        <w:t>商务技术文件</w:t>
      </w:r>
      <w:r>
        <w:rPr>
          <w:rFonts w:hint="eastAsia" w:cs="宋体"/>
          <w:kern w:val="0"/>
          <w:sz w:val="24"/>
          <w:lang w:val="zh-CN"/>
        </w:rPr>
        <w:t>》</w:t>
      </w:r>
      <w:r>
        <w:rPr>
          <w:rFonts w:hint="eastAsia" w:ascii="宋体" w:hAnsi="宋体" w:cs="宋体"/>
          <w:kern w:val="0"/>
          <w:sz w:val="24"/>
          <w:lang w:val="zh-CN"/>
        </w:rPr>
        <w:t>、</w:t>
      </w:r>
      <w:r>
        <w:rPr>
          <w:rFonts w:hint="eastAsia" w:cs="宋体"/>
          <w:kern w:val="0"/>
          <w:sz w:val="24"/>
          <w:lang w:val="zh-CN"/>
        </w:rPr>
        <w:t>《</w:t>
      </w:r>
      <w:r>
        <w:rPr>
          <w:rFonts w:hint="eastAsia" w:ascii="宋体" w:hAnsi="宋体" w:cs="宋体"/>
          <w:kern w:val="0"/>
          <w:sz w:val="24"/>
          <w:lang w:val="zh-CN"/>
        </w:rPr>
        <w:t>报价文件</w:t>
      </w:r>
      <w:r>
        <w:rPr>
          <w:rFonts w:hint="eastAsia" w:cs="宋体"/>
          <w:kern w:val="0"/>
          <w:sz w:val="24"/>
          <w:lang w:val="zh-CN"/>
        </w:rPr>
        <w:t>》</w:t>
      </w:r>
      <w:r>
        <w:rPr>
          <w:rFonts w:hint="eastAsia" w:ascii="宋体" w:hAnsi="宋体" w:cs="宋体"/>
          <w:kern w:val="0"/>
          <w:sz w:val="24"/>
          <w:lang w:val="zh-CN"/>
        </w:rPr>
        <w:t>三部分。各投标人请按照</w:t>
      </w:r>
      <w:r>
        <w:rPr>
          <w:rFonts w:hint="eastAsia" w:cs="宋体"/>
          <w:kern w:val="0"/>
          <w:sz w:val="24"/>
          <w:lang w:val="zh-CN"/>
        </w:rPr>
        <w:t>“</w:t>
      </w:r>
      <w:r>
        <w:rPr>
          <w:rFonts w:hint="eastAsia" w:ascii="宋体" w:hAnsi="宋体" w:cs="宋体"/>
          <w:kern w:val="0"/>
          <w:sz w:val="24"/>
          <w:lang w:val="zh-CN"/>
        </w:rPr>
        <w:t>招标文件</w:t>
      </w:r>
      <w:r>
        <w:rPr>
          <w:rFonts w:hint="eastAsia" w:cs="宋体"/>
          <w:kern w:val="0"/>
          <w:sz w:val="24"/>
          <w:lang w:val="en-US" w:eastAsia="zh-CN"/>
        </w:rPr>
        <w:t>-</w:t>
      </w:r>
      <w:r>
        <w:rPr>
          <w:rFonts w:hint="eastAsia" w:ascii="宋体" w:hAnsi="宋体" w:cs="宋体"/>
          <w:kern w:val="0"/>
          <w:sz w:val="24"/>
          <w:lang w:val="zh-CN"/>
        </w:rPr>
        <w:t>第六</w:t>
      </w:r>
      <w:r>
        <w:rPr>
          <w:rFonts w:hint="eastAsia" w:cs="宋体"/>
          <w:kern w:val="0"/>
          <w:sz w:val="24"/>
          <w:lang w:val="zh-CN"/>
        </w:rPr>
        <w:t>章”</w:t>
      </w:r>
      <w:r>
        <w:rPr>
          <w:rFonts w:hint="eastAsia" w:ascii="宋体" w:hAnsi="宋体" w:cs="宋体"/>
          <w:kern w:val="0"/>
          <w:sz w:val="24"/>
          <w:lang w:val="zh-CN"/>
        </w:rPr>
        <w:t>规定的格式进行</w:t>
      </w:r>
      <w:r>
        <w:rPr>
          <w:rFonts w:hint="eastAsia" w:cs="宋体"/>
          <w:kern w:val="0"/>
          <w:sz w:val="24"/>
          <w:lang w:val="zh-CN"/>
        </w:rPr>
        <w:t>投标文件的编制</w:t>
      </w:r>
      <w:r>
        <w:rPr>
          <w:rFonts w:hint="eastAsia" w:ascii="宋体" w:hAnsi="宋体" w:cs="宋体"/>
          <w:kern w:val="0"/>
          <w:sz w:val="24"/>
          <w:lang w:val="zh-CN"/>
        </w:rPr>
        <w:t>，混乱的编排导致投标文件被误读或评标委员会查找不到有效文件是投标人的风险。</w:t>
      </w:r>
    </w:p>
    <w:p w14:paraId="4D161B5B">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14DF44D4">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en-US" w:eastAsia="zh-CN"/>
        </w:rPr>
        <w:t>3</w:t>
      </w:r>
      <w:r>
        <w:rPr>
          <w:rFonts w:hint="eastAsia" w:ascii="宋体" w:hAnsi="宋体" w:cs="宋体"/>
          <w:kern w:val="0"/>
          <w:sz w:val="24"/>
          <w:lang w:val="zh-CN"/>
        </w:rPr>
        <w:t>.使用“政采云电子交易客户端”需要提前申领CA数字证书，申领流程请自行前往“浙江政府采购网-下载专区-电子交易客户端-CA驱动和申领流程”进行查阅。</w:t>
      </w:r>
    </w:p>
    <w:p w14:paraId="5B2E7693">
      <w:pPr>
        <w:bidi w:val="0"/>
        <w:spacing w:line="360" w:lineRule="auto"/>
        <w:ind w:left="0" w:leftChars="0" w:firstLine="0" w:firstLineChars="0"/>
        <w:rPr>
          <w:rFonts w:hint="eastAsia" w:ascii="宋体" w:hAnsi="宋体" w:eastAsia="宋体" w:cs="宋体"/>
          <w:szCs w:val="24"/>
        </w:rPr>
      </w:pPr>
      <w:r>
        <w:rPr>
          <w:rFonts w:hint="eastAsia"/>
          <w:b/>
          <w:bCs/>
          <w:lang w:eastAsia="zh-CN"/>
        </w:rPr>
        <w:t>四</w:t>
      </w:r>
      <w:r>
        <w:rPr>
          <w:rFonts w:hint="eastAsia"/>
          <w:b/>
          <w:bCs/>
        </w:rPr>
        <w:t>、投标报价</w:t>
      </w:r>
    </w:p>
    <w:p w14:paraId="2D50F63B">
      <w:pPr>
        <w:spacing w:line="360" w:lineRule="auto"/>
        <w:ind w:left="480" w:leftChars="200" w:firstLine="0" w:firstLineChars="0"/>
        <w:rPr>
          <w:rFonts w:hint="eastAsia" w:ascii="宋体" w:hAnsi="宋体" w:eastAsia="宋体" w:cs="宋体"/>
        </w:rPr>
      </w:pPr>
      <w:r>
        <w:rPr>
          <w:rFonts w:hint="eastAsia" w:ascii="宋体" w:hAnsi="宋体" w:eastAsia="宋体" w:cs="宋体"/>
        </w:rPr>
        <w:t>1.投标报价是指一次性报出不得更改的价格。本项目以</w:t>
      </w:r>
      <w:r>
        <w:rPr>
          <w:rFonts w:hint="eastAsia" w:cs="宋体"/>
          <w:lang w:eastAsia="zh-CN"/>
        </w:rPr>
        <w:t>人民币进行报价</w:t>
      </w:r>
      <w:r>
        <w:rPr>
          <w:rFonts w:hint="eastAsia" w:ascii="宋体" w:hAnsi="宋体" w:eastAsia="宋体" w:cs="宋体"/>
        </w:rPr>
        <w:t>。</w:t>
      </w:r>
    </w:p>
    <w:p w14:paraId="0BDE435C">
      <w:pPr>
        <w:spacing w:line="360" w:lineRule="auto"/>
        <w:ind w:firstLine="480"/>
        <w:rPr>
          <w:rFonts w:hint="eastAsia" w:ascii="宋体" w:hAnsi="宋体" w:eastAsia="宋体" w:cs="宋体"/>
        </w:rPr>
      </w:pPr>
      <w:r>
        <w:rPr>
          <w:rFonts w:hint="eastAsia" w:ascii="宋体" w:hAnsi="宋体" w:eastAsia="宋体" w:cs="宋体"/>
        </w:rPr>
        <w:t>2.投标报价是履行合同的最终价格，包含</w:t>
      </w:r>
      <w:r>
        <w:rPr>
          <w:rFonts w:hint="eastAsia" w:cs="宋体"/>
          <w:lang w:eastAsia="zh-CN"/>
        </w:rPr>
        <w:t>产品或服务的</w:t>
      </w:r>
      <w:r>
        <w:rPr>
          <w:rFonts w:hint="eastAsia" w:ascii="宋体" w:hAnsi="宋体" w:eastAsia="宋体" w:cs="宋体"/>
          <w:lang w:eastAsia="zh-Hans"/>
        </w:rPr>
        <w:t>测试、调试、上线、试运行、其它必要操作（含供货、安装）、培训、维保</w:t>
      </w:r>
      <w:r>
        <w:rPr>
          <w:rFonts w:hint="eastAsia" w:ascii="宋体" w:hAnsi="宋体" w:eastAsia="宋体" w:cs="宋体"/>
        </w:rPr>
        <w:t>、保险费、利润、关税（若有）、税金以及达到使用要求及质量标准、质保期服务所需的全部费用及招标代理服务费等一切直至通过验收的费用，不需要招标人额外支付其他费用。投标人的报价应按招标文件要求的格式、顺序编制。</w:t>
      </w:r>
    </w:p>
    <w:p w14:paraId="00EFE567">
      <w:pPr>
        <w:spacing w:line="360" w:lineRule="auto"/>
        <w:ind w:firstLine="480"/>
        <w:rPr>
          <w:rFonts w:hint="eastAsia" w:ascii="宋体" w:hAnsi="宋体" w:eastAsia="宋体" w:cs="宋体"/>
        </w:rPr>
      </w:pPr>
      <w:r>
        <w:rPr>
          <w:rFonts w:hint="eastAsia" w:ascii="宋体" w:hAnsi="宋体" w:eastAsia="宋体" w:cs="宋体"/>
        </w:rPr>
        <w:t>《开标一览表》是报价的唯一载体。投标文件中价格全部采用人民币报价。招标文件未列明，而投标人认为必需的费用也需列入报价。</w:t>
      </w:r>
    </w:p>
    <w:p w14:paraId="0DFED1BB">
      <w:pPr>
        <w:spacing w:line="360" w:lineRule="auto"/>
        <w:ind w:firstLine="480" w:firstLineChars="0"/>
        <w:rPr>
          <w:rFonts w:hint="eastAsia" w:ascii="宋体" w:hAnsi="宋体" w:eastAsia="宋体" w:cs="宋体"/>
        </w:rPr>
      </w:pPr>
      <w:r>
        <w:rPr>
          <w:rFonts w:hint="eastAsia" w:ascii="宋体" w:hAnsi="宋体" w:eastAsia="宋体" w:cs="宋体"/>
        </w:rPr>
        <w:t>3.投标报价出现下列情形的，投标无效：</w:t>
      </w:r>
    </w:p>
    <w:p w14:paraId="073A9092">
      <w:pPr>
        <w:spacing w:line="360" w:lineRule="auto"/>
        <w:ind w:firstLine="480"/>
        <w:rPr>
          <w:rFonts w:hint="eastAsia" w:ascii="宋体" w:hAnsi="宋体" w:eastAsia="宋体" w:cs="宋体"/>
        </w:rPr>
      </w:pPr>
      <w:r>
        <w:rPr>
          <w:rFonts w:hint="eastAsia" w:ascii="宋体" w:hAnsi="宋体" w:eastAsia="宋体" w:cs="宋体"/>
        </w:rPr>
        <w:t>▲投标文件出现不是唯一的、有选择性投标报价的；</w:t>
      </w:r>
    </w:p>
    <w:p w14:paraId="39E873CC">
      <w:pPr>
        <w:spacing w:line="360" w:lineRule="auto"/>
        <w:ind w:firstLine="480"/>
        <w:rPr>
          <w:rFonts w:hint="eastAsia" w:ascii="宋体" w:hAnsi="宋体" w:eastAsia="宋体" w:cs="宋体"/>
        </w:rPr>
      </w:pPr>
      <w:r>
        <w:rPr>
          <w:rFonts w:hint="eastAsia" w:ascii="宋体" w:hAnsi="宋体" w:eastAsia="宋体" w:cs="宋体"/>
        </w:rPr>
        <w:t>▲投标报价高于本项目招标预算或者最高限价的；</w:t>
      </w:r>
    </w:p>
    <w:p w14:paraId="76828502">
      <w:pPr>
        <w:spacing w:line="360" w:lineRule="auto"/>
        <w:ind w:firstLine="480"/>
        <w:rPr>
          <w:rFonts w:hint="eastAsia" w:ascii="宋体" w:hAnsi="宋体" w:eastAsia="宋体" w:cs="宋体"/>
        </w:rPr>
      </w:pPr>
      <w:r>
        <w:rPr>
          <w:rFonts w:hint="eastAsia" w:ascii="宋体" w:hAnsi="宋体" w:eastAsia="宋体" w:cs="宋体"/>
        </w:rPr>
        <w:t>▲报价明显低于其他通过符合性审查投标人的报价，有可能影响产品质量或者不能诚信履约的，未能按要求提供书面说明或者提交相关证明材料，不能证明其报价合理性的；</w:t>
      </w:r>
    </w:p>
    <w:p w14:paraId="5A605AC2">
      <w:pPr>
        <w:spacing w:line="360" w:lineRule="auto"/>
        <w:ind w:firstLine="480"/>
        <w:rPr>
          <w:rFonts w:hint="eastAsia" w:ascii="宋体" w:hAnsi="宋体" w:eastAsia="宋体" w:cs="宋体"/>
        </w:rPr>
      </w:pPr>
      <w:r>
        <w:rPr>
          <w:rFonts w:hint="eastAsia" w:ascii="宋体" w:hAnsi="宋体" w:eastAsia="宋体" w:cs="宋体"/>
        </w:rPr>
        <w:t>▲《开标一览表》填写不完整或字迹不能辨认或有漏项的；</w:t>
      </w:r>
    </w:p>
    <w:p w14:paraId="6FCD6295">
      <w:pPr>
        <w:spacing w:line="360" w:lineRule="auto"/>
        <w:ind w:firstLine="480"/>
        <w:rPr>
          <w:rFonts w:hint="eastAsia" w:ascii="宋体" w:hAnsi="宋体" w:eastAsia="宋体" w:cs="宋体"/>
          <w:lang w:eastAsia="zh-CN"/>
        </w:rPr>
      </w:pPr>
      <w:r>
        <w:rPr>
          <w:rFonts w:hint="eastAsia" w:ascii="宋体" w:hAnsi="宋体" w:eastAsia="宋体" w:cs="宋体"/>
        </w:rPr>
        <w:t>▲投标人对根据修正原则修正后的报价不确认的</w:t>
      </w:r>
      <w:r>
        <w:rPr>
          <w:rFonts w:hint="eastAsia" w:ascii="宋体" w:hAnsi="宋体" w:eastAsia="宋体" w:cs="宋体"/>
          <w:lang w:eastAsia="zh-CN"/>
        </w:rPr>
        <w:t>。</w:t>
      </w:r>
    </w:p>
    <w:p w14:paraId="38CB1DE8">
      <w:pPr>
        <w:bidi w:val="0"/>
        <w:spacing w:line="360" w:lineRule="auto"/>
        <w:ind w:left="0" w:leftChars="0" w:firstLine="0" w:firstLineChars="0"/>
        <w:rPr>
          <w:rFonts w:hint="eastAsia" w:ascii="宋体" w:hAnsi="宋体" w:eastAsia="宋体" w:cs="宋体"/>
          <w:szCs w:val="24"/>
        </w:rPr>
      </w:pPr>
      <w:r>
        <w:rPr>
          <w:rFonts w:hint="eastAsia"/>
          <w:b/>
          <w:bCs/>
          <w:lang w:eastAsia="zh-CN"/>
        </w:rPr>
        <w:t>五</w:t>
      </w:r>
      <w:r>
        <w:rPr>
          <w:rFonts w:hint="eastAsia"/>
          <w:b/>
          <w:bCs/>
        </w:rPr>
        <w:t>、投标文件的签署及规定</w:t>
      </w:r>
    </w:p>
    <w:p w14:paraId="6BB11FFD">
      <w:pPr>
        <w:bidi w:val="0"/>
        <w:spacing w:line="360" w:lineRule="auto"/>
        <w:rPr>
          <w:rFonts w:hint="eastAsia"/>
        </w:rPr>
      </w:pPr>
      <w:bookmarkStart w:id="57" w:name="_Toc1"/>
      <w:bookmarkStart w:id="58" w:name="_Toc12521"/>
      <w:r>
        <w:rPr>
          <w:rFonts w:hint="eastAsia"/>
        </w:rPr>
        <w:t>1.投标文件按照</w:t>
      </w:r>
      <w:r>
        <w:rPr>
          <w:rFonts w:hint="eastAsia"/>
          <w:lang w:eastAsia="zh-CN"/>
        </w:rPr>
        <w:t>“</w:t>
      </w:r>
      <w:r>
        <w:rPr>
          <w:rFonts w:hint="eastAsia"/>
        </w:rPr>
        <w:t>招标文件</w:t>
      </w:r>
      <w:r>
        <w:rPr>
          <w:rFonts w:hint="eastAsia"/>
          <w:lang w:val="en-US" w:eastAsia="zh-CN"/>
        </w:rPr>
        <w:t>-</w:t>
      </w:r>
      <w:r>
        <w:rPr>
          <w:rFonts w:hint="eastAsia"/>
        </w:rPr>
        <w:t>第六</w:t>
      </w:r>
      <w:r>
        <w:rPr>
          <w:rFonts w:hint="eastAsia"/>
          <w:lang w:eastAsia="zh-CN"/>
        </w:rPr>
        <w:t>章”</w:t>
      </w:r>
      <w:r>
        <w:rPr>
          <w:rFonts w:hint="eastAsia"/>
        </w:rPr>
        <w:t>格式要求进行签署、盖章。</w:t>
      </w:r>
      <w:r>
        <w:rPr>
          <w:rFonts w:hint="eastAsia"/>
          <w:b/>
          <w:bCs/>
        </w:rPr>
        <w:t>▲投标人的投标文件未按照招标文件要求签署、盖章的，其投标无效。</w:t>
      </w:r>
    </w:p>
    <w:p w14:paraId="21C9D0C4">
      <w:pPr>
        <w:bidi w:val="0"/>
        <w:spacing w:line="360" w:lineRule="auto"/>
        <w:rPr>
          <w:rFonts w:hint="eastAsia"/>
        </w:rPr>
      </w:pPr>
      <w:r>
        <w:rPr>
          <w:rFonts w:hint="eastAsia"/>
          <w:lang w:val="en-US" w:eastAsia="zh-CN"/>
        </w:rPr>
        <w:t>2</w:t>
      </w:r>
      <w:r>
        <w:rPr>
          <w:rFonts w:hint="eastAsia"/>
        </w:rPr>
        <w:t>.为确保网上操作合法、有效和安全，投标人应当在投标截止时间前完成在“政府采购云平台”的身份认证，确保在电子投标过程中能够对相关数据电文进行加密和使用电子签名。</w:t>
      </w:r>
    </w:p>
    <w:p w14:paraId="5DE616C4">
      <w:pPr>
        <w:bidi w:val="0"/>
        <w:spacing w:line="360" w:lineRule="auto"/>
        <w:rPr>
          <w:rFonts w:hint="eastAsia" w:ascii="宋体" w:hAnsi="宋体" w:cs="宋体"/>
        </w:rPr>
      </w:pPr>
      <w:r>
        <w:rPr>
          <w:rFonts w:hint="eastAsia"/>
        </w:rPr>
        <w:t>3.招标文件对投标文件签署、盖章的要求适用于电子签名。</w:t>
      </w:r>
    </w:p>
    <w:p w14:paraId="3FB95C4E">
      <w:pPr>
        <w:bidi w:val="0"/>
        <w:spacing w:line="360" w:lineRule="auto"/>
        <w:ind w:left="0" w:leftChars="0" w:firstLine="0" w:firstLineChars="0"/>
        <w:rPr>
          <w:rFonts w:hint="eastAsia" w:hAnsi="宋体" w:cs="宋体"/>
          <w:b/>
          <w:szCs w:val="24"/>
        </w:rPr>
      </w:pPr>
      <w:r>
        <w:rPr>
          <w:rFonts w:hint="eastAsia"/>
          <w:b/>
          <w:bCs/>
          <w:lang w:eastAsia="zh-CN"/>
        </w:rPr>
        <w:t>六、</w:t>
      </w:r>
      <w:r>
        <w:rPr>
          <w:rFonts w:hint="eastAsia"/>
          <w:b/>
          <w:bCs/>
        </w:rPr>
        <w:t>备份投标文件</w:t>
      </w:r>
    </w:p>
    <w:p w14:paraId="574A30DA">
      <w:pPr>
        <w:pStyle w:val="22"/>
        <w:spacing w:line="360" w:lineRule="auto"/>
        <w:ind w:firstLine="360" w:firstLineChars="150"/>
        <w:rPr>
          <w:rFonts w:hint="eastAsia" w:hAnsi="宋体" w:cs="宋体"/>
          <w:b/>
          <w:sz w:val="24"/>
          <w:szCs w:val="24"/>
        </w:rPr>
      </w:pPr>
      <w:r>
        <w:rPr>
          <w:rFonts w:hint="eastAsia" w:hAnsi="宋体" w:cs="宋体"/>
          <w:sz w:val="24"/>
          <w:szCs w:val="24"/>
        </w:rPr>
        <w:t xml:space="preserve"> 1.投标人在电子交易平台传输递交投标文件后，还可以在投标截止时间前直接提交或者以邮政快递方式递交备份投标文件1份，</w:t>
      </w:r>
      <w:r>
        <w:rPr>
          <w:rFonts w:hint="eastAsia" w:hAnsi="宋体" w:cs="宋体"/>
          <w:b/>
          <w:sz w:val="24"/>
          <w:szCs w:val="24"/>
        </w:rPr>
        <w:t>但</w:t>
      </w:r>
      <w:r>
        <w:rPr>
          <w:rFonts w:hint="eastAsia" w:hAnsi="宋体" w:cs="宋体"/>
          <w:b/>
          <w:sz w:val="24"/>
          <w:szCs w:val="24"/>
          <w:lang w:eastAsia="zh-CN"/>
        </w:rPr>
        <w:t>招标人</w:t>
      </w:r>
      <w:r>
        <w:rPr>
          <w:rFonts w:hint="eastAsia" w:hAnsi="宋体" w:cs="宋体"/>
          <w:b/>
          <w:sz w:val="24"/>
          <w:szCs w:val="24"/>
        </w:rPr>
        <w:t>、</w:t>
      </w:r>
      <w:r>
        <w:rPr>
          <w:rFonts w:hint="eastAsia" w:hAnsi="宋体" w:cs="宋体"/>
          <w:b/>
          <w:sz w:val="24"/>
          <w:szCs w:val="24"/>
          <w:lang w:eastAsia="zh-CN"/>
        </w:rPr>
        <w:t>招标代理机构</w:t>
      </w:r>
      <w:r>
        <w:rPr>
          <w:rFonts w:hint="eastAsia" w:hAnsi="宋体" w:cs="宋体"/>
          <w:b/>
          <w:sz w:val="24"/>
          <w:szCs w:val="24"/>
        </w:rPr>
        <w:t>不强制或变相强制投标人提交备份投标文件。</w:t>
      </w:r>
    </w:p>
    <w:p w14:paraId="5266D35B">
      <w:pPr>
        <w:pStyle w:val="22"/>
        <w:spacing w:line="360" w:lineRule="auto"/>
        <w:ind w:firstLine="480" w:firstLineChars="200"/>
        <w:rPr>
          <w:rFonts w:hint="eastAsia" w:hAnsi="宋体" w:cs="宋体"/>
          <w:b/>
          <w:sz w:val="24"/>
          <w:szCs w:val="24"/>
        </w:rPr>
      </w:pPr>
      <w:r>
        <w:rPr>
          <w:rFonts w:hint="eastAsia" w:hAnsi="宋体" w:cs="宋体"/>
          <w:sz w:val="24"/>
          <w:szCs w:val="24"/>
          <w:lang w:val="en-US" w:eastAsia="zh-CN"/>
        </w:rPr>
        <w:t>2</w:t>
      </w:r>
      <w:r>
        <w:rPr>
          <w:rFonts w:hint="eastAsia" w:hAnsi="宋体" w:cs="宋体"/>
          <w:sz w:val="24"/>
          <w:szCs w:val="24"/>
        </w:rPr>
        <w:t>.备份投标文件须在“政采云投标客户端”制作生成，并储存在</w:t>
      </w:r>
      <w:r>
        <w:rPr>
          <w:rFonts w:hint="eastAsia" w:hAnsi="宋体" w:cs="宋体"/>
          <w:sz w:val="24"/>
        </w:rPr>
        <w:t>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11E2BD5B">
      <w:pPr>
        <w:pStyle w:val="22"/>
        <w:spacing w:line="360" w:lineRule="auto"/>
        <w:ind w:firstLine="480" w:firstLineChars="200"/>
        <w:rPr>
          <w:rFonts w:hint="eastAsia" w:hAnsi="宋体" w:cs="宋体"/>
          <w:sz w:val="24"/>
          <w:szCs w:val="24"/>
        </w:rPr>
      </w:pPr>
      <w:r>
        <w:rPr>
          <w:rFonts w:hint="eastAsia" w:hAnsi="宋体" w:cs="宋体"/>
          <w:sz w:val="24"/>
          <w:szCs w:val="24"/>
          <w:lang w:val="en-US" w:eastAsia="zh-CN"/>
        </w:rPr>
        <w:t>3</w:t>
      </w:r>
      <w:r>
        <w:rPr>
          <w:rFonts w:hint="eastAsia" w:hAnsi="宋体" w:cs="宋体"/>
          <w:sz w:val="24"/>
          <w:szCs w:val="24"/>
        </w:rPr>
        <w:t>.直接提交备份投标文件的，投标人应于投标截止时间前在招标公告中载明的开标地点将备份投标文件提交给</w:t>
      </w:r>
      <w:r>
        <w:rPr>
          <w:rFonts w:hint="eastAsia" w:hAnsi="宋体" w:cs="宋体"/>
          <w:sz w:val="24"/>
          <w:szCs w:val="24"/>
          <w:lang w:eastAsia="zh-CN"/>
        </w:rPr>
        <w:t>招标代理机构</w:t>
      </w:r>
      <w:r>
        <w:rPr>
          <w:rFonts w:hint="eastAsia" w:hAnsi="宋体" w:cs="宋体"/>
          <w:sz w:val="24"/>
          <w:szCs w:val="24"/>
        </w:rPr>
        <w:t>，</w:t>
      </w:r>
      <w:r>
        <w:rPr>
          <w:rFonts w:hint="eastAsia" w:hAnsi="宋体" w:cs="宋体"/>
          <w:sz w:val="24"/>
          <w:szCs w:val="24"/>
          <w:lang w:eastAsia="zh-CN"/>
        </w:rPr>
        <w:t>招标代理机构</w:t>
      </w:r>
      <w:r>
        <w:rPr>
          <w:rFonts w:hint="eastAsia" w:hAnsi="宋体" w:cs="宋体"/>
          <w:sz w:val="24"/>
          <w:szCs w:val="24"/>
        </w:rPr>
        <w:t>拒绝接受逾期送达的备份投标文件。</w:t>
      </w:r>
    </w:p>
    <w:p w14:paraId="663094BF">
      <w:pPr>
        <w:pStyle w:val="22"/>
        <w:spacing w:line="360" w:lineRule="auto"/>
        <w:ind w:firstLine="480" w:firstLineChars="200"/>
        <w:rPr>
          <w:rFonts w:hint="eastAsia" w:hAnsi="宋体" w:cs="宋体"/>
          <w:sz w:val="24"/>
          <w:szCs w:val="24"/>
        </w:rPr>
      </w:pPr>
      <w:r>
        <w:rPr>
          <w:rFonts w:hint="eastAsia" w:hAnsi="宋体" w:cs="宋体"/>
          <w:sz w:val="24"/>
          <w:szCs w:val="24"/>
          <w:lang w:val="en-US" w:eastAsia="zh-CN"/>
        </w:rPr>
        <w:t>4</w:t>
      </w:r>
      <w:r>
        <w:rPr>
          <w:rFonts w:hint="eastAsia" w:hAnsi="宋体" w:cs="宋体"/>
          <w:sz w:val="24"/>
          <w:szCs w:val="24"/>
        </w:rPr>
        <w:t>.以邮政快递方式递交备份投标文件的，投标人应先将备份投标文件按要求密封和标记，再进行邮政快递包装后邮寄。备份投标文件须在投标截止时间之前</w:t>
      </w:r>
      <w:r>
        <w:rPr>
          <w:rFonts w:hint="eastAsia" w:hAnsi="宋体" w:cs="宋体"/>
          <w:sz w:val="24"/>
          <w:szCs w:val="24"/>
          <w:lang w:val="en-US" w:eastAsia="zh-CN"/>
        </w:rPr>
        <w:t>1天</w:t>
      </w:r>
      <w:r>
        <w:rPr>
          <w:rFonts w:hint="eastAsia" w:hAnsi="宋体" w:cs="宋体"/>
          <w:sz w:val="24"/>
          <w:szCs w:val="24"/>
        </w:rPr>
        <w:t>送达</w:t>
      </w:r>
      <w:r>
        <w:rPr>
          <w:rFonts w:hint="eastAsia" w:hAnsi="宋体" w:cs="宋体"/>
          <w:snapToGrid/>
          <w:sz w:val="24"/>
          <w:szCs w:val="24"/>
        </w:rPr>
        <w:t>招标文件</w:t>
      </w:r>
      <w:r>
        <w:rPr>
          <w:rFonts w:hint="eastAsia" w:hAnsi="宋体" w:cs="宋体"/>
          <w:snapToGrid/>
          <w:sz w:val="24"/>
          <w:szCs w:val="24"/>
          <w:lang w:eastAsia="zh-CN"/>
        </w:rPr>
        <w:t>“</w:t>
      </w:r>
      <w:r>
        <w:rPr>
          <w:rFonts w:hint="eastAsia" w:hAnsi="宋体" w:cs="宋体"/>
          <w:snapToGrid/>
          <w:sz w:val="24"/>
          <w:szCs w:val="24"/>
        </w:rPr>
        <w:t>第</w:t>
      </w:r>
      <w:r>
        <w:rPr>
          <w:rFonts w:hint="eastAsia" w:hAnsi="宋体" w:cs="宋体"/>
          <w:snapToGrid/>
          <w:sz w:val="24"/>
          <w:szCs w:val="24"/>
          <w:lang w:eastAsia="zh-CN"/>
        </w:rPr>
        <w:t>三章</w:t>
      </w:r>
      <w:r>
        <w:rPr>
          <w:rFonts w:hint="eastAsia" w:hAnsi="宋体" w:cs="宋体"/>
          <w:snapToGrid/>
          <w:sz w:val="24"/>
          <w:szCs w:val="24"/>
          <w:lang w:val="en-US" w:eastAsia="zh-CN"/>
        </w:rPr>
        <w:t>-</w:t>
      </w:r>
      <w:r>
        <w:rPr>
          <w:rFonts w:hint="eastAsia" w:hAnsi="宋体" w:cs="宋体"/>
          <w:snapToGrid/>
          <w:sz w:val="24"/>
          <w:szCs w:val="24"/>
        </w:rPr>
        <w:t>投标人须知</w:t>
      </w:r>
      <w:r>
        <w:rPr>
          <w:rFonts w:hint="eastAsia" w:hAnsi="宋体" w:cs="宋体"/>
          <w:snapToGrid/>
          <w:sz w:val="24"/>
          <w:szCs w:val="24"/>
          <w:lang w:val="en-US" w:eastAsia="zh-CN"/>
        </w:rPr>
        <w:t>-</w:t>
      </w:r>
      <w:r>
        <w:rPr>
          <w:rFonts w:hint="eastAsia" w:hAnsi="宋体" w:cs="宋体"/>
          <w:snapToGrid/>
          <w:sz w:val="24"/>
          <w:szCs w:val="24"/>
        </w:rPr>
        <w:t>前附表</w:t>
      </w:r>
      <w:r>
        <w:rPr>
          <w:rFonts w:hint="eastAsia" w:hAnsi="宋体" w:cs="宋体"/>
          <w:snapToGrid/>
          <w:sz w:val="24"/>
          <w:szCs w:val="24"/>
          <w:lang w:eastAsia="zh-CN"/>
        </w:rPr>
        <w:t>”</w:t>
      </w:r>
      <w:r>
        <w:rPr>
          <w:rFonts w:hint="eastAsia" w:hAnsi="宋体" w:cs="宋体"/>
          <w:snapToGrid/>
          <w:sz w:val="24"/>
          <w:szCs w:val="24"/>
        </w:rPr>
        <w:t>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招标代理机构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3758EFB0">
      <w:pPr>
        <w:bidi w:val="0"/>
        <w:spacing w:line="360" w:lineRule="auto"/>
        <w:ind w:left="0" w:leftChars="0" w:firstLine="0" w:firstLineChars="0"/>
        <w:rPr>
          <w:rFonts w:hint="eastAsia" w:ascii="宋体" w:hAnsi="宋体" w:eastAsia="宋体" w:cs="宋体"/>
          <w:szCs w:val="24"/>
          <w:highlight w:val="none"/>
        </w:rPr>
      </w:pPr>
      <w:r>
        <w:rPr>
          <w:rFonts w:hint="eastAsia"/>
          <w:b/>
          <w:bCs/>
          <w:lang w:eastAsia="zh-CN"/>
        </w:rPr>
        <w:t>七、</w:t>
      </w:r>
      <w:r>
        <w:rPr>
          <w:rFonts w:hint="eastAsia"/>
          <w:b/>
          <w:bCs/>
        </w:rPr>
        <w:t>投标文件的有效期</w:t>
      </w:r>
    </w:p>
    <w:p w14:paraId="7F7C9663">
      <w:pPr>
        <w:spacing w:line="360" w:lineRule="auto"/>
        <w:ind w:firstLine="480"/>
        <w:rPr>
          <w:rFonts w:hint="eastAsia" w:ascii="宋体" w:hAnsi="宋体" w:eastAsia="宋体" w:cs="宋体"/>
          <w:highlight w:val="none"/>
        </w:rPr>
      </w:pPr>
      <w:r>
        <w:rPr>
          <w:rFonts w:hint="eastAsia" w:ascii="宋体" w:hAnsi="宋体" w:eastAsia="宋体" w:cs="宋体"/>
          <w:highlight w:val="none"/>
        </w:rPr>
        <w:t>1</w:t>
      </w:r>
      <w:r>
        <w:rPr>
          <w:rFonts w:hint="eastAsia" w:cs="宋体"/>
          <w:highlight w:val="none"/>
          <w:lang w:eastAsia="zh-CN"/>
        </w:rPr>
        <w:t>.</w:t>
      </w:r>
      <w:r>
        <w:rPr>
          <w:rFonts w:hint="eastAsia" w:ascii="宋体" w:hAnsi="宋体" w:eastAsia="宋体" w:cs="宋体"/>
          <w:highlight w:val="none"/>
        </w:rPr>
        <w:t>投标文件有效期按“</w:t>
      </w:r>
      <w:r>
        <w:rPr>
          <w:rFonts w:hint="eastAsia" w:cs="宋体"/>
          <w:highlight w:val="none"/>
          <w:lang w:eastAsia="zh-CN"/>
        </w:rPr>
        <w:t>投标人</w:t>
      </w:r>
      <w:r>
        <w:rPr>
          <w:rFonts w:hint="eastAsia" w:ascii="宋体" w:hAnsi="宋体" w:eastAsia="宋体" w:cs="宋体"/>
          <w:highlight w:val="none"/>
        </w:rPr>
        <w:t>须知</w:t>
      </w:r>
      <w:r>
        <w:rPr>
          <w:rFonts w:hint="eastAsia" w:cs="宋体"/>
          <w:highlight w:val="none"/>
          <w:lang w:val="en-US" w:eastAsia="zh-CN"/>
        </w:rPr>
        <w:t>-</w:t>
      </w:r>
      <w:r>
        <w:rPr>
          <w:rFonts w:hint="eastAsia" w:ascii="宋体" w:hAnsi="宋体" w:eastAsia="宋体" w:cs="宋体"/>
          <w:highlight w:val="none"/>
        </w:rPr>
        <w:t>前附表</w:t>
      </w:r>
      <w:r>
        <w:rPr>
          <w:rFonts w:hint="eastAsia" w:cs="宋体"/>
          <w:highlight w:val="none"/>
          <w:lang w:val="en-US" w:eastAsia="zh-CN"/>
        </w:rPr>
        <w:t>-第12项</w:t>
      </w:r>
      <w:r>
        <w:rPr>
          <w:rFonts w:hint="eastAsia" w:ascii="宋体" w:hAnsi="宋体" w:eastAsia="宋体" w:cs="宋体"/>
          <w:highlight w:val="none"/>
        </w:rPr>
        <w:t>”规定，投标文件应在该有效期内保持有效。合同签订后，投标文件作为合同附件，投标文件有效期同合同有效期。</w:t>
      </w:r>
    </w:p>
    <w:p w14:paraId="5C132D34">
      <w:pPr>
        <w:spacing w:line="360" w:lineRule="auto"/>
        <w:ind w:firstLine="480"/>
        <w:rPr>
          <w:rFonts w:hint="eastAsia" w:ascii="宋体" w:hAnsi="宋体" w:eastAsia="宋体" w:cs="宋体"/>
          <w:highlight w:val="none"/>
        </w:rPr>
      </w:pPr>
      <w:r>
        <w:rPr>
          <w:rFonts w:hint="eastAsia" w:ascii="宋体" w:hAnsi="宋体" w:eastAsia="宋体" w:cs="宋体"/>
          <w:highlight w:val="none"/>
        </w:rPr>
        <w:t>2</w:t>
      </w:r>
      <w:r>
        <w:rPr>
          <w:rFonts w:hint="eastAsia" w:cs="宋体"/>
          <w:highlight w:val="none"/>
          <w:lang w:eastAsia="zh-CN"/>
        </w:rPr>
        <w:t>.</w:t>
      </w:r>
      <w:r>
        <w:rPr>
          <w:rFonts w:hint="eastAsia" w:ascii="宋体" w:hAnsi="宋体" w:eastAsia="宋体" w:cs="宋体"/>
          <w:highlight w:val="none"/>
        </w:rPr>
        <w:t>在特殊情况下，</w:t>
      </w:r>
      <w:r>
        <w:rPr>
          <w:rFonts w:hint="eastAsia" w:cs="宋体"/>
          <w:highlight w:val="none"/>
          <w:lang w:eastAsia="zh-CN"/>
        </w:rPr>
        <w:t>招标人</w:t>
      </w:r>
      <w:r>
        <w:rPr>
          <w:rFonts w:hint="eastAsia" w:ascii="宋体" w:hAnsi="宋体" w:eastAsia="宋体" w:cs="宋体"/>
          <w:highlight w:val="none"/>
        </w:rPr>
        <w:t>可与供应商协商延长投标文件有效期，这种要求和答复均应以书面形式进行。</w:t>
      </w:r>
    </w:p>
    <w:p w14:paraId="3A72B795">
      <w:pPr>
        <w:spacing w:line="360" w:lineRule="auto"/>
        <w:ind w:firstLine="480"/>
        <w:rPr>
          <w:rFonts w:hint="eastAsia" w:ascii="宋体" w:hAnsi="宋体" w:eastAsia="宋体" w:cs="宋体"/>
          <w:highlight w:val="none"/>
        </w:rPr>
      </w:pPr>
      <w:r>
        <w:rPr>
          <w:rFonts w:hint="eastAsia" w:ascii="宋体" w:hAnsi="宋体" w:eastAsia="宋体" w:cs="宋体"/>
          <w:highlight w:val="none"/>
        </w:rPr>
        <w:t>3</w:t>
      </w:r>
      <w:r>
        <w:rPr>
          <w:rFonts w:hint="eastAsia" w:cs="宋体"/>
          <w:highlight w:val="none"/>
          <w:lang w:eastAsia="zh-CN"/>
        </w:rPr>
        <w:t>.</w:t>
      </w:r>
      <w:r>
        <w:rPr>
          <w:rFonts w:hint="eastAsia" w:ascii="宋体" w:hAnsi="宋体" w:eastAsia="宋体" w:cs="宋体"/>
          <w:highlight w:val="none"/>
        </w:rPr>
        <w:t>同意延长有效期的供应商不能修改投标文件。</w:t>
      </w:r>
    </w:p>
    <w:p w14:paraId="7270DD83">
      <w:pPr>
        <w:bidi w:val="0"/>
        <w:rPr>
          <w:rFonts w:hint="eastAsia"/>
        </w:rPr>
      </w:pPr>
    </w:p>
    <w:p w14:paraId="186B8C17">
      <w:pPr>
        <w:pStyle w:val="3"/>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第四节 </w:t>
      </w:r>
      <w:r>
        <w:rPr>
          <w:rFonts w:hint="eastAsia" w:ascii="宋体" w:hAnsi="宋体" w:cs="宋体"/>
          <w:sz w:val="24"/>
          <w:szCs w:val="24"/>
          <w:lang w:val="en-US" w:eastAsia="zh-CN"/>
        </w:rPr>
        <w:t xml:space="preserve"> </w:t>
      </w:r>
      <w:r>
        <w:rPr>
          <w:rFonts w:hint="eastAsia" w:ascii="宋体" w:hAnsi="宋体" w:eastAsia="宋体" w:cs="宋体"/>
          <w:sz w:val="24"/>
          <w:szCs w:val="24"/>
        </w:rPr>
        <w:t>投标文件的</w:t>
      </w:r>
      <w:r>
        <w:rPr>
          <w:rFonts w:hint="eastAsia" w:ascii="宋体" w:hAnsi="宋体" w:cs="宋体"/>
          <w:sz w:val="24"/>
          <w:szCs w:val="24"/>
          <w:lang w:eastAsia="zh-CN"/>
        </w:rPr>
        <w:t>提</w:t>
      </w:r>
      <w:r>
        <w:rPr>
          <w:rFonts w:hint="eastAsia" w:ascii="宋体" w:hAnsi="宋体" w:eastAsia="宋体" w:cs="宋体"/>
          <w:sz w:val="24"/>
          <w:szCs w:val="24"/>
        </w:rPr>
        <w:t>交</w:t>
      </w:r>
      <w:bookmarkEnd w:id="57"/>
      <w:bookmarkEnd w:id="58"/>
    </w:p>
    <w:p w14:paraId="2645693B">
      <w:pPr>
        <w:bidi w:val="0"/>
        <w:spacing w:line="360" w:lineRule="auto"/>
        <w:ind w:left="0" w:leftChars="0" w:firstLine="0" w:firstLineChars="0"/>
        <w:rPr>
          <w:rFonts w:hint="eastAsia" w:cs="宋体"/>
          <w:szCs w:val="24"/>
          <w:lang w:eastAsia="zh-CN"/>
        </w:rPr>
      </w:pPr>
      <w:r>
        <w:rPr>
          <w:rFonts w:hint="eastAsia"/>
          <w:b/>
          <w:bCs/>
        </w:rPr>
        <w:t>一、投标文件的</w:t>
      </w:r>
      <w:r>
        <w:rPr>
          <w:rFonts w:hint="eastAsia"/>
          <w:b/>
          <w:bCs/>
          <w:lang w:eastAsia="zh-CN"/>
        </w:rPr>
        <w:t>上传和提交</w:t>
      </w:r>
    </w:p>
    <w:p w14:paraId="4723DD64">
      <w:pPr>
        <w:spacing w:line="360" w:lineRule="auto"/>
        <w:ind w:firstLine="480"/>
        <w:rPr>
          <w:rFonts w:hint="eastAsia" w:ascii="宋体" w:hAnsi="宋体" w:eastAsia="宋体" w:cs="宋体"/>
          <w:highlight w:val="none"/>
        </w:rPr>
      </w:pPr>
      <w:r>
        <w:rPr>
          <w:rFonts w:hint="eastAsia" w:cs="宋体"/>
          <w:highlight w:val="none"/>
          <w:lang w:eastAsia="zh-CN"/>
        </w:rPr>
        <w:t>详</w:t>
      </w:r>
      <w:r>
        <w:rPr>
          <w:rFonts w:hint="eastAsia" w:ascii="宋体" w:hAnsi="宋体" w:eastAsia="宋体" w:cs="宋体"/>
          <w:highlight w:val="none"/>
        </w:rPr>
        <w:t>见</w:t>
      </w:r>
      <w:r>
        <w:rPr>
          <w:rFonts w:hint="eastAsia" w:cs="宋体"/>
          <w:highlight w:val="none"/>
          <w:lang w:eastAsia="zh-CN"/>
        </w:rPr>
        <w:t>“投标人</w:t>
      </w:r>
      <w:r>
        <w:rPr>
          <w:rFonts w:hint="eastAsia" w:ascii="宋体" w:hAnsi="宋体" w:eastAsia="宋体" w:cs="宋体"/>
          <w:highlight w:val="none"/>
        </w:rPr>
        <w:t>须知</w:t>
      </w:r>
      <w:r>
        <w:rPr>
          <w:rFonts w:hint="eastAsia" w:cs="宋体"/>
          <w:highlight w:val="none"/>
          <w:lang w:val="en-US" w:eastAsia="zh-CN"/>
        </w:rPr>
        <w:t>-</w:t>
      </w:r>
      <w:r>
        <w:rPr>
          <w:rFonts w:hint="eastAsia" w:ascii="宋体" w:hAnsi="宋体" w:eastAsia="宋体" w:cs="宋体"/>
          <w:highlight w:val="none"/>
        </w:rPr>
        <w:t>前附表</w:t>
      </w:r>
      <w:r>
        <w:rPr>
          <w:rFonts w:hint="eastAsia" w:cs="宋体"/>
          <w:highlight w:val="none"/>
          <w:lang w:val="en-US" w:eastAsia="zh-CN"/>
        </w:rPr>
        <w:t>-第10项</w:t>
      </w:r>
      <w:r>
        <w:rPr>
          <w:rFonts w:hint="eastAsia" w:cs="宋体"/>
          <w:highlight w:val="none"/>
          <w:lang w:eastAsia="zh-CN"/>
        </w:rPr>
        <w:t>”</w:t>
      </w:r>
      <w:r>
        <w:rPr>
          <w:rFonts w:hint="eastAsia" w:ascii="宋体" w:hAnsi="宋体" w:eastAsia="宋体" w:cs="宋体"/>
          <w:highlight w:val="none"/>
        </w:rPr>
        <w:t>。</w:t>
      </w:r>
    </w:p>
    <w:p w14:paraId="339EA1B6">
      <w:pPr>
        <w:bidi w:val="0"/>
        <w:spacing w:line="360" w:lineRule="auto"/>
        <w:ind w:left="0" w:leftChars="0" w:firstLine="0" w:firstLineChars="0"/>
        <w:rPr>
          <w:rFonts w:hint="eastAsia" w:ascii="宋体" w:hAnsi="宋体" w:eastAsia="宋体" w:cs="宋体"/>
          <w:szCs w:val="24"/>
        </w:rPr>
      </w:pPr>
      <w:r>
        <w:rPr>
          <w:rFonts w:hint="eastAsia"/>
          <w:b/>
          <w:bCs/>
        </w:rPr>
        <w:t>二、投标文件的补充、修改</w:t>
      </w:r>
      <w:r>
        <w:rPr>
          <w:rFonts w:hint="eastAsia"/>
          <w:b/>
          <w:bCs/>
          <w:lang w:eastAsia="zh-CN"/>
        </w:rPr>
        <w:t>、</w:t>
      </w:r>
      <w:r>
        <w:rPr>
          <w:rFonts w:hint="eastAsia"/>
          <w:b/>
          <w:bCs/>
        </w:rPr>
        <w:t>撤回</w:t>
      </w:r>
    </w:p>
    <w:p w14:paraId="06A2610C">
      <w:pPr>
        <w:bidi w:val="0"/>
        <w:spacing w:line="360" w:lineRule="auto"/>
        <w:rPr>
          <w:rFonts w:hint="eastAsia"/>
        </w:rPr>
      </w:pPr>
      <w:bookmarkStart w:id="59" w:name="_Toc20835"/>
      <w:bookmarkStart w:id="60" w:name="_Toc27893"/>
      <w:r>
        <w:rPr>
          <w:rFonts w:hint="eastAsia"/>
        </w:rPr>
        <w:t>1.投标人应当在投标截止时间前完成投标文件的</w:t>
      </w:r>
      <w:r>
        <w:rPr>
          <w:rFonts w:hint="eastAsia"/>
          <w:lang w:eastAsia="zh-CN"/>
        </w:rPr>
        <w:t>上传提</w:t>
      </w:r>
      <w:r>
        <w:rPr>
          <w:rFonts w:hint="eastAsia"/>
        </w:rPr>
        <w:t>交，并可以补充、修改或者撤回投标文件。补充或者修改投标文件的，应当先行撤回原文件，补充、修改后重新</w:t>
      </w:r>
      <w:r>
        <w:rPr>
          <w:rFonts w:hint="eastAsia"/>
          <w:lang w:eastAsia="zh-CN"/>
        </w:rPr>
        <w:t>上传提</w:t>
      </w:r>
      <w:r>
        <w:rPr>
          <w:rFonts w:hint="eastAsia"/>
        </w:rPr>
        <w:t>交。投标截止时间后</w:t>
      </w:r>
      <w:r>
        <w:rPr>
          <w:rFonts w:hint="eastAsia"/>
          <w:lang w:eastAsia="zh-CN"/>
        </w:rPr>
        <w:t>提</w:t>
      </w:r>
      <w:r>
        <w:rPr>
          <w:rFonts w:hint="eastAsia"/>
        </w:rPr>
        <w:t>交的投标文件，电子交易平台将拒收。</w:t>
      </w:r>
    </w:p>
    <w:p w14:paraId="6B22F804">
      <w:pPr>
        <w:bidi w:val="0"/>
        <w:spacing w:line="360" w:lineRule="auto"/>
        <w:rPr>
          <w:rFonts w:hint="eastAsia"/>
        </w:rPr>
      </w:pPr>
      <w:r>
        <w:rPr>
          <w:rFonts w:hint="eastAsia"/>
          <w:lang w:val="en-US" w:eastAsia="zh-CN"/>
        </w:rPr>
        <w:t>2</w:t>
      </w:r>
      <w:r>
        <w:rPr>
          <w:rFonts w:hint="eastAsia"/>
        </w:rPr>
        <w:t>.电子交易平台收到投标文件，将妥善保存并即时向投标人发出确认回执通知。在投标截止时间前，除投标人补充、修改或者撤回投标文件外，任何单位和个人不得解密或提取投标文件。</w:t>
      </w:r>
    </w:p>
    <w:p w14:paraId="5C9B2B1D">
      <w:pPr>
        <w:bidi w:val="0"/>
        <w:spacing w:line="360" w:lineRule="auto"/>
        <w:rPr>
          <w:rFonts w:hint="eastAsia"/>
        </w:rPr>
      </w:pPr>
      <w:r>
        <w:rPr>
          <w:rFonts w:hint="eastAsia"/>
          <w:lang w:val="en-US" w:eastAsia="zh-CN"/>
        </w:rPr>
        <w:t>3</w:t>
      </w:r>
      <w:r>
        <w:rPr>
          <w:rFonts w:hint="eastAsia"/>
        </w:rPr>
        <w:t>.</w:t>
      </w:r>
      <w:r>
        <w:rPr>
          <w:rFonts w:hint="eastAsia"/>
          <w:lang w:eastAsia="zh-CN"/>
        </w:rPr>
        <w:t>招标人</w:t>
      </w:r>
      <w:r>
        <w:rPr>
          <w:rFonts w:hint="eastAsia"/>
        </w:rPr>
        <w:t>、</w:t>
      </w:r>
      <w:r>
        <w:rPr>
          <w:rFonts w:hint="eastAsia"/>
          <w:lang w:eastAsia="zh-CN"/>
        </w:rPr>
        <w:t>招标代理机构</w:t>
      </w:r>
      <w:r>
        <w:rPr>
          <w:rFonts w:hint="eastAsia"/>
        </w:rPr>
        <w:t>可以视情况延长投标文件提交的截止时间。在上述情况下，</w:t>
      </w:r>
      <w:r>
        <w:rPr>
          <w:rFonts w:hint="eastAsia"/>
          <w:lang w:eastAsia="zh-CN"/>
        </w:rPr>
        <w:t>招标代理机构</w:t>
      </w:r>
      <w:r>
        <w:rPr>
          <w:rFonts w:hint="eastAsia"/>
        </w:rPr>
        <w:t>与投标人以前在投标截止期方面的全部权利、责任和义务，将适用于延长至新的投标截止期。</w:t>
      </w:r>
    </w:p>
    <w:p w14:paraId="00F084B2">
      <w:pPr>
        <w:ind w:firstLine="480"/>
        <w:rPr>
          <w:rFonts w:hint="eastAsia" w:ascii="宋体" w:hAnsi="宋体" w:eastAsia="宋体" w:cs="宋体"/>
        </w:rPr>
      </w:pPr>
    </w:p>
    <w:p w14:paraId="49B32CC5">
      <w:pPr>
        <w:pStyle w:val="3"/>
        <w:spacing w:line="360" w:lineRule="auto"/>
        <w:jc w:val="center"/>
        <w:rPr>
          <w:rFonts w:hint="eastAsia" w:ascii="宋体" w:hAnsi="宋体" w:eastAsia="宋体" w:cs="宋体"/>
          <w:sz w:val="24"/>
          <w:szCs w:val="24"/>
        </w:rPr>
      </w:pPr>
      <w:r>
        <w:rPr>
          <w:rFonts w:hint="eastAsia" w:ascii="宋体" w:hAnsi="宋体" w:eastAsia="宋体" w:cs="宋体"/>
          <w:sz w:val="24"/>
          <w:szCs w:val="24"/>
        </w:rPr>
        <w:t xml:space="preserve">第五节 </w:t>
      </w:r>
      <w:r>
        <w:rPr>
          <w:rFonts w:hint="eastAsia" w:ascii="宋体" w:hAnsi="宋体" w:cs="宋体"/>
          <w:sz w:val="24"/>
          <w:szCs w:val="24"/>
          <w:lang w:val="en-US" w:eastAsia="zh-CN"/>
        </w:rPr>
        <w:t xml:space="preserve"> </w:t>
      </w:r>
      <w:r>
        <w:rPr>
          <w:rFonts w:hint="eastAsia" w:ascii="宋体" w:hAnsi="宋体" w:eastAsia="宋体" w:cs="宋体"/>
          <w:sz w:val="24"/>
          <w:szCs w:val="24"/>
        </w:rPr>
        <w:t>开</w:t>
      </w:r>
      <w:r>
        <w:rPr>
          <w:rFonts w:hint="eastAsia" w:ascii="宋体" w:hAnsi="宋体" w:cs="宋体"/>
          <w:sz w:val="24"/>
          <w:szCs w:val="24"/>
          <w:lang w:val="en-US" w:eastAsia="zh-CN"/>
        </w:rPr>
        <w:t xml:space="preserve"> </w:t>
      </w:r>
      <w:r>
        <w:rPr>
          <w:rFonts w:hint="eastAsia" w:ascii="宋体" w:hAnsi="宋体" w:eastAsia="宋体" w:cs="宋体"/>
          <w:sz w:val="24"/>
          <w:szCs w:val="24"/>
        </w:rPr>
        <w:t>标</w:t>
      </w:r>
      <w:bookmarkEnd w:id="59"/>
      <w:bookmarkEnd w:id="60"/>
    </w:p>
    <w:p w14:paraId="27BA0D39">
      <w:pPr>
        <w:bidi w:val="0"/>
        <w:spacing w:line="360" w:lineRule="auto"/>
        <w:ind w:left="0" w:leftChars="0" w:firstLine="0" w:firstLineChars="0"/>
        <w:rPr>
          <w:rFonts w:hint="eastAsia" w:ascii="宋体" w:hAnsi="宋体" w:eastAsia="宋体" w:cs="宋体"/>
          <w:szCs w:val="24"/>
        </w:rPr>
      </w:pPr>
      <w:r>
        <w:rPr>
          <w:rFonts w:hint="eastAsia"/>
          <w:b/>
          <w:bCs/>
        </w:rPr>
        <w:t>一、开标流程</w:t>
      </w:r>
    </w:p>
    <w:p w14:paraId="211E3363">
      <w:pPr>
        <w:spacing w:line="360" w:lineRule="auto"/>
        <w:rPr>
          <w:rFonts w:hint="eastAsia" w:cs="宋体"/>
          <w:b/>
          <w:bCs/>
          <w:szCs w:val="24"/>
          <w:lang w:val="en-US" w:eastAsia="zh-CN"/>
        </w:rPr>
      </w:pPr>
      <w:r>
        <w:rPr>
          <w:rFonts w:hint="eastAsia" w:cs="宋体"/>
          <w:b/>
          <w:bCs/>
          <w:szCs w:val="24"/>
          <w:lang w:val="en-US" w:eastAsia="zh-CN"/>
        </w:rPr>
        <w:t>1.开标准备</w:t>
      </w:r>
    </w:p>
    <w:p w14:paraId="14D2EC4A">
      <w:pPr>
        <w:pStyle w:val="5"/>
        <w:spacing w:line="360" w:lineRule="auto"/>
        <w:rPr>
          <w:rFonts w:hint="eastAsia" w:ascii="宋体" w:hAnsi="宋体" w:eastAsia="宋体" w:cs="宋体"/>
          <w:b w:val="0"/>
          <w:bCs w:val="0"/>
          <w:highlight w:val="none"/>
        </w:rPr>
      </w:pPr>
      <w:r>
        <w:rPr>
          <w:rFonts w:hint="eastAsia" w:cs="宋体"/>
          <w:b w:val="0"/>
          <w:bCs w:val="0"/>
          <w:highlight w:val="none"/>
          <w:lang w:eastAsia="zh-CN"/>
        </w:rPr>
        <w:t>招标代理机构</w:t>
      </w:r>
      <w:r>
        <w:rPr>
          <w:rFonts w:hint="eastAsia" w:ascii="宋体" w:hAnsi="宋体" w:eastAsia="宋体" w:cs="宋体"/>
          <w:b w:val="0"/>
          <w:bCs w:val="0"/>
          <w:highlight w:val="none"/>
        </w:rPr>
        <w:t>将按照</w:t>
      </w:r>
      <w:r>
        <w:rPr>
          <w:rFonts w:hint="eastAsia" w:cs="宋体"/>
          <w:b w:val="0"/>
          <w:bCs w:val="0"/>
          <w:highlight w:val="none"/>
          <w:lang w:eastAsia="zh-CN"/>
        </w:rPr>
        <w:t>招标文件</w:t>
      </w:r>
      <w:r>
        <w:rPr>
          <w:rFonts w:hint="eastAsia" w:ascii="宋体" w:hAnsi="宋体" w:eastAsia="宋体" w:cs="宋体"/>
          <w:b w:val="0"/>
          <w:bCs w:val="0"/>
          <w:highlight w:val="none"/>
        </w:rPr>
        <w:t>规定的时间通过浙江政府采购网组织开标、开启电子加密投标文件，所有供应商均应当准时在线参加。供应商如不参加开标大会的，视同认可开标结果，事后不得对采购相关人员、开标过程和开标结果提出异议，同时供应商因未在线参加开标而导致电子加密投标文件无法按时解密等一切后果由供应商自己承担。</w:t>
      </w:r>
    </w:p>
    <w:p w14:paraId="35DB55E9">
      <w:pPr>
        <w:numPr>
          <w:ilvl w:val="0"/>
          <w:numId w:val="0"/>
        </w:numPr>
        <w:spacing w:line="360" w:lineRule="auto"/>
        <w:ind w:firstLine="482" w:firstLineChars="200"/>
        <w:rPr>
          <w:rFonts w:hint="eastAsia" w:cs="宋体"/>
          <w:b/>
          <w:bCs/>
          <w:highlight w:val="none"/>
          <w:lang w:val="en-US" w:eastAsia="zh-CN"/>
        </w:rPr>
      </w:pPr>
      <w:r>
        <w:rPr>
          <w:rFonts w:hint="eastAsia" w:cs="宋体"/>
          <w:b/>
          <w:bCs/>
          <w:highlight w:val="none"/>
          <w:lang w:val="en-US" w:eastAsia="zh-CN"/>
        </w:rPr>
        <w:t>2.开标流程（两阶段）</w:t>
      </w:r>
    </w:p>
    <w:p w14:paraId="1EA1D750">
      <w:pPr>
        <w:spacing w:line="360" w:lineRule="auto"/>
        <w:ind w:firstLine="480"/>
        <w:rPr>
          <w:rFonts w:hint="eastAsia" w:ascii="宋体" w:hAnsi="宋体" w:eastAsia="宋体" w:cs="宋体"/>
          <w:highlight w:val="none"/>
        </w:rPr>
      </w:pPr>
      <w:r>
        <w:rPr>
          <w:rFonts w:hint="eastAsia" w:ascii="宋体" w:hAnsi="宋体" w:eastAsia="宋体" w:cs="宋体"/>
          <w:highlight w:val="none"/>
        </w:rPr>
        <w:t>2.1 开标第一阶段</w:t>
      </w:r>
    </w:p>
    <w:p w14:paraId="440B6AF6">
      <w:pPr>
        <w:spacing w:line="360" w:lineRule="auto"/>
        <w:ind w:left="0" w:leftChars="0" w:firstLine="480" w:firstLineChars="200"/>
        <w:rPr>
          <w:rFonts w:hint="eastAsia" w:ascii="宋体" w:hAnsi="宋体" w:eastAsia="宋体" w:cs="宋体"/>
          <w:highlight w:val="none"/>
        </w:rPr>
      </w:pPr>
      <w:r>
        <w:rPr>
          <w:rFonts w:hint="eastAsia" w:cs="宋体"/>
          <w:highlight w:val="none"/>
          <w:lang w:val="en-US" w:eastAsia="zh-CN"/>
        </w:rPr>
        <w:t xml:space="preserve">2.1.1 </w:t>
      </w:r>
      <w:r>
        <w:rPr>
          <w:rFonts w:hint="eastAsia" w:cs="宋体"/>
          <w:highlight w:val="none"/>
          <w:lang w:eastAsia="zh-CN"/>
        </w:rPr>
        <w:t>招标代理机构</w:t>
      </w:r>
      <w:r>
        <w:rPr>
          <w:rFonts w:hint="eastAsia" w:ascii="宋体" w:hAnsi="宋体" w:eastAsia="宋体" w:cs="宋体"/>
          <w:highlight w:val="none"/>
        </w:rPr>
        <w:t>开始解密，供应商在规定的时间内进行电子加密投标文件解密。</w:t>
      </w:r>
    </w:p>
    <w:p w14:paraId="0035A120">
      <w:pPr>
        <w:spacing w:line="360" w:lineRule="auto"/>
        <w:rPr>
          <w:rFonts w:hint="eastAsia" w:ascii="宋体" w:hAnsi="宋体" w:eastAsia="宋体" w:cs="宋体"/>
          <w:highlight w:val="none"/>
        </w:rPr>
      </w:pPr>
      <w:r>
        <w:rPr>
          <w:rFonts w:hint="eastAsia" w:cs="宋体"/>
          <w:highlight w:val="none"/>
          <w:lang w:val="en-US" w:eastAsia="zh-CN"/>
        </w:rPr>
        <w:t xml:space="preserve">2.1.2 </w:t>
      </w:r>
      <w:r>
        <w:rPr>
          <w:rFonts w:hint="eastAsia" w:ascii="宋体" w:hAnsi="宋体" w:eastAsia="宋体" w:cs="宋体"/>
          <w:highlight w:val="none"/>
        </w:rPr>
        <w:t>解密时间为开标后30分钟内。</w:t>
      </w:r>
    </w:p>
    <w:p w14:paraId="0D709283">
      <w:pPr>
        <w:spacing w:line="360" w:lineRule="auto"/>
        <w:rPr>
          <w:rFonts w:hint="eastAsia" w:ascii="宋体" w:hAnsi="宋体" w:eastAsia="宋体" w:cs="宋体"/>
          <w:highlight w:val="none"/>
        </w:rPr>
      </w:pPr>
      <w:r>
        <w:rPr>
          <w:rFonts w:hint="eastAsia" w:cs="宋体"/>
          <w:highlight w:val="none"/>
          <w:lang w:val="en-US" w:eastAsia="zh-CN"/>
        </w:rPr>
        <w:t xml:space="preserve">2.1.3 </w:t>
      </w:r>
      <w:r>
        <w:rPr>
          <w:rFonts w:hint="eastAsia" w:ascii="宋体" w:hAnsi="宋体" w:eastAsia="宋体" w:cs="宋体"/>
          <w:highlight w:val="none"/>
        </w:rPr>
        <w:t>解密失败的异常处理：供应商在规定的时间内无法完成已递交的电子加密投标文件解密的，如已按规定递交了备份投标文件的，将由</w:t>
      </w:r>
      <w:r>
        <w:rPr>
          <w:rFonts w:hint="eastAsia" w:cs="宋体"/>
          <w:highlight w:val="none"/>
          <w:lang w:eastAsia="zh-CN"/>
        </w:rPr>
        <w:t>招标代理机构</w:t>
      </w:r>
      <w:r>
        <w:rPr>
          <w:rFonts w:hint="eastAsia" w:ascii="宋体" w:hAnsi="宋体" w:eastAsia="宋体" w:cs="宋体"/>
          <w:highlight w:val="none"/>
        </w:rPr>
        <w:t>将备份投标文件上传至浙江政府采购网，上传成功后，原电子加密投标文件自动失效。</w:t>
      </w:r>
    </w:p>
    <w:p w14:paraId="21BA6F1A">
      <w:pPr>
        <w:spacing w:line="360" w:lineRule="auto"/>
        <w:rPr>
          <w:rFonts w:hint="eastAsia" w:ascii="宋体" w:hAnsi="宋体" w:eastAsia="宋体" w:cs="宋体"/>
          <w:highlight w:val="none"/>
        </w:rPr>
      </w:pPr>
      <w:r>
        <w:rPr>
          <w:rFonts w:hint="eastAsia" w:cs="宋体"/>
          <w:highlight w:val="none"/>
          <w:lang w:val="en-US" w:eastAsia="zh-CN"/>
        </w:rPr>
        <w:t xml:space="preserve">2.1.4 </w:t>
      </w:r>
      <w:r>
        <w:rPr>
          <w:rFonts w:hint="eastAsia" w:ascii="宋体" w:hAnsi="宋体" w:eastAsia="宋体" w:cs="宋体"/>
          <w:highlight w:val="none"/>
        </w:rPr>
        <w:t>第一阶段开标结束。</w:t>
      </w:r>
    </w:p>
    <w:p w14:paraId="7ADF93CA">
      <w:pPr>
        <w:spacing w:line="360" w:lineRule="auto"/>
        <w:rPr>
          <w:rFonts w:hint="eastAsia" w:ascii="宋体" w:hAnsi="宋体" w:eastAsia="宋体" w:cs="宋体"/>
          <w:highlight w:val="none"/>
        </w:rPr>
      </w:pPr>
      <w:r>
        <w:rPr>
          <w:rFonts w:hint="eastAsia" w:cs="宋体"/>
          <w:highlight w:val="none"/>
          <w:lang w:val="en-US" w:eastAsia="zh-CN"/>
        </w:rPr>
        <w:t xml:space="preserve">2.1.5 </w:t>
      </w:r>
      <w:r>
        <w:rPr>
          <w:rFonts w:hint="eastAsia" w:ascii="宋体" w:hAnsi="宋体" w:eastAsia="宋体" w:cs="宋体"/>
          <w:highlight w:val="none"/>
        </w:rPr>
        <w:t>转入</w:t>
      </w:r>
      <w:r>
        <w:rPr>
          <w:rFonts w:hint="eastAsia" w:cs="宋体"/>
          <w:highlight w:val="none"/>
          <w:lang w:eastAsia="zh-CN"/>
        </w:rPr>
        <w:t>资格文件</w:t>
      </w:r>
      <w:r>
        <w:rPr>
          <w:rFonts w:hint="eastAsia" w:ascii="宋体" w:hAnsi="宋体" w:eastAsia="宋体" w:cs="宋体"/>
          <w:highlight w:val="none"/>
        </w:rPr>
        <w:t>和商务技术文件评审。</w:t>
      </w:r>
    </w:p>
    <w:p w14:paraId="532D6B2D">
      <w:pPr>
        <w:spacing w:line="360" w:lineRule="auto"/>
        <w:rPr>
          <w:rFonts w:hint="eastAsia" w:ascii="宋体" w:hAnsi="宋体" w:eastAsia="宋体" w:cs="宋体"/>
          <w:highlight w:val="none"/>
        </w:rPr>
      </w:pPr>
      <w:r>
        <w:rPr>
          <w:rFonts w:hint="eastAsia" w:ascii="宋体" w:hAnsi="宋体" w:eastAsia="宋体" w:cs="宋体"/>
          <w:highlight w:val="none"/>
        </w:rPr>
        <w:t>2.2 开标第二阶段</w:t>
      </w:r>
    </w:p>
    <w:p w14:paraId="1E6696E8">
      <w:pPr>
        <w:spacing w:line="360" w:lineRule="auto"/>
        <w:rPr>
          <w:rFonts w:hint="eastAsia" w:ascii="宋体" w:hAnsi="宋体" w:eastAsia="宋体" w:cs="宋体"/>
          <w:highlight w:val="none"/>
        </w:rPr>
      </w:pPr>
      <w:r>
        <w:rPr>
          <w:rFonts w:hint="eastAsia" w:cs="宋体"/>
          <w:highlight w:val="none"/>
          <w:lang w:val="en-US" w:eastAsia="zh-CN"/>
        </w:rPr>
        <w:t xml:space="preserve">2.2.1 </w:t>
      </w:r>
      <w:r>
        <w:rPr>
          <w:rFonts w:hint="eastAsia" w:cs="宋体"/>
          <w:highlight w:val="none"/>
          <w:lang w:eastAsia="zh-CN"/>
        </w:rPr>
        <w:t>资格文件</w:t>
      </w:r>
      <w:r>
        <w:rPr>
          <w:rFonts w:hint="eastAsia" w:ascii="宋体" w:hAnsi="宋体" w:eastAsia="宋体" w:cs="宋体"/>
          <w:highlight w:val="none"/>
        </w:rPr>
        <w:t>和商务技术文件评审结束后，进入开标大会第二阶段。公布无效供应商名称及理由，同时公布有效供应商的商务技术部分得分情况。</w:t>
      </w:r>
    </w:p>
    <w:p w14:paraId="4FD227D6">
      <w:pPr>
        <w:spacing w:line="360" w:lineRule="auto"/>
        <w:rPr>
          <w:rFonts w:hint="eastAsia" w:ascii="宋体" w:hAnsi="宋体" w:eastAsia="宋体" w:cs="宋体"/>
          <w:highlight w:val="none"/>
        </w:rPr>
      </w:pPr>
      <w:r>
        <w:rPr>
          <w:rFonts w:hint="eastAsia" w:cs="宋体"/>
          <w:highlight w:val="none"/>
          <w:lang w:val="en-US" w:eastAsia="zh-CN"/>
        </w:rPr>
        <w:t xml:space="preserve">2.2.2 </w:t>
      </w:r>
      <w:r>
        <w:rPr>
          <w:rFonts w:hint="eastAsia" w:ascii="宋体" w:hAnsi="宋体" w:eastAsia="宋体" w:cs="宋体"/>
          <w:highlight w:val="none"/>
        </w:rPr>
        <w:t>开启有效供应商的报价文件，公布开标一览表有关内容。开标结束后，由评标委员会对报价的合理性、准确性等进行审查核实。</w:t>
      </w:r>
    </w:p>
    <w:p w14:paraId="391E0E2B">
      <w:pPr>
        <w:bidi w:val="0"/>
        <w:spacing w:line="360" w:lineRule="auto"/>
        <w:rPr>
          <w:rFonts w:hint="eastAsia"/>
          <w:lang w:val="en-US" w:eastAsia="zh-CN"/>
        </w:rPr>
      </w:pPr>
      <w:r>
        <w:rPr>
          <w:rFonts w:hint="eastAsia"/>
          <w:b/>
          <w:bCs/>
          <w:lang w:val="en-US" w:eastAsia="zh-CN"/>
        </w:rPr>
        <w:t>3.投标文件初步评审</w:t>
      </w:r>
    </w:p>
    <w:p w14:paraId="27EC5BCB">
      <w:pPr>
        <w:spacing w:line="360" w:lineRule="auto"/>
        <w:rPr>
          <w:rFonts w:hint="eastAsia" w:ascii="宋体" w:hAnsi="宋体" w:eastAsia="宋体" w:cs="宋体"/>
          <w:highlight w:val="none"/>
        </w:rPr>
      </w:pPr>
      <w:r>
        <w:rPr>
          <w:rFonts w:hint="eastAsia" w:ascii="宋体" w:hAnsi="宋体" w:eastAsia="宋体" w:cs="宋体"/>
          <w:highlight w:val="none"/>
        </w:rPr>
        <w:t>3.1</w:t>
      </w:r>
      <w:r>
        <w:rPr>
          <w:rFonts w:hint="eastAsia" w:cs="宋体"/>
          <w:highlight w:val="none"/>
          <w:lang w:val="en-US" w:eastAsia="zh-CN"/>
        </w:rPr>
        <w:t xml:space="preserve"> </w:t>
      </w:r>
      <w:r>
        <w:rPr>
          <w:rFonts w:hint="eastAsia" w:cs="宋体"/>
          <w:highlight w:val="none"/>
          <w:lang w:eastAsia="zh-CN"/>
        </w:rPr>
        <w:t>招标代理机构</w:t>
      </w:r>
      <w:r>
        <w:rPr>
          <w:rFonts w:hint="eastAsia" w:ascii="宋体" w:hAnsi="宋体" w:eastAsia="宋体" w:cs="宋体"/>
          <w:highlight w:val="none"/>
        </w:rPr>
        <w:t>或评审专家首先审查各供应商的资格条件是否满足</w:t>
      </w:r>
      <w:r>
        <w:rPr>
          <w:rFonts w:hint="eastAsia" w:cs="宋体"/>
          <w:highlight w:val="none"/>
          <w:lang w:eastAsia="zh-CN"/>
        </w:rPr>
        <w:t>招标文件</w:t>
      </w:r>
      <w:r>
        <w:rPr>
          <w:rFonts w:hint="eastAsia" w:ascii="宋体" w:hAnsi="宋体" w:eastAsia="宋体" w:cs="宋体"/>
          <w:highlight w:val="none"/>
        </w:rPr>
        <w:t>要求。</w:t>
      </w:r>
    </w:p>
    <w:p w14:paraId="1739036B">
      <w:pPr>
        <w:spacing w:line="360" w:lineRule="auto"/>
        <w:rPr>
          <w:rFonts w:hint="eastAsia" w:ascii="宋体" w:hAnsi="宋体" w:eastAsia="宋体" w:cs="宋体"/>
          <w:highlight w:val="none"/>
        </w:rPr>
      </w:pPr>
      <w:r>
        <w:rPr>
          <w:rFonts w:hint="eastAsia" w:ascii="宋体" w:hAnsi="宋体" w:eastAsia="宋体" w:cs="宋体"/>
          <w:highlight w:val="none"/>
        </w:rPr>
        <w:t>3.2</w:t>
      </w:r>
      <w:r>
        <w:rPr>
          <w:rFonts w:hint="eastAsia" w:cs="宋体"/>
          <w:highlight w:val="none"/>
          <w:lang w:val="en-US" w:eastAsia="zh-CN"/>
        </w:rPr>
        <w:t xml:space="preserve"> </w:t>
      </w:r>
      <w:r>
        <w:rPr>
          <w:rFonts w:hint="eastAsia" w:ascii="宋体" w:hAnsi="宋体" w:eastAsia="宋体" w:cs="宋体"/>
          <w:highlight w:val="none"/>
        </w:rPr>
        <w:t>评标委员会将首先审查每份投标文件是否实质上响应了</w:t>
      </w:r>
      <w:r>
        <w:rPr>
          <w:rFonts w:hint="eastAsia" w:cs="宋体"/>
          <w:highlight w:val="none"/>
          <w:lang w:eastAsia="zh-CN"/>
        </w:rPr>
        <w:t>招标文件</w:t>
      </w:r>
      <w:r>
        <w:rPr>
          <w:rFonts w:hint="eastAsia" w:ascii="宋体" w:hAnsi="宋体" w:eastAsia="宋体" w:cs="宋体"/>
          <w:highlight w:val="none"/>
        </w:rPr>
        <w:t>的要求，实质性响应的投标文件是指投标文件符合</w:t>
      </w:r>
      <w:r>
        <w:rPr>
          <w:rFonts w:hint="eastAsia" w:cs="宋体"/>
          <w:highlight w:val="none"/>
          <w:lang w:eastAsia="zh-CN"/>
        </w:rPr>
        <w:t>招标文件</w:t>
      </w:r>
      <w:r>
        <w:rPr>
          <w:rFonts w:hint="eastAsia" w:ascii="宋体" w:hAnsi="宋体" w:eastAsia="宋体" w:cs="宋体"/>
          <w:highlight w:val="none"/>
        </w:rPr>
        <w:t>规定的实质性内容、条件和规定。</w:t>
      </w:r>
    </w:p>
    <w:p w14:paraId="6A47693C">
      <w:pPr>
        <w:spacing w:line="360" w:lineRule="auto"/>
        <w:rPr>
          <w:rFonts w:hint="eastAsia" w:ascii="宋体" w:hAnsi="宋体" w:eastAsia="宋体" w:cs="宋体"/>
          <w:highlight w:val="none"/>
        </w:rPr>
      </w:pPr>
      <w:r>
        <w:rPr>
          <w:rFonts w:hint="eastAsia" w:ascii="宋体" w:hAnsi="宋体" w:eastAsia="宋体" w:cs="宋体"/>
          <w:highlight w:val="none"/>
        </w:rPr>
        <w:t>3.3</w:t>
      </w:r>
      <w:r>
        <w:rPr>
          <w:rFonts w:hint="eastAsia" w:cs="宋体"/>
          <w:highlight w:val="none"/>
          <w:lang w:val="en-US" w:eastAsia="zh-CN"/>
        </w:rPr>
        <w:t xml:space="preserve"> </w:t>
      </w:r>
      <w:r>
        <w:rPr>
          <w:rFonts w:hint="eastAsia" w:ascii="宋体" w:hAnsi="宋体" w:eastAsia="宋体" w:cs="宋体"/>
          <w:highlight w:val="none"/>
        </w:rPr>
        <w:t>重大偏离或保留是指将会影响到</w:t>
      </w:r>
      <w:r>
        <w:rPr>
          <w:rFonts w:hint="eastAsia" w:cs="宋体"/>
          <w:highlight w:val="none"/>
          <w:lang w:eastAsia="zh-CN"/>
        </w:rPr>
        <w:t>招标文件</w:t>
      </w:r>
      <w:r>
        <w:rPr>
          <w:rFonts w:hint="eastAsia" w:ascii="宋体" w:hAnsi="宋体" w:eastAsia="宋体" w:cs="宋体"/>
          <w:highlight w:val="none"/>
        </w:rPr>
        <w:t>规定的服务范围、质量标准，或会给合同中规定的</w:t>
      </w:r>
      <w:r>
        <w:rPr>
          <w:rFonts w:hint="eastAsia" w:cs="宋体"/>
          <w:highlight w:val="none"/>
          <w:lang w:eastAsia="zh-CN"/>
        </w:rPr>
        <w:t>招标人</w:t>
      </w:r>
      <w:r>
        <w:rPr>
          <w:rFonts w:hint="eastAsia" w:ascii="宋体" w:hAnsi="宋体" w:eastAsia="宋体" w:cs="宋体"/>
          <w:highlight w:val="none"/>
        </w:rPr>
        <w:t>的权利和供应商的责任造成实质性限制，而纠正这些偏离或保留将对其他提交了实质性响应的投标文件的供应商产生不公平影响的。</w:t>
      </w:r>
    </w:p>
    <w:p w14:paraId="1D4649A3">
      <w:pPr>
        <w:spacing w:line="360" w:lineRule="auto"/>
        <w:rPr>
          <w:rFonts w:hint="eastAsia" w:ascii="宋体" w:hAnsi="宋体" w:eastAsia="宋体" w:cs="宋体"/>
          <w:highlight w:val="none"/>
        </w:rPr>
      </w:pPr>
      <w:r>
        <w:rPr>
          <w:rFonts w:hint="eastAsia" w:ascii="宋体" w:hAnsi="宋体" w:eastAsia="宋体" w:cs="宋体"/>
          <w:highlight w:val="none"/>
        </w:rPr>
        <w:t>3.4</w:t>
      </w:r>
      <w:r>
        <w:rPr>
          <w:rFonts w:hint="eastAsia" w:cs="宋体"/>
          <w:highlight w:val="none"/>
          <w:lang w:val="en-US" w:eastAsia="zh-CN"/>
        </w:rPr>
        <w:t xml:space="preserve"> </w:t>
      </w:r>
      <w:r>
        <w:rPr>
          <w:rFonts w:hint="eastAsia" w:ascii="宋体" w:hAnsi="宋体" w:eastAsia="宋体" w:cs="宋体"/>
          <w:highlight w:val="none"/>
        </w:rPr>
        <w:t>细微偏离是指投标文件对</w:t>
      </w:r>
      <w:r>
        <w:rPr>
          <w:rFonts w:hint="eastAsia" w:cs="宋体"/>
          <w:highlight w:val="none"/>
          <w:lang w:eastAsia="zh-CN"/>
        </w:rPr>
        <w:t>招标文件</w:t>
      </w:r>
      <w:r>
        <w:rPr>
          <w:rFonts w:hint="eastAsia" w:ascii="宋体" w:hAnsi="宋体" w:eastAsia="宋体" w:cs="宋体"/>
          <w:highlight w:val="none"/>
        </w:rPr>
        <w:t>的非实质性内容存在不完全响应或不响应。</w:t>
      </w:r>
    </w:p>
    <w:p w14:paraId="55CF1B14">
      <w:pPr>
        <w:spacing w:line="360" w:lineRule="auto"/>
        <w:rPr>
          <w:rFonts w:hint="eastAsia" w:ascii="宋体" w:hAnsi="宋体" w:eastAsia="宋体" w:cs="宋体"/>
          <w:highlight w:val="none"/>
        </w:rPr>
      </w:pPr>
      <w:r>
        <w:rPr>
          <w:rFonts w:hint="eastAsia" w:ascii="宋体" w:hAnsi="宋体" w:eastAsia="宋体" w:cs="宋体"/>
          <w:highlight w:val="none"/>
        </w:rPr>
        <w:t>3.5</w:t>
      </w:r>
      <w:r>
        <w:rPr>
          <w:rFonts w:hint="eastAsia" w:cs="宋体"/>
          <w:highlight w:val="none"/>
          <w:lang w:val="en-US" w:eastAsia="zh-CN"/>
        </w:rPr>
        <w:t xml:space="preserve"> </w:t>
      </w:r>
      <w:r>
        <w:rPr>
          <w:rFonts w:hint="eastAsia" w:ascii="宋体" w:hAnsi="宋体" w:eastAsia="宋体" w:cs="宋体"/>
          <w:highlight w:val="none"/>
        </w:rPr>
        <w:t>重大偏离和保留、细微偏离由评标委员会界定。初步评审时如发现投标文件与</w:t>
      </w:r>
      <w:r>
        <w:rPr>
          <w:rFonts w:hint="eastAsia" w:cs="宋体"/>
          <w:highlight w:val="none"/>
          <w:lang w:eastAsia="zh-CN"/>
        </w:rPr>
        <w:t>招标文件</w:t>
      </w:r>
      <w:r>
        <w:rPr>
          <w:rFonts w:hint="eastAsia" w:ascii="宋体" w:hAnsi="宋体" w:eastAsia="宋体" w:cs="宋体"/>
          <w:highlight w:val="none"/>
        </w:rPr>
        <w:t>要求有重大偏离和保留，其投标文件将被作无效标处理。供应商不得通过修正或撤消不符合</w:t>
      </w:r>
      <w:r>
        <w:rPr>
          <w:rFonts w:hint="eastAsia" w:cs="宋体"/>
          <w:highlight w:val="none"/>
          <w:lang w:eastAsia="zh-CN"/>
        </w:rPr>
        <w:t>招标文件</w:t>
      </w:r>
      <w:r>
        <w:rPr>
          <w:rFonts w:hint="eastAsia" w:ascii="宋体" w:hAnsi="宋体" w:eastAsia="宋体" w:cs="宋体"/>
          <w:highlight w:val="none"/>
        </w:rPr>
        <w:t>要求的重大偏离和保留从而使其投标文件实质性响应</w:t>
      </w:r>
      <w:r>
        <w:rPr>
          <w:rFonts w:hint="eastAsia" w:cs="宋体"/>
          <w:highlight w:val="none"/>
          <w:lang w:eastAsia="zh-CN"/>
        </w:rPr>
        <w:t>招标文件</w:t>
      </w:r>
      <w:r>
        <w:rPr>
          <w:rFonts w:hint="eastAsia" w:ascii="宋体" w:hAnsi="宋体" w:eastAsia="宋体" w:cs="宋体"/>
          <w:highlight w:val="none"/>
        </w:rPr>
        <w:t>要求。但允许投标文件在实质性满足</w:t>
      </w:r>
      <w:r>
        <w:rPr>
          <w:rFonts w:hint="eastAsia" w:cs="宋体"/>
          <w:highlight w:val="none"/>
          <w:lang w:eastAsia="zh-CN"/>
        </w:rPr>
        <w:t>招标文件</w:t>
      </w:r>
      <w:r>
        <w:rPr>
          <w:rFonts w:hint="eastAsia" w:ascii="宋体" w:hAnsi="宋体" w:eastAsia="宋体" w:cs="宋体"/>
          <w:highlight w:val="none"/>
        </w:rPr>
        <w:t>要求的前提下出现的细微偏差，在详细评审时可按评标办法对细微偏差做出不利于该供应商的评审。</w:t>
      </w:r>
    </w:p>
    <w:p w14:paraId="7C5C683E">
      <w:pPr>
        <w:spacing w:line="360" w:lineRule="auto"/>
        <w:rPr>
          <w:rFonts w:hint="eastAsia" w:ascii="宋体" w:hAnsi="宋体" w:eastAsia="宋体" w:cs="宋体"/>
          <w:highlight w:val="none"/>
        </w:rPr>
      </w:pPr>
      <w:r>
        <w:rPr>
          <w:rFonts w:hint="eastAsia" w:ascii="宋体" w:hAnsi="宋体" w:eastAsia="宋体" w:cs="宋体"/>
          <w:highlight w:val="none"/>
        </w:rPr>
        <w:t>3.6</w:t>
      </w:r>
      <w:r>
        <w:rPr>
          <w:rFonts w:hint="eastAsia" w:cs="宋体"/>
          <w:highlight w:val="none"/>
          <w:lang w:val="en-US" w:eastAsia="zh-CN"/>
        </w:rPr>
        <w:t xml:space="preserve"> </w:t>
      </w:r>
      <w:r>
        <w:rPr>
          <w:rFonts w:hint="eastAsia" w:ascii="宋体" w:hAnsi="宋体" w:eastAsia="宋体" w:cs="宋体"/>
          <w:highlight w:val="none"/>
        </w:rPr>
        <w:t>初步评审工作内容</w:t>
      </w:r>
    </w:p>
    <w:p w14:paraId="1FF77850">
      <w:pPr>
        <w:spacing w:line="360" w:lineRule="auto"/>
        <w:ind w:firstLine="480"/>
        <w:rPr>
          <w:rFonts w:hint="eastAsia" w:ascii="宋体" w:hAnsi="宋体" w:eastAsia="宋体" w:cs="宋体"/>
          <w:highlight w:val="none"/>
        </w:rPr>
      </w:pPr>
      <w:r>
        <w:rPr>
          <w:rFonts w:hint="eastAsia" w:cs="宋体"/>
          <w:highlight w:val="none"/>
          <w:lang w:val="en-US" w:eastAsia="zh-CN"/>
        </w:rPr>
        <w:t xml:space="preserve">3.6.1 </w:t>
      </w:r>
      <w:r>
        <w:rPr>
          <w:rFonts w:hint="eastAsia" w:ascii="宋体" w:hAnsi="宋体" w:eastAsia="宋体" w:cs="宋体"/>
          <w:highlight w:val="none"/>
        </w:rPr>
        <w:t>资格性检查</w:t>
      </w:r>
    </w:p>
    <w:p w14:paraId="072106E4">
      <w:pPr>
        <w:spacing w:line="360" w:lineRule="auto"/>
        <w:ind w:firstLine="480"/>
        <w:rPr>
          <w:rFonts w:hint="eastAsia" w:ascii="宋体" w:hAnsi="宋体" w:eastAsia="宋体" w:cs="宋体"/>
          <w:highlight w:val="none"/>
        </w:rPr>
      </w:pPr>
      <w:r>
        <w:rPr>
          <w:rFonts w:hint="eastAsia" w:ascii="宋体" w:hAnsi="宋体" w:eastAsia="宋体" w:cs="宋体"/>
          <w:highlight w:val="none"/>
        </w:rPr>
        <w:t>依据法律法规及</w:t>
      </w:r>
      <w:r>
        <w:rPr>
          <w:rFonts w:hint="eastAsia" w:cs="宋体"/>
          <w:highlight w:val="none"/>
          <w:lang w:eastAsia="zh-CN"/>
        </w:rPr>
        <w:t>招标文件</w:t>
      </w:r>
      <w:r>
        <w:rPr>
          <w:rFonts w:hint="eastAsia" w:ascii="宋体" w:hAnsi="宋体" w:eastAsia="宋体" w:cs="宋体"/>
          <w:highlight w:val="none"/>
        </w:rPr>
        <w:t>的规定，对投标文件中的提供的资格证明材料进行审查，以确定供应商是否具备投标资格。</w:t>
      </w:r>
    </w:p>
    <w:p w14:paraId="7A1EAF3E">
      <w:pPr>
        <w:spacing w:line="360" w:lineRule="auto"/>
        <w:ind w:firstLine="480"/>
        <w:rPr>
          <w:rFonts w:hint="eastAsia" w:ascii="宋体" w:hAnsi="宋体" w:eastAsia="宋体" w:cs="宋体"/>
          <w:highlight w:val="none"/>
        </w:rPr>
      </w:pPr>
      <w:r>
        <w:rPr>
          <w:rFonts w:hint="eastAsia" w:cs="宋体"/>
          <w:highlight w:val="none"/>
          <w:lang w:val="en-US" w:eastAsia="zh-CN"/>
        </w:rPr>
        <w:t xml:space="preserve">3.6.2 </w:t>
      </w:r>
      <w:r>
        <w:rPr>
          <w:rFonts w:hint="eastAsia" w:ascii="宋体" w:hAnsi="宋体" w:eastAsia="宋体" w:cs="宋体"/>
          <w:highlight w:val="none"/>
        </w:rPr>
        <w:t>符合性检查</w:t>
      </w:r>
    </w:p>
    <w:p w14:paraId="39A2A84D">
      <w:pPr>
        <w:spacing w:line="360" w:lineRule="auto"/>
        <w:ind w:firstLine="480"/>
        <w:rPr>
          <w:rFonts w:hint="eastAsia" w:ascii="宋体" w:hAnsi="宋体" w:eastAsia="宋体" w:cs="宋体"/>
          <w:highlight w:val="none"/>
        </w:rPr>
      </w:pPr>
      <w:r>
        <w:rPr>
          <w:rFonts w:hint="eastAsia" w:ascii="宋体" w:hAnsi="宋体" w:eastAsia="宋体" w:cs="宋体"/>
          <w:highlight w:val="none"/>
        </w:rPr>
        <w:t>依据</w:t>
      </w:r>
      <w:r>
        <w:rPr>
          <w:rFonts w:hint="eastAsia" w:cs="宋体"/>
          <w:highlight w:val="none"/>
          <w:lang w:eastAsia="zh-CN"/>
        </w:rPr>
        <w:t>招标文件</w:t>
      </w:r>
      <w:r>
        <w:rPr>
          <w:rFonts w:hint="eastAsia" w:ascii="宋体" w:hAnsi="宋体" w:eastAsia="宋体" w:cs="宋体"/>
          <w:highlight w:val="none"/>
        </w:rPr>
        <w:t>的规定，从投标文件的有效性、完整性和对</w:t>
      </w:r>
      <w:r>
        <w:rPr>
          <w:rFonts w:hint="eastAsia" w:cs="宋体"/>
          <w:highlight w:val="none"/>
          <w:lang w:eastAsia="zh-CN"/>
        </w:rPr>
        <w:t>招标文件</w:t>
      </w:r>
      <w:r>
        <w:rPr>
          <w:rFonts w:hint="eastAsia" w:ascii="宋体" w:hAnsi="宋体" w:eastAsia="宋体" w:cs="宋体"/>
          <w:highlight w:val="none"/>
        </w:rPr>
        <w:t>的响应程度进行审查，以确定是否对</w:t>
      </w:r>
      <w:r>
        <w:rPr>
          <w:rFonts w:hint="eastAsia" w:cs="宋体"/>
          <w:highlight w:val="none"/>
          <w:lang w:eastAsia="zh-CN"/>
        </w:rPr>
        <w:t>招标文件</w:t>
      </w:r>
      <w:r>
        <w:rPr>
          <w:rFonts w:hint="eastAsia" w:ascii="宋体" w:hAnsi="宋体" w:eastAsia="宋体" w:cs="宋体"/>
          <w:highlight w:val="none"/>
        </w:rPr>
        <w:t>的实质性要求作出响应。</w:t>
      </w:r>
    </w:p>
    <w:p w14:paraId="18D5E350">
      <w:pPr>
        <w:spacing w:line="360" w:lineRule="auto"/>
        <w:rPr>
          <w:rFonts w:hint="default"/>
          <w:lang w:val="en-US" w:eastAsia="zh-CN"/>
        </w:rPr>
      </w:pPr>
      <w:r>
        <w:rPr>
          <w:rFonts w:hint="eastAsia" w:ascii="宋体" w:hAnsi="宋体" w:eastAsia="宋体" w:cs="宋体"/>
          <w:highlight w:val="none"/>
        </w:rPr>
        <w:t>3.7</w:t>
      </w:r>
      <w:r>
        <w:rPr>
          <w:rFonts w:hint="eastAsia" w:cs="宋体"/>
          <w:highlight w:val="none"/>
          <w:lang w:val="en-US" w:eastAsia="zh-CN"/>
        </w:rPr>
        <w:t xml:space="preserve"> </w:t>
      </w:r>
      <w:r>
        <w:rPr>
          <w:rFonts w:hint="eastAsia" w:ascii="宋体" w:hAnsi="宋体" w:eastAsia="宋体" w:cs="宋体"/>
          <w:highlight w:val="none"/>
        </w:rPr>
        <w:t>评标委员会对投标文件的判定，只依据投标文件内容本身和按</w:t>
      </w:r>
      <w:r>
        <w:rPr>
          <w:rFonts w:hint="eastAsia" w:cs="宋体"/>
          <w:highlight w:val="none"/>
          <w:lang w:eastAsia="zh-CN"/>
        </w:rPr>
        <w:t>招标文件</w:t>
      </w:r>
      <w:r>
        <w:rPr>
          <w:rFonts w:hint="eastAsia" w:ascii="宋体" w:hAnsi="宋体" w:eastAsia="宋体" w:cs="宋体"/>
          <w:highlight w:val="none"/>
        </w:rPr>
        <w:t>规定提交资料，不依靠开标后的任何外来证明。如供应商提交的资质证明或其他内容不齐全，由此造成的后果由供应商自己负责。</w:t>
      </w:r>
    </w:p>
    <w:p w14:paraId="72DC96BC">
      <w:pPr>
        <w:bidi w:val="0"/>
        <w:spacing w:line="360" w:lineRule="auto"/>
        <w:ind w:left="0" w:leftChars="0" w:firstLine="0" w:firstLineChars="0"/>
        <w:rPr>
          <w:rFonts w:hint="eastAsia" w:ascii="宋体" w:hAnsi="宋体" w:eastAsia="宋体" w:cs="宋体"/>
          <w:szCs w:val="24"/>
        </w:rPr>
      </w:pPr>
      <w:r>
        <w:rPr>
          <w:rFonts w:hint="eastAsia"/>
          <w:b/>
          <w:bCs/>
        </w:rPr>
        <w:t>二、投标文件鉴定</w:t>
      </w:r>
    </w:p>
    <w:p w14:paraId="7FF5EF6D">
      <w:pPr>
        <w:spacing w:line="360" w:lineRule="auto"/>
        <w:ind w:firstLine="480"/>
        <w:rPr>
          <w:rFonts w:hint="eastAsia" w:ascii="宋体" w:hAnsi="宋体" w:eastAsia="宋体" w:cs="宋体"/>
        </w:rPr>
      </w:pPr>
      <w:bookmarkStart w:id="61" w:name="_Toc13687"/>
      <w:bookmarkStart w:id="62" w:name="_Toc13357"/>
      <w:r>
        <w:rPr>
          <w:rFonts w:hint="eastAsia" w:ascii="宋体" w:hAnsi="宋体" w:eastAsia="宋体" w:cs="宋体"/>
        </w:rPr>
        <w:t>1.开标时，招标代理机构将对投标文件进行初步审查，检查投标</w:t>
      </w:r>
      <w:r>
        <w:rPr>
          <w:rFonts w:hint="eastAsia" w:cs="宋体"/>
          <w:lang w:eastAsia="zh-CN"/>
        </w:rPr>
        <w:t>文件</w:t>
      </w:r>
      <w:r>
        <w:rPr>
          <w:rFonts w:hint="eastAsia" w:ascii="宋体" w:hAnsi="宋体" w:eastAsia="宋体" w:cs="宋体"/>
        </w:rPr>
        <w:t>内容是否完整、编排是否有序、文件签署是否规范以及投标人资格是否符合要求等。如投标文件被确认为无效，招标代理机构将及时通知该投标人。</w:t>
      </w:r>
    </w:p>
    <w:p w14:paraId="7FE23C13">
      <w:pPr>
        <w:spacing w:line="360" w:lineRule="auto"/>
        <w:ind w:firstLine="480"/>
        <w:rPr>
          <w:rFonts w:hint="eastAsia" w:ascii="宋体" w:hAnsi="宋体" w:eastAsia="宋体" w:cs="宋体"/>
        </w:rPr>
      </w:pPr>
      <w:r>
        <w:rPr>
          <w:rFonts w:hint="eastAsia" w:ascii="宋体" w:hAnsi="宋体" w:eastAsia="宋体" w:cs="宋体"/>
        </w:rPr>
        <w:t>2.如果投标文件实质上不响应招标文件的要求，招标代理机构及评标委员会将予以拒绝，并且不允许通过修正或撤消不符合要求的差异或保留，使之成为具有响应性的投标。</w:t>
      </w:r>
    </w:p>
    <w:p w14:paraId="67E29B88">
      <w:pPr>
        <w:spacing w:line="360" w:lineRule="auto"/>
        <w:ind w:firstLine="480"/>
        <w:rPr>
          <w:rFonts w:hint="eastAsia" w:ascii="宋体" w:hAnsi="宋体" w:eastAsia="宋体" w:cs="宋体"/>
        </w:rPr>
      </w:pPr>
      <w:r>
        <w:rPr>
          <w:rFonts w:hint="eastAsia" w:ascii="宋体" w:hAnsi="宋体" w:eastAsia="宋体" w:cs="宋体"/>
        </w:rPr>
        <w:t>3.经开标后递交至评标委员会的投标文件，仍需接受相关符合性的检查，并有可能在评标过程中被判断为无效。</w:t>
      </w:r>
    </w:p>
    <w:p w14:paraId="3786E741">
      <w:pPr>
        <w:pStyle w:val="3"/>
        <w:jc w:val="center"/>
        <w:rPr>
          <w:rFonts w:hint="eastAsia" w:ascii="宋体" w:hAnsi="宋体" w:eastAsia="宋体" w:cs="宋体"/>
          <w:sz w:val="24"/>
          <w:szCs w:val="24"/>
        </w:rPr>
        <w:sectPr>
          <w:pgSz w:w="11906" w:h="16838"/>
          <w:pgMar w:top="1247" w:right="1247" w:bottom="1247" w:left="1247" w:header="170" w:footer="567" w:gutter="0"/>
          <w:pgNumType w:fmt="decimal"/>
          <w:cols w:space="720" w:num="1"/>
          <w:docGrid w:linePitch="381" w:charSpace="0"/>
        </w:sectPr>
      </w:pPr>
    </w:p>
    <w:p w14:paraId="73FD9974">
      <w:pPr>
        <w:pStyle w:val="3"/>
        <w:jc w:val="center"/>
        <w:rPr>
          <w:rFonts w:hint="eastAsia" w:ascii="宋体" w:hAnsi="宋体" w:eastAsia="宋体" w:cs="宋体"/>
          <w:sz w:val="24"/>
          <w:szCs w:val="24"/>
        </w:rPr>
      </w:pPr>
      <w:r>
        <w:rPr>
          <w:rFonts w:hint="eastAsia" w:ascii="宋体" w:hAnsi="宋体" w:eastAsia="宋体" w:cs="宋体"/>
          <w:sz w:val="24"/>
          <w:szCs w:val="24"/>
        </w:rPr>
        <w:t xml:space="preserve">第六节 </w:t>
      </w:r>
      <w:r>
        <w:rPr>
          <w:rFonts w:hint="eastAsia" w:ascii="宋体" w:hAnsi="宋体" w:cs="宋体"/>
          <w:sz w:val="24"/>
          <w:szCs w:val="24"/>
          <w:lang w:val="en-US" w:eastAsia="zh-CN"/>
        </w:rPr>
        <w:t xml:space="preserve"> </w:t>
      </w:r>
      <w:r>
        <w:rPr>
          <w:rFonts w:hint="eastAsia" w:ascii="宋体" w:hAnsi="宋体" w:eastAsia="宋体" w:cs="宋体"/>
          <w:sz w:val="24"/>
          <w:szCs w:val="24"/>
        </w:rPr>
        <w:t>评</w:t>
      </w:r>
      <w:r>
        <w:rPr>
          <w:rFonts w:hint="eastAsia" w:ascii="宋体" w:hAnsi="宋体" w:cs="宋体"/>
          <w:sz w:val="24"/>
          <w:szCs w:val="24"/>
          <w:lang w:val="en-US" w:eastAsia="zh-CN"/>
        </w:rPr>
        <w:t xml:space="preserve"> </w:t>
      </w:r>
      <w:r>
        <w:rPr>
          <w:rFonts w:hint="eastAsia" w:ascii="宋体" w:hAnsi="宋体" w:eastAsia="宋体" w:cs="宋体"/>
          <w:sz w:val="24"/>
          <w:szCs w:val="24"/>
        </w:rPr>
        <w:t>标</w:t>
      </w:r>
      <w:bookmarkEnd w:id="61"/>
      <w:bookmarkEnd w:id="62"/>
    </w:p>
    <w:p w14:paraId="537D6A08">
      <w:pPr>
        <w:bidi w:val="0"/>
        <w:spacing w:line="360" w:lineRule="auto"/>
        <w:ind w:left="0" w:leftChars="0" w:firstLine="0" w:firstLineChars="0"/>
        <w:rPr>
          <w:rFonts w:hint="eastAsia" w:ascii="宋体" w:hAnsi="宋体" w:eastAsia="宋体" w:cs="宋体"/>
          <w:szCs w:val="24"/>
        </w:rPr>
      </w:pPr>
      <w:r>
        <w:rPr>
          <w:rFonts w:hint="eastAsia"/>
          <w:b/>
          <w:bCs/>
        </w:rPr>
        <w:t>一、组建评标委员会</w:t>
      </w:r>
    </w:p>
    <w:p w14:paraId="05270FB3">
      <w:pPr>
        <w:spacing w:line="360" w:lineRule="auto"/>
        <w:ind w:firstLine="480"/>
        <w:rPr>
          <w:rFonts w:hint="eastAsia" w:ascii="宋体" w:hAnsi="宋体" w:eastAsia="宋体" w:cs="宋体"/>
        </w:rPr>
      </w:pPr>
      <w:r>
        <w:rPr>
          <w:rFonts w:hAnsi="宋体"/>
        </w:rPr>
        <w:t>本项目评标委员会由</w:t>
      </w:r>
      <w:r>
        <w:rPr>
          <w:rFonts w:hint="eastAsia" w:hAnsi="宋体"/>
          <w:lang w:eastAsia="zh-CN"/>
        </w:rPr>
        <w:t>招标</w:t>
      </w:r>
      <w:r>
        <w:rPr>
          <w:rFonts w:hint="eastAsia" w:hAnsi="宋体"/>
        </w:rPr>
        <w:t>人代表</w:t>
      </w:r>
      <w:r>
        <w:rPr>
          <w:rFonts w:hint="eastAsia" w:hAnsi="宋体"/>
          <w:lang w:eastAsia="zh-CN"/>
        </w:rPr>
        <w:t>和有关技术、经济等方面的专家组成，成员人数为</w:t>
      </w:r>
      <w:r>
        <w:rPr>
          <w:rFonts w:hint="eastAsia" w:hAnsi="宋体"/>
          <w:lang w:val="en-US" w:eastAsia="zh-CN"/>
        </w:rPr>
        <w:t>5人及以上单数，其中技术、经济等方面的专家不少于成员总数的三分之二。</w:t>
      </w:r>
      <w:r>
        <w:rPr>
          <w:rFonts w:hint="eastAsia" w:ascii="宋体" w:hAnsi="宋体" w:eastAsia="宋体" w:cs="宋体"/>
        </w:rPr>
        <w:t>评标委员会成员名单在招标结果确定之前依法保密。</w:t>
      </w:r>
    </w:p>
    <w:p w14:paraId="1102646F">
      <w:pPr>
        <w:bidi w:val="0"/>
        <w:spacing w:line="360" w:lineRule="auto"/>
        <w:ind w:left="0" w:leftChars="0" w:firstLine="0" w:firstLineChars="0"/>
        <w:rPr>
          <w:rFonts w:hint="eastAsia" w:ascii="宋体" w:hAnsi="宋体" w:eastAsia="宋体" w:cs="宋体"/>
          <w:szCs w:val="24"/>
        </w:rPr>
      </w:pPr>
      <w:r>
        <w:rPr>
          <w:rFonts w:hint="eastAsia"/>
          <w:b/>
          <w:bCs/>
        </w:rPr>
        <w:t>二、评标的方式</w:t>
      </w:r>
    </w:p>
    <w:p w14:paraId="6AE4EA10">
      <w:pPr>
        <w:spacing w:line="360" w:lineRule="auto"/>
        <w:ind w:firstLine="480"/>
        <w:rPr>
          <w:rFonts w:hint="eastAsia" w:ascii="宋体" w:hAnsi="宋体" w:eastAsia="宋体" w:cs="宋体"/>
        </w:rPr>
      </w:pPr>
      <w:r>
        <w:rPr>
          <w:rFonts w:hint="eastAsia" w:ascii="宋体" w:hAnsi="宋体" w:eastAsia="宋体" w:cs="宋体"/>
        </w:rPr>
        <w:t>本项目采用不公开方式评标，评标的依据为招标文件和投标文件。不考虑投标人在开标后提交的任何补充声明、修正方案。</w:t>
      </w:r>
    </w:p>
    <w:p w14:paraId="4526C4F3">
      <w:pPr>
        <w:bidi w:val="0"/>
        <w:spacing w:line="360" w:lineRule="auto"/>
        <w:ind w:left="0" w:leftChars="0" w:firstLine="0" w:firstLineChars="0"/>
        <w:rPr>
          <w:rFonts w:hint="eastAsia" w:ascii="宋体" w:hAnsi="宋体" w:eastAsia="宋体" w:cs="宋体"/>
          <w:szCs w:val="24"/>
        </w:rPr>
      </w:pPr>
      <w:r>
        <w:rPr>
          <w:rFonts w:hint="eastAsia"/>
          <w:b/>
          <w:bCs/>
        </w:rPr>
        <w:t>三、评标原则</w:t>
      </w:r>
    </w:p>
    <w:p w14:paraId="7EDF874A">
      <w:pPr>
        <w:spacing w:line="360" w:lineRule="auto"/>
        <w:ind w:firstLine="480"/>
        <w:rPr>
          <w:rFonts w:hint="eastAsia" w:ascii="宋体" w:hAnsi="宋体" w:eastAsia="宋体" w:cs="宋体"/>
          <w:lang w:eastAsia="zh-CN"/>
        </w:rPr>
      </w:pPr>
      <w:r>
        <w:rPr>
          <w:rFonts w:hint="eastAsia" w:ascii="宋体" w:hAnsi="宋体" w:eastAsia="宋体" w:cs="宋体"/>
        </w:rPr>
        <w:t>评标严格按照招标文件的要求和条件，只依据投标内容本身，不依靠开标后的任何外来证明。以公</w:t>
      </w:r>
      <w:r>
        <w:rPr>
          <w:rFonts w:hint="eastAsia" w:cs="宋体"/>
          <w:lang w:eastAsia="zh-CN"/>
        </w:rPr>
        <w:t>平</w:t>
      </w:r>
      <w:r>
        <w:rPr>
          <w:rFonts w:hint="eastAsia" w:ascii="宋体" w:hAnsi="宋体" w:eastAsia="宋体" w:cs="宋体"/>
        </w:rPr>
        <w:t>、公</w:t>
      </w:r>
      <w:r>
        <w:rPr>
          <w:rFonts w:hint="eastAsia" w:cs="宋体"/>
          <w:lang w:eastAsia="zh-CN"/>
        </w:rPr>
        <w:t>正</w:t>
      </w:r>
      <w:r>
        <w:rPr>
          <w:rFonts w:hint="eastAsia" w:ascii="宋体" w:hAnsi="宋体" w:eastAsia="宋体" w:cs="宋体"/>
        </w:rPr>
        <w:t>、</w:t>
      </w:r>
      <w:r>
        <w:rPr>
          <w:rFonts w:hint="eastAsia" w:cs="宋体"/>
          <w:lang w:eastAsia="zh-CN"/>
        </w:rPr>
        <w:t>科学</w:t>
      </w:r>
      <w:r>
        <w:rPr>
          <w:rFonts w:hint="eastAsia" w:ascii="宋体" w:hAnsi="宋体" w:eastAsia="宋体" w:cs="宋体"/>
        </w:rPr>
        <w:t>、</w:t>
      </w:r>
      <w:r>
        <w:rPr>
          <w:rFonts w:hint="eastAsia" w:cs="宋体"/>
          <w:lang w:eastAsia="zh-CN"/>
        </w:rPr>
        <w:t>择优</w:t>
      </w:r>
      <w:r>
        <w:rPr>
          <w:rFonts w:hint="eastAsia" w:ascii="宋体" w:hAnsi="宋体" w:eastAsia="宋体" w:cs="宋体"/>
        </w:rPr>
        <w:t>的原则进行；比较报价，同时考虑以下因素</w:t>
      </w:r>
      <w:r>
        <w:rPr>
          <w:rFonts w:hint="eastAsia" w:ascii="宋体" w:hAnsi="宋体" w:eastAsia="宋体" w:cs="宋体"/>
          <w:lang w:eastAsia="zh-CN"/>
        </w:rPr>
        <w:t>：</w:t>
      </w:r>
    </w:p>
    <w:p w14:paraId="1D15FB87">
      <w:pPr>
        <w:spacing w:line="360" w:lineRule="auto"/>
        <w:ind w:firstLine="480"/>
        <w:rPr>
          <w:rFonts w:hint="eastAsia" w:ascii="宋体" w:hAnsi="宋体" w:eastAsia="宋体" w:cs="宋体"/>
          <w:lang w:eastAsia="zh-CN"/>
        </w:rPr>
      </w:pPr>
      <w:r>
        <w:rPr>
          <w:rFonts w:hint="eastAsia" w:ascii="宋体" w:hAnsi="宋体" w:eastAsia="宋体" w:cs="宋体"/>
        </w:rPr>
        <w:t>1.价格合理，方案、产品先进、可靠</w:t>
      </w:r>
      <w:r>
        <w:rPr>
          <w:rFonts w:hint="eastAsia" w:ascii="宋体" w:hAnsi="宋体" w:eastAsia="宋体" w:cs="宋体"/>
          <w:lang w:eastAsia="zh-CN"/>
        </w:rPr>
        <w:t>；</w:t>
      </w:r>
    </w:p>
    <w:p w14:paraId="792BA1D7">
      <w:pPr>
        <w:spacing w:line="360" w:lineRule="auto"/>
        <w:ind w:firstLine="480"/>
        <w:rPr>
          <w:rFonts w:hint="eastAsia" w:ascii="宋体" w:hAnsi="宋体" w:eastAsia="宋体" w:cs="宋体"/>
          <w:lang w:eastAsia="zh-CN"/>
        </w:rPr>
      </w:pPr>
      <w:r>
        <w:rPr>
          <w:rFonts w:hint="eastAsia" w:ascii="宋体" w:hAnsi="宋体" w:eastAsia="宋体" w:cs="宋体"/>
        </w:rPr>
        <w:t>2.经营信誉</w:t>
      </w:r>
      <w:r>
        <w:rPr>
          <w:rFonts w:hint="eastAsia" w:ascii="宋体" w:hAnsi="宋体" w:eastAsia="宋体" w:cs="宋体"/>
          <w:lang w:eastAsia="zh-CN"/>
        </w:rPr>
        <w:t>；</w:t>
      </w:r>
    </w:p>
    <w:p w14:paraId="7F2F29BB">
      <w:pPr>
        <w:spacing w:line="360" w:lineRule="auto"/>
        <w:ind w:firstLine="480"/>
        <w:rPr>
          <w:rFonts w:hint="eastAsia" w:ascii="宋体" w:hAnsi="宋体" w:eastAsia="宋体" w:cs="宋体"/>
        </w:rPr>
      </w:pPr>
      <w:r>
        <w:rPr>
          <w:rFonts w:hint="eastAsia" w:ascii="宋体" w:hAnsi="宋体" w:eastAsia="宋体" w:cs="宋体"/>
        </w:rPr>
        <w:t>3.反对不正当竞争。</w:t>
      </w:r>
    </w:p>
    <w:p w14:paraId="52641993">
      <w:pPr>
        <w:bidi w:val="0"/>
        <w:spacing w:line="360" w:lineRule="auto"/>
        <w:ind w:left="0" w:leftChars="0" w:firstLine="0" w:firstLineChars="0"/>
        <w:rPr>
          <w:rFonts w:hint="eastAsia" w:ascii="宋体" w:hAnsi="宋体" w:eastAsia="宋体" w:cs="宋体"/>
          <w:szCs w:val="24"/>
        </w:rPr>
      </w:pPr>
      <w:r>
        <w:rPr>
          <w:rFonts w:hint="eastAsia"/>
          <w:b/>
          <w:bCs/>
        </w:rPr>
        <w:t>四、评标程序</w:t>
      </w:r>
    </w:p>
    <w:p w14:paraId="5971AB57">
      <w:pPr>
        <w:spacing w:line="360" w:lineRule="auto"/>
        <w:ind w:firstLine="480"/>
        <w:rPr>
          <w:rFonts w:hint="eastAsia" w:ascii="宋体" w:hAnsi="宋体" w:eastAsia="宋体" w:cs="宋体"/>
        </w:rPr>
      </w:pPr>
      <w:r>
        <w:rPr>
          <w:rFonts w:hint="eastAsia" w:ascii="宋体" w:hAnsi="宋体" w:eastAsia="宋体" w:cs="宋体"/>
        </w:rPr>
        <w:t>1.招标代理机构按照招标文件规定的时间、地点及程序组织评审。评审活动一般应按以下程序组织开展：</w:t>
      </w:r>
    </w:p>
    <w:p w14:paraId="632A140F">
      <w:pPr>
        <w:spacing w:line="360" w:lineRule="auto"/>
        <w:ind w:firstLine="480"/>
        <w:rPr>
          <w:rFonts w:hint="eastAsia" w:ascii="宋体" w:hAnsi="宋体" w:eastAsia="宋体" w:cs="宋体"/>
          <w:lang w:eastAsia="zh-CN"/>
        </w:rPr>
      </w:pPr>
      <w:r>
        <w:rPr>
          <w:rFonts w:hint="eastAsia" w:ascii="宋体" w:hAnsi="宋体" w:eastAsia="宋体" w:cs="宋体"/>
        </w:rPr>
        <w:t>（1）开启评审场地的录音录像采集设备，并确保其正常运行</w:t>
      </w:r>
      <w:r>
        <w:rPr>
          <w:rFonts w:hint="eastAsia" w:ascii="宋体" w:hAnsi="宋体" w:eastAsia="宋体" w:cs="宋体"/>
          <w:lang w:eastAsia="zh-CN"/>
        </w:rPr>
        <w:t>；</w:t>
      </w:r>
    </w:p>
    <w:p w14:paraId="27CA5EBA">
      <w:pPr>
        <w:spacing w:line="360" w:lineRule="auto"/>
        <w:ind w:firstLine="480"/>
        <w:rPr>
          <w:rFonts w:hint="eastAsia" w:ascii="宋体" w:hAnsi="宋体" w:eastAsia="宋体" w:cs="宋体"/>
          <w:lang w:eastAsia="zh-CN"/>
        </w:rPr>
      </w:pPr>
      <w:r>
        <w:rPr>
          <w:rFonts w:hint="eastAsia" w:ascii="宋体" w:hAnsi="宋体" w:eastAsia="宋体" w:cs="宋体"/>
        </w:rPr>
        <w:t>（2）核验出席评审活动现场的评标委员会各成员身份，并要求其分别登记、签到，按规定统一收缴、保存其通讯工具，无关人员一律拒绝其进入评审现场</w:t>
      </w:r>
      <w:r>
        <w:rPr>
          <w:rFonts w:hint="eastAsia" w:ascii="宋体" w:hAnsi="宋体" w:eastAsia="宋体" w:cs="宋体"/>
          <w:lang w:eastAsia="zh-CN"/>
        </w:rPr>
        <w:t>；</w:t>
      </w:r>
    </w:p>
    <w:p w14:paraId="3646492B">
      <w:pPr>
        <w:spacing w:line="360" w:lineRule="auto"/>
        <w:ind w:firstLine="480"/>
        <w:rPr>
          <w:rFonts w:hint="eastAsia" w:ascii="宋体" w:hAnsi="宋体" w:eastAsia="宋体" w:cs="宋体"/>
          <w:lang w:eastAsia="zh-CN"/>
        </w:rPr>
      </w:pPr>
      <w:r>
        <w:rPr>
          <w:rFonts w:hint="eastAsia" w:ascii="宋体" w:hAnsi="宋体" w:eastAsia="宋体" w:cs="宋体"/>
        </w:rPr>
        <w:t>（3）介绍评审现场的人员情况，宣布评审工作纪律，告知评标委员会应当回避情形；组织推选评标委员会组长</w:t>
      </w:r>
      <w:r>
        <w:rPr>
          <w:rFonts w:hint="eastAsia" w:ascii="宋体" w:hAnsi="宋体" w:eastAsia="宋体" w:cs="宋体"/>
          <w:lang w:eastAsia="zh-CN"/>
        </w:rPr>
        <w:t>；</w:t>
      </w:r>
    </w:p>
    <w:p w14:paraId="65A79D42">
      <w:pPr>
        <w:spacing w:line="360" w:lineRule="auto"/>
        <w:ind w:firstLine="480"/>
        <w:rPr>
          <w:rFonts w:hint="eastAsia" w:ascii="宋体" w:hAnsi="宋体" w:eastAsia="宋体" w:cs="宋体"/>
          <w:lang w:eastAsia="zh-CN"/>
        </w:rPr>
      </w:pPr>
      <w:r>
        <w:rPr>
          <w:rFonts w:hint="eastAsia" w:ascii="宋体" w:hAnsi="宋体" w:eastAsia="宋体" w:cs="宋体"/>
        </w:rPr>
        <w:t>（4）通报报名参加本项目的投标人名单及资格预审情况（如有），宣读最终提交投标文件且通过资格审查的投标人名单，组织评标委员会各位成员签订《招标评审人员廉洁自律承诺书》</w:t>
      </w:r>
      <w:r>
        <w:rPr>
          <w:rFonts w:hint="eastAsia" w:ascii="宋体" w:hAnsi="宋体" w:eastAsia="宋体" w:cs="宋体"/>
          <w:lang w:eastAsia="zh-CN"/>
        </w:rPr>
        <w:t>；</w:t>
      </w:r>
    </w:p>
    <w:p w14:paraId="3FA40A2A">
      <w:pPr>
        <w:spacing w:line="360" w:lineRule="auto"/>
        <w:ind w:firstLine="480"/>
        <w:rPr>
          <w:rFonts w:hint="eastAsia" w:ascii="宋体" w:hAnsi="宋体" w:eastAsia="宋体" w:cs="宋体"/>
          <w:lang w:eastAsia="zh-CN"/>
        </w:rPr>
      </w:pPr>
      <w:r>
        <w:rPr>
          <w:rFonts w:hint="eastAsia" w:ascii="宋体" w:hAnsi="宋体" w:eastAsia="宋体" w:cs="宋体"/>
        </w:rPr>
        <w:t>（5）根据需要简要介绍招标文件（含补充文件）制定及质疑答复情况、按书面陈述项目基本情况及评审工作需注意事项等，让评审专家尽快知悉和了解所评审项目的招标需求、评审依据、评审标准、工作程序等；提醒评标委员会对客观评审项目应统一评审依据和评审标准，对主观评审项目应确定大致的评审要求和评审尺度；对评标委员会提出的有关招标文件、投标文件的问题进行必要的说明、解释或讨论</w:t>
      </w:r>
      <w:r>
        <w:rPr>
          <w:rFonts w:hint="eastAsia" w:ascii="宋体" w:hAnsi="宋体" w:eastAsia="宋体" w:cs="宋体"/>
          <w:lang w:eastAsia="zh-CN"/>
        </w:rPr>
        <w:t>；</w:t>
      </w:r>
    </w:p>
    <w:p w14:paraId="5487BB88">
      <w:pPr>
        <w:spacing w:line="360" w:lineRule="auto"/>
        <w:ind w:firstLine="480"/>
        <w:rPr>
          <w:rFonts w:hint="eastAsia" w:ascii="宋体" w:hAnsi="宋体" w:eastAsia="宋体" w:cs="宋体"/>
          <w:lang w:eastAsia="zh-CN"/>
        </w:rPr>
      </w:pPr>
      <w:r>
        <w:rPr>
          <w:rFonts w:hint="eastAsia" w:ascii="宋体" w:hAnsi="宋体" w:eastAsia="宋体" w:cs="宋体"/>
        </w:rPr>
        <w:t>（6）评标委员会组长组织评标委员会独立评审。评标委员会依据招标文件的规定，从投标文件的有效性、完整性和对招标文件的响应程度进行审查，以确定是否对招标文件的实质性要求作出响应。评标委员会对拟认定为投标文件无效的，应组织相关投标人代表进行陈述、澄清或申辩；招标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r>
        <w:rPr>
          <w:rFonts w:hint="eastAsia" w:ascii="宋体" w:hAnsi="宋体" w:eastAsia="宋体" w:cs="宋体"/>
          <w:lang w:eastAsia="zh-CN"/>
        </w:rPr>
        <w:t>；</w:t>
      </w:r>
    </w:p>
    <w:p w14:paraId="19CA59F0">
      <w:pPr>
        <w:spacing w:line="360" w:lineRule="auto"/>
        <w:ind w:firstLine="480"/>
        <w:rPr>
          <w:rFonts w:hint="eastAsia" w:ascii="宋体" w:hAnsi="宋体" w:eastAsia="宋体" w:cs="宋体"/>
          <w:lang w:eastAsia="zh-CN"/>
        </w:rPr>
      </w:pPr>
      <w:r>
        <w:rPr>
          <w:rFonts w:hint="eastAsia" w:ascii="宋体" w:hAnsi="宋体" w:eastAsia="宋体" w:cs="宋体"/>
        </w:rPr>
        <w:t>（7）做好评审现场相关记录，协助评标委员会组长做好评审报告起草、有关内容电脑文字录入等工作，并要求评标委员会各成员签字确认</w:t>
      </w:r>
      <w:r>
        <w:rPr>
          <w:rFonts w:hint="eastAsia" w:ascii="宋体" w:hAnsi="宋体" w:eastAsia="宋体" w:cs="宋体"/>
          <w:lang w:eastAsia="zh-CN"/>
        </w:rPr>
        <w:t>；</w:t>
      </w:r>
    </w:p>
    <w:p w14:paraId="2AA6B5A0">
      <w:pPr>
        <w:spacing w:line="360" w:lineRule="auto"/>
        <w:ind w:firstLine="480"/>
        <w:rPr>
          <w:rFonts w:hint="eastAsia" w:ascii="宋体" w:hAnsi="宋体" w:eastAsia="宋体" w:cs="宋体"/>
        </w:rPr>
      </w:pPr>
      <w:r>
        <w:rPr>
          <w:rFonts w:hint="eastAsia" w:ascii="宋体" w:hAnsi="宋体" w:eastAsia="宋体" w:cs="宋体"/>
        </w:rPr>
        <w:t>（8）评审结束后，招标代理机构交还评审人员及其他现场相关人员的通讯工具。</w:t>
      </w:r>
    </w:p>
    <w:p w14:paraId="428BF177">
      <w:pPr>
        <w:bidi w:val="0"/>
        <w:spacing w:line="360" w:lineRule="auto"/>
        <w:ind w:left="0" w:leftChars="0" w:firstLine="0" w:firstLineChars="0"/>
        <w:rPr>
          <w:rFonts w:hint="eastAsia" w:ascii="宋体" w:hAnsi="宋体" w:eastAsia="宋体" w:cs="宋体"/>
          <w:szCs w:val="24"/>
        </w:rPr>
      </w:pPr>
      <w:r>
        <w:rPr>
          <w:rFonts w:hint="eastAsia"/>
          <w:b/>
          <w:bCs/>
        </w:rPr>
        <w:t>五、修正原则</w:t>
      </w:r>
    </w:p>
    <w:p w14:paraId="2AADAD6F">
      <w:pPr>
        <w:spacing w:line="360" w:lineRule="auto"/>
        <w:ind w:firstLine="480"/>
        <w:rPr>
          <w:rFonts w:hint="eastAsia" w:ascii="宋体" w:hAnsi="宋体" w:eastAsia="宋体" w:cs="宋体"/>
        </w:rPr>
      </w:pPr>
      <w:r>
        <w:rPr>
          <w:rFonts w:hint="eastAsia" w:ascii="宋体" w:hAnsi="宋体" w:eastAsia="宋体" w:cs="宋体"/>
        </w:rPr>
        <w:t>评标委员会对投标文件的报价文件进行审核，对发现计算、书写等错误的，按以下原则进行修正：</w:t>
      </w:r>
    </w:p>
    <w:p w14:paraId="2D74DE7A">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1.投标文件中开标一览表(报价表)内容与投标文件中相应内容不一致的，以开标一览表(报价表)为准</w:t>
      </w:r>
      <w:r>
        <w:rPr>
          <w:rFonts w:hint="eastAsia" w:ascii="宋体" w:hAnsi="宋体" w:eastAsia="宋体" w:cs="宋体"/>
          <w:kern w:val="0"/>
          <w:lang w:eastAsia="zh-CN"/>
        </w:rPr>
        <w:t>；</w:t>
      </w:r>
    </w:p>
    <w:p w14:paraId="35254AB7">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2.大写金额和小写金额不一致的，以大写金额为准</w:t>
      </w:r>
      <w:r>
        <w:rPr>
          <w:rFonts w:hint="eastAsia" w:ascii="宋体" w:hAnsi="宋体" w:eastAsia="宋体" w:cs="宋体"/>
          <w:kern w:val="0"/>
          <w:lang w:eastAsia="zh-CN"/>
        </w:rPr>
        <w:t>；</w:t>
      </w:r>
    </w:p>
    <w:p w14:paraId="5EA0F027">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3.单价金额小数点或者百分比有明显错位的，以开标一览表的总价为准，并修改单价</w:t>
      </w:r>
      <w:r>
        <w:rPr>
          <w:rFonts w:hint="eastAsia" w:ascii="宋体" w:hAnsi="宋体" w:eastAsia="宋体" w:cs="宋体"/>
          <w:kern w:val="0"/>
          <w:lang w:eastAsia="zh-CN"/>
        </w:rPr>
        <w:t>；</w:t>
      </w:r>
    </w:p>
    <w:p w14:paraId="5B7F45CE">
      <w:pPr>
        <w:pStyle w:val="146"/>
        <w:spacing w:before="0" w:line="360" w:lineRule="auto"/>
        <w:ind w:firstLine="480"/>
        <w:rPr>
          <w:rFonts w:hint="eastAsia" w:ascii="宋体" w:hAnsi="宋体" w:eastAsia="宋体" w:cs="宋体"/>
          <w:kern w:val="0"/>
          <w:lang w:eastAsia="zh-CN"/>
        </w:rPr>
      </w:pPr>
      <w:r>
        <w:rPr>
          <w:rFonts w:hint="eastAsia" w:ascii="宋体" w:hAnsi="宋体" w:eastAsia="宋体" w:cs="宋体"/>
          <w:kern w:val="0"/>
        </w:rPr>
        <w:t>4.总价金额与按单价汇总金额不一致的，以单价金额计算结果为准</w:t>
      </w:r>
      <w:r>
        <w:rPr>
          <w:rFonts w:hint="eastAsia" w:ascii="宋体" w:hAnsi="宋体" w:eastAsia="宋体" w:cs="宋体"/>
          <w:kern w:val="0"/>
          <w:lang w:eastAsia="zh-CN"/>
        </w:rPr>
        <w:t>；</w:t>
      </w:r>
    </w:p>
    <w:p w14:paraId="220386F9">
      <w:pPr>
        <w:pStyle w:val="146"/>
        <w:spacing w:before="0" w:line="360" w:lineRule="auto"/>
        <w:ind w:firstLine="480"/>
        <w:rPr>
          <w:rFonts w:hint="eastAsia" w:ascii="宋体" w:hAnsi="宋体" w:eastAsia="宋体" w:cs="宋体"/>
          <w:kern w:val="0"/>
        </w:rPr>
      </w:pPr>
      <w:r>
        <w:rPr>
          <w:rFonts w:hint="eastAsia" w:ascii="宋体" w:hAnsi="宋体" w:eastAsia="宋体" w:cs="宋体"/>
          <w:kern w:val="0"/>
        </w:rPr>
        <w:t>5.同时出现两种以上不一致的，按照以上规定的顺序修正。修正后的报价按照第87号令《政府采购货物和服务招标投标管理办法》第五十一条第二款的规定经投标人确认后产生约束力。</w:t>
      </w:r>
    </w:p>
    <w:p w14:paraId="26C119D7">
      <w:pPr>
        <w:bidi w:val="0"/>
        <w:spacing w:line="360" w:lineRule="auto"/>
        <w:ind w:left="0" w:leftChars="0" w:firstLine="0" w:firstLineChars="0"/>
        <w:rPr>
          <w:rFonts w:hint="eastAsia" w:ascii="宋体" w:hAnsi="宋体" w:eastAsia="宋体" w:cs="宋体"/>
          <w:szCs w:val="24"/>
        </w:rPr>
      </w:pPr>
      <w:r>
        <w:rPr>
          <w:rFonts w:hint="eastAsia"/>
          <w:b/>
          <w:bCs/>
        </w:rPr>
        <w:t>六、投标无效的情形</w:t>
      </w:r>
    </w:p>
    <w:p w14:paraId="20C1D222">
      <w:pPr>
        <w:spacing w:line="360" w:lineRule="auto"/>
        <w:ind w:firstLine="480"/>
        <w:rPr>
          <w:rFonts w:hint="eastAsia" w:ascii="宋体" w:hAnsi="宋体" w:eastAsia="宋体" w:cs="宋体"/>
        </w:rPr>
      </w:pPr>
      <w:r>
        <w:rPr>
          <w:rFonts w:hint="eastAsia" w:ascii="宋体" w:hAnsi="宋体" w:eastAsia="宋体" w:cs="宋体"/>
        </w:rPr>
        <w:t>1.在符合性审查、</w:t>
      </w:r>
      <w:r>
        <w:rPr>
          <w:rFonts w:hint="eastAsia" w:cs="宋体"/>
          <w:lang w:eastAsia="zh-CN"/>
        </w:rPr>
        <w:t>商务</w:t>
      </w:r>
      <w:r>
        <w:rPr>
          <w:rFonts w:hint="eastAsia" w:ascii="宋体" w:hAnsi="宋体" w:eastAsia="宋体" w:cs="宋体"/>
        </w:rPr>
        <w:t>技术评审时，如发现下列情形之一的，投标文件将被视为无效：</w:t>
      </w:r>
    </w:p>
    <w:p w14:paraId="0C40E374">
      <w:pPr>
        <w:spacing w:line="360" w:lineRule="auto"/>
        <w:ind w:firstLine="480"/>
        <w:rPr>
          <w:rFonts w:hint="eastAsia" w:ascii="宋体" w:hAnsi="宋体" w:eastAsia="宋体" w:cs="宋体"/>
          <w:kern w:val="0"/>
        </w:rPr>
      </w:pPr>
      <w:r>
        <w:rPr>
          <w:rFonts w:hint="eastAsia" w:ascii="宋体" w:hAnsi="宋体" w:eastAsia="宋体" w:cs="宋体"/>
          <w:kern w:val="0"/>
        </w:rPr>
        <w:t>（1）投标人不具备招标文件中规定的资格要求的（投标人未提供有效的资格证明文件的，视为投标人不具备招标文件中规定的资格要求）；</w:t>
      </w:r>
    </w:p>
    <w:p w14:paraId="0FD895FD">
      <w:pPr>
        <w:spacing w:line="360" w:lineRule="auto"/>
        <w:ind w:firstLine="480"/>
        <w:rPr>
          <w:rFonts w:hint="eastAsia" w:ascii="宋体" w:hAnsi="宋体" w:eastAsia="宋体" w:cs="宋体"/>
          <w:kern w:val="0"/>
        </w:rPr>
      </w:pPr>
      <w:r>
        <w:rPr>
          <w:rFonts w:hint="eastAsia" w:ascii="宋体" w:hAnsi="宋体" w:eastAsia="宋体" w:cs="宋体"/>
          <w:kern w:val="0"/>
        </w:rPr>
        <w:t>（2）投标文件未按照招标文件要求签署、盖章的；</w:t>
      </w:r>
    </w:p>
    <w:p w14:paraId="7EEC523B">
      <w:pPr>
        <w:spacing w:line="360" w:lineRule="auto"/>
        <w:ind w:firstLine="480"/>
        <w:rPr>
          <w:rFonts w:hint="eastAsia" w:ascii="宋体" w:hAnsi="宋体" w:eastAsia="宋体" w:cs="宋体"/>
          <w:kern w:val="0"/>
        </w:rPr>
      </w:pPr>
      <w:r>
        <w:rPr>
          <w:rFonts w:hint="eastAsia" w:ascii="宋体" w:hAnsi="宋体" w:eastAsia="宋体" w:cs="宋体"/>
          <w:kern w:val="0"/>
        </w:rPr>
        <w:t>（3）招标人拟采购的产品属于政府强制采购的节能产品品目清单范围的，投标人未按招标文件要求提供国家确定的认证机构出具的、处于有效期之内的节能产品认证证书的；</w:t>
      </w:r>
    </w:p>
    <w:p w14:paraId="4E528D60">
      <w:pPr>
        <w:spacing w:line="360" w:lineRule="auto"/>
        <w:ind w:firstLine="480"/>
        <w:rPr>
          <w:rFonts w:hint="eastAsia" w:ascii="宋体" w:hAnsi="宋体" w:eastAsia="宋体" w:cs="宋体"/>
          <w:kern w:val="0"/>
        </w:rPr>
      </w:pPr>
      <w:r>
        <w:rPr>
          <w:rFonts w:hint="eastAsia" w:ascii="宋体" w:hAnsi="宋体" w:eastAsia="宋体" w:cs="宋体"/>
          <w:kern w:val="0"/>
        </w:rPr>
        <w:t>（4）投标文件含有招标人不能接受的附加条件的；</w:t>
      </w:r>
    </w:p>
    <w:p w14:paraId="63F6AAEE">
      <w:pPr>
        <w:spacing w:line="360" w:lineRule="auto"/>
        <w:ind w:firstLine="480"/>
        <w:rPr>
          <w:rFonts w:hint="eastAsia" w:ascii="宋体" w:hAnsi="宋体" w:eastAsia="宋体" w:cs="宋体"/>
          <w:kern w:val="0"/>
        </w:rPr>
      </w:pPr>
      <w:r>
        <w:rPr>
          <w:rFonts w:hint="eastAsia" w:ascii="宋体" w:hAnsi="宋体" w:eastAsia="宋体" w:cs="宋体"/>
          <w:kern w:val="0"/>
        </w:rPr>
        <w:t>（5）投标文件中承诺的投标有效期少于招标文件中载明的投标有效期的；</w:t>
      </w:r>
    </w:p>
    <w:p w14:paraId="74831F8E">
      <w:pPr>
        <w:pStyle w:val="3"/>
        <w:tabs>
          <w:tab w:val="left" w:pos="432"/>
        </w:tabs>
        <w:spacing w:line="360" w:lineRule="auto"/>
        <w:ind w:left="492" w:leftChars="205"/>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（6）投标文件不满足招标文件的其它实质性要求的；</w:t>
      </w:r>
    </w:p>
    <w:p w14:paraId="630F644D">
      <w:pPr>
        <w:spacing w:line="360" w:lineRule="auto"/>
        <w:ind w:firstLine="480"/>
        <w:rPr>
          <w:rFonts w:hint="eastAsia" w:ascii="宋体" w:hAnsi="宋体" w:eastAsia="宋体" w:cs="宋体"/>
          <w:kern w:val="0"/>
        </w:rPr>
      </w:pPr>
      <w:r>
        <w:rPr>
          <w:rFonts w:hint="eastAsia" w:ascii="宋体" w:hAnsi="宋体" w:eastAsia="宋体" w:cs="宋体"/>
          <w:kern w:val="0"/>
        </w:rPr>
        <w:t>（7）法律、法规、规章（适用本市的）及省级以上规范性文件（适用本市的）规定的其他无效情形。</w:t>
      </w:r>
    </w:p>
    <w:p w14:paraId="299FBC1C">
      <w:pPr>
        <w:spacing w:line="360" w:lineRule="auto"/>
        <w:ind w:firstLine="480"/>
        <w:rPr>
          <w:rFonts w:hint="eastAsia" w:ascii="宋体" w:hAnsi="宋体" w:eastAsia="宋体" w:cs="宋体"/>
        </w:rPr>
      </w:pPr>
      <w:r>
        <w:rPr>
          <w:rFonts w:hint="eastAsia" w:ascii="宋体" w:hAnsi="宋体" w:eastAsia="宋体" w:cs="宋体"/>
        </w:rPr>
        <w:t>2.在报价评审时，如发现下列情形之一的，投标文件将被视为无效：</w:t>
      </w:r>
    </w:p>
    <w:p w14:paraId="5B5394AB">
      <w:pPr>
        <w:spacing w:line="360" w:lineRule="auto"/>
        <w:ind w:firstLine="480"/>
        <w:rPr>
          <w:rFonts w:hint="eastAsia" w:ascii="宋体" w:hAnsi="宋体" w:eastAsia="宋体" w:cs="宋体"/>
        </w:rPr>
      </w:pPr>
      <w:r>
        <w:rPr>
          <w:rFonts w:hint="eastAsia" w:ascii="宋体" w:hAnsi="宋体" w:eastAsia="宋体" w:cs="宋体"/>
        </w:rPr>
        <w:t>（1）报价文件未按要求签署、盖章的；</w:t>
      </w:r>
    </w:p>
    <w:p w14:paraId="481E3BD9">
      <w:pPr>
        <w:spacing w:line="360" w:lineRule="auto"/>
        <w:ind w:firstLine="480"/>
        <w:rPr>
          <w:rFonts w:hint="eastAsia" w:ascii="宋体" w:hAnsi="宋体" w:eastAsia="宋体" w:cs="宋体"/>
        </w:rPr>
      </w:pPr>
      <w:r>
        <w:rPr>
          <w:rFonts w:hint="eastAsia" w:ascii="宋体" w:hAnsi="宋体" w:eastAsia="宋体" w:cs="宋体"/>
        </w:rPr>
        <w:t>（2）未按照招标文件标明的币种报价的；</w:t>
      </w:r>
    </w:p>
    <w:p w14:paraId="6643BBFC">
      <w:pPr>
        <w:spacing w:line="360" w:lineRule="auto"/>
        <w:ind w:firstLine="480"/>
        <w:rPr>
          <w:rFonts w:hint="eastAsia" w:ascii="宋体" w:hAnsi="宋体" w:eastAsia="宋体" w:cs="宋体"/>
        </w:rPr>
      </w:pPr>
      <w:r>
        <w:rPr>
          <w:rFonts w:hint="eastAsia" w:ascii="宋体" w:hAnsi="宋体" w:eastAsia="宋体" w:cs="宋体"/>
        </w:rPr>
        <w:t>（3）报价明细有缺漏项，或者与招标文件要求不一致的；</w:t>
      </w:r>
    </w:p>
    <w:p w14:paraId="450B3147">
      <w:pPr>
        <w:spacing w:line="360" w:lineRule="auto"/>
        <w:ind w:firstLine="480"/>
        <w:rPr>
          <w:rFonts w:hint="eastAsia" w:ascii="宋体" w:hAnsi="宋体" w:eastAsia="宋体" w:cs="宋体"/>
        </w:rPr>
      </w:pPr>
      <w:r>
        <w:rPr>
          <w:rFonts w:hint="eastAsia" w:ascii="宋体" w:hAnsi="宋体" w:eastAsia="宋体" w:cs="宋体"/>
        </w:rPr>
        <w:t>（4）报价超过招标文件中规定的预算金额或者最高限价</w:t>
      </w:r>
      <w:r>
        <w:rPr>
          <w:rFonts w:hint="eastAsia" w:ascii="宋体" w:hAnsi="宋体" w:eastAsia="宋体" w:cs="宋体"/>
          <w:kern w:val="0"/>
        </w:rPr>
        <w:t>（含单价最高限价）</w:t>
      </w:r>
      <w:r>
        <w:rPr>
          <w:rFonts w:hint="eastAsia" w:ascii="宋体" w:hAnsi="宋体" w:eastAsia="宋体" w:cs="宋体"/>
        </w:rPr>
        <w:t>的；</w:t>
      </w:r>
    </w:p>
    <w:p w14:paraId="633BA67D">
      <w:pPr>
        <w:spacing w:line="360" w:lineRule="auto"/>
        <w:ind w:firstLine="480"/>
        <w:rPr>
          <w:rFonts w:hint="eastAsia" w:ascii="宋体" w:hAnsi="宋体" w:eastAsia="宋体" w:cs="宋体"/>
        </w:rPr>
      </w:pPr>
      <w:r>
        <w:rPr>
          <w:rFonts w:hint="eastAsia" w:ascii="宋体" w:hAnsi="宋体" w:eastAsia="宋体" w:cs="宋体"/>
        </w:rPr>
        <w:t>（5）报价</w:t>
      </w:r>
      <w:r>
        <w:rPr>
          <w:rFonts w:hint="eastAsia" w:ascii="宋体" w:hAnsi="宋体" w:eastAsia="宋体" w:cs="宋体"/>
          <w:kern w:val="0"/>
        </w:rPr>
        <w:t>不是唯一的、</w:t>
      </w:r>
      <w:r>
        <w:rPr>
          <w:rFonts w:hint="eastAsia" w:ascii="宋体" w:hAnsi="宋体" w:eastAsia="宋体" w:cs="宋体"/>
        </w:rPr>
        <w:t>具有选择性，或者开标价格与投标文件承诺的优惠（折扣）价格不一致的；</w:t>
      </w:r>
    </w:p>
    <w:p w14:paraId="577679F5">
      <w:pPr>
        <w:spacing w:line="360" w:lineRule="auto"/>
        <w:ind w:firstLine="480"/>
        <w:rPr>
          <w:rFonts w:hint="eastAsia" w:ascii="宋体" w:hAnsi="宋体" w:eastAsia="宋体" w:cs="宋体"/>
        </w:rPr>
      </w:pPr>
      <w:r>
        <w:rPr>
          <w:rFonts w:hint="eastAsia" w:ascii="宋体" w:hAnsi="宋体" w:eastAsia="宋体" w:cs="宋体"/>
        </w:rPr>
        <w:t>（6）报价明显低于其他通过符合性审查投标人的报价（有可能影响产品质量或者不能诚信履约的），投标人在评标现场合理的时间内无法提供书面说明（必要时提交相关证明材料）证明其报价合理性的。</w:t>
      </w:r>
    </w:p>
    <w:p w14:paraId="7C1FC932">
      <w:pPr>
        <w:spacing w:line="360" w:lineRule="auto"/>
        <w:ind w:firstLine="480"/>
        <w:rPr>
          <w:rFonts w:hint="eastAsia" w:ascii="宋体" w:hAnsi="宋体" w:eastAsia="宋体" w:cs="宋体"/>
        </w:rPr>
      </w:pPr>
      <w:r>
        <w:rPr>
          <w:rFonts w:hint="eastAsia" w:ascii="宋体" w:hAnsi="宋体" w:eastAsia="宋体" w:cs="宋体"/>
        </w:rPr>
        <w:t>3.有下列情形之一的，视为投标人串通投标，其投标无效，由招标人或招标代理机构上报招标监督管理部门，视情列入不良行为记录名单，在一至三年内禁止参加招标活动：</w:t>
      </w:r>
    </w:p>
    <w:p w14:paraId="1F051CC7">
      <w:pPr>
        <w:spacing w:line="360" w:lineRule="auto"/>
        <w:ind w:firstLine="480"/>
        <w:rPr>
          <w:rFonts w:hint="eastAsia" w:ascii="宋体" w:hAnsi="宋体" w:eastAsia="宋体" w:cs="宋体"/>
        </w:rPr>
      </w:pPr>
      <w:r>
        <w:rPr>
          <w:rFonts w:hint="eastAsia" w:ascii="宋体" w:hAnsi="宋体" w:eastAsia="宋体" w:cs="宋体"/>
        </w:rPr>
        <w:t>（1）不同投标人的投标文件由同一单位或者个人编制；</w:t>
      </w:r>
    </w:p>
    <w:p w14:paraId="69308E1B">
      <w:pPr>
        <w:spacing w:line="360" w:lineRule="auto"/>
        <w:ind w:firstLine="480"/>
        <w:rPr>
          <w:rFonts w:hint="eastAsia" w:ascii="宋体" w:hAnsi="宋体" w:eastAsia="宋体" w:cs="宋体"/>
        </w:rPr>
      </w:pPr>
      <w:r>
        <w:rPr>
          <w:rFonts w:hint="eastAsia" w:ascii="宋体" w:hAnsi="宋体" w:eastAsia="宋体" w:cs="宋体"/>
        </w:rPr>
        <w:t>（2）不同投标人委托同一单位或者个人办理投标事宜；</w:t>
      </w:r>
    </w:p>
    <w:p w14:paraId="2480C56E">
      <w:pPr>
        <w:spacing w:line="360" w:lineRule="auto"/>
        <w:ind w:firstLine="480"/>
        <w:rPr>
          <w:rFonts w:hint="eastAsia" w:ascii="宋体" w:hAnsi="宋体" w:eastAsia="宋体" w:cs="宋体"/>
        </w:rPr>
      </w:pPr>
      <w:r>
        <w:rPr>
          <w:rFonts w:hint="eastAsia" w:ascii="宋体" w:hAnsi="宋体" w:eastAsia="宋体" w:cs="宋体"/>
        </w:rPr>
        <w:t>（3）不同投标人的投标文件载明的项目管理成员或者联系人员为同一人；</w:t>
      </w:r>
    </w:p>
    <w:p w14:paraId="1299C66E">
      <w:pPr>
        <w:spacing w:line="360" w:lineRule="auto"/>
        <w:ind w:firstLine="480"/>
        <w:rPr>
          <w:rFonts w:hint="eastAsia" w:ascii="宋体" w:hAnsi="宋体" w:eastAsia="宋体" w:cs="宋体"/>
        </w:rPr>
      </w:pPr>
      <w:r>
        <w:rPr>
          <w:rFonts w:hint="eastAsia" w:ascii="宋体" w:hAnsi="宋体" w:eastAsia="宋体" w:cs="宋体"/>
        </w:rPr>
        <w:t>（4）不同投标人的投标文件异常一致或者投标报价呈规律性差异；</w:t>
      </w:r>
    </w:p>
    <w:p w14:paraId="3D609079">
      <w:pPr>
        <w:spacing w:line="360" w:lineRule="auto"/>
        <w:ind w:firstLine="480"/>
        <w:rPr>
          <w:rFonts w:hint="eastAsia" w:ascii="宋体" w:hAnsi="宋体" w:eastAsia="宋体" w:cs="宋体"/>
          <w:lang w:eastAsia="zh-CN"/>
        </w:rPr>
      </w:pPr>
      <w:r>
        <w:rPr>
          <w:rFonts w:hint="eastAsia" w:ascii="宋体" w:hAnsi="宋体" w:eastAsia="宋体" w:cs="宋体"/>
        </w:rPr>
        <w:t>（5）不同投标人的投标文件相互混装</w:t>
      </w:r>
      <w:r>
        <w:rPr>
          <w:rFonts w:hint="eastAsia" w:ascii="宋体" w:hAnsi="宋体" w:eastAsia="宋体" w:cs="宋体"/>
          <w:lang w:eastAsia="zh-CN"/>
        </w:rPr>
        <w:t>。</w:t>
      </w:r>
    </w:p>
    <w:p w14:paraId="1CA26BA3">
      <w:pPr>
        <w:bidi w:val="0"/>
        <w:spacing w:line="360" w:lineRule="auto"/>
        <w:ind w:left="0" w:leftChars="0" w:firstLine="480" w:firstLineChars="200"/>
        <w:rPr>
          <w:rFonts w:hint="default" w:eastAsia="宋体"/>
          <w:b w:val="0"/>
          <w:bCs w:val="0"/>
          <w:lang w:val="en-US" w:eastAsia="zh-CN"/>
        </w:rPr>
      </w:pPr>
      <w:r>
        <w:rPr>
          <w:rFonts w:hint="eastAsia"/>
          <w:b w:val="0"/>
          <w:bCs w:val="0"/>
          <w:lang w:val="en-US" w:eastAsia="zh-CN"/>
        </w:rPr>
        <w:t>4.</w:t>
      </w:r>
      <w:r>
        <w:rPr>
          <w:rFonts w:hint="eastAsia" w:ascii="宋体" w:hAnsi="宋体" w:eastAsia="宋体" w:cs="宋体"/>
          <w:i w:val="0"/>
          <w:iCs w:val="0"/>
          <w:caps w:val="0"/>
          <w:color w:val="000000"/>
          <w:spacing w:val="0"/>
          <w:sz w:val="24"/>
          <w:szCs w:val="24"/>
        </w:rPr>
        <w:t>除政府采购法律法规规章规定的属于恶意串通、视为串通投标情形外，参与同一个采购包（标段）的供应商存在下列情形之一且无法合理解释的，其投标（响应）文件无效：</w:t>
      </w:r>
    </w:p>
    <w:p w14:paraId="0345044B">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1</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不同供应商的电子投标（响应）文件上传计算机的网卡MAC地址或硬盘序列号等硬件信息相同的；</w:t>
      </w:r>
    </w:p>
    <w:p w14:paraId="04FE1BC5">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2</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上传的电子投标（响应）文件若出现使用本项目其他投标（响应）供应商的数字证书加密的，或者加盖本项目其他投标（响应）供应商的电子印章的；</w:t>
      </w:r>
    </w:p>
    <w:p w14:paraId="1B31385D">
      <w:pPr>
        <w:bidi w:val="0"/>
        <w:spacing w:line="360" w:lineRule="auto"/>
        <w:ind w:left="0" w:leftChars="0" w:firstLine="480" w:firstLineChars="200"/>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3</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不同供应商的投标（响应）文件的内容存在3处（含）以上错误一致的；</w:t>
      </w:r>
    </w:p>
    <w:p w14:paraId="571EB303">
      <w:pPr>
        <w:bidi w:val="0"/>
        <w:spacing w:line="360" w:lineRule="auto"/>
        <w:ind w:left="0" w:leftChars="0" w:firstLine="480" w:firstLineChars="200"/>
        <w:rPr>
          <w:rFonts w:hint="eastAsia" w:eastAsia="宋体"/>
          <w:b w:val="0"/>
          <w:bCs w:val="0"/>
          <w:lang w:eastAsia="zh-CN"/>
        </w:rPr>
      </w:pPr>
      <w:r>
        <w:rPr>
          <w:rFonts w:hint="eastAsia" w:ascii="宋体" w:hAnsi="宋体" w:eastAsia="宋体" w:cs="宋体"/>
          <w:b w:val="0"/>
          <w:bCs w:val="0"/>
          <w:sz w:val="24"/>
          <w:szCs w:val="24"/>
          <w:lang w:eastAsia="zh-CN"/>
        </w:rPr>
        <w:t>（</w:t>
      </w:r>
      <w:r>
        <w:rPr>
          <w:rFonts w:hint="eastAsia" w:ascii="宋体" w:hAnsi="宋体" w:eastAsia="宋体" w:cs="宋体"/>
          <w:b w:val="0"/>
          <w:bCs w:val="0"/>
          <w:sz w:val="24"/>
          <w:szCs w:val="24"/>
          <w:lang w:val="en-US" w:eastAsia="zh-CN"/>
        </w:rPr>
        <w:t>4</w:t>
      </w:r>
      <w:r>
        <w:rPr>
          <w:rFonts w:hint="eastAsia" w:ascii="宋体" w:hAnsi="宋体" w:eastAsia="宋体" w:cs="宋体"/>
          <w:b w:val="0"/>
          <w:bCs w:val="0"/>
          <w:sz w:val="24"/>
          <w:szCs w:val="24"/>
          <w:lang w:eastAsia="zh-CN"/>
        </w:rPr>
        <w:t>）</w:t>
      </w:r>
      <w:r>
        <w:rPr>
          <w:rFonts w:hint="eastAsia" w:ascii="宋体" w:hAnsi="宋体" w:eastAsia="宋体" w:cs="宋体"/>
          <w:i w:val="0"/>
          <w:iCs w:val="0"/>
          <w:caps w:val="0"/>
          <w:color w:val="000000"/>
          <w:spacing w:val="0"/>
          <w:sz w:val="24"/>
          <w:szCs w:val="24"/>
        </w:rPr>
        <w:t>不同供应商联系人为同一人或不同联系人的联系电话一致的。</w:t>
      </w:r>
    </w:p>
    <w:p w14:paraId="4E0ABBAB">
      <w:pPr>
        <w:bidi w:val="0"/>
        <w:spacing w:line="360" w:lineRule="auto"/>
        <w:ind w:left="0" w:leftChars="0" w:firstLine="0" w:firstLineChars="0"/>
        <w:rPr>
          <w:rFonts w:hint="eastAsia" w:ascii="宋体" w:hAnsi="宋体" w:eastAsia="宋体" w:cs="宋体"/>
          <w:szCs w:val="24"/>
        </w:rPr>
      </w:pPr>
      <w:r>
        <w:rPr>
          <w:rFonts w:hint="eastAsia"/>
          <w:b/>
          <w:bCs/>
        </w:rPr>
        <w:t>七、投标的澄清</w:t>
      </w:r>
    </w:p>
    <w:p w14:paraId="3A48D277">
      <w:pPr>
        <w:spacing w:line="360" w:lineRule="auto"/>
        <w:ind w:firstLine="480"/>
        <w:rPr>
          <w:rFonts w:hint="eastAsia" w:ascii="宋体" w:hAnsi="宋体" w:eastAsia="宋体" w:cs="宋体"/>
        </w:rPr>
      </w:pPr>
      <w:r>
        <w:rPr>
          <w:rFonts w:hint="eastAsia" w:ascii="宋体" w:hAnsi="宋体" w:eastAsia="宋体" w:cs="宋体"/>
        </w:rPr>
        <w:t>1.对投标文件审查中发现的投标文件表达含义不明确、同类问题表述不一致或者有明显文字与计算错误的内容，评标委员会可通过询标，要求投标人做出澄清。投标人必须按照招标代理机构通知的时间、地点派技术和商务人员进行答疑和澄清。</w:t>
      </w:r>
    </w:p>
    <w:p w14:paraId="144F1BE9">
      <w:pPr>
        <w:spacing w:line="360" w:lineRule="auto"/>
        <w:ind w:firstLine="480"/>
        <w:rPr>
          <w:rFonts w:hint="eastAsia" w:ascii="宋体" w:hAnsi="宋体" w:eastAsia="宋体" w:cs="宋体"/>
        </w:rPr>
      </w:pPr>
      <w:r>
        <w:rPr>
          <w:rFonts w:hint="eastAsia" w:ascii="宋体" w:hAnsi="宋体" w:eastAsia="宋体" w:cs="宋体"/>
        </w:rPr>
        <w:t>2.投标人应对需要澄清的问题作书面回答，该书面回答应有投标人</w:t>
      </w:r>
      <w:r>
        <w:rPr>
          <w:rFonts w:hint="eastAsia" w:cs="宋体"/>
          <w:lang w:eastAsia="zh-CN"/>
        </w:rPr>
        <w:t>授权代表</w:t>
      </w:r>
      <w:r>
        <w:rPr>
          <w:rFonts w:hint="eastAsia" w:ascii="宋体" w:hAnsi="宋体" w:eastAsia="宋体" w:cs="宋体"/>
        </w:rPr>
        <w:t>（或法定代表人）的签字（或盖章），书面澄清将作为投标内容的一部分。</w:t>
      </w:r>
    </w:p>
    <w:p w14:paraId="1DBE8914">
      <w:pPr>
        <w:spacing w:line="360" w:lineRule="auto"/>
        <w:ind w:firstLine="480"/>
        <w:rPr>
          <w:rFonts w:hint="eastAsia" w:ascii="宋体" w:hAnsi="宋体" w:eastAsia="宋体" w:cs="宋体"/>
        </w:rPr>
      </w:pPr>
      <w:r>
        <w:rPr>
          <w:rFonts w:hint="eastAsia" w:ascii="宋体" w:hAnsi="宋体" w:eastAsia="宋体" w:cs="宋体"/>
        </w:rPr>
        <w:t>3.投标人对投标文件的澄清不得超出投标文件的范围或改变投标价格等投标文件的实质性内容。否则，不予接受。</w:t>
      </w:r>
    </w:p>
    <w:p w14:paraId="2EC1C96A">
      <w:pPr>
        <w:bidi w:val="0"/>
        <w:spacing w:line="360" w:lineRule="auto"/>
        <w:ind w:left="0" w:leftChars="0" w:firstLine="0" w:firstLineChars="0"/>
        <w:rPr>
          <w:rFonts w:hint="eastAsia" w:ascii="宋体" w:hAnsi="宋体" w:eastAsia="宋体" w:cs="宋体"/>
          <w:szCs w:val="24"/>
        </w:rPr>
      </w:pPr>
      <w:r>
        <w:rPr>
          <w:rFonts w:hint="eastAsia"/>
          <w:b/>
          <w:bCs/>
        </w:rPr>
        <w:t>八、评标办法</w:t>
      </w:r>
    </w:p>
    <w:p w14:paraId="06A185F9">
      <w:pPr>
        <w:spacing w:line="360" w:lineRule="auto"/>
        <w:ind w:left="0" w:leftChars="0" w:firstLine="480" w:firstLineChars="200"/>
        <w:rPr>
          <w:rFonts w:hint="eastAsia" w:ascii="宋体" w:hAnsi="宋体" w:eastAsia="宋体" w:cs="宋体"/>
          <w:b w:val="0"/>
          <w:bCs w:val="0"/>
          <w:kern w:val="2"/>
          <w:sz w:val="24"/>
          <w:szCs w:val="24"/>
        </w:rPr>
      </w:pPr>
      <w:r>
        <w:rPr>
          <w:rFonts w:hint="eastAsia" w:ascii="宋体" w:hAnsi="宋体" w:eastAsia="宋体" w:cs="宋体"/>
          <w:b w:val="0"/>
          <w:bCs w:val="0"/>
          <w:kern w:val="2"/>
          <w:sz w:val="24"/>
          <w:szCs w:val="24"/>
        </w:rPr>
        <w:t>本项目评标办法</w:t>
      </w:r>
      <w:r>
        <w:rPr>
          <w:rFonts w:hint="eastAsia" w:cs="宋体"/>
          <w:b w:val="0"/>
          <w:bCs w:val="0"/>
          <w:kern w:val="2"/>
          <w:sz w:val="24"/>
          <w:szCs w:val="24"/>
          <w:lang w:eastAsia="zh-CN"/>
        </w:rPr>
        <w:t>采用</w:t>
      </w:r>
      <w:r>
        <w:rPr>
          <w:rFonts w:hint="eastAsia" w:ascii="宋体" w:hAnsi="宋体" w:eastAsia="宋体" w:cs="宋体"/>
          <w:b w:val="0"/>
          <w:bCs w:val="0"/>
          <w:kern w:val="2"/>
          <w:sz w:val="24"/>
          <w:szCs w:val="24"/>
        </w:rPr>
        <w:t>综合评分法，具体评标内容及评分标准等详见</w:t>
      </w:r>
      <w:r>
        <w:rPr>
          <w:rFonts w:hint="eastAsia" w:cs="宋体"/>
          <w:b w:val="0"/>
          <w:bCs w:val="0"/>
          <w:kern w:val="2"/>
          <w:sz w:val="24"/>
          <w:szCs w:val="24"/>
          <w:lang w:eastAsia="zh-CN"/>
        </w:rPr>
        <w:t>《</w:t>
      </w:r>
      <w:r>
        <w:rPr>
          <w:rFonts w:hint="eastAsia" w:ascii="宋体" w:hAnsi="宋体" w:eastAsia="宋体" w:cs="宋体"/>
          <w:b w:val="0"/>
          <w:bCs w:val="0"/>
          <w:kern w:val="2"/>
          <w:sz w:val="24"/>
          <w:szCs w:val="24"/>
        </w:rPr>
        <w:t>第四章</w:t>
      </w:r>
      <w:r>
        <w:rPr>
          <w:rFonts w:hint="eastAsia" w:cs="宋体"/>
          <w:b w:val="0"/>
          <w:bCs w:val="0"/>
          <w:kern w:val="2"/>
          <w:sz w:val="24"/>
          <w:szCs w:val="24"/>
          <w:lang w:val="en-US" w:eastAsia="zh-CN"/>
        </w:rPr>
        <w:t>-</w:t>
      </w:r>
      <w:r>
        <w:rPr>
          <w:rFonts w:hint="eastAsia" w:ascii="宋体" w:hAnsi="宋体" w:eastAsia="宋体" w:cs="宋体"/>
          <w:b w:val="0"/>
          <w:bCs w:val="0"/>
          <w:kern w:val="2"/>
          <w:sz w:val="24"/>
          <w:szCs w:val="24"/>
        </w:rPr>
        <w:t>评标办法及评分标准</w:t>
      </w:r>
      <w:r>
        <w:rPr>
          <w:rFonts w:hint="eastAsia" w:cs="宋体"/>
          <w:b w:val="0"/>
          <w:bCs w:val="0"/>
          <w:kern w:val="2"/>
          <w:sz w:val="24"/>
          <w:szCs w:val="24"/>
          <w:lang w:eastAsia="zh-CN"/>
        </w:rPr>
        <w:t>》</w:t>
      </w:r>
      <w:r>
        <w:rPr>
          <w:rFonts w:hint="eastAsia" w:ascii="宋体" w:hAnsi="宋体" w:eastAsia="宋体" w:cs="宋体"/>
          <w:b w:val="0"/>
          <w:bCs w:val="0"/>
          <w:kern w:val="2"/>
          <w:sz w:val="24"/>
          <w:szCs w:val="24"/>
        </w:rPr>
        <w:t>。</w:t>
      </w:r>
    </w:p>
    <w:p w14:paraId="59E4897A">
      <w:pPr>
        <w:pStyle w:val="3"/>
        <w:numPr>
          <w:ilvl w:val="0"/>
          <w:numId w:val="0"/>
        </w:numPr>
        <w:spacing w:line="360" w:lineRule="auto"/>
        <w:jc w:val="center"/>
        <w:rPr>
          <w:rFonts w:hint="eastAsia" w:ascii="宋体" w:hAnsi="宋体" w:cs="宋体"/>
          <w:sz w:val="24"/>
          <w:szCs w:val="24"/>
          <w:lang w:val="en-US" w:eastAsia="zh-CN"/>
        </w:rPr>
      </w:pPr>
      <w:bookmarkStart w:id="63" w:name="_Toc31535"/>
      <w:bookmarkStart w:id="64" w:name="_Toc24239"/>
    </w:p>
    <w:p w14:paraId="7C12D6C4">
      <w:pPr>
        <w:pStyle w:val="3"/>
        <w:numPr>
          <w:ilvl w:val="0"/>
          <w:numId w:val="0"/>
        </w:numPr>
        <w:spacing w:line="360" w:lineRule="auto"/>
        <w:jc w:val="center"/>
        <w:rPr>
          <w:rFonts w:hint="eastAsia" w:ascii="宋体" w:hAnsi="宋体" w:cs="宋体"/>
          <w:sz w:val="24"/>
          <w:szCs w:val="24"/>
          <w:lang w:val="en-US" w:eastAsia="zh-CN"/>
        </w:rPr>
      </w:pPr>
      <w:r>
        <w:rPr>
          <w:rFonts w:hint="eastAsia" w:ascii="宋体" w:hAnsi="宋体" w:cs="宋体"/>
          <w:sz w:val="24"/>
          <w:szCs w:val="24"/>
          <w:lang w:val="en-US" w:eastAsia="zh-CN"/>
        </w:rPr>
        <w:t>第七节  定 标</w:t>
      </w:r>
    </w:p>
    <w:p w14:paraId="55DC0EF1">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1</w:t>
      </w:r>
      <w:r>
        <w:rPr>
          <w:rFonts w:hint="eastAsia" w:cs="宋体"/>
          <w:sz w:val="24"/>
          <w:szCs w:val="24"/>
          <w:lang w:eastAsia="zh-CN"/>
        </w:rPr>
        <w:t>.</w:t>
      </w:r>
      <w:r>
        <w:rPr>
          <w:rFonts w:hint="eastAsia" w:cs="宋体"/>
          <w:sz w:val="24"/>
          <w:szCs w:val="24"/>
        </w:rPr>
        <w:t>确定中标供应商。本项目由</w:t>
      </w:r>
      <w:r>
        <w:rPr>
          <w:rFonts w:hint="eastAsia" w:cs="宋体"/>
          <w:sz w:val="24"/>
          <w:szCs w:val="24"/>
          <w:lang w:eastAsia="zh-CN"/>
        </w:rPr>
        <w:t>招标人</w:t>
      </w:r>
      <w:r>
        <w:rPr>
          <w:rFonts w:hint="eastAsia" w:cs="宋体"/>
          <w:sz w:val="24"/>
          <w:szCs w:val="24"/>
        </w:rPr>
        <w:t>确定中标供应商。</w:t>
      </w:r>
    </w:p>
    <w:p w14:paraId="25563FCD">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2</w:t>
      </w:r>
      <w:r>
        <w:rPr>
          <w:rFonts w:hint="eastAsia" w:cs="宋体"/>
          <w:sz w:val="24"/>
          <w:szCs w:val="24"/>
          <w:lang w:eastAsia="zh-CN"/>
        </w:rPr>
        <w:t>.招标代理机构</w:t>
      </w:r>
      <w:r>
        <w:rPr>
          <w:rFonts w:hint="eastAsia" w:cs="宋体"/>
          <w:sz w:val="24"/>
          <w:szCs w:val="24"/>
        </w:rPr>
        <w:t>在评标结束后2个工作日内将评标报告交</w:t>
      </w:r>
      <w:r>
        <w:rPr>
          <w:rFonts w:hint="eastAsia" w:cs="宋体"/>
          <w:sz w:val="24"/>
          <w:szCs w:val="24"/>
          <w:lang w:eastAsia="zh-CN"/>
        </w:rPr>
        <w:t>招标人</w:t>
      </w:r>
      <w:r>
        <w:rPr>
          <w:rFonts w:hint="eastAsia" w:cs="宋体"/>
          <w:sz w:val="24"/>
          <w:szCs w:val="24"/>
        </w:rPr>
        <w:t>确认。</w:t>
      </w:r>
    </w:p>
    <w:p w14:paraId="3B5B0063">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3</w:t>
      </w:r>
      <w:r>
        <w:rPr>
          <w:rFonts w:hint="eastAsia" w:cs="宋体"/>
          <w:sz w:val="24"/>
          <w:szCs w:val="24"/>
          <w:lang w:eastAsia="zh-CN"/>
        </w:rPr>
        <w:t>.</w:t>
      </w:r>
      <w:r>
        <w:rPr>
          <w:rFonts w:hint="eastAsia" w:cs="宋体"/>
          <w:szCs w:val="24"/>
          <w:lang w:eastAsia="zh-CN"/>
        </w:rPr>
        <w:t>招标人</w:t>
      </w:r>
      <w:r>
        <w:rPr>
          <w:rFonts w:hint="eastAsia" w:ascii="宋体" w:hAnsi="宋体" w:cs="宋体"/>
          <w:szCs w:val="24"/>
        </w:rPr>
        <w:t>自收到评审报告之日起5个工作日内通过电子交易平台在评审报告推荐的中标候选人中按顺序确定中标人</w:t>
      </w:r>
      <w:r>
        <w:rPr>
          <w:rFonts w:hint="eastAsia" w:cs="宋体"/>
          <w:sz w:val="24"/>
          <w:szCs w:val="24"/>
        </w:rPr>
        <w:t>。中标候选人并列的，由</w:t>
      </w:r>
      <w:r>
        <w:rPr>
          <w:rFonts w:hint="eastAsia" w:cs="宋体"/>
          <w:sz w:val="24"/>
          <w:szCs w:val="24"/>
          <w:lang w:eastAsia="zh-CN"/>
        </w:rPr>
        <w:t>招标人</w:t>
      </w:r>
      <w:r>
        <w:rPr>
          <w:rFonts w:hint="eastAsia" w:cs="宋体"/>
          <w:sz w:val="24"/>
          <w:szCs w:val="24"/>
        </w:rPr>
        <w:t>或者</w:t>
      </w:r>
      <w:r>
        <w:rPr>
          <w:rFonts w:hint="eastAsia" w:cs="宋体"/>
          <w:sz w:val="24"/>
          <w:szCs w:val="24"/>
          <w:lang w:eastAsia="zh-CN"/>
        </w:rPr>
        <w:t>招标人</w:t>
      </w:r>
      <w:r>
        <w:rPr>
          <w:rFonts w:hint="eastAsia" w:cs="宋体"/>
          <w:sz w:val="24"/>
          <w:szCs w:val="24"/>
        </w:rPr>
        <w:t>委托评标委员会按照招标文件规定的方式确定中标供应商；招标文件未规定的，采取随机抽取的方式确定。</w:t>
      </w:r>
    </w:p>
    <w:p w14:paraId="0F2B4583">
      <w:pPr>
        <w:pageBreakBefore w:val="0"/>
        <w:widowControl w:val="0"/>
        <w:kinsoku/>
        <w:wordWrap/>
        <w:overflowPunct/>
        <w:topLinePunct w:val="0"/>
        <w:autoSpaceDE/>
        <w:autoSpaceDN/>
        <w:bidi w:val="0"/>
        <w:adjustRightInd/>
        <w:snapToGrid/>
        <w:spacing w:line="360" w:lineRule="auto"/>
        <w:textAlignment w:val="auto"/>
        <w:rPr>
          <w:rFonts w:hint="eastAsia" w:cs="宋体"/>
          <w:sz w:val="24"/>
          <w:szCs w:val="24"/>
        </w:rPr>
      </w:pPr>
      <w:r>
        <w:rPr>
          <w:rFonts w:hint="eastAsia" w:cs="宋体"/>
          <w:sz w:val="24"/>
          <w:szCs w:val="24"/>
        </w:rPr>
        <w:t>4</w:t>
      </w:r>
      <w:r>
        <w:rPr>
          <w:rFonts w:hint="eastAsia" w:cs="宋体"/>
          <w:sz w:val="24"/>
          <w:szCs w:val="24"/>
          <w:lang w:eastAsia="zh-CN"/>
        </w:rPr>
        <w:t>.招标人</w:t>
      </w:r>
      <w:r>
        <w:rPr>
          <w:rFonts w:hint="eastAsia" w:cs="宋体"/>
          <w:sz w:val="24"/>
          <w:szCs w:val="24"/>
        </w:rPr>
        <w:t>在收到评标报告5个工作日内未按评标报告推荐的中标候选人顺序确定中标供应商，又不能说明合法理由的，视同按评标报告推荐的顺序确定排名第一的中标候选人为中标供应商。</w:t>
      </w:r>
    </w:p>
    <w:p w14:paraId="2C4020B3">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cs="宋体"/>
          <w:sz w:val="24"/>
          <w:szCs w:val="24"/>
        </w:rPr>
      </w:pPr>
      <w:r>
        <w:rPr>
          <w:rFonts w:hint="eastAsia" w:cs="宋体"/>
          <w:sz w:val="24"/>
          <w:szCs w:val="24"/>
        </w:rPr>
        <w:t>5</w:t>
      </w:r>
      <w:r>
        <w:rPr>
          <w:rFonts w:hint="eastAsia" w:cs="宋体"/>
          <w:sz w:val="24"/>
          <w:szCs w:val="24"/>
          <w:lang w:eastAsia="zh-CN"/>
        </w:rPr>
        <w:t>.招标人</w:t>
      </w:r>
      <w:r>
        <w:rPr>
          <w:rFonts w:hint="eastAsia" w:cs="宋体"/>
          <w:sz w:val="24"/>
          <w:szCs w:val="24"/>
        </w:rPr>
        <w:t>依法确定中标供应商后2个工作日内，</w:t>
      </w:r>
      <w:r>
        <w:rPr>
          <w:rFonts w:hint="eastAsia" w:cs="宋体"/>
          <w:sz w:val="24"/>
          <w:szCs w:val="24"/>
          <w:lang w:eastAsia="zh-CN"/>
        </w:rPr>
        <w:t>招标代理机构</w:t>
      </w:r>
      <w:r>
        <w:rPr>
          <w:rFonts w:hint="eastAsia" w:cs="宋体"/>
          <w:sz w:val="24"/>
          <w:szCs w:val="24"/>
        </w:rPr>
        <w:t>以书面形式发出《中标通知书》，并同时在相关网站上发布中标结果公告。</w:t>
      </w:r>
    </w:p>
    <w:p w14:paraId="2F2D7ECF">
      <w:pPr>
        <w:bidi w:val="0"/>
        <w:rPr>
          <w:rFonts w:hint="default"/>
          <w:sz w:val="18"/>
          <w:szCs w:val="18"/>
          <w:lang w:val="en-US" w:eastAsia="zh-CN"/>
        </w:rPr>
      </w:pPr>
    </w:p>
    <w:p w14:paraId="529C6AEE">
      <w:pPr>
        <w:pStyle w:val="3"/>
        <w:spacing w:line="360" w:lineRule="auto"/>
        <w:jc w:val="center"/>
        <w:rPr>
          <w:rFonts w:hint="eastAsia" w:ascii="宋体" w:hAnsi="宋体" w:eastAsia="宋体" w:cs="宋体"/>
          <w:sz w:val="24"/>
          <w:szCs w:val="24"/>
        </w:rPr>
      </w:pPr>
      <w:r>
        <w:rPr>
          <w:rFonts w:hint="eastAsia" w:ascii="宋体" w:hAnsi="宋体" w:cs="宋体"/>
          <w:sz w:val="24"/>
          <w:szCs w:val="24"/>
          <w:lang w:val="en-US" w:eastAsia="zh-CN"/>
        </w:rPr>
        <w:t xml:space="preserve"> </w:t>
      </w:r>
      <w:r>
        <w:rPr>
          <w:rFonts w:hint="eastAsia" w:ascii="宋体" w:hAnsi="宋体" w:eastAsia="宋体" w:cs="宋体"/>
          <w:sz w:val="24"/>
          <w:szCs w:val="24"/>
        </w:rPr>
        <w:t>第</w:t>
      </w:r>
      <w:r>
        <w:rPr>
          <w:rFonts w:hint="eastAsia" w:ascii="宋体" w:hAnsi="宋体" w:cs="宋体"/>
          <w:sz w:val="24"/>
          <w:szCs w:val="24"/>
          <w:lang w:eastAsia="zh-CN"/>
        </w:rPr>
        <w:t>八</w:t>
      </w:r>
      <w:r>
        <w:rPr>
          <w:rFonts w:hint="eastAsia" w:ascii="宋体" w:hAnsi="宋体" w:eastAsia="宋体" w:cs="宋体"/>
          <w:sz w:val="24"/>
          <w:szCs w:val="24"/>
        </w:rPr>
        <w:t xml:space="preserve">节 </w:t>
      </w:r>
      <w:r>
        <w:rPr>
          <w:rFonts w:hint="eastAsia" w:ascii="宋体" w:hAnsi="宋体" w:cs="宋体"/>
          <w:sz w:val="24"/>
          <w:szCs w:val="24"/>
          <w:lang w:val="en-US" w:eastAsia="zh-CN"/>
        </w:rPr>
        <w:t xml:space="preserve"> </w:t>
      </w:r>
      <w:r>
        <w:rPr>
          <w:rFonts w:hint="eastAsia" w:ascii="宋体" w:hAnsi="宋体" w:eastAsia="宋体" w:cs="宋体"/>
          <w:sz w:val="24"/>
          <w:szCs w:val="24"/>
        </w:rPr>
        <w:t>授予合同</w:t>
      </w:r>
      <w:bookmarkEnd w:id="63"/>
      <w:bookmarkEnd w:id="64"/>
    </w:p>
    <w:p w14:paraId="1CEAD924">
      <w:pPr>
        <w:bidi w:val="0"/>
        <w:spacing w:line="360" w:lineRule="auto"/>
        <w:ind w:left="0" w:leftChars="0" w:firstLine="0" w:firstLineChars="0"/>
        <w:rPr>
          <w:rFonts w:hint="eastAsia" w:cs="宋体"/>
          <w:szCs w:val="24"/>
          <w:lang w:eastAsia="zh-CN"/>
        </w:rPr>
      </w:pPr>
      <w:r>
        <w:rPr>
          <w:rFonts w:hint="eastAsia"/>
          <w:b/>
          <w:bCs/>
          <w:lang w:eastAsia="zh-CN"/>
        </w:rPr>
        <w:t>一、中标通知书</w:t>
      </w:r>
    </w:p>
    <w:p w14:paraId="379DA2CF">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lang w:val="en-US" w:eastAsia="zh-CN"/>
        </w:rPr>
        <w:t>1</w:t>
      </w:r>
      <w:r>
        <w:rPr>
          <w:rFonts w:hint="eastAsia" w:cs="宋体"/>
          <w:sz w:val="24"/>
          <w:szCs w:val="24"/>
        </w:rPr>
        <w:t>.确定中标供应商后，</w:t>
      </w:r>
      <w:r>
        <w:rPr>
          <w:rFonts w:hint="eastAsia" w:cs="宋体"/>
          <w:sz w:val="24"/>
          <w:szCs w:val="24"/>
          <w:lang w:eastAsia="zh-CN"/>
        </w:rPr>
        <w:t>招标代理机构</w:t>
      </w:r>
      <w:r>
        <w:rPr>
          <w:rFonts w:hint="eastAsia" w:cs="宋体"/>
          <w:sz w:val="24"/>
          <w:szCs w:val="24"/>
        </w:rPr>
        <w:t>将以书面形式发出中标通知书，通知中标的供应商其投标被接受；</w:t>
      </w:r>
    </w:p>
    <w:p w14:paraId="1E04F34F">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rPr>
        <w:t>2.中标通知书为双方签订合同的依据；</w:t>
      </w:r>
    </w:p>
    <w:p w14:paraId="34BC7027">
      <w:pPr>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sz w:val="24"/>
          <w:szCs w:val="24"/>
        </w:rPr>
      </w:pPr>
      <w:r>
        <w:rPr>
          <w:rFonts w:hint="eastAsia" w:cs="宋体"/>
          <w:sz w:val="24"/>
          <w:szCs w:val="24"/>
          <w:lang w:val="en-US" w:eastAsia="zh-CN"/>
        </w:rPr>
        <w:t>3</w:t>
      </w:r>
      <w:r>
        <w:rPr>
          <w:rFonts w:hint="eastAsia" w:cs="宋体"/>
          <w:sz w:val="24"/>
          <w:szCs w:val="24"/>
        </w:rPr>
        <w:t>.中标供应商应根据中标通知书中规定的时间内，由法定代表人或其授权代理人与</w:t>
      </w:r>
      <w:r>
        <w:rPr>
          <w:rFonts w:hint="eastAsia" w:cs="宋体"/>
          <w:sz w:val="24"/>
          <w:szCs w:val="24"/>
          <w:lang w:eastAsia="zh-CN"/>
        </w:rPr>
        <w:t>招标人</w:t>
      </w:r>
      <w:r>
        <w:rPr>
          <w:rFonts w:hint="eastAsia" w:cs="宋体"/>
          <w:sz w:val="24"/>
          <w:szCs w:val="24"/>
        </w:rPr>
        <w:t>签订合同。</w:t>
      </w:r>
    </w:p>
    <w:p w14:paraId="5DAD3623">
      <w:pPr>
        <w:bidi w:val="0"/>
        <w:spacing w:line="360" w:lineRule="auto"/>
        <w:ind w:left="0" w:leftChars="0" w:firstLine="0" w:firstLineChars="0"/>
        <w:rPr>
          <w:rFonts w:hint="eastAsia" w:ascii="宋体" w:hAnsi="宋体" w:eastAsia="宋体" w:cs="宋体"/>
          <w:szCs w:val="24"/>
        </w:rPr>
      </w:pPr>
      <w:r>
        <w:rPr>
          <w:rFonts w:hint="eastAsia"/>
          <w:b/>
          <w:bCs/>
          <w:lang w:eastAsia="zh-CN"/>
        </w:rPr>
        <w:t>二</w:t>
      </w:r>
      <w:r>
        <w:rPr>
          <w:rFonts w:hint="eastAsia"/>
          <w:b/>
          <w:bCs/>
        </w:rPr>
        <w:t>、签订合同</w:t>
      </w:r>
    </w:p>
    <w:p w14:paraId="2B69F06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1.招标人与中标人应当在《中标通知书》发出之日起</w:t>
      </w:r>
      <w:r>
        <w:rPr>
          <w:rFonts w:hint="eastAsia" w:cs="宋体"/>
          <w:color w:val="000000"/>
          <w:kern w:val="0"/>
          <w:highlight w:val="none"/>
          <w:lang w:val="en-US" w:eastAsia="zh-CN" w:bidi="ar"/>
        </w:rPr>
        <w:t>30</w:t>
      </w:r>
      <w:r>
        <w:rPr>
          <w:rFonts w:hint="eastAsia" w:ascii="宋体" w:hAnsi="宋体" w:eastAsia="宋体" w:cs="宋体"/>
          <w:color w:val="000000"/>
          <w:kern w:val="0"/>
          <w:highlight w:val="none"/>
          <w:lang w:bidi="ar"/>
        </w:rPr>
        <w:t>日</w:t>
      </w:r>
      <w:r>
        <w:rPr>
          <w:rFonts w:hint="eastAsia" w:cs="宋体"/>
          <w:color w:val="000000"/>
          <w:kern w:val="0"/>
          <w:highlight w:val="none"/>
          <w:lang w:eastAsia="zh-CN" w:bidi="ar"/>
        </w:rPr>
        <w:t>内</w:t>
      </w:r>
      <w:r>
        <w:rPr>
          <w:rFonts w:hint="eastAsia" w:ascii="宋体" w:hAnsi="宋体" w:eastAsia="宋体" w:cs="宋体"/>
          <w:color w:val="000000"/>
          <w:kern w:val="0"/>
          <w:lang w:bidi="ar"/>
        </w:rPr>
        <w:t xml:space="preserve">签订正式合同，明确双方权利、义务和违约责任。 </w:t>
      </w:r>
    </w:p>
    <w:p w14:paraId="5FC13E01">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2.中标人接到中标通知书后，在规定时间内借故否认已经承诺的条件而拒签合同的， 以违约处理，其中标资格将被取消。 </w:t>
      </w:r>
    </w:p>
    <w:p w14:paraId="3F2F82B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3.中标候选人放弃中标；因不可抗力提出不能履行合同；或者招标文件规定应当提交 </w:t>
      </w:r>
    </w:p>
    <w:p w14:paraId="0DE96E9D">
      <w:pPr>
        <w:widowControl/>
        <w:spacing w:line="360" w:lineRule="auto"/>
        <w:ind w:firstLine="0" w:firstLineChars="0"/>
        <w:jc w:val="left"/>
        <w:rPr>
          <w:rFonts w:hint="eastAsia" w:ascii="宋体" w:hAnsi="宋体" w:eastAsia="宋体" w:cs="宋体"/>
        </w:rPr>
      </w:pPr>
      <w:r>
        <w:rPr>
          <w:rFonts w:hint="eastAsia" w:ascii="宋体" w:hAnsi="宋体" w:eastAsia="宋体" w:cs="宋体"/>
          <w:color w:val="000000"/>
          <w:kern w:val="0"/>
          <w:lang w:bidi="ar"/>
        </w:rPr>
        <w:t>履约保证金、承诺要求等而在规定的期限内未能提交的；或未能在规定时间内与招标人签订合同的；或者经质疑，招标人审查后，确因中标候选人在本次</w:t>
      </w:r>
      <w:r>
        <w:rPr>
          <w:rFonts w:hint="eastAsia" w:ascii="宋体" w:hAnsi="宋体" w:eastAsia="宋体" w:cs="宋体"/>
        </w:rPr>
        <w:t>招标</w:t>
      </w:r>
      <w:r>
        <w:rPr>
          <w:rFonts w:hint="eastAsia" w:ascii="宋体" w:hAnsi="宋体" w:eastAsia="宋体" w:cs="宋体"/>
          <w:color w:val="000000"/>
          <w:kern w:val="0"/>
          <w:lang w:bidi="ar"/>
        </w:rPr>
        <w:t>活动中存在违法违规行为或其他原因使质疑成立的，招标人可视情况确定是否由第二有效中标候选人替补，</w:t>
      </w:r>
      <w:r>
        <w:rPr>
          <w:rFonts w:hint="eastAsia" w:ascii="宋体" w:hAnsi="宋体" w:eastAsia="宋体" w:cs="宋体"/>
        </w:rPr>
        <w:t>也可以重新开展招标活动。</w:t>
      </w:r>
    </w:p>
    <w:p w14:paraId="73354C8B">
      <w:pPr>
        <w:widowControl/>
        <w:spacing w:line="360" w:lineRule="auto"/>
        <w:ind w:firstLine="480"/>
        <w:jc w:val="left"/>
        <w:rPr>
          <w:rFonts w:hint="eastAsia" w:ascii="宋体" w:hAnsi="宋体" w:eastAsia="宋体" w:cs="宋体"/>
        </w:rPr>
      </w:pPr>
      <w:r>
        <w:rPr>
          <w:rFonts w:hint="eastAsia" w:ascii="宋体" w:hAnsi="宋体" w:eastAsia="宋体" w:cs="宋体"/>
          <w:color w:val="000000"/>
          <w:kern w:val="0"/>
          <w:lang w:bidi="ar"/>
        </w:rPr>
        <w:t xml:space="preserve">4.招标文件、中标人的投标文件、投标修改文件、评标过程中有关澄清文件及经投标 </w:t>
      </w:r>
    </w:p>
    <w:p w14:paraId="706309C7">
      <w:pPr>
        <w:widowControl/>
        <w:spacing w:line="360" w:lineRule="auto"/>
        <w:ind w:firstLine="0" w:firstLineChars="0"/>
        <w:jc w:val="left"/>
        <w:rPr>
          <w:rFonts w:hint="eastAsia" w:ascii="宋体" w:hAnsi="宋体" w:eastAsia="宋体" w:cs="宋体"/>
          <w:color w:val="000000"/>
          <w:kern w:val="0"/>
          <w:lang w:bidi="ar"/>
        </w:rPr>
      </w:pPr>
      <w:r>
        <w:rPr>
          <w:rFonts w:hint="eastAsia" w:ascii="宋体" w:hAnsi="宋体" w:eastAsia="宋体" w:cs="宋体"/>
          <w:color w:val="000000"/>
          <w:kern w:val="0"/>
          <w:lang w:bidi="ar"/>
        </w:rPr>
        <w:t>人和评委双方签字的询标记录和中标通知书均作为签订合同依据。</w:t>
      </w:r>
    </w:p>
    <w:p w14:paraId="0E6CCEA2">
      <w:pPr>
        <w:pStyle w:val="3"/>
        <w:spacing w:line="360" w:lineRule="auto"/>
        <w:jc w:val="center"/>
        <w:rPr>
          <w:rFonts w:hint="eastAsia" w:ascii="宋体" w:hAnsi="宋体" w:eastAsia="宋体" w:cs="宋体"/>
          <w:sz w:val="24"/>
          <w:szCs w:val="24"/>
        </w:rPr>
      </w:pPr>
      <w:bookmarkStart w:id="65" w:name="_Toc15220"/>
      <w:bookmarkStart w:id="66" w:name="_Toc12481"/>
    </w:p>
    <w:p w14:paraId="64952A83">
      <w:pPr>
        <w:pStyle w:val="3"/>
        <w:spacing w:line="360" w:lineRule="auto"/>
        <w:jc w:val="center"/>
        <w:rPr>
          <w:rFonts w:hint="eastAsia" w:ascii="宋体" w:hAnsi="宋体" w:eastAsia="宋体" w:cs="宋体"/>
          <w:sz w:val="24"/>
          <w:szCs w:val="24"/>
        </w:rPr>
      </w:pPr>
      <w:r>
        <w:rPr>
          <w:rFonts w:hint="eastAsia" w:ascii="宋体" w:hAnsi="宋体" w:eastAsia="宋体" w:cs="宋体"/>
          <w:sz w:val="24"/>
          <w:szCs w:val="24"/>
        </w:rPr>
        <w:t>第</w:t>
      </w:r>
      <w:r>
        <w:rPr>
          <w:rFonts w:hint="eastAsia" w:ascii="宋体" w:hAnsi="宋体" w:cs="宋体"/>
          <w:sz w:val="24"/>
          <w:szCs w:val="24"/>
          <w:lang w:eastAsia="zh-CN"/>
        </w:rPr>
        <w:t>九</w:t>
      </w:r>
      <w:r>
        <w:rPr>
          <w:rFonts w:hint="eastAsia" w:ascii="宋体" w:hAnsi="宋体" w:eastAsia="宋体" w:cs="宋体"/>
          <w:sz w:val="24"/>
          <w:szCs w:val="24"/>
        </w:rPr>
        <w:t xml:space="preserve">节 </w:t>
      </w:r>
      <w:bookmarkEnd w:id="65"/>
      <w:bookmarkEnd w:id="66"/>
      <w:r>
        <w:rPr>
          <w:rFonts w:hint="eastAsia" w:ascii="宋体" w:hAnsi="宋体" w:cs="宋体"/>
          <w:sz w:val="24"/>
          <w:szCs w:val="24"/>
          <w:lang w:val="en-US" w:eastAsia="zh-CN"/>
        </w:rPr>
        <w:t xml:space="preserve"> </w:t>
      </w:r>
      <w:r>
        <w:rPr>
          <w:rFonts w:hint="eastAsia" w:cs="宋体"/>
          <w:sz w:val="24"/>
          <w:szCs w:val="24"/>
          <w:lang w:val="en-US" w:eastAsia="zh-CN"/>
        </w:rPr>
        <w:t>电子交易活动的中止</w:t>
      </w:r>
    </w:p>
    <w:p w14:paraId="06A71159">
      <w:pPr>
        <w:spacing w:line="360" w:lineRule="auto"/>
        <w:ind w:left="0" w:leftChars="0" w:firstLine="0" w:firstLineChars="0"/>
        <w:rPr>
          <w:rFonts w:hint="eastAsia" w:cs="宋体"/>
          <w:b/>
          <w:bCs/>
          <w:lang w:eastAsia="zh-CN"/>
        </w:rPr>
      </w:pPr>
      <w:r>
        <w:rPr>
          <w:rFonts w:hint="eastAsia" w:cs="宋体"/>
          <w:b/>
          <w:bCs/>
          <w:lang w:eastAsia="zh-CN"/>
        </w:rPr>
        <w:t>一、例外处理</w:t>
      </w:r>
    </w:p>
    <w:p w14:paraId="50CA4B31">
      <w:pPr>
        <w:spacing w:line="360" w:lineRule="auto"/>
        <w:ind w:left="0" w:leftChars="0" w:firstLine="480" w:firstLineChars="200"/>
        <w:rPr>
          <w:rFonts w:hint="eastAsia" w:ascii="宋体" w:hAnsi="宋体" w:eastAsia="宋体" w:cs="宋体"/>
        </w:rPr>
      </w:pPr>
      <w:r>
        <w:rPr>
          <w:rFonts w:hint="eastAsia" w:ascii="宋体" w:hAnsi="宋体" w:eastAsia="宋体" w:cs="宋体"/>
        </w:rPr>
        <w:t>投标截止时间结束后或评审过程中参加标项投标的</w:t>
      </w:r>
      <w:r>
        <w:rPr>
          <w:rFonts w:hint="eastAsia" w:cs="宋体"/>
          <w:lang w:eastAsia="zh-CN"/>
        </w:rPr>
        <w:t>投</w:t>
      </w:r>
      <w:r>
        <w:rPr>
          <w:rFonts w:hint="eastAsia" w:ascii="宋体" w:hAnsi="宋体" w:eastAsia="宋体" w:cs="宋体"/>
        </w:rPr>
        <w:t>标人不足三家的，除招标任务取消情形外，招标人可选择以下方式之一处理：</w:t>
      </w:r>
    </w:p>
    <w:p w14:paraId="6BD6CF34">
      <w:pPr>
        <w:spacing w:line="360" w:lineRule="auto"/>
        <w:ind w:firstLine="480"/>
        <w:rPr>
          <w:rFonts w:hint="eastAsia" w:ascii="宋体" w:hAnsi="宋体" w:eastAsia="宋体" w:cs="宋体"/>
        </w:rPr>
      </w:pPr>
      <w:r>
        <w:rPr>
          <w:rFonts w:hint="eastAsia" w:ascii="宋体" w:hAnsi="宋体" w:eastAsia="宋体" w:cs="宋体"/>
        </w:rPr>
        <w:t>1.可将本标项作废标处理，重新组织招标；</w:t>
      </w:r>
    </w:p>
    <w:p w14:paraId="5509028C">
      <w:pPr>
        <w:spacing w:line="360" w:lineRule="auto"/>
        <w:ind w:firstLine="480"/>
        <w:rPr>
          <w:rFonts w:hint="eastAsia" w:ascii="宋体" w:hAnsi="宋体" w:eastAsia="宋体" w:cs="宋体"/>
        </w:rPr>
      </w:pPr>
      <w:r>
        <w:rPr>
          <w:rFonts w:hint="eastAsia" w:ascii="宋体" w:hAnsi="宋体" w:eastAsia="宋体" w:cs="宋体"/>
        </w:rPr>
        <w:t>2.可按相关监督部门审批意见采用其他</w:t>
      </w:r>
      <w:r>
        <w:rPr>
          <w:rFonts w:hint="eastAsia" w:cs="宋体"/>
          <w:lang w:eastAsia="zh-CN"/>
        </w:rPr>
        <w:t>采购方</w:t>
      </w:r>
      <w:r>
        <w:rPr>
          <w:rFonts w:hint="eastAsia" w:ascii="宋体" w:hAnsi="宋体" w:eastAsia="宋体" w:cs="宋体"/>
        </w:rPr>
        <w:t>式组织</w:t>
      </w:r>
      <w:r>
        <w:rPr>
          <w:rFonts w:hint="eastAsia" w:cs="宋体"/>
          <w:lang w:eastAsia="zh-CN"/>
        </w:rPr>
        <w:t>采购</w:t>
      </w:r>
      <w:r>
        <w:rPr>
          <w:rFonts w:hint="eastAsia" w:ascii="宋体" w:hAnsi="宋体" w:eastAsia="宋体" w:cs="宋体"/>
        </w:rPr>
        <w:t>。</w:t>
      </w:r>
    </w:p>
    <w:p w14:paraId="3CF35F35">
      <w:pPr>
        <w:bidi w:val="0"/>
        <w:spacing w:line="360" w:lineRule="auto"/>
        <w:ind w:left="0" w:leftChars="0" w:firstLine="0" w:firstLineChars="0"/>
        <w:rPr>
          <w:rFonts w:hint="eastAsia" w:cs="宋体"/>
          <w:lang w:val="en-US" w:eastAsia="zh-CN"/>
        </w:rPr>
      </w:pPr>
      <w:r>
        <w:rPr>
          <w:rFonts w:hint="eastAsia"/>
          <w:b/>
          <w:bCs/>
          <w:lang w:val="en-US" w:eastAsia="zh-CN"/>
        </w:rPr>
        <w:t>二、电子交易活动的中止</w:t>
      </w:r>
    </w:p>
    <w:p w14:paraId="230804ED">
      <w:pPr>
        <w:pStyle w:val="146"/>
        <w:snapToGrid w:val="0"/>
        <w:spacing w:before="0" w:line="360" w:lineRule="auto"/>
        <w:rPr>
          <w:rFonts w:hint="eastAsia" w:ascii="宋体" w:hAnsi="宋体" w:cs="宋体"/>
        </w:rPr>
      </w:pP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招标代理机构</w:t>
      </w:r>
      <w:r>
        <w:rPr>
          <w:rFonts w:hint="eastAsia" w:ascii="宋体" w:hAnsi="宋体" w:cs="宋体"/>
        </w:rPr>
        <w:t>可中止电子交易活动：</w:t>
      </w:r>
    </w:p>
    <w:p w14:paraId="34B3FE93">
      <w:pPr>
        <w:pStyle w:val="146"/>
        <w:snapToGrid w:val="0"/>
        <w:spacing w:before="0" w:line="360" w:lineRule="auto"/>
        <w:ind w:firstLine="480"/>
        <w:rPr>
          <w:rFonts w:hint="eastAsia" w:ascii="宋体" w:hAnsi="宋体" w:cs="宋体"/>
        </w:rPr>
      </w:pPr>
      <w:r>
        <w:rPr>
          <w:rFonts w:hint="eastAsia" w:ascii="宋体" w:hAnsi="宋体" w:cs="宋体"/>
          <w:lang w:val="en-US" w:eastAsia="zh-CN"/>
        </w:rPr>
        <w:t>1</w:t>
      </w:r>
      <w:r>
        <w:rPr>
          <w:rFonts w:hint="eastAsia" w:ascii="宋体" w:hAnsi="宋体" w:cs="宋体"/>
        </w:rPr>
        <w:t xml:space="preserve">.电子交易平台发生故障而无法登录访问的； </w:t>
      </w:r>
    </w:p>
    <w:p w14:paraId="0DADBE98">
      <w:pPr>
        <w:pStyle w:val="146"/>
        <w:snapToGrid w:val="0"/>
        <w:spacing w:before="0" w:line="360" w:lineRule="auto"/>
        <w:ind w:firstLine="480"/>
        <w:rPr>
          <w:rFonts w:hint="eastAsia" w:ascii="宋体" w:hAnsi="宋体" w:cs="宋体"/>
        </w:rPr>
      </w:pPr>
      <w:r>
        <w:rPr>
          <w:rFonts w:hint="eastAsia" w:ascii="宋体" w:hAnsi="宋体" w:cs="宋体"/>
          <w:lang w:val="en-US" w:eastAsia="zh-CN"/>
        </w:rPr>
        <w:t>2</w:t>
      </w:r>
      <w:r>
        <w:rPr>
          <w:rFonts w:hint="eastAsia" w:ascii="宋体" w:hAnsi="宋体" w:cs="宋体"/>
        </w:rPr>
        <w:t>.电子交易平台应用或数据库出现错误，不能进行正常操作的；</w:t>
      </w:r>
    </w:p>
    <w:p w14:paraId="6FD0149C">
      <w:pPr>
        <w:pStyle w:val="146"/>
        <w:snapToGrid w:val="0"/>
        <w:spacing w:before="0" w:line="360" w:lineRule="auto"/>
        <w:ind w:firstLine="480"/>
        <w:rPr>
          <w:rFonts w:hint="eastAsia" w:ascii="宋体" w:hAnsi="宋体" w:cs="宋体"/>
        </w:rPr>
      </w:pPr>
      <w:r>
        <w:rPr>
          <w:rFonts w:hint="eastAsia" w:ascii="宋体" w:hAnsi="宋体" w:cs="宋体"/>
          <w:lang w:val="en-US" w:eastAsia="zh-CN"/>
        </w:rPr>
        <w:t>3</w:t>
      </w:r>
      <w:r>
        <w:rPr>
          <w:rFonts w:hint="eastAsia" w:ascii="宋体" w:hAnsi="宋体" w:cs="宋体"/>
        </w:rPr>
        <w:t>.电子交易平台发现严重安全漏洞，有潜在泄密危险的；</w:t>
      </w:r>
    </w:p>
    <w:p w14:paraId="28AE61ED">
      <w:pPr>
        <w:pStyle w:val="146"/>
        <w:snapToGrid w:val="0"/>
        <w:spacing w:before="0" w:line="360" w:lineRule="auto"/>
        <w:ind w:firstLine="480"/>
        <w:rPr>
          <w:rFonts w:hint="eastAsia" w:ascii="宋体" w:hAnsi="宋体" w:cs="宋体"/>
        </w:rPr>
      </w:pPr>
      <w:r>
        <w:rPr>
          <w:rFonts w:hint="eastAsia" w:ascii="宋体" w:hAnsi="宋体" w:cs="宋体"/>
          <w:lang w:val="en-US" w:eastAsia="zh-CN"/>
        </w:rPr>
        <w:t>4</w:t>
      </w:r>
      <w:r>
        <w:rPr>
          <w:rFonts w:hint="eastAsia" w:ascii="宋体" w:hAnsi="宋体" w:cs="宋体"/>
        </w:rPr>
        <w:t xml:space="preserve">.病毒发作导致不能进行正常操作的； </w:t>
      </w:r>
    </w:p>
    <w:p w14:paraId="47F18530">
      <w:pPr>
        <w:pStyle w:val="146"/>
        <w:snapToGrid w:val="0"/>
        <w:spacing w:before="0" w:line="360" w:lineRule="auto"/>
        <w:ind w:firstLine="480"/>
        <w:rPr>
          <w:rFonts w:hint="eastAsia" w:ascii="宋体" w:hAnsi="宋体" w:cs="宋体"/>
        </w:rPr>
      </w:pPr>
      <w:r>
        <w:rPr>
          <w:rFonts w:hint="eastAsia" w:ascii="宋体" w:hAnsi="宋体" w:cs="宋体"/>
          <w:lang w:val="en-US" w:eastAsia="zh-CN"/>
        </w:rPr>
        <w:t>5</w:t>
      </w:r>
      <w:r>
        <w:rPr>
          <w:rFonts w:hint="eastAsia" w:ascii="宋体" w:hAnsi="宋体" w:cs="宋体"/>
        </w:rPr>
        <w:t>.其他无法保证电子交易的公平、公正和安全的情况。</w:t>
      </w:r>
    </w:p>
    <w:p w14:paraId="6E3C8098">
      <w:pPr>
        <w:pStyle w:val="146"/>
        <w:snapToGrid w:val="0"/>
        <w:spacing w:before="0" w:line="360" w:lineRule="auto"/>
        <w:ind w:firstLine="0" w:firstLineChars="0"/>
        <w:rPr>
          <w:rFonts w:hint="eastAsia" w:ascii="宋体" w:hAnsi="宋体" w:cs="宋体"/>
        </w:rPr>
      </w:pPr>
      <w:r>
        <w:rPr>
          <w:rFonts w:hint="eastAsia" w:ascii="宋体" w:hAnsi="宋体" w:cs="宋体"/>
        </w:rPr>
        <w:t xml:space="preserve"> </w:t>
      </w:r>
      <w:r>
        <w:rPr>
          <w:rFonts w:hint="eastAsia" w:ascii="宋体" w:hAnsi="宋体" w:cs="宋体"/>
          <w:lang w:val="en-US" w:eastAsia="zh-CN"/>
        </w:rPr>
        <w:t xml:space="preserve">   6</w:t>
      </w:r>
      <w:r>
        <w:rPr>
          <w:rFonts w:hint="eastAsia" w:ascii="宋体" w:hAnsi="宋体" w:cs="宋体"/>
        </w:rPr>
        <w:t>.出现以上情形，不影响采购公平、公正性的，采购组织机构可以待上述情形消除后继续组织电子交易活动，也可以决定某些环节以纸质形式进行；影响或可能影响采购公平、公正性的，应当重新</w:t>
      </w:r>
      <w:r>
        <w:rPr>
          <w:rFonts w:hint="eastAsia" w:ascii="宋体" w:hAnsi="宋体" w:cs="宋体"/>
          <w:lang w:eastAsia="zh-CN"/>
        </w:rPr>
        <w:t>组织</w:t>
      </w:r>
      <w:r>
        <w:rPr>
          <w:rFonts w:hint="eastAsia" w:ascii="宋体" w:hAnsi="宋体" w:cs="宋体"/>
        </w:rPr>
        <w:t>采购。</w:t>
      </w:r>
    </w:p>
    <w:p w14:paraId="35E766DE">
      <w:pPr>
        <w:numPr>
          <w:ilvl w:val="0"/>
          <w:numId w:val="7"/>
        </w:numPr>
        <w:rPr>
          <w:rFonts w:hint="default"/>
          <w:lang w:val="en-US" w:eastAsia="zh-CN"/>
        </w:rPr>
        <w:sectPr>
          <w:pgSz w:w="11906" w:h="16838"/>
          <w:pgMar w:top="1247" w:right="1247" w:bottom="1247" w:left="1247" w:header="170" w:footer="567" w:gutter="0"/>
          <w:pgNumType w:fmt="decimal"/>
          <w:cols w:space="720" w:num="1"/>
          <w:docGrid w:linePitch="381" w:charSpace="0"/>
        </w:sectPr>
      </w:pPr>
    </w:p>
    <w:p w14:paraId="630C3B78">
      <w:pPr>
        <w:pStyle w:val="2"/>
        <w:jc w:val="center"/>
        <w:rPr>
          <w:rFonts w:hint="eastAsia" w:ascii="宋体" w:hAnsi="宋体" w:eastAsia="宋体" w:cs="宋体"/>
          <w:szCs w:val="32"/>
        </w:rPr>
      </w:pPr>
      <w:bookmarkStart w:id="67" w:name="_Toc82873316"/>
      <w:bookmarkStart w:id="68" w:name="_Toc82338233"/>
      <w:bookmarkStart w:id="69" w:name="_Toc450840079"/>
      <w:bookmarkStart w:id="70" w:name="_Toc20600"/>
      <w:r>
        <w:rPr>
          <w:rFonts w:hint="eastAsia" w:ascii="宋体" w:hAnsi="宋体" w:eastAsia="宋体" w:cs="宋体"/>
          <w:sz w:val="36"/>
          <w:szCs w:val="36"/>
        </w:rPr>
        <w:t xml:space="preserve">第四章 </w:t>
      </w:r>
      <w:bookmarkEnd w:id="67"/>
      <w:bookmarkEnd w:id="68"/>
      <w:bookmarkEnd w:id="69"/>
      <w:r>
        <w:rPr>
          <w:rFonts w:hint="eastAsia" w:cs="宋体"/>
          <w:sz w:val="36"/>
          <w:szCs w:val="36"/>
          <w:lang w:val="en-US" w:eastAsia="zh-CN"/>
        </w:rPr>
        <w:t xml:space="preserve"> </w:t>
      </w:r>
      <w:r>
        <w:rPr>
          <w:rFonts w:hint="eastAsia" w:ascii="宋体" w:hAnsi="宋体" w:eastAsia="宋体" w:cs="宋体"/>
          <w:sz w:val="36"/>
          <w:szCs w:val="36"/>
        </w:rPr>
        <w:t>评标办法及评分标准</w:t>
      </w:r>
      <w:bookmarkEnd w:id="70"/>
    </w:p>
    <w:p w14:paraId="5DE5C23A">
      <w:pPr>
        <w:pageBreakBefore w:val="0"/>
        <w:kinsoku/>
        <w:wordWrap/>
        <w:overflowPunct/>
        <w:topLinePunct w:val="0"/>
        <w:bidi w:val="0"/>
        <w:snapToGrid/>
        <w:spacing w:line="440" w:lineRule="exact"/>
        <w:ind w:left="0" w:leftChars="0" w:firstLine="0" w:firstLineChars="0"/>
        <w:textAlignment w:val="auto"/>
        <w:rPr>
          <w:rFonts w:hint="eastAsia" w:ascii="宋体" w:hAnsi="宋体" w:eastAsia="宋体" w:cs="宋体"/>
          <w:szCs w:val="24"/>
        </w:rPr>
      </w:pPr>
      <w:bookmarkStart w:id="71" w:name="_Toc3811"/>
      <w:bookmarkStart w:id="72" w:name="_Toc3110"/>
      <w:bookmarkStart w:id="73" w:name="OLE_LINK3"/>
      <w:bookmarkStart w:id="74" w:name="_Toc11391"/>
      <w:r>
        <w:rPr>
          <w:rFonts w:hint="eastAsia"/>
          <w:b/>
          <w:bCs/>
        </w:rPr>
        <w:t>一、评分总则</w:t>
      </w:r>
    </w:p>
    <w:p w14:paraId="21991EE8">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以招标文件要求为基础，考虑各项相关因素的影响，将相关因素以定量计算的办法转换成分数表示形式，以最高“评标分数”确定评标结果顺序。</w:t>
      </w:r>
    </w:p>
    <w:p w14:paraId="793E6073">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本次招标的评标采用</w:t>
      </w:r>
      <w:r>
        <w:rPr>
          <w:rFonts w:hint="eastAsia" w:ascii="宋体" w:hAnsi="宋体" w:eastAsia="宋体" w:cs="宋体"/>
          <w:b/>
        </w:rPr>
        <w:t>综合评分法</w:t>
      </w:r>
      <w:r>
        <w:rPr>
          <w:rFonts w:hint="eastAsia" w:ascii="宋体" w:hAnsi="宋体" w:eastAsia="宋体" w:cs="宋体"/>
        </w:rPr>
        <w:t>。</w:t>
      </w:r>
    </w:p>
    <w:bookmarkEnd w:id="71"/>
    <w:bookmarkEnd w:id="72"/>
    <w:bookmarkEnd w:id="73"/>
    <w:bookmarkEnd w:id="74"/>
    <w:p w14:paraId="6DC116B3">
      <w:pPr>
        <w:pageBreakBefore w:val="0"/>
        <w:kinsoku/>
        <w:wordWrap/>
        <w:overflowPunct/>
        <w:topLinePunct w:val="0"/>
        <w:bidi w:val="0"/>
        <w:snapToGrid/>
        <w:spacing w:line="440" w:lineRule="exact"/>
        <w:ind w:firstLine="480"/>
        <w:textAlignment w:val="auto"/>
        <w:rPr>
          <w:rFonts w:hint="eastAsia" w:ascii="宋体" w:hAnsi="宋体" w:eastAsia="宋体" w:cs="宋体"/>
        </w:rPr>
      </w:pPr>
      <w:bookmarkStart w:id="75" w:name="_Toc82338234"/>
      <w:bookmarkStart w:id="76" w:name="_Toc450840083"/>
      <w:bookmarkStart w:id="77" w:name="_Toc82873317"/>
      <w:r>
        <w:rPr>
          <w:rFonts w:hint="eastAsia" w:ascii="宋体" w:hAnsi="宋体" w:eastAsia="宋体" w:cs="宋体"/>
        </w:rPr>
        <w:t>评标总分为100分，合格投标人的评标得分为各项目汇总得分，中标候选资格按评标得分由高到低顺序排列，得分相同的，按投标报价由低到高顺序排列。得分且投标报价相同，按技术分由</w:t>
      </w:r>
      <w:r>
        <w:rPr>
          <w:rFonts w:hint="eastAsia" w:cs="宋体"/>
          <w:lang w:eastAsia="zh-CN"/>
        </w:rPr>
        <w:t>高</w:t>
      </w:r>
      <w:r>
        <w:rPr>
          <w:rFonts w:hint="eastAsia" w:ascii="宋体" w:hAnsi="宋体" w:eastAsia="宋体" w:cs="宋体"/>
        </w:rPr>
        <w:t>到</w:t>
      </w:r>
      <w:r>
        <w:rPr>
          <w:rFonts w:hint="eastAsia" w:cs="宋体"/>
          <w:lang w:eastAsia="zh-CN"/>
        </w:rPr>
        <w:t>低</w:t>
      </w:r>
      <w:r>
        <w:rPr>
          <w:rFonts w:hint="eastAsia" w:ascii="宋体" w:hAnsi="宋体" w:eastAsia="宋体" w:cs="宋体"/>
        </w:rPr>
        <w:t>顺序排列。报价、技术分以及总得分相同的，按现场随机抽取的形式确定第一中标候选人，投标文件满足招标文件全部实质性要求，</w:t>
      </w:r>
      <w:r>
        <w:rPr>
          <w:rFonts w:hint="eastAsia" w:ascii="宋体" w:hAnsi="宋体" w:eastAsia="宋体" w:cs="宋体"/>
          <w:highlight w:val="none"/>
        </w:rPr>
        <w:t>且按照评审因素的量化指标评审得分最高</w:t>
      </w:r>
      <w:r>
        <w:rPr>
          <w:rFonts w:hint="eastAsia" w:cs="宋体"/>
          <w:highlight w:val="none"/>
          <w:lang w:eastAsia="zh-CN"/>
        </w:rPr>
        <w:t>（即排名第一）</w:t>
      </w:r>
      <w:r>
        <w:rPr>
          <w:rFonts w:hint="eastAsia" w:ascii="宋体" w:hAnsi="宋体" w:eastAsia="宋体" w:cs="宋体"/>
          <w:highlight w:val="none"/>
        </w:rPr>
        <w:t>的投标人为中标候选人</w:t>
      </w:r>
      <w:r>
        <w:rPr>
          <w:rFonts w:hint="eastAsia" w:cs="宋体"/>
          <w:lang w:eastAsia="zh-CN"/>
        </w:rPr>
        <w:t>。</w:t>
      </w:r>
      <w:r>
        <w:rPr>
          <w:rFonts w:hint="eastAsia" w:ascii="宋体" w:hAnsi="宋体" w:eastAsia="宋体" w:cs="宋体"/>
        </w:rPr>
        <w:t>评分过程中采用四舍五入法，并保留小数2位</w:t>
      </w:r>
    </w:p>
    <w:p w14:paraId="1C2C86C2">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投标人评标综合得分=</w:t>
      </w: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分+价</w:t>
      </w:r>
      <w:r>
        <w:rPr>
          <w:rFonts w:hint="eastAsia" w:cs="宋体"/>
          <w:lang w:eastAsia="zh-CN"/>
        </w:rPr>
        <w:t>格</w:t>
      </w:r>
      <w:r>
        <w:rPr>
          <w:rFonts w:hint="eastAsia" w:ascii="宋体" w:hAnsi="宋体" w:eastAsia="宋体" w:cs="宋体"/>
        </w:rPr>
        <w:t>分</w:t>
      </w:r>
    </w:p>
    <w:p w14:paraId="00D4D300">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分按照评标委员会成员的独立评分结果的算术平均分计算，计算公式为：</w:t>
      </w:r>
    </w:p>
    <w:p w14:paraId="155437DE">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cs="宋体"/>
          <w:lang w:eastAsia="zh-CN"/>
        </w:rPr>
        <w:t>商务、</w:t>
      </w:r>
      <w:r>
        <w:rPr>
          <w:rFonts w:hint="eastAsia" w:ascii="宋体" w:hAnsi="宋体" w:eastAsia="宋体" w:cs="宋体"/>
        </w:rPr>
        <w:t>技术</w:t>
      </w:r>
      <w:r>
        <w:rPr>
          <w:rFonts w:hint="eastAsia" w:cs="宋体"/>
          <w:lang w:eastAsia="zh-CN"/>
        </w:rPr>
        <w:t>及资信</w:t>
      </w:r>
      <w:r>
        <w:rPr>
          <w:rFonts w:hint="eastAsia" w:ascii="宋体" w:hAnsi="宋体" w:eastAsia="宋体" w:cs="宋体"/>
        </w:rPr>
        <w:t>分=（评标委员会所有成员评分合计数）/（评标委员会组成人员数）</w:t>
      </w:r>
    </w:p>
    <w:p w14:paraId="059554E3">
      <w:pPr>
        <w:pageBreakBefore w:val="0"/>
        <w:kinsoku/>
        <w:wordWrap/>
        <w:overflowPunct/>
        <w:topLinePunct w:val="0"/>
        <w:bidi w:val="0"/>
        <w:snapToGrid/>
        <w:spacing w:line="440" w:lineRule="exact"/>
        <w:ind w:left="0" w:leftChars="0" w:firstLine="0" w:firstLineChars="0"/>
        <w:textAlignment w:val="auto"/>
        <w:rPr>
          <w:rFonts w:hint="eastAsia" w:ascii="宋体" w:hAnsi="宋体" w:eastAsia="宋体" w:cs="宋体"/>
          <w:szCs w:val="24"/>
        </w:rPr>
      </w:pPr>
      <w:bookmarkStart w:id="78" w:name="_Toc7789"/>
      <w:r>
        <w:rPr>
          <w:rFonts w:hint="eastAsia"/>
          <w:b/>
          <w:bCs/>
        </w:rPr>
        <w:t>二、评分内容及标准</w:t>
      </w:r>
      <w:bookmarkEnd w:id="78"/>
    </w:p>
    <w:p w14:paraId="014ADC0E">
      <w:pPr>
        <w:pageBreakBefore w:val="0"/>
        <w:kinsoku/>
        <w:wordWrap/>
        <w:overflowPunct/>
        <w:topLinePunct w:val="0"/>
        <w:bidi w:val="0"/>
        <w:snapToGrid/>
        <w:spacing w:line="440" w:lineRule="exact"/>
        <w:ind w:firstLine="480"/>
        <w:textAlignment w:val="auto"/>
        <w:rPr>
          <w:rFonts w:hint="eastAsia" w:ascii="宋体" w:hAnsi="宋体" w:eastAsia="宋体" w:cs="宋体"/>
        </w:rPr>
      </w:pPr>
      <w:r>
        <w:rPr>
          <w:rFonts w:hint="eastAsia" w:ascii="宋体" w:hAnsi="宋体" w:eastAsia="宋体" w:cs="宋体"/>
        </w:rPr>
        <w:t>本评标标准是对“投标人须知”中“</w:t>
      </w:r>
      <w:r>
        <w:rPr>
          <w:rFonts w:hint="eastAsia" w:ascii="宋体" w:hAnsi="宋体" w:eastAsia="宋体" w:cs="宋体"/>
          <w:b/>
        </w:rPr>
        <w:t>第五节</w:t>
      </w:r>
      <w:r>
        <w:rPr>
          <w:rFonts w:hint="eastAsia" w:cs="宋体"/>
          <w:b/>
          <w:lang w:val="en-US" w:eastAsia="zh-CN"/>
        </w:rPr>
        <w:t>-</w:t>
      </w:r>
      <w:r>
        <w:rPr>
          <w:rFonts w:hint="eastAsia" w:ascii="宋体" w:hAnsi="宋体" w:eastAsia="宋体" w:cs="宋体"/>
          <w:b/>
        </w:rPr>
        <w:t>开标</w:t>
      </w:r>
      <w:r>
        <w:rPr>
          <w:rFonts w:hint="eastAsia" w:ascii="宋体" w:hAnsi="宋体" w:eastAsia="宋体" w:cs="宋体"/>
        </w:rPr>
        <w:t>”、“</w:t>
      </w:r>
      <w:r>
        <w:rPr>
          <w:rFonts w:hint="eastAsia" w:ascii="宋体" w:hAnsi="宋体" w:eastAsia="宋体" w:cs="宋体"/>
          <w:b/>
        </w:rPr>
        <w:t>第六节</w:t>
      </w:r>
      <w:r>
        <w:rPr>
          <w:rFonts w:hint="eastAsia" w:cs="宋体"/>
          <w:b/>
          <w:lang w:val="en-US" w:eastAsia="zh-CN"/>
        </w:rPr>
        <w:t>-</w:t>
      </w:r>
      <w:r>
        <w:rPr>
          <w:rFonts w:hint="eastAsia" w:ascii="宋体" w:hAnsi="宋体" w:eastAsia="宋体" w:cs="宋体"/>
          <w:b/>
        </w:rPr>
        <w:t>评标</w:t>
      </w:r>
      <w:r>
        <w:rPr>
          <w:rFonts w:hint="eastAsia" w:ascii="宋体" w:hAnsi="宋体" w:eastAsia="宋体" w:cs="宋体"/>
        </w:rPr>
        <w:t>”以及其他相关条款的具体补充，如有矛盾，以本评标标准为</w:t>
      </w:r>
      <w:r>
        <w:rPr>
          <w:rFonts w:hint="eastAsia" w:cs="宋体"/>
          <w:lang w:eastAsia="zh-CN"/>
        </w:rPr>
        <w:t>准</w:t>
      </w:r>
      <w:r>
        <w:rPr>
          <w:rFonts w:hint="eastAsia" w:ascii="宋体" w:hAnsi="宋体" w:eastAsia="宋体" w:cs="宋体"/>
        </w:rPr>
        <w:t>：</w:t>
      </w:r>
    </w:p>
    <w:p w14:paraId="40082EEA">
      <w:pPr>
        <w:pageBreakBefore w:val="0"/>
        <w:kinsoku/>
        <w:wordWrap/>
        <w:overflowPunct/>
        <w:topLinePunct w:val="0"/>
        <w:autoSpaceDE w:val="0"/>
        <w:autoSpaceDN w:val="0"/>
        <w:bidi w:val="0"/>
        <w:adjustRightInd w:val="0"/>
        <w:snapToGrid/>
        <w:spacing w:line="440" w:lineRule="exact"/>
        <w:ind w:left="0" w:leftChars="0" w:firstLine="0" w:firstLineChars="0"/>
        <w:textAlignment w:val="auto"/>
        <w:rPr>
          <w:rFonts w:hint="eastAsia" w:ascii="宋体" w:hAnsi="宋体" w:eastAsia="宋体" w:cs="宋体"/>
          <w:b/>
        </w:rPr>
      </w:pPr>
      <w:r>
        <w:rPr>
          <w:rFonts w:hint="eastAsia" w:ascii="宋体" w:hAnsi="宋体" w:eastAsia="宋体" w:cs="宋体"/>
          <w:b/>
        </w:rPr>
        <w:t>（一）价</w:t>
      </w:r>
      <w:r>
        <w:rPr>
          <w:rFonts w:hint="eastAsia" w:cs="宋体"/>
          <w:b/>
          <w:lang w:eastAsia="zh-CN"/>
        </w:rPr>
        <w:t>格</w:t>
      </w:r>
      <w:r>
        <w:rPr>
          <w:rFonts w:hint="eastAsia" w:ascii="宋体" w:hAnsi="宋体" w:eastAsia="宋体" w:cs="宋体"/>
          <w:b/>
        </w:rPr>
        <w:t>分（</w:t>
      </w:r>
      <w:r>
        <w:rPr>
          <w:rFonts w:hint="eastAsia" w:cs="宋体"/>
          <w:b/>
          <w:lang w:val="en-US" w:eastAsia="zh-CN"/>
        </w:rPr>
        <w:t>30</w:t>
      </w:r>
      <w:r>
        <w:rPr>
          <w:rFonts w:hint="eastAsia" w:ascii="宋体" w:hAnsi="宋体" w:eastAsia="宋体" w:cs="宋体"/>
          <w:b/>
        </w:rPr>
        <w:t>分）</w:t>
      </w:r>
    </w:p>
    <w:p w14:paraId="3FA4D52E">
      <w:pPr>
        <w:pageBreakBefore w:val="0"/>
        <w:kinsoku/>
        <w:wordWrap/>
        <w:overflowPunct/>
        <w:topLinePunct w:val="0"/>
        <w:autoSpaceDE w:val="0"/>
        <w:autoSpaceDN w:val="0"/>
        <w:bidi w:val="0"/>
        <w:adjustRightInd w:val="0"/>
        <w:snapToGrid/>
        <w:spacing w:line="440" w:lineRule="exact"/>
        <w:ind w:firstLine="482"/>
        <w:textAlignment w:val="auto"/>
        <w:rPr>
          <w:rFonts w:hint="eastAsia" w:ascii="宋体" w:hAnsi="宋体" w:eastAsia="宋体" w:cs="宋体"/>
          <w:lang w:val="zh-CN"/>
        </w:rPr>
      </w:pPr>
      <w:r>
        <w:rPr>
          <w:rFonts w:hint="eastAsia" w:ascii="宋体" w:hAnsi="宋体" w:eastAsia="宋体" w:cs="宋体"/>
          <w:b/>
        </w:rPr>
        <w:t>投标价格的合理性</w:t>
      </w:r>
      <w:r>
        <w:rPr>
          <w:rFonts w:hint="eastAsia" w:ascii="宋体" w:hAnsi="宋体" w:eastAsia="宋体" w:cs="宋体"/>
        </w:rPr>
        <w:t>：</w:t>
      </w:r>
      <w:r>
        <w:rPr>
          <w:rFonts w:hint="eastAsia" w:ascii="宋体" w:hAnsi="宋体" w:eastAsia="宋体" w:cs="宋体"/>
          <w:lang w:val="zh-CN"/>
        </w:rPr>
        <w:t>分析总报价及各个分项报价是否合理，报价范围是否完整，有否重大错漏项</w:t>
      </w:r>
      <w:r>
        <w:rPr>
          <w:rFonts w:hint="eastAsia" w:cs="宋体"/>
          <w:lang w:val="zh-CN"/>
        </w:rPr>
        <w:t>。</w:t>
      </w:r>
      <w:r>
        <w:rPr>
          <w:rFonts w:hint="eastAsia" w:cs="宋体"/>
          <w:color w:val="auto"/>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56E850E">
      <w:pPr>
        <w:pageBreakBefore w:val="0"/>
        <w:widowControl/>
        <w:kinsoku/>
        <w:wordWrap/>
        <w:overflowPunct/>
        <w:topLinePunct w:val="0"/>
        <w:bidi w:val="0"/>
        <w:snapToGrid/>
        <w:spacing w:line="440" w:lineRule="exact"/>
        <w:ind w:firstLine="480"/>
        <w:jc w:val="left"/>
        <w:textAlignment w:val="auto"/>
        <w:rPr>
          <w:rFonts w:hint="eastAsia" w:ascii="宋体" w:hAnsi="宋体" w:eastAsia="宋体" w:cs="宋体"/>
          <w:kern w:val="0"/>
        </w:rPr>
      </w:pPr>
      <w:r>
        <w:rPr>
          <w:rFonts w:hint="eastAsia" w:ascii="宋体" w:hAnsi="宋体" w:eastAsia="宋体" w:cs="宋体"/>
          <w:b/>
          <w:bCs/>
          <w:lang w:val="zh-CN"/>
        </w:rPr>
        <w:t>价</w:t>
      </w:r>
      <w:r>
        <w:rPr>
          <w:rFonts w:hint="eastAsia" w:cs="宋体"/>
          <w:b/>
          <w:bCs/>
          <w:lang w:val="zh-CN"/>
        </w:rPr>
        <w:t>格</w:t>
      </w:r>
      <w:r>
        <w:rPr>
          <w:rFonts w:hint="eastAsia" w:ascii="宋体" w:hAnsi="宋体" w:eastAsia="宋体" w:cs="宋体"/>
          <w:b/>
          <w:bCs/>
          <w:lang w:val="zh-CN"/>
        </w:rPr>
        <w:t>分计算方法：</w:t>
      </w:r>
      <w:r>
        <w:rPr>
          <w:rFonts w:hint="eastAsia" w:ascii="宋体" w:hAnsi="宋体" w:eastAsia="宋体" w:cs="宋体"/>
          <w:kern w:val="0"/>
        </w:rPr>
        <w:t>有效投标报价的最低价作为评标基准价，其最低报价为满分；</w:t>
      </w:r>
      <w:r>
        <w:rPr>
          <w:rFonts w:hint="eastAsia" w:cs="宋体"/>
          <w:kern w:val="0"/>
          <w:lang w:eastAsia="zh-CN"/>
        </w:rPr>
        <w:t>其他投标人的价格分</w:t>
      </w:r>
      <w:r>
        <w:rPr>
          <w:rFonts w:hint="eastAsia" w:ascii="宋体" w:hAnsi="宋体" w:eastAsia="宋体" w:cs="宋体"/>
          <w:kern w:val="0"/>
        </w:rPr>
        <w:t>按［投标报价得分=（评标基准价/投标报价）*</w:t>
      </w:r>
      <w:r>
        <w:rPr>
          <w:rFonts w:hint="eastAsia" w:cs="宋体"/>
          <w:kern w:val="0"/>
          <w:lang w:val="en-US" w:eastAsia="zh-CN"/>
        </w:rPr>
        <w:t>30%*100</w:t>
      </w:r>
      <w:r>
        <w:rPr>
          <w:rFonts w:hint="eastAsia" w:ascii="宋体" w:hAnsi="宋体" w:eastAsia="宋体" w:cs="宋体"/>
          <w:kern w:val="0"/>
        </w:rPr>
        <w:t>］的计算公式计算。</w:t>
      </w:r>
    </w:p>
    <w:p w14:paraId="4A8EF7EC">
      <w:pPr>
        <w:pageBreakBefore w:val="0"/>
        <w:widowControl/>
        <w:kinsoku/>
        <w:wordWrap/>
        <w:overflowPunct/>
        <w:topLinePunct w:val="0"/>
        <w:bidi w:val="0"/>
        <w:snapToGrid/>
        <w:spacing w:line="440" w:lineRule="exact"/>
        <w:ind w:firstLine="480"/>
        <w:jc w:val="left"/>
        <w:textAlignment w:val="auto"/>
        <w:rPr>
          <w:rFonts w:hint="eastAsia" w:ascii="宋体" w:hAnsi="宋体" w:eastAsia="宋体" w:cs="宋体"/>
          <w:kern w:val="0"/>
        </w:rPr>
      </w:pPr>
      <w:r>
        <w:rPr>
          <w:rFonts w:hint="eastAsia" w:ascii="宋体" w:hAnsi="宋体" w:eastAsia="宋体" w:cs="宋体"/>
          <w:kern w:val="0"/>
        </w:rPr>
        <w:t>评标过程中，不得去掉报价中的最高报价和最低报价。</w:t>
      </w:r>
    </w:p>
    <w:p w14:paraId="06A1C9DA">
      <w:pPr>
        <w:pStyle w:val="5"/>
        <w:pageBreakBefore w:val="0"/>
        <w:kinsoku/>
        <w:wordWrap/>
        <w:overflowPunct/>
        <w:topLinePunct w:val="0"/>
        <w:bidi w:val="0"/>
        <w:snapToGrid/>
        <w:spacing w:line="440" w:lineRule="exact"/>
        <w:textAlignment w:val="auto"/>
        <w:rPr>
          <w:rFonts w:hint="eastAsia"/>
          <w:b w:val="0"/>
          <w:bCs w:val="0"/>
        </w:rPr>
      </w:pPr>
      <w:r>
        <w:rPr>
          <w:rFonts w:hint="eastAsia" w:cs="宋体"/>
          <w:b w:val="0"/>
          <w:bCs w:val="0"/>
          <w:lang w:val="en-US" w:eastAsia="zh-CN"/>
        </w:rPr>
        <w:t>投标</w:t>
      </w:r>
      <w:r>
        <w:rPr>
          <w:rFonts w:hint="eastAsia" w:ascii="宋体" w:hAnsi="宋体" w:eastAsia="宋体" w:cs="宋体"/>
          <w:b w:val="0"/>
          <w:bCs w:val="0"/>
          <w:lang w:val="en-US" w:eastAsia="zh-CN"/>
        </w:rPr>
        <w:t>报价超过预算金额或最高限价（不含本数）的为无效报价</w:t>
      </w:r>
      <w:r>
        <w:rPr>
          <w:rFonts w:hint="eastAsia" w:cs="宋体"/>
          <w:b w:val="0"/>
          <w:bCs w:val="0"/>
          <w:lang w:val="en-US" w:eastAsia="zh-CN"/>
        </w:rPr>
        <w:t>。</w:t>
      </w:r>
    </w:p>
    <w:p w14:paraId="75BC3F44">
      <w:pPr>
        <w:adjustRightInd w:val="0"/>
        <w:snapToGrid w:val="0"/>
        <w:ind w:firstLine="480"/>
        <w:rPr>
          <w:rFonts w:hint="eastAsia" w:ascii="宋体" w:hAnsi="宋体" w:eastAsia="宋体" w:cs="宋体"/>
          <w:u w:val="single"/>
          <w:lang w:eastAsia="zh-CN"/>
        </w:rPr>
      </w:pPr>
    </w:p>
    <w:p w14:paraId="2ACDDA2A">
      <w:pPr>
        <w:pStyle w:val="55"/>
        <w:rPr>
          <w:rFonts w:hint="eastAsia" w:ascii="宋体" w:hAnsi="宋体" w:eastAsia="宋体" w:cs="宋体"/>
          <w:u w:val="single"/>
          <w:lang w:eastAsia="zh-CN"/>
        </w:rPr>
      </w:pPr>
    </w:p>
    <w:p w14:paraId="67F4F587">
      <w:pPr>
        <w:pStyle w:val="55"/>
        <w:rPr>
          <w:rFonts w:hint="eastAsia" w:ascii="宋体" w:hAnsi="宋体" w:eastAsia="宋体" w:cs="宋体"/>
          <w:u w:val="single"/>
          <w:lang w:eastAsia="zh-CN"/>
        </w:rPr>
      </w:pPr>
    </w:p>
    <w:p w14:paraId="4563156B">
      <w:pPr>
        <w:pStyle w:val="55"/>
        <w:rPr>
          <w:rFonts w:hint="eastAsia" w:ascii="宋体" w:hAnsi="宋体" w:eastAsia="宋体" w:cs="宋体"/>
          <w:u w:val="single"/>
          <w:lang w:eastAsia="zh-CN"/>
        </w:rPr>
      </w:pPr>
    </w:p>
    <w:p w14:paraId="3870D4AE">
      <w:pPr>
        <w:widowControl/>
        <w:snapToGrid w:val="0"/>
        <w:spacing w:line="240" w:lineRule="auto"/>
        <w:ind w:left="0" w:leftChars="0" w:firstLine="0" w:firstLineChars="0"/>
        <w:jc w:val="left"/>
        <w:rPr>
          <w:rFonts w:hint="eastAsia" w:ascii="宋体" w:hAnsi="宋体" w:eastAsia="宋体" w:cs="宋体"/>
        </w:rPr>
      </w:pPr>
      <w:r>
        <w:rPr>
          <w:rFonts w:hint="eastAsia" w:ascii="宋体" w:hAnsi="宋体" w:eastAsia="宋体" w:cs="宋体"/>
          <w:b/>
          <w:position w:val="-30"/>
        </w:rPr>
        <w:t>（二）</w:t>
      </w:r>
      <w:r>
        <w:rPr>
          <w:rFonts w:hint="eastAsia" w:cs="宋体"/>
          <w:b/>
          <w:position w:val="-30"/>
          <w:lang w:eastAsia="zh-CN"/>
        </w:rPr>
        <w:t>商务、</w:t>
      </w:r>
      <w:r>
        <w:rPr>
          <w:rFonts w:hint="eastAsia" w:ascii="宋体" w:hAnsi="宋体" w:eastAsia="宋体" w:cs="宋体"/>
          <w:b/>
          <w:position w:val="-30"/>
        </w:rPr>
        <w:t>技术</w:t>
      </w:r>
      <w:r>
        <w:rPr>
          <w:rFonts w:hint="eastAsia" w:cs="宋体"/>
          <w:b/>
          <w:position w:val="-30"/>
          <w:lang w:eastAsia="zh-CN"/>
        </w:rPr>
        <w:t>及资信</w:t>
      </w:r>
      <w:r>
        <w:rPr>
          <w:rFonts w:hint="eastAsia" w:ascii="宋体" w:hAnsi="宋体" w:eastAsia="宋体" w:cs="宋体"/>
          <w:b/>
          <w:position w:val="-30"/>
        </w:rPr>
        <w:t>分（</w:t>
      </w:r>
      <w:r>
        <w:rPr>
          <w:rFonts w:hint="eastAsia" w:cs="宋体"/>
          <w:b/>
          <w:position w:val="-30"/>
          <w:lang w:val="en-US" w:eastAsia="zh-CN"/>
        </w:rPr>
        <w:t>70</w:t>
      </w:r>
      <w:r>
        <w:rPr>
          <w:rFonts w:hint="eastAsia" w:ascii="宋体" w:hAnsi="宋体" w:eastAsia="宋体" w:cs="宋体"/>
          <w:b/>
          <w:position w:val="-30"/>
        </w:rPr>
        <w:t>分）</w:t>
      </w:r>
    </w:p>
    <w:tbl>
      <w:tblPr>
        <w:tblStyle w:val="44"/>
        <w:tblW w:w="10269"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38"/>
        <w:gridCol w:w="1309"/>
        <w:gridCol w:w="7431"/>
        <w:gridCol w:w="791"/>
      </w:tblGrid>
      <w:tr w14:paraId="19643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7"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DD7EC">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C7E1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评审因素</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53EA9">
            <w:pPr>
              <w:keepNext w:val="0"/>
              <w:keepLines w:val="0"/>
              <w:pageBreakBefore w:val="0"/>
              <w:widowControl/>
              <w:suppressLineNumbers w:val="0"/>
              <w:tabs>
                <w:tab w:val="center" w:pos="2838"/>
                <w:tab w:val="left" w:pos="3889"/>
              </w:tabs>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评分标准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A190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分值</w:t>
            </w:r>
          </w:p>
        </w:tc>
      </w:tr>
      <w:tr w14:paraId="5740C6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5748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5257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技术</w:t>
            </w:r>
            <w:r>
              <w:rPr>
                <w:rFonts w:hint="eastAsia" w:cs="宋体"/>
                <w:i w:val="0"/>
                <w:iCs w:val="0"/>
                <w:color w:val="000000"/>
                <w:kern w:val="0"/>
                <w:sz w:val="24"/>
                <w:szCs w:val="24"/>
                <w:u w:val="none"/>
                <w:lang w:val="en-US" w:eastAsia="zh-CN" w:bidi="ar"/>
              </w:rPr>
              <w:t>指标</w:t>
            </w:r>
            <w:r>
              <w:rPr>
                <w:rFonts w:hint="eastAsia" w:ascii="宋体" w:hAnsi="宋体" w:eastAsia="宋体" w:cs="宋体"/>
                <w:i w:val="0"/>
                <w:iCs w:val="0"/>
                <w:color w:val="000000"/>
                <w:kern w:val="0"/>
                <w:sz w:val="24"/>
                <w:szCs w:val="24"/>
                <w:u w:val="none"/>
                <w:lang w:val="en-US" w:eastAsia="zh-CN" w:bidi="ar"/>
              </w:rPr>
              <w:t>响应</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C0673">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根据投标人所投货物技术性能、</w:t>
            </w:r>
            <w:r>
              <w:rPr>
                <w:rFonts w:hint="eastAsia" w:cs="宋体"/>
                <w:i w:val="0"/>
                <w:iCs w:val="0"/>
                <w:color w:val="000000"/>
                <w:kern w:val="0"/>
                <w:sz w:val="24"/>
                <w:szCs w:val="24"/>
                <w:u w:val="none"/>
                <w:lang w:val="en-US" w:eastAsia="zh-CN" w:bidi="ar"/>
              </w:rPr>
              <w:t>参数指标</w:t>
            </w:r>
            <w:r>
              <w:rPr>
                <w:rFonts w:hint="eastAsia" w:ascii="宋体" w:hAnsi="宋体" w:eastAsia="宋体" w:cs="宋体"/>
                <w:i w:val="0"/>
                <w:iCs w:val="0"/>
                <w:color w:val="000000"/>
                <w:kern w:val="0"/>
                <w:sz w:val="24"/>
                <w:szCs w:val="24"/>
                <w:u w:val="none"/>
                <w:lang w:val="en-US" w:eastAsia="zh-CN" w:bidi="ar"/>
              </w:rPr>
              <w:t>对招标文件各项技术要求的响应情况进行评分。所投货物技术性能、</w:t>
            </w:r>
            <w:r>
              <w:rPr>
                <w:rFonts w:hint="eastAsia" w:cs="宋体"/>
                <w:i w:val="0"/>
                <w:iCs w:val="0"/>
                <w:color w:val="000000"/>
                <w:kern w:val="0"/>
                <w:sz w:val="24"/>
                <w:szCs w:val="24"/>
                <w:u w:val="none"/>
                <w:lang w:val="en-US" w:eastAsia="zh-CN" w:bidi="ar"/>
              </w:rPr>
              <w:t>参数指标</w:t>
            </w:r>
            <w:r>
              <w:rPr>
                <w:rFonts w:hint="eastAsia" w:ascii="宋体" w:hAnsi="宋体" w:eastAsia="宋体" w:cs="宋体"/>
                <w:i w:val="0"/>
                <w:iCs w:val="0"/>
                <w:color w:val="000000"/>
                <w:kern w:val="0"/>
                <w:sz w:val="24"/>
                <w:szCs w:val="24"/>
                <w:u w:val="none"/>
                <w:lang w:val="en-US" w:eastAsia="zh-CN" w:bidi="ar"/>
              </w:rPr>
              <w:t>完全满足招标文件要求的得</w:t>
            </w:r>
            <w:r>
              <w:rPr>
                <w:rFonts w:hint="eastAsia" w:cs="宋体"/>
                <w:i w:val="0"/>
                <w:iCs w:val="0"/>
                <w:color w:val="000000"/>
                <w:kern w:val="0"/>
                <w:sz w:val="24"/>
                <w:szCs w:val="24"/>
                <w:u w:val="none"/>
                <w:lang w:val="en-US" w:eastAsia="zh-CN" w:bidi="ar"/>
              </w:rPr>
              <w:t>25</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标注“★”的技术参数为重要指标及要求，每负偏离一项扣2分；其他</w:t>
            </w:r>
            <w:r>
              <w:rPr>
                <w:rFonts w:hint="eastAsia" w:cs="宋体"/>
                <w:i w:val="0"/>
                <w:iCs w:val="0"/>
                <w:color w:val="000000"/>
                <w:kern w:val="0"/>
                <w:sz w:val="24"/>
                <w:szCs w:val="24"/>
                <w:u w:val="none"/>
                <w:lang w:val="en-US" w:eastAsia="zh-CN" w:bidi="ar"/>
              </w:rPr>
              <w:t>一般</w:t>
            </w:r>
            <w:r>
              <w:rPr>
                <w:rFonts w:hint="eastAsia" w:ascii="宋体" w:hAnsi="宋体" w:eastAsia="宋体" w:cs="宋体"/>
                <w:i w:val="0"/>
                <w:iCs w:val="0"/>
                <w:color w:val="000000"/>
                <w:kern w:val="0"/>
                <w:sz w:val="24"/>
                <w:szCs w:val="24"/>
                <w:u w:val="none"/>
                <w:lang w:val="en-US" w:eastAsia="zh-CN" w:bidi="ar"/>
              </w:rPr>
              <w:t>技术参数，每负偏离一条扣1分；扣完</w:t>
            </w:r>
            <w:r>
              <w:rPr>
                <w:rFonts w:hint="eastAsia" w:cs="宋体"/>
                <w:i w:val="0"/>
                <w:iCs w:val="0"/>
                <w:color w:val="000000"/>
                <w:kern w:val="0"/>
                <w:sz w:val="24"/>
                <w:szCs w:val="24"/>
                <w:u w:val="none"/>
                <w:lang w:val="en-US" w:eastAsia="zh-CN" w:bidi="ar"/>
              </w:rPr>
              <w:t>本项得分</w:t>
            </w:r>
            <w:r>
              <w:rPr>
                <w:rFonts w:hint="eastAsia" w:ascii="宋体" w:hAnsi="宋体" w:eastAsia="宋体" w:cs="宋体"/>
                <w:i w:val="0"/>
                <w:iCs w:val="0"/>
                <w:color w:val="000000"/>
                <w:kern w:val="0"/>
                <w:sz w:val="24"/>
                <w:szCs w:val="24"/>
                <w:u w:val="none"/>
                <w:lang w:val="en-US" w:eastAsia="zh-CN" w:bidi="ar"/>
              </w:rPr>
              <w:t>为止</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single"/>
                <w:lang w:val="en-US" w:eastAsia="zh-CN" w:bidi="ar"/>
              </w:rPr>
              <w:t>注：招标文件要求提供检测报告及证书的，如未提供则按负偏离处理。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ECF10">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25</w:t>
            </w:r>
            <w:r>
              <w:rPr>
                <w:rFonts w:hint="eastAsia" w:ascii="宋体" w:hAnsi="宋体" w:eastAsia="宋体" w:cs="宋体"/>
                <w:i w:val="0"/>
                <w:iCs w:val="0"/>
                <w:color w:val="000000"/>
                <w:kern w:val="0"/>
                <w:sz w:val="24"/>
                <w:szCs w:val="24"/>
                <w:u w:val="none"/>
                <w:lang w:val="en-US" w:eastAsia="zh-CN" w:bidi="ar"/>
              </w:rPr>
              <w:t>分</w:t>
            </w:r>
          </w:p>
        </w:tc>
      </w:tr>
      <w:tr w14:paraId="21EFB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vMerge w:val="restart"/>
            <w:tcBorders>
              <w:top w:val="single" w:color="000000" w:sz="4" w:space="0"/>
              <w:left w:val="single" w:color="000000" w:sz="4" w:space="0"/>
              <w:right w:val="single" w:color="000000" w:sz="4" w:space="0"/>
            </w:tcBorders>
            <w:shd w:val="clear" w:color="auto" w:fill="auto"/>
            <w:vAlign w:val="center"/>
          </w:tcPr>
          <w:p w14:paraId="5333336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1309" w:type="dxa"/>
            <w:vMerge w:val="restart"/>
            <w:tcBorders>
              <w:top w:val="single" w:color="000000" w:sz="4" w:space="0"/>
              <w:left w:val="single" w:color="000000" w:sz="4" w:space="0"/>
              <w:right w:val="single" w:color="000000" w:sz="4" w:space="0"/>
            </w:tcBorders>
            <w:shd w:val="clear" w:color="auto" w:fill="auto"/>
            <w:vAlign w:val="center"/>
          </w:tcPr>
          <w:p w14:paraId="5C040C0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组织与实施方案</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491E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根据投标人提供针对本项目的实施方案合理性、规范性及可行性进行评审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①项目组织机构(0-1分)；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②工作时间进度(0-1分)；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③工作程序和步骤(0-1分)；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④管理和协调方法(0-1分)；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⑤项目关键步骤的思路和要点(0-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无相关内容不得分，本项最高得6分。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77F4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6分</w:t>
            </w:r>
          </w:p>
        </w:tc>
      </w:tr>
      <w:tr w14:paraId="16825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vMerge w:val="continue"/>
            <w:tcBorders>
              <w:left w:val="single" w:color="000000" w:sz="4" w:space="0"/>
              <w:right w:val="single" w:color="000000" w:sz="4" w:space="0"/>
            </w:tcBorders>
            <w:shd w:val="clear" w:color="auto" w:fill="auto"/>
            <w:vAlign w:val="center"/>
          </w:tcPr>
          <w:p w14:paraId="38464D67">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1309" w:type="dxa"/>
            <w:vMerge w:val="continue"/>
            <w:tcBorders>
              <w:left w:val="single" w:color="000000" w:sz="4" w:space="0"/>
              <w:right w:val="single" w:color="000000" w:sz="4" w:space="0"/>
            </w:tcBorders>
            <w:shd w:val="clear" w:color="auto" w:fill="auto"/>
            <w:vAlign w:val="center"/>
          </w:tcPr>
          <w:p w14:paraId="05C64F92">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7CEEC">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根据投标人提供针对本项目的供货</w:t>
            </w:r>
            <w:r>
              <w:rPr>
                <w:rFonts w:hint="eastAsia" w:cs="宋体"/>
                <w:i w:val="0"/>
                <w:iCs w:val="0"/>
                <w:color w:val="000000"/>
                <w:kern w:val="0"/>
                <w:sz w:val="24"/>
                <w:szCs w:val="24"/>
                <w:u w:val="none"/>
                <w:lang w:val="en-US" w:eastAsia="zh-CN" w:bidi="ar"/>
              </w:rPr>
              <w:t>、运输</w:t>
            </w:r>
            <w:r>
              <w:rPr>
                <w:rFonts w:hint="eastAsia" w:ascii="宋体" w:hAnsi="宋体" w:eastAsia="宋体" w:cs="宋体"/>
                <w:i w:val="0"/>
                <w:iCs w:val="0"/>
                <w:color w:val="000000"/>
                <w:kern w:val="0"/>
                <w:sz w:val="24"/>
                <w:szCs w:val="24"/>
                <w:u w:val="none"/>
                <w:lang w:val="en-US" w:eastAsia="zh-CN" w:bidi="ar"/>
              </w:rPr>
              <w:t>方案进行评审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①交货</w:t>
            </w:r>
            <w:r>
              <w:rPr>
                <w:rFonts w:hint="eastAsia" w:cs="宋体"/>
                <w:i w:val="0"/>
                <w:iCs w:val="0"/>
                <w:color w:val="000000"/>
                <w:kern w:val="0"/>
                <w:sz w:val="24"/>
                <w:szCs w:val="24"/>
                <w:u w:val="none"/>
                <w:lang w:val="en-US" w:eastAsia="zh-CN" w:bidi="ar"/>
              </w:rPr>
              <w:t>、运输</w:t>
            </w:r>
            <w:r>
              <w:rPr>
                <w:rFonts w:hint="eastAsia" w:ascii="宋体" w:hAnsi="宋体" w:eastAsia="宋体" w:cs="宋体"/>
                <w:i w:val="0"/>
                <w:iCs w:val="0"/>
                <w:color w:val="000000"/>
                <w:kern w:val="0"/>
                <w:sz w:val="24"/>
                <w:szCs w:val="24"/>
                <w:u w:val="none"/>
                <w:lang w:val="en-US" w:eastAsia="zh-CN" w:bidi="ar"/>
              </w:rPr>
              <w:t>方式(0-</w:t>
            </w:r>
            <w:r>
              <w:rPr>
                <w:rFonts w:hint="eastAsia"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②供货保障流程(0-</w:t>
            </w:r>
            <w:r>
              <w:rPr>
                <w:rFonts w:hint="eastAsia"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③供货实施步骤(0-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无相关内容不得分，本项最高得</w:t>
            </w: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9A76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r>
      <w:tr w14:paraId="38B7E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vMerge w:val="continue"/>
            <w:tcBorders>
              <w:left w:val="single" w:color="000000" w:sz="4" w:space="0"/>
              <w:right w:val="single" w:color="000000" w:sz="4" w:space="0"/>
            </w:tcBorders>
            <w:shd w:val="clear" w:color="auto" w:fill="auto"/>
            <w:vAlign w:val="center"/>
          </w:tcPr>
          <w:p w14:paraId="6AB163A5">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1309" w:type="dxa"/>
            <w:vMerge w:val="continue"/>
            <w:tcBorders>
              <w:left w:val="single" w:color="000000" w:sz="4" w:space="0"/>
              <w:right w:val="single" w:color="000000" w:sz="4" w:space="0"/>
            </w:tcBorders>
            <w:shd w:val="clear" w:color="auto" w:fill="auto"/>
            <w:vAlign w:val="center"/>
          </w:tcPr>
          <w:p w14:paraId="28BBA4CB">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D07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根据投标人提供针对本项目的安装</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调试方案进行评审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①场地环境的了解、人员的安排(0-2分)；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②设备</w:t>
            </w:r>
            <w:r>
              <w:rPr>
                <w:rFonts w:hint="eastAsia" w:cs="宋体"/>
                <w:i w:val="0"/>
                <w:iCs w:val="0"/>
                <w:color w:val="000000"/>
                <w:kern w:val="0"/>
                <w:sz w:val="24"/>
                <w:szCs w:val="24"/>
                <w:u w:val="none"/>
                <w:lang w:val="en-US" w:eastAsia="zh-CN" w:bidi="ar"/>
              </w:rPr>
              <w:t>安装的</w:t>
            </w:r>
            <w:r>
              <w:rPr>
                <w:rFonts w:hint="eastAsia" w:ascii="宋体" w:hAnsi="宋体" w:eastAsia="宋体" w:cs="宋体"/>
                <w:i w:val="0"/>
                <w:iCs w:val="0"/>
                <w:color w:val="000000"/>
                <w:kern w:val="0"/>
                <w:sz w:val="24"/>
                <w:szCs w:val="24"/>
                <w:u w:val="none"/>
                <w:lang w:val="en-US" w:eastAsia="zh-CN" w:bidi="ar"/>
              </w:rPr>
              <w:t>进度安排、</w:t>
            </w:r>
            <w:r>
              <w:rPr>
                <w:rFonts w:hint="eastAsia" w:cs="宋体"/>
                <w:i w:val="0"/>
                <w:iCs w:val="0"/>
                <w:color w:val="000000"/>
                <w:kern w:val="0"/>
                <w:sz w:val="24"/>
                <w:szCs w:val="24"/>
                <w:u w:val="none"/>
                <w:lang w:val="en-US" w:eastAsia="zh-CN" w:bidi="ar"/>
              </w:rPr>
              <w:t>安装</w:t>
            </w:r>
            <w:r>
              <w:rPr>
                <w:rFonts w:hint="eastAsia" w:ascii="宋体" w:hAnsi="宋体" w:eastAsia="宋体" w:cs="宋体"/>
                <w:i w:val="0"/>
                <w:iCs w:val="0"/>
                <w:color w:val="000000"/>
                <w:kern w:val="0"/>
                <w:sz w:val="24"/>
                <w:szCs w:val="24"/>
                <w:u w:val="none"/>
                <w:lang w:val="en-US" w:eastAsia="zh-CN" w:bidi="ar"/>
              </w:rPr>
              <w:t>的步骤和措施(0-2分)；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w:t>
            </w:r>
            <w:r>
              <w:rPr>
                <w:rFonts w:hint="eastAsia" w:cs="宋体"/>
                <w:i w:val="0"/>
                <w:iCs w:val="0"/>
                <w:color w:val="000000"/>
                <w:kern w:val="0"/>
                <w:sz w:val="24"/>
                <w:szCs w:val="24"/>
                <w:u w:val="none"/>
                <w:lang w:val="en-US" w:eastAsia="zh-CN" w:bidi="ar"/>
              </w:rPr>
              <w:t>设备</w:t>
            </w:r>
            <w:r>
              <w:rPr>
                <w:rFonts w:hint="eastAsia" w:ascii="宋体" w:hAnsi="宋体" w:eastAsia="宋体" w:cs="宋体"/>
                <w:i w:val="0"/>
                <w:iCs w:val="0"/>
                <w:color w:val="000000"/>
                <w:kern w:val="0"/>
                <w:sz w:val="24"/>
                <w:szCs w:val="24"/>
                <w:u w:val="none"/>
                <w:lang w:val="en-US" w:eastAsia="zh-CN" w:bidi="ar"/>
              </w:rPr>
              <w:t>调试的步骤、措施、问题的解决方案(0-2分)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无相关内容不得分，本项最高得6分。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69517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6分</w:t>
            </w:r>
          </w:p>
        </w:tc>
      </w:tr>
      <w:tr w14:paraId="3B93F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vMerge w:val="continue"/>
            <w:tcBorders>
              <w:left w:val="single" w:color="000000" w:sz="4" w:space="0"/>
              <w:bottom w:val="single" w:color="000000" w:sz="4" w:space="0"/>
              <w:right w:val="single" w:color="000000" w:sz="4" w:space="0"/>
            </w:tcBorders>
            <w:shd w:val="clear" w:color="auto" w:fill="auto"/>
            <w:vAlign w:val="center"/>
          </w:tcPr>
          <w:p w14:paraId="03F713C6">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1309" w:type="dxa"/>
            <w:vMerge w:val="continue"/>
            <w:tcBorders>
              <w:left w:val="single" w:color="000000" w:sz="4" w:space="0"/>
              <w:bottom w:val="single" w:color="000000" w:sz="4" w:space="0"/>
              <w:right w:val="single" w:color="000000" w:sz="4" w:space="0"/>
            </w:tcBorders>
            <w:shd w:val="clear" w:color="auto" w:fill="auto"/>
            <w:vAlign w:val="center"/>
          </w:tcPr>
          <w:p w14:paraId="28FA0F4F">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i w:val="0"/>
                <w:iCs w:val="0"/>
                <w:color w:val="000000"/>
                <w:sz w:val="24"/>
                <w:szCs w:val="24"/>
                <w:u w:val="none"/>
              </w:rPr>
            </w:pP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1DB26">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供应商提供的现场安全、文明施工的保证措施，根据方案内容完善、科学、合理性进行评审</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①现场安全保证措施（0-</w:t>
            </w:r>
            <w:r>
              <w:rPr>
                <w:rFonts w:hint="eastAsia" w:cs="宋体"/>
                <w:i w:val="0"/>
                <w:iCs w:val="0"/>
                <w:color w:val="000000"/>
                <w:kern w:val="0"/>
                <w:sz w:val="24"/>
                <w:szCs w:val="24"/>
                <w:u w:val="none"/>
                <w:lang w:val="en-US" w:eastAsia="zh-CN" w:bidi="ar"/>
              </w:rPr>
              <w:t>3</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②文明施工保证措施（0-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无相关内容不得分，本项最高得</w:t>
            </w:r>
            <w:r>
              <w:rPr>
                <w:rFonts w:hint="eastAsia"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870D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分</w:t>
            </w:r>
          </w:p>
        </w:tc>
      </w:tr>
      <w:tr w14:paraId="212C0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54C1E">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7316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整体深化设计方案</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2E0E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投标人根据设备清单、图纸或自行实地勘察，在技术标中提供厨房整体设计方案，根据设计方案和设计图纸的科学性、合理性进行评审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①对项目的理解及设计方案（0-2分）；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②平面布置图及水电深化图等设计图纸（0-2分）</w:t>
            </w:r>
            <w:r>
              <w:rPr>
                <w:rFonts w:hint="eastAsia" w:cs="宋体"/>
                <w:i w:val="0"/>
                <w:iCs w:val="0"/>
                <w:color w:val="000000"/>
                <w:kern w:val="0"/>
                <w:sz w:val="24"/>
                <w:szCs w:val="24"/>
                <w:u w:val="none"/>
                <w:lang w:val="en-US" w:eastAsia="zh-CN" w:bidi="ar"/>
              </w:rPr>
              <w:t>。</w:t>
            </w:r>
          </w:p>
          <w:p w14:paraId="35993470">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无相关内容不得分，本项最高得4分</w:t>
            </w:r>
            <w:r>
              <w:rPr>
                <w:rFonts w:hint="eastAsia" w:cs="宋体"/>
                <w:i w:val="0"/>
                <w:iCs w:val="0"/>
                <w:color w:val="000000"/>
                <w:kern w:val="0"/>
                <w:sz w:val="24"/>
                <w:szCs w:val="24"/>
                <w:u w:val="non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C4D3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4分</w:t>
            </w:r>
          </w:p>
        </w:tc>
      </w:tr>
      <w:tr w14:paraId="5E0DD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AE5928">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3F416">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人员配置</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291F4">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①根据投标人针对本项目拟派的项目负责人，具有电气、燃气或机械中级及以上职称的得</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②除项目负责人外的实施人员具有燃器具安装维修证书的</w:t>
            </w:r>
            <w:r>
              <w:rPr>
                <w:rFonts w:hint="eastAsia" w:cs="宋体"/>
                <w:i w:val="0"/>
                <w:iCs w:val="0"/>
                <w:color w:val="000000"/>
                <w:kern w:val="0"/>
                <w:sz w:val="24"/>
                <w:szCs w:val="24"/>
                <w:u w:val="none"/>
                <w:lang w:val="en-US" w:eastAsia="zh-CN" w:bidi="ar"/>
              </w:rPr>
              <w:t>，每人次</w:t>
            </w:r>
            <w:r>
              <w:rPr>
                <w:rFonts w:hint="eastAsia" w:ascii="宋体" w:hAnsi="宋体" w:eastAsia="宋体" w:cs="宋体"/>
                <w:i w:val="0"/>
                <w:iCs w:val="0"/>
                <w:color w:val="000000"/>
                <w:kern w:val="0"/>
                <w:sz w:val="24"/>
                <w:szCs w:val="24"/>
                <w:u w:val="none"/>
                <w:lang w:val="en-US" w:eastAsia="zh-CN" w:bidi="ar"/>
              </w:rPr>
              <w:t>得1分</w:t>
            </w:r>
            <w:r>
              <w:rPr>
                <w:rFonts w:hint="eastAsia" w:cs="宋体"/>
                <w:i w:val="0"/>
                <w:iCs w:val="0"/>
                <w:color w:val="000000"/>
                <w:kern w:val="0"/>
                <w:sz w:val="24"/>
                <w:szCs w:val="24"/>
                <w:u w:val="none"/>
                <w:lang w:val="en-US" w:eastAsia="zh-CN" w:bidi="ar"/>
              </w:rPr>
              <w:t>，最高</w:t>
            </w:r>
            <w:r>
              <w:rPr>
                <w:rFonts w:hint="eastAsia" w:ascii="宋体" w:hAnsi="宋体" w:eastAsia="宋体" w:cs="宋体"/>
                <w:i w:val="0"/>
                <w:iCs w:val="0"/>
                <w:color w:val="000000"/>
                <w:kern w:val="0"/>
                <w:sz w:val="24"/>
                <w:szCs w:val="24"/>
                <w:highlight w:val="none"/>
                <w:u w:val="none"/>
                <w:lang w:val="en-US" w:eastAsia="zh-CN" w:bidi="ar"/>
              </w:rPr>
              <w:t>得</w:t>
            </w:r>
            <w:r>
              <w:rPr>
                <w:rFonts w:hint="eastAsia" w:cs="宋体"/>
                <w:i w:val="0"/>
                <w:iCs w:val="0"/>
                <w:color w:val="000000"/>
                <w:kern w:val="0"/>
                <w:sz w:val="24"/>
                <w:szCs w:val="24"/>
                <w:highlight w:val="none"/>
                <w:u w:val="none"/>
                <w:lang w:val="en-US" w:eastAsia="zh-CN" w:bidi="ar"/>
              </w:rPr>
              <w:t>2</w:t>
            </w:r>
            <w:r>
              <w:rPr>
                <w:rFonts w:hint="eastAsia" w:ascii="宋体" w:hAnsi="宋体" w:eastAsia="宋体" w:cs="宋体"/>
                <w:i w:val="0"/>
                <w:iCs w:val="0"/>
                <w:color w:val="000000"/>
                <w:kern w:val="0"/>
                <w:sz w:val="24"/>
                <w:szCs w:val="24"/>
                <w:highlight w:val="none"/>
                <w:u w:val="none"/>
                <w:lang w:val="en-US" w:eastAsia="zh-CN" w:bidi="ar"/>
              </w:rPr>
              <w:t>分</w:t>
            </w:r>
            <w:r>
              <w:rPr>
                <w:rFonts w:hint="eastAsia" w:cs="宋体"/>
                <w:i w:val="0"/>
                <w:iCs w:val="0"/>
                <w:color w:val="000000"/>
                <w:kern w:val="0"/>
                <w:sz w:val="24"/>
                <w:szCs w:val="24"/>
                <w:highlight w:val="none"/>
                <w:u w:val="none"/>
                <w:lang w:val="en-US" w:eastAsia="zh-CN" w:bidi="ar"/>
              </w:rPr>
              <w:t>。</w:t>
            </w:r>
            <w:r>
              <w:rPr>
                <w:rFonts w:hint="eastAsia" w:ascii="宋体" w:hAnsi="宋体" w:eastAsia="宋体" w:cs="宋体"/>
                <w:i w:val="0"/>
                <w:iCs w:val="0"/>
                <w:color w:val="000000"/>
                <w:kern w:val="0"/>
                <w:sz w:val="24"/>
                <w:szCs w:val="24"/>
                <w:u w:val="none"/>
                <w:lang w:val="en-US" w:eastAsia="zh-CN" w:bidi="ar"/>
              </w:rPr>
              <w:t>（0-2分）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b/>
                <w:bCs/>
                <w:i w:val="0"/>
                <w:iCs w:val="0"/>
                <w:color w:val="000000"/>
                <w:kern w:val="0"/>
                <w:sz w:val="24"/>
                <w:szCs w:val="24"/>
                <w:u w:val="single"/>
                <w:lang w:val="en-US" w:eastAsia="zh-CN" w:bidi="ar"/>
              </w:rPr>
              <w:t>注：提供证书复印件（或扫描件）及近三个月社保连续参保证明复印件（或扫描件）</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C98A">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分</w:t>
            </w:r>
          </w:p>
        </w:tc>
      </w:tr>
      <w:tr w14:paraId="34A6E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C1DD2">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B8E0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售后服务方案</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41CF3">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根据投标人的售后服务方案进行评审；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①售后服务计划(0-2分)；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②维护保养方式(0-2分)；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③保修期外运行与维修成本(0-2分)；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④应急保障措施(0-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⑤备品备件及相关优惠措施(0-</w:t>
            </w:r>
            <w:r>
              <w:rPr>
                <w:rFonts w:hint="eastAsia" w:cs="宋体"/>
                <w:i w:val="0"/>
                <w:iCs w:val="0"/>
                <w:color w:val="000000"/>
                <w:kern w:val="0"/>
                <w:sz w:val="24"/>
                <w:szCs w:val="24"/>
                <w:u w:val="none"/>
                <w:lang w:val="en-US" w:eastAsia="zh-CN" w:bidi="ar"/>
              </w:rPr>
              <w:t>2</w:t>
            </w:r>
            <w:r>
              <w:rPr>
                <w:rFonts w:hint="eastAsia" w:ascii="宋体" w:hAnsi="宋体" w:eastAsia="宋体" w:cs="宋体"/>
                <w:i w:val="0"/>
                <w:iCs w:val="0"/>
                <w:color w:val="000000"/>
                <w:kern w:val="0"/>
                <w:sz w:val="24"/>
                <w:szCs w:val="24"/>
                <w:u w:val="none"/>
                <w:lang w:val="en-US" w:eastAsia="zh-CN" w:bidi="ar"/>
              </w:rPr>
              <w:t>分)</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无相关内容不得分，本项最高得</w:t>
            </w:r>
            <w:r>
              <w:rPr>
                <w:rFonts w:hint="eastAsia" w:cs="宋体"/>
                <w:i w:val="0"/>
                <w:iCs w:val="0"/>
                <w:color w:val="000000"/>
                <w:kern w:val="0"/>
                <w:sz w:val="24"/>
                <w:szCs w:val="24"/>
                <w:u w:val="none"/>
                <w:lang w:val="en-US" w:eastAsia="zh-CN" w:bidi="ar"/>
              </w:rPr>
              <w:t>10</w:t>
            </w:r>
            <w:r>
              <w:rPr>
                <w:rFonts w:hint="eastAsia" w:ascii="宋体" w:hAnsi="宋体" w:eastAsia="宋体" w:cs="宋体"/>
                <w:i w:val="0"/>
                <w:iCs w:val="0"/>
                <w:color w:val="000000"/>
                <w:kern w:val="0"/>
                <w:sz w:val="24"/>
                <w:szCs w:val="24"/>
                <w:u w:val="none"/>
                <w:lang w:val="en-US" w:eastAsia="zh-CN" w:bidi="ar"/>
              </w:rPr>
              <w:t>分。</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47D62">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cs="宋体"/>
                <w:i w:val="0"/>
                <w:iCs w:val="0"/>
                <w:color w:val="000000"/>
                <w:kern w:val="0"/>
                <w:sz w:val="24"/>
                <w:szCs w:val="24"/>
                <w:u w:val="none"/>
                <w:lang w:val="en-US" w:eastAsia="zh-CN" w:bidi="ar"/>
              </w:rPr>
              <w:t>10</w:t>
            </w:r>
            <w:r>
              <w:rPr>
                <w:rFonts w:hint="eastAsia" w:ascii="宋体" w:hAnsi="宋体" w:eastAsia="宋体" w:cs="宋体"/>
                <w:i w:val="0"/>
                <w:iCs w:val="0"/>
                <w:color w:val="000000"/>
                <w:kern w:val="0"/>
                <w:sz w:val="24"/>
                <w:szCs w:val="24"/>
                <w:u w:val="none"/>
                <w:lang w:val="en-US" w:eastAsia="zh-CN" w:bidi="ar"/>
              </w:rPr>
              <w:t>分</w:t>
            </w:r>
          </w:p>
        </w:tc>
      </w:tr>
      <w:tr w14:paraId="2B417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F84FE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4B95">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同类业绩</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AD73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highlight w:val="none"/>
                <w:u w:val="none"/>
                <w:lang w:val="en-US" w:eastAsia="zh-CN" w:bidi="ar"/>
              </w:rPr>
              <w:t>投标人</w:t>
            </w:r>
            <w:r>
              <w:rPr>
                <w:rFonts w:hint="eastAsia" w:cs="宋体"/>
                <w:i w:val="0"/>
                <w:iCs w:val="0"/>
                <w:color w:val="000000"/>
                <w:kern w:val="0"/>
                <w:sz w:val="24"/>
                <w:szCs w:val="24"/>
                <w:highlight w:val="none"/>
                <w:u w:val="none"/>
                <w:lang w:val="en-US" w:eastAsia="zh-CN" w:bidi="ar"/>
              </w:rPr>
              <w:t xml:space="preserve">自 </w:t>
            </w:r>
            <w:r>
              <w:rPr>
                <w:rFonts w:hint="eastAsia" w:ascii="宋体" w:hAnsi="宋体" w:eastAsia="宋体" w:cs="宋体"/>
                <w:i w:val="0"/>
                <w:iCs w:val="0"/>
                <w:color w:val="000000"/>
                <w:kern w:val="0"/>
                <w:sz w:val="24"/>
                <w:szCs w:val="24"/>
                <w:highlight w:val="none"/>
                <w:u w:val="none"/>
                <w:lang w:val="en-US" w:eastAsia="zh-CN" w:bidi="ar"/>
              </w:rPr>
              <w:t>2022年1月1日至今</w:t>
            </w:r>
            <w:r>
              <w:rPr>
                <w:rFonts w:hint="eastAsia" w:cs="宋体"/>
                <w:i w:val="0"/>
                <w:iCs w:val="0"/>
                <w:color w:val="000000"/>
                <w:kern w:val="0"/>
                <w:sz w:val="24"/>
                <w:szCs w:val="24"/>
                <w:highlight w:val="none"/>
                <w:u w:val="none"/>
                <w:lang w:val="en-US" w:eastAsia="zh-CN" w:bidi="ar"/>
              </w:rPr>
              <w:t>（以合同签订时间为准）</w:t>
            </w:r>
            <w:r>
              <w:rPr>
                <w:rFonts w:hint="eastAsia" w:ascii="宋体" w:hAnsi="宋体" w:eastAsia="宋体" w:cs="宋体"/>
                <w:i w:val="0"/>
                <w:iCs w:val="0"/>
                <w:color w:val="000000"/>
                <w:kern w:val="0"/>
                <w:sz w:val="24"/>
                <w:szCs w:val="24"/>
                <w:highlight w:val="none"/>
                <w:u w:val="none"/>
                <w:lang w:val="en-US" w:eastAsia="zh-CN" w:bidi="ar"/>
              </w:rPr>
              <w:t>承</w:t>
            </w:r>
            <w:r>
              <w:rPr>
                <w:rFonts w:hint="eastAsia" w:cs="宋体"/>
                <w:i w:val="0"/>
                <w:iCs w:val="0"/>
                <w:color w:val="000000"/>
                <w:kern w:val="0"/>
                <w:sz w:val="24"/>
                <w:szCs w:val="24"/>
                <w:highlight w:val="none"/>
                <w:u w:val="none"/>
                <w:lang w:val="en-US" w:eastAsia="zh-CN" w:bidi="ar"/>
              </w:rPr>
              <w:t>接</w:t>
            </w:r>
            <w:r>
              <w:rPr>
                <w:rFonts w:hint="eastAsia" w:ascii="宋体" w:hAnsi="宋体" w:eastAsia="宋体" w:cs="宋体"/>
                <w:i w:val="0"/>
                <w:iCs w:val="0"/>
                <w:color w:val="000000"/>
                <w:kern w:val="0"/>
                <w:sz w:val="24"/>
                <w:szCs w:val="24"/>
                <w:highlight w:val="none"/>
                <w:u w:val="none"/>
                <w:lang w:val="en-US" w:eastAsia="zh-CN" w:bidi="ar"/>
              </w:rPr>
              <w:t>过类似项目业绩</w:t>
            </w:r>
            <w:r>
              <w:rPr>
                <w:rFonts w:hint="eastAsia" w:cs="宋体"/>
                <w:i w:val="0"/>
                <w:iCs w:val="0"/>
                <w:color w:val="000000"/>
                <w:kern w:val="0"/>
                <w:sz w:val="24"/>
                <w:szCs w:val="24"/>
                <w:highlight w:val="none"/>
                <w:u w:val="none"/>
                <w:lang w:val="en-US" w:eastAsia="zh-CN" w:bidi="ar"/>
              </w:rPr>
              <w:t>的，每提供</w:t>
            </w:r>
            <w:r>
              <w:rPr>
                <w:rFonts w:hint="eastAsia" w:ascii="宋体" w:hAnsi="宋体" w:eastAsia="宋体" w:cs="宋体"/>
                <w:i w:val="0"/>
                <w:iCs w:val="0"/>
                <w:color w:val="000000"/>
                <w:kern w:val="0"/>
                <w:sz w:val="24"/>
                <w:szCs w:val="24"/>
                <w:highlight w:val="none"/>
                <w:u w:val="none"/>
                <w:lang w:val="en-US" w:eastAsia="zh-CN" w:bidi="ar"/>
              </w:rPr>
              <w:t>1个</w:t>
            </w:r>
            <w:r>
              <w:rPr>
                <w:rFonts w:hint="eastAsia" w:cs="宋体"/>
                <w:i w:val="0"/>
                <w:iCs w:val="0"/>
                <w:color w:val="000000"/>
                <w:kern w:val="0"/>
                <w:sz w:val="24"/>
                <w:szCs w:val="24"/>
                <w:highlight w:val="none"/>
                <w:u w:val="none"/>
                <w:lang w:val="en-US" w:eastAsia="zh-CN" w:bidi="ar"/>
              </w:rPr>
              <w:t>业绩</w:t>
            </w:r>
            <w:r>
              <w:rPr>
                <w:rFonts w:hint="eastAsia" w:ascii="宋体" w:hAnsi="宋体" w:eastAsia="宋体" w:cs="宋体"/>
                <w:i w:val="0"/>
                <w:iCs w:val="0"/>
                <w:color w:val="000000"/>
                <w:kern w:val="0"/>
                <w:sz w:val="24"/>
                <w:szCs w:val="24"/>
                <w:highlight w:val="none"/>
                <w:u w:val="none"/>
                <w:lang w:val="en-US" w:eastAsia="zh-CN" w:bidi="ar"/>
              </w:rPr>
              <w:t>得1分，最</w:t>
            </w:r>
            <w:r>
              <w:rPr>
                <w:rFonts w:hint="eastAsia" w:cs="宋体"/>
                <w:i w:val="0"/>
                <w:iCs w:val="0"/>
                <w:color w:val="000000"/>
                <w:kern w:val="0"/>
                <w:sz w:val="24"/>
                <w:szCs w:val="24"/>
                <w:highlight w:val="none"/>
                <w:u w:val="none"/>
                <w:lang w:val="en-US" w:eastAsia="zh-CN" w:bidi="ar"/>
              </w:rPr>
              <w:t>高</w:t>
            </w:r>
            <w:r>
              <w:rPr>
                <w:rFonts w:hint="eastAsia" w:ascii="宋体" w:hAnsi="宋体" w:eastAsia="宋体" w:cs="宋体"/>
                <w:i w:val="0"/>
                <w:iCs w:val="0"/>
                <w:color w:val="000000"/>
                <w:kern w:val="0"/>
                <w:sz w:val="24"/>
                <w:szCs w:val="24"/>
                <w:highlight w:val="none"/>
                <w:u w:val="none"/>
                <w:lang w:val="en-US" w:eastAsia="zh-CN" w:bidi="ar"/>
              </w:rPr>
              <w:t>得3分。（投标文件中提供项目合同复印件（或扫描件）并加盖投标人公章）不提供不得分</w:t>
            </w:r>
            <w:r>
              <w:rPr>
                <w:rFonts w:hint="eastAsia" w:cs="宋体"/>
                <w:i w:val="0"/>
                <w:iCs w:val="0"/>
                <w:color w:val="000000"/>
                <w:kern w:val="0"/>
                <w:sz w:val="24"/>
                <w:szCs w:val="24"/>
                <w:highlight w:val="none"/>
                <w:u w:val="non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F7946">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3分</w:t>
            </w:r>
          </w:p>
        </w:tc>
      </w:tr>
      <w:tr w14:paraId="265F2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A5791">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130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F38AE">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企业生产实力</w:t>
            </w:r>
          </w:p>
        </w:tc>
        <w:tc>
          <w:tcPr>
            <w:tcW w:w="743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D338D">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投标人</w:t>
            </w:r>
            <w:r>
              <w:rPr>
                <w:rFonts w:hint="eastAsia" w:cs="宋体"/>
                <w:i w:val="0"/>
                <w:iCs w:val="0"/>
                <w:color w:val="000000"/>
                <w:kern w:val="0"/>
                <w:sz w:val="24"/>
                <w:szCs w:val="24"/>
                <w:u w:val="none"/>
                <w:lang w:val="en-US" w:eastAsia="zh-CN" w:bidi="ar"/>
              </w:rPr>
              <w:t>与</w:t>
            </w:r>
            <w:r>
              <w:rPr>
                <w:rFonts w:hint="eastAsia" w:ascii="宋体" w:hAnsi="宋体" w:eastAsia="宋体" w:cs="宋体"/>
                <w:i w:val="0"/>
                <w:iCs w:val="0"/>
                <w:color w:val="000000"/>
                <w:kern w:val="0"/>
                <w:sz w:val="24"/>
                <w:szCs w:val="24"/>
                <w:u w:val="none"/>
                <w:lang w:val="en-US" w:eastAsia="zh-CN" w:bidi="ar"/>
              </w:rPr>
              <w:t>本项目所投产品有关的生产线及装备（如液压数控折弯机、激光切割机、数控冲床、剪板机、液压剪角机、压力机等）的拥有状况、完整程度进行评分，每提供1个得0.5分，最</w:t>
            </w:r>
            <w:r>
              <w:rPr>
                <w:rFonts w:hint="eastAsia" w:cs="宋体"/>
                <w:i w:val="0"/>
                <w:iCs w:val="0"/>
                <w:color w:val="000000"/>
                <w:kern w:val="0"/>
                <w:sz w:val="24"/>
                <w:szCs w:val="24"/>
                <w:u w:val="none"/>
                <w:lang w:val="en-US" w:eastAsia="zh-CN" w:bidi="ar"/>
              </w:rPr>
              <w:t>高</w:t>
            </w:r>
            <w:r>
              <w:rPr>
                <w:rFonts w:hint="eastAsia" w:ascii="宋体" w:hAnsi="宋体" w:eastAsia="宋体" w:cs="宋体"/>
                <w:i w:val="0"/>
                <w:iCs w:val="0"/>
                <w:color w:val="000000"/>
                <w:kern w:val="0"/>
                <w:sz w:val="24"/>
                <w:szCs w:val="24"/>
                <w:u w:val="none"/>
                <w:lang w:val="en-US" w:eastAsia="zh-CN" w:bidi="ar"/>
              </w:rPr>
              <w:t>得3分。</w:t>
            </w:r>
          </w:p>
          <w:p w14:paraId="48F8807B">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cs="宋体"/>
                <w:b/>
                <w:bCs/>
                <w:i w:val="0"/>
                <w:iCs w:val="0"/>
                <w:color w:val="000000"/>
                <w:kern w:val="0"/>
                <w:sz w:val="24"/>
                <w:szCs w:val="24"/>
                <w:u w:val="single"/>
                <w:lang w:val="en-US" w:eastAsia="zh-CN" w:bidi="ar"/>
              </w:rPr>
              <w:t>注：</w:t>
            </w:r>
            <w:r>
              <w:rPr>
                <w:rFonts w:hint="eastAsia" w:ascii="宋体" w:hAnsi="宋体" w:eastAsia="宋体" w:cs="宋体"/>
                <w:b/>
                <w:bCs/>
                <w:i w:val="0"/>
                <w:iCs w:val="0"/>
                <w:color w:val="000000"/>
                <w:kern w:val="0"/>
                <w:sz w:val="24"/>
                <w:szCs w:val="24"/>
                <w:u w:val="single"/>
                <w:lang w:val="en-US" w:eastAsia="zh-CN" w:bidi="ar"/>
              </w:rPr>
              <w:t>投标文件中提供设备购置发票及实物照片证明，未提供不得分</w:t>
            </w:r>
            <w:r>
              <w:rPr>
                <w:rFonts w:hint="eastAsia" w:cs="宋体"/>
                <w:b/>
                <w:bCs/>
                <w:i w:val="0"/>
                <w:iCs w:val="0"/>
                <w:color w:val="000000"/>
                <w:kern w:val="0"/>
                <w:sz w:val="24"/>
                <w:szCs w:val="24"/>
                <w:u w:val="single"/>
                <w:lang w:val="en-US" w:eastAsia="zh-CN" w:bidi="ar"/>
              </w:rPr>
              <w:t>。</w:t>
            </w:r>
          </w:p>
        </w:tc>
        <w:tc>
          <w:tcPr>
            <w:tcW w:w="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228A9">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3分</w:t>
            </w:r>
          </w:p>
        </w:tc>
      </w:tr>
    </w:tbl>
    <w:p w14:paraId="1C7E5DFE">
      <w:pPr>
        <w:tabs>
          <w:tab w:val="left" w:pos="282"/>
        </w:tabs>
        <w:bidi w:val="0"/>
        <w:jc w:val="left"/>
        <w:rPr>
          <w:rFonts w:hint="eastAsia" w:ascii="宋体" w:hAnsi="宋体" w:eastAsia="宋体" w:cs="Times New Roman"/>
          <w:kern w:val="2"/>
          <w:sz w:val="24"/>
          <w:szCs w:val="24"/>
          <w:lang w:val="en-US" w:eastAsia="zh-CN" w:bidi="ar-SA"/>
        </w:rPr>
        <w:sectPr>
          <w:pgSz w:w="11907" w:h="16840"/>
          <w:pgMar w:top="1247" w:right="1247" w:bottom="1021" w:left="1247" w:header="720" w:footer="720" w:gutter="0"/>
          <w:pgNumType w:fmt="decimal"/>
          <w:cols w:space="720" w:num="1"/>
          <w:docGrid w:linePitch="286" w:charSpace="0"/>
        </w:sectPr>
      </w:pPr>
    </w:p>
    <w:bookmarkEnd w:id="75"/>
    <w:bookmarkEnd w:id="76"/>
    <w:bookmarkEnd w:id="77"/>
    <w:p w14:paraId="3AF83DA3">
      <w:pPr>
        <w:pStyle w:val="2"/>
        <w:spacing w:line="360" w:lineRule="auto"/>
        <w:jc w:val="center"/>
        <w:rPr>
          <w:rFonts w:hint="eastAsia" w:asciiTheme="minorEastAsia" w:hAnsiTheme="minorEastAsia" w:eastAsiaTheme="minorEastAsia" w:cstheme="minorEastAsia"/>
        </w:rPr>
      </w:pPr>
      <w:bookmarkStart w:id="79" w:name="_Toc27145"/>
      <w:bookmarkStart w:id="80" w:name="_Toc450840088"/>
      <w:r>
        <w:rPr>
          <w:rFonts w:hint="eastAsia" w:asciiTheme="minorEastAsia" w:hAnsiTheme="minorEastAsia" w:eastAsiaTheme="minorEastAsia" w:cstheme="minorEastAsia"/>
          <w:color w:val="auto"/>
          <w:sz w:val="36"/>
          <w:szCs w:val="36"/>
        </w:rPr>
        <w:t>第</w:t>
      </w:r>
      <w:r>
        <w:rPr>
          <w:rFonts w:hint="eastAsia" w:asciiTheme="minorEastAsia" w:hAnsiTheme="minorEastAsia" w:eastAsiaTheme="minorEastAsia" w:cstheme="minorEastAsia"/>
          <w:color w:val="auto"/>
          <w:sz w:val="36"/>
          <w:szCs w:val="36"/>
          <w:lang w:eastAsia="zh-CN"/>
        </w:rPr>
        <w:t>五</w:t>
      </w:r>
      <w:r>
        <w:rPr>
          <w:rFonts w:hint="eastAsia" w:asciiTheme="minorEastAsia" w:hAnsiTheme="minorEastAsia" w:eastAsiaTheme="minorEastAsia" w:cstheme="minorEastAsia"/>
          <w:color w:val="auto"/>
          <w:sz w:val="36"/>
          <w:szCs w:val="36"/>
        </w:rPr>
        <w:t xml:space="preserve">章 </w:t>
      </w:r>
      <w:r>
        <w:rPr>
          <w:rFonts w:hint="eastAsia" w:asciiTheme="minorEastAsia" w:hAnsiTheme="minorEastAsia" w:eastAsiaTheme="minorEastAsia" w:cstheme="minorEastAsia"/>
          <w:color w:val="auto"/>
          <w:sz w:val="36"/>
          <w:szCs w:val="36"/>
          <w:lang w:val="en-US" w:eastAsia="zh-CN"/>
        </w:rPr>
        <w:t xml:space="preserve"> </w:t>
      </w:r>
      <w:r>
        <w:rPr>
          <w:rStyle w:val="59"/>
          <w:rFonts w:hint="eastAsia" w:asciiTheme="minorEastAsia" w:hAnsiTheme="minorEastAsia" w:eastAsiaTheme="minorEastAsia" w:cstheme="minorEastAsia"/>
          <w:b/>
          <w:bCs/>
          <w:sz w:val="36"/>
          <w:szCs w:val="36"/>
        </w:rPr>
        <w:t>合同主要</w:t>
      </w:r>
      <w:r>
        <w:rPr>
          <w:rStyle w:val="59"/>
          <w:rFonts w:hint="eastAsia" w:asciiTheme="minorEastAsia" w:hAnsiTheme="minorEastAsia" w:eastAsiaTheme="minorEastAsia" w:cstheme="minorEastAsia"/>
          <w:b/>
          <w:bCs/>
          <w:sz w:val="36"/>
          <w:szCs w:val="36"/>
          <w:lang w:eastAsia="zh-CN"/>
        </w:rPr>
        <w:t>格式及</w:t>
      </w:r>
      <w:r>
        <w:rPr>
          <w:rStyle w:val="59"/>
          <w:rFonts w:hint="eastAsia" w:asciiTheme="minorEastAsia" w:hAnsiTheme="minorEastAsia" w:eastAsiaTheme="minorEastAsia" w:cstheme="minorEastAsia"/>
          <w:b/>
          <w:bCs/>
          <w:sz w:val="36"/>
          <w:szCs w:val="36"/>
        </w:rPr>
        <w:t>条款</w:t>
      </w:r>
    </w:p>
    <w:p w14:paraId="39027A81">
      <w:pPr>
        <w:spacing w:line="360" w:lineRule="auto"/>
        <w:ind w:right="-211" w:rightChars="-88" w:firstLine="482" w:firstLineChars="200"/>
        <w:rPr>
          <w:rFonts w:hint="eastAsia" w:asciiTheme="minorEastAsia" w:hAnsiTheme="minorEastAsia" w:eastAsiaTheme="minorEastAsia" w:cstheme="minorEastAsia"/>
          <w:b/>
          <w:sz w:val="24"/>
        </w:rPr>
      </w:pPr>
      <w:r>
        <w:rPr>
          <w:rFonts w:hint="eastAsia" w:asciiTheme="minorEastAsia" w:hAnsiTheme="minorEastAsia" w:eastAsiaTheme="minorEastAsia" w:cstheme="minorEastAsia"/>
          <w:b/>
          <w:sz w:val="24"/>
        </w:rPr>
        <w:t>（</w:t>
      </w:r>
      <w:r>
        <w:rPr>
          <w:rFonts w:hint="eastAsia" w:ascii="宋体" w:hAnsi="宋体" w:eastAsia="宋体" w:cs="宋体"/>
          <w:b/>
          <w:bCs/>
          <w:sz w:val="24"/>
          <w:szCs w:val="24"/>
        </w:rPr>
        <w:t>本合同条款仅供参考，</w:t>
      </w:r>
      <w:r>
        <w:rPr>
          <w:rFonts w:hint="eastAsia" w:ascii="宋体" w:hAnsi="宋体" w:eastAsia="宋体" w:cs="宋体"/>
          <w:b/>
          <w:bCs/>
          <w:sz w:val="24"/>
          <w:szCs w:val="24"/>
          <w:lang w:eastAsia="zh-CN"/>
        </w:rPr>
        <w:t>供需双方</w:t>
      </w:r>
      <w:r>
        <w:rPr>
          <w:rFonts w:hint="eastAsia" w:ascii="宋体" w:hAnsi="宋体" w:eastAsia="宋体" w:cs="宋体"/>
          <w:b/>
          <w:bCs/>
          <w:sz w:val="24"/>
          <w:szCs w:val="24"/>
        </w:rPr>
        <w:t>在签订合同时，应在不违背本项目</w:t>
      </w:r>
      <w:r>
        <w:rPr>
          <w:rFonts w:hint="eastAsia" w:cs="宋体"/>
          <w:b/>
          <w:bCs/>
          <w:sz w:val="24"/>
          <w:szCs w:val="24"/>
          <w:lang w:eastAsia="zh-CN"/>
        </w:rPr>
        <w:t>招标</w:t>
      </w:r>
      <w:r>
        <w:rPr>
          <w:rFonts w:hint="eastAsia" w:ascii="宋体" w:hAnsi="宋体" w:eastAsia="宋体" w:cs="宋体"/>
          <w:b/>
          <w:bCs/>
          <w:sz w:val="24"/>
          <w:szCs w:val="24"/>
        </w:rPr>
        <w:t>文件</w:t>
      </w:r>
      <w:r>
        <w:rPr>
          <w:rFonts w:hint="eastAsia" w:ascii="宋体" w:hAnsi="宋体" w:eastAsia="宋体" w:cs="宋体"/>
          <w:b/>
          <w:bCs/>
          <w:sz w:val="24"/>
          <w:szCs w:val="24"/>
          <w:lang w:eastAsia="zh-CN"/>
        </w:rPr>
        <w:t>实质性条款的基础上</w:t>
      </w:r>
      <w:r>
        <w:rPr>
          <w:rFonts w:hint="eastAsia" w:ascii="宋体" w:hAnsi="宋体" w:eastAsia="宋体" w:cs="宋体"/>
          <w:b/>
          <w:bCs/>
          <w:sz w:val="24"/>
          <w:szCs w:val="24"/>
        </w:rPr>
        <w:t>，视具体情况进行</w:t>
      </w:r>
      <w:r>
        <w:rPr>
          <w:rFonts w:hint="eastAsia" w:ascii="宋体" w:hAnsi="宋体" w:eastAsia="宋体" w:cs="宋体"/>
          <w:b/>
          <w:bCs/>
          <w:sz w:val="24"/>
          <w:szCs w:val="24"/>
          <w:lang w:eastAsia="zh-CN"/>
        </w:rPr>
        <w:t>补充或删减</w:t>
      </w:r>
      <w:r>
        <w:rPr>
          <w:rFonts w:hint="eastAsia" w:asciiTheme="minorEastAsia" w:hAnsiTheme="minorEastAsia" w:eastAsiaTheme="minorEastAsia" w:cstheme="minorEastAsia"/>
          <w:b/>
          <w:sz w:val="24"/>
        </w:rPr>
        <w:t>）</w:t>
      </w:r>
    </w:p>
    <w:p w14:paraId="2C4B6C7D">
      <w:pPr>
        <w:keepNext w:val="0"/>
        <w:keepLines w:val="0"/>
        <w:pageBreakBefore w:val="0"/>
        <w:widowControl w:val="0"/>
        <w:kinsoku/>
        <w:wordWrap/>
        <w:overflowPunct/>
        <w:topLinePunct w:val="0"/>
        <w:autoSpaceDE/>
        <w:autoSpaceDN/>
        <w:bidi w:val="0"/>
        <w:adjustRightInd w:val="0"/>
        <w:snapToGrid w:val="0"/>
        <w:spacing w:before="40" w:after="40" w:line="500" w:lineRule="exact"/>
        <w:ind w:firstLine="0"/>
        <w:jc w:val="center"/>
        <w:textAlignment w:val="auto"/>
        <w:rPr>
          <w:rFonts w:hint="eastAsia" w:asciiTheme="minorEastAsia" w:hAnsiTheme="minorEastAsia" w:eastAsiaTheme="minorEastAsia" w:cstheme="minorEastAsia"/>
          <w:color w:val="auto"/>
          <w:kern w:val="0"/>
          <w:sz w:val="24"/>
          <w:szCs w:val="24"/>
          <w:u w:val="none"/>
          <w:lang w:eastAsia="zh-CN"/>
        </w:rPr>
      </w:pPr>
      <w:r>
        <w:rPr>
          <w:rFonts w:hint="eastAsia" w:cs="宋体"/>
          <w:b/>
          <w:bCs/>
          <w:sz w:val="24"/>
          <w:szCs w:val="24"/>
          <w:u w:val="none"/>
          <w:lang w:eastAsia="zh-CN"/>
        </w:rPr>
        <w:t>2025年长兴县实验小学画溪校区新建工程厨房设备采购项目</w:t>
      </w:r>
    </w:p>
    <w:p w14:paraId="6E01ABD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eastAsia" w:ascii="宋体" w:hAnsi="宋体" w:eastAsia="宋体" w:cs="宋体"/>
          <w:sz w:val="24"/>
          <w:szCs w:val="24"/>
        </w:rPr>
      </w:pPr>
      <w:bookmarkStart w:id="81" w:name="bodyStart"/>
      <w:bookmarkEnd w:id="81"/>
    </w:p>
    <w:p w14:paraId="29E449F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甲方：</w:t>
      </w:r>
      <w:r>
        <w:rPr>
          <w:rFonts w:hint="eastAsia" w:cs="宋体"/>
          <w:sz w:val="24"/>
          <w:szCs w:val="24"/>
          <w:u w:val="single"/>
          <w:lang w:val="en-US" w:eastAsia="zh-CN"/>
        </w:rPr>
        <w:t xml:space="preserve"> </w:t>
      </w:r>
      <w:r>
        <w:rPr>
          <w:rFonts w:hint="eastAsia" w:asciiTheme="minorEastAsia" w:hAnsiTheme="minorEastAsia" w:eastAsiaTheme="minorEastAsia" w:cstheme="minorEastAsia"/>
          <w:color w:val="auto"/>
          <w:sz w:val="24"/>
          <w:szCs w:val="24"/>
          <w:u w:val="single"/>
          <w:lang w:eastAsia="zh-CN"/>
        </w:rPr>
        <w:t>长兴县实验小学</w:t>
      </w:r>
      <w:r>
        <w:rPr>
          <w:rFonts w:hint="eastAsia" w:asciiTheme="minorEastAsia" w:hAnsiTheme="minorEastAsia" w:eastAsiaTheme="minorEastAsia" w:cstheme="minorEastAsia"/>
          <w:color w:val="auto"/>
          <w:sz w:val="24"/>
          <w:szCs w:val="24"/>
          <w:u w:val="single"/>
          <w:lang w:val="en-US" w:eastAsia="zh-CN"/>
        </w:rPr>
        <w:t xml:space="preserve"> </w:t>
      </w:r>
      <w:r>
        <w:rPr>
          <w:rFonts w:hint="eastAsia" w:ascii="宋体" w:hAnsi="宋体" w:eastAsia="宋体" w:cs="宋体"/>
          <w:sz w:val="24"/>
          <w:szCs w:val="24"/>
        </w:rPr>
        <w:t>（以下简称甲方）</w:t>
      </w:r>
    </w:p>
    <w:p w14:paraId="064A26A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乙方：</w:t>
      </w:r>
      <w:r>
        <w:rPr>
          <w:rFonts w:hint="eastAsia" w:ascii="宋体" w:hAnsi="宋体" w:eastAsia="宋体" w:cs="宋体"/>
          <w:sz w:val="24"/>
          <w:szCs w:val="24"/>
          <w:u w:val="single"/>
        </w:rPr>
        <w:t xml:space="preserve">        </w:t>
      </w:r>
      <w:r>
        <w:rPr>
          <w:rFonts w:hint="eastAsia" w:cs="宋体"/>
          <w:sz w:val="24"/>
          <w:szCs w:val="24"/>
          <w:u w:val="single"/>
          <w:lang w:val="en-US" w:eastAsia="zh-CN"/>
        </w:rPr>
        <w:t xml:space="preserve">         </w:t>
      </w:r>
      <w:r>
        <w:rPr>
          <w:rFonts w:hint="eastAsia" w:ascii="宋体" w:hAnsi="宋体" w:eastAsia="宋体" w:cs="宋体"/>
          <w:sz w:val="24"/>
          <w:szCs w:val="24"/>
        </w:rPr>
        <w:t>(以下简称乙方）</w:t>
      </w:r>
    </w:p>
    <w:p w14:paraId="17108C80">
      <w:pPr>
        <w:keepNext w:val="0"/>
        <w:keepLines w:val="0"/>
        <w:pageBreakBefore w:val="0"/>
        <w:widowControl w:val="0"/>
        <w:kinsoku/>
        <w:wordWrap/>
        <w:overflowPunct/>
        <w:topLinePunct w:val="0"/>
        <w:autoSpaceDE/>
        <w:autoSpaceDN/>
        <w:bidi w:val="0"/>
        <w:adjustRightInd w:val="0"/>
        <w:snapToGrid w:val="0"/>
        <w:spacing w:before="40" w:after="40" w:line="360" w:lineRule="auto"/>
        <w:ind w:firstLine="0"/>
        <w:textAlignment w:val="auto"/>
        <w:rPr>
          <w:rFonts w:hint="eastAsia" w:ascii="宋体" w:hAnsi="宋体" w:eastAsia="宋体" w:cs="宋体"/>
          <w:sz w:val="24"/>
          <w:szCs w:val="24"/>
          <w:u w:val="single"/>
        </w:rPr>
      </w:pPr>
      <w:r>
        <w:rPr>
          <w:rFonts w:hint="eastAsia" w:ascii="宋体" w:hAnsi="宋体" w:eastAsia="宋体" w:cs="宋体"/>
          <w:sz w:val="24"/>
          <w:szCs w:val="24"/>
        </w:rPr>
        <w:t>甲、乙双方根据项目名称</w:t>
      </w:r>
      <w:r>
        <w:rPr>
          <w:rFonts w:hint="eastAsia" w:ascii="宋体" w:hAnsi="宋体" w:eastAsia="宋体" w:cs="宋体"/>
          <w:sz w:val="24"/>
          <w:szCs w:val="24"/>
          <w:lang w:eastAsia="zh-CN"/>
        </w:rPr>
        <w:t>：</w:t>
      </w:r>
      <w:r>
        <w:rPr>
          <w:rFonts w:hint="eastAsia" w:cs="宋体"/>
          <w:b w:val="0"/>
          <w:bCs w:val="0"/>
          <w:sz w:val="24"/>
          <w:szCs w:val="24"/>
          <w:u w:val="single"/>
          <w:lang w:eastAsia="zh-CN"/>
        </w:rPr>
        <w:t>2025年长兴县实验小学画溪校区新建工程厨房设备采购项目</w:t>
      </w:r>
      <w:r>
        <w:rPr>
          <w:rFonts w:hint="eastAsia" w:ascii="宋体" w:hAnsi="宋体" w:eastAsia="宋体" w:cs="宋体"/>
          <w:b w:val="0"/>
          <w:bCs/>
          <w:kern w:val="0"/>
          <w:sz w:val="24"/>
          <w:szCs w:val="24"/>
          <w:u w:val="none"/>
          <w:lang w:eastAsia="zh-CN"/>
        </w:rPr>
        <w:t>；项目</w:t>
      </w:r>
      <w:r>
        <w:rPr>
          <w:rFonts w:hint="eastAsia" w:ascii="宋体" w:hAnsi="宋体" w:eastAsia="宋体" w:cs="宋体"/>
          <w:sz w:val="24"/>
          <w:szCs w:val="24"/>
        </w:rPr>
        <w:t>编号</w:t>
      </w:r>
      <w:r>
        <w:rPr>
          <w:rFonts w:hint="eastAsia" w:ascii="宋体" w:hAnsi="宋体" w:eastAsia="宋体" w:cs="宋体"/>
          <w:sz w:val="24"/>
          <w:szCs w:val="24"/>
          <w:lang w:eastAsia="zh-CN"/>
        </w:rPr>
        <w:t>：</w:t>
      </w:r>
      <w:r>
        <w:rPr>
          <w:rFonts w:hint="eastAsia" w:cs="宋体"/>
          <w:sz w:val="24"/>
          <w:szCs w:val="24"/>
          <w:u w:val="single"/>
          <w:lang w:val="en-US" w:eastAsia="zh-CN"/>
        </w:rPr>
        <w:t>ZJZX-CXSY-2025001</w:t>
      </w:r>
      <w:r>
        <w:rPr>
          <w:rFonts w:hint="eastAsia" w:ascii="宋体" w:hAnsi="宋体" w:eastAsia="宋体" w:cs="宋体"/>
          <w:sz w:val="24"/>
          <w:szCs w:val="24"/>
          <w:u w:val="none"/>
          <w:lang w:val="en-US" w:eastAsia="zh-CN"/>
        </w:rPr>
        <w:t>公开招标</w:t>
      </w:r>
      <w:r>
        <w:rPr>
          <w:rFonts w:hint="eastAsia" w:ascii="宋体" w:hAnsi="宋体" w:eastAsia="宋体" w:cs="宋体"/>
          <w:sz w:val="24"/>
          <w:szCs w:val="24"/>
        </w:rPr>
        <w:t>结果和</w:t>
      </w:r>
      <w:r>
        <w:rPr>
          <w:rFonts w:hint="eastAsia" w:ascii="宋体" w:hAnsi="宋体" w:eastAsia="宋体" w:cs="宋体"/>
          <w:sz w:val="24"/>
          <w:szCs w:val="24"/>
          <w:lang w:eastAsia="zh-CN"/>
        </w:rPr>
        <w:t>招标文件</w:t>
      </w:r>
      <w:r>
        <w:rPr>
          <w:rFonts w:hint="eastAsia" w:ascii="宋体" w:hAnsi="宋体" w:eastAsia="宋体" w:cs="宋体"/>
          <w:sz w:val="24"/>
          <w:szCs w:val="24"/>
        </w:rPr>
        <w:t>的要求，经双方平等协商，在真实、充分地表达各自意愿的基础上，根据《中华人民共和国政府采购法》《中华人民共和国民法典》的规定，达成如下协议，并由双方共同遵守执行。</w:t>
      </w:r>
    </w:p>
    <w:p w14:paraId="47519D08">
      <w:pPr>
        <w:pStyle w:val="205"/>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sz w:val="24"/>
          <w:szCs w:val="24"/>
          <w:lang w:val="en-US" w:eastAsia="zh-CN"/>
        </w:rPr>
      </w:pPr>
      <w:r>
        <w:rPr>
          <w:rFonts w:hint="eastAsia" w:ascii="宋体" w:hAnsi="宋体" w:eastAsia="宋体" w:cs="宋体"/>
          <w:b/>
          <w:sz w:val="24"/>
          <w:szCs w:val="24"/>
        </w:rPr>
        <w:t>一、</w:t>
      </w:r>
      <w:r>
        <w:rPr>
          <w:rFonts w:hint="eastAsia" w:cs="宋体"/>
          <w:b/>
          <w:sz w:val="24"/>
          <w:szCs w:val="24"/>
          <w:lang w:eastAsia="zh-CN"/>
        </w:rPr>
        <w:t>合同金额</w:t>
      </w:r>
    </w:p>
    <w:p w14:paraId="6419AA75">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lang w:val="zh-TW" w:eastAsia="zh-TW"/>
        </w:rPr>
      </w:pPr>
      <w:r>
        <w:rPr>
          <w:rFonts w:hint="eastAsia" w:ascii="宋体" w:hAnsi="宋体" w:eastAsia="宋体" w:cs="宋体"/>
          <w:sz w:val="24"/>
          <w:szCs w:val="24"/>
        </w:rPr>
        <w:t>1.</w:t>
      </w:r>
      <w:r>
        <w:rPr>
          <w:rFonts w:hint="eastAsia" w:ascii="宋体" w:hAnsi="宋体" w:eastAsia="宋体" w:cs="宋体"/>
          <w:sz w:val="24"/>
          <w:szCs w:val="24"/>
          <w:lang w:val="zh-TW" w:eastAsia="zh-TW"/>
        </w:rPr>
        <w:t>本合同金额为人民币（大写）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（￥____________元）（含税）。</w:t>
      </w:r>
    </w:p>
    <w:p w14:paraId="5D0FBDD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TW" w:eastAsia="zh-TW"/>
        </w:rPr>
        <w:t>合同暂定不含税金额为人民币（大写）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u w:val="single"/>
        </w:rPr>
        <w:t xml:space="preserve">       </w:t>
      </w:r>
      <w:r>
        <w:rPr>
          <w:rFonts w:hint="eastAsia" w:ascii="宋体" w:hAnsi="宋体" w:eastAsia="宋体" w:cs="宋体"/>
          <w:sz w:val="24"/>
          <w:szCs w:val="24"/>
          <w:lang w:val="zh-TW" w:eastAsia="zh-TW"/>
        </w:rPr>
        <w:t>（￥</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元）</w:t>
      </w:r>
      <w:r>
        <w:rPr>
          <w:rFonts w:hint="eastAsia" w:ascii="宋体" w:hAnsi="宋体" w:eastAsia="宋体" w:cs="宋体"/>
          <w:sz w:val="24"/>
          <w:szCs w:val="24"/>
          <w:lang w:val="zh-TW"/>
        </w:rPr>
        <w:t>。</w:t>
      </w:r>
    </w:p>
    <w:p w14:paraId="787AC3E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rPr>
      </w:pPr>
      <w:r>
        <w:rPr>
          <w:rFonts w:hint="eastAsia" w:ascii="宋体" w:hAnsi="宋体" w:eastAsia="宋体" w:cs="宋体"/>
          <w:sz w:val="24"/>
          <w:szCs w:val="24"/>
        </w:rPr>
        <w:t>3.</w:t>
      </w:r>
      <w:r>
        <w:rPr>
          <w:rFonts w:hint="eastAsia" w:ascii="宋体" w:hAnsi="宋体" w:eastAsia="宋体" w:cs="宋体"/>
          <w:sz w:val="24"/>
          <w:szCs w:val="24"/>
          <w:lang w:val="zh-TW" w:eastAsia="zh-TW"/>
        </w:rPr>
        <w:t>增值税税率为</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%，税额为人民币（大写）</w:t>
      </w:r>
      <w:r>
        <w:rPr>
          <w:rFonts w:hint="eastAsia" w:ascii="宋体" w:hAnsi="宋体" w:eastAsia="宋体" w:cs="宋体"/>
          <w:sz w:val="24"/>
          <w:szCs w:val="24"/>
          <w:u w:val="single"/>
          <w:lang w:val="zh-TW" w:eastAsia="zh-TW"/>
        </w:rPr>
        <w:t>    </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w:t>
      </w:r>
      <w:r>
        <w:rPr>
          <w:rFonts w:hint="eastAsia" w:ascii="宋体" w:hAnsi="宋体" w:eastAsia="宋体" w:cs="宋体"/>
          <w:sz w:val="24"/>
          <w:szCs w:val="24"/>
          <w:u w:val="single"/>
          <w:lang w:val="zh-TW" w:eastAsia="zh-TW"/>
        </w:rPr>
        <w:t>        </w:t>
      </w:r>
      <w:r>
        <w:rPr>
          <w:rFonts w:hint="eastAsia" w:ascii="宋体" w:hAnsi="宋体" w:eastAsia="宋体" w:cs="宋体"/>
          <w:sz w:val="24"/>
          <w:szCs w:val="24"/>
          <w:lang w:val="zh-TW" w:eastAsia="zh-TW"/>
        </w:rPr>
        <w:t>）。</w:t>
      </w:r>
    </w:p>
    <w:p w14:paraId="11CDF77B">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firstLine="480" w:firstLineChars="200"/>
        <w:textAlignment w:val="auto"/>
        <w:rPr>
          <w:rFonts w:hint="eastAsia" w:ascii="宋体" w:hAnsi="宋体" w:eastAsia="宋体" w:cs="宋体"/>
          <w:sz w:val="24"/>
          <w:szCs w:val="24"/>
          <w:lang w:val="zh-TW" w:eastAsia="zh-TW"/>
        </w:rPr>
      </w:pPr>
      <w:r>
        <w:rPr>
          <w:rFonts w:hint="eastAsia" w:ascii="宋体" w:hAnsi="宋体" w:eastAsia="宋体" w:cs="宋体"/>
          <w:sz w:val="24"/>
          <w:szCs w:val="24"/>
        </w:rPr>
        <w:t>4.</w:t>
      </w:r>
      <w:r>
        <w:rPr>
          <w:rFonts w:hint="eastAsia" w:ascii="宋体" w:hAnsi="宋体" w:eastAsia="宋体" w:cs="宋体"/>
          <w:sz w:val="24"/>
          <w:szCs w:val="24"/>
          <w:lang w:val="zh-TW" w:eastAsia="zh-TW"/>
        </w:rPr>
        <w:t>若国家出台新的税收政策，则按新政策执行。</w:t>
      </w:r>
    </w:p>
    <w:p w14:paraId="196B1F9D">
      <w:pPr>
        <w:spacing w:before="40" w:beforeLines="0" w:after="40" w:afterLines="0"/>
        <w:ind w:firstLine="480"/>
        <w:rPr>
          <w:rFonts w:hint="eastAsia" w:cs="宋体"/>
          <w:sz w:val="24"/>
          <w:szCs w:val="24"/>
        </w:rPr>
      </w:pPr>
      <w:r>
        <w:rPr>
          <w:rFonts w:hint="eastAsia" w:cs="宋体"/>
          <w:sz w:val="24"/>
          <w:szCs w:val="24"/>
        </w:rPr>
        <w:t>5.该金额已经囊括了乙方为全面履行本合同项下标的物交付、服务工作成果提供的全部费用（包括且不限于设备费、材料费、保管费、安装调试费（含实际采购和安装过程中需要配置的各种设备、材料及其他费用）、培训、税收、免费质保等），除此之外，甲方无需另行向乙方支付任何费用。</w:t>
      </w:r>
    </w:p>
    <w:p w14:paraId="6FFF5FCF">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textAlignment w:val="auto"/>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sz w:val="24"/>
          <w:szCs w:val="24"/>
          <w:lang w:eastAsia="zh-CN"/>
        </w:rPr>
        <w:t>二、</w:t>
      </w:r>
      <w:r>
        <w:rPr>
          <w:rFonts w:hint="eastAsia" w:cs="宋体"/>
          <w:b/>
          <w:sz w:val="24"/>
          <w:szCs w:val="24"/>
          <w:lang w:eastAsia="zh-CN"/>
        </w:rPr>
        <w:t>交货时间、地点</w:t>
      </w:r>
    </w:p>
    <w:p w14:paraId="1D8D855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宋体" w:hAnsi="宋体" w:eastAsia="宋体" w:cs="宋体"/>
          <w:lang w:val="en-US" w:eastAsia="zh-CN"/>
        </w:rPr>
      </w:pPr>
      <w:r>
        <w:rPr>
          <w:rFonts w:hint="eastAsia"/>
          <w:lang w:val="en-US" w:eastAsia="zh-CN"/>
        </w:rPr>
        <w:t>1.交货时间</w:t>
      </w:r>
      <w:r>
        <w:rPr>
          <w:rFonts w:hint="eastAsia"/>
        </w:rPr>
        <w:t>：</w:t>
      </w:r>
      <w:r>
        <w:rPr>
          <w:rFonts w:hint="eastAsia" w:cs="宋体"/>
          <w:lang w:eastAsia="zh-CN"/>
        </w:rPr>
        <w:t>合同签订后</w:t>
      </w:r>
      <w:r>
        <w:rPr>
          <w:rFonts w:hint="eastAsia" w:cs="宋体"/>
          <w:lang w:val="en-US" w:eastAsia="zh-CN"/>
        </w:rPr>
        <w:t>30日内</w:t>
      </w:r>
      <w:r>
        <w:rPr>
          <w:rFonts w:hint="eastAsia"/>
          <w:lang w:val="en-US" w:eastAsia="zh-CN"/>
        </w:rPr>
        <w:t>完成供货、安装、调试。</w:t>
      </w:r>
    </w:p>
    <w:p w14:paraId="746CAF8E">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firstLine="480" w:firstLineChars="200"/>
        <w:textAlignment w:val="auto"/>
        <w:rPr>
          <w:rFonts w:hint="eastAsia"/>
          <w:lang w:eastAsia="zh-CN"/>
        </w:rPr>
      </w:pPr>
      <w:r>
        <w:rPr>
          <w:rFonts w:hint="eastAsia"/>
          <w:lang w:val="en-US" w:eastAsia="zh-CN"/>
        </w:rPr>
        <w:t>2.交货</w:t>
      </w:r>
      <w:r>
        <w:rPr>
          <w:rFonts w:hint="eastAsia"/>
        </w:rPr>
        <w:t>地点：</w:t>
      </w:r>
      <w:r>
        <w:rPr>
          <w:rFonts w:hint="eastAsia"/>
          <w:lang w:eastAsia="zh-CN"/>
        </w:rPr>
        <w:t>甲方指定地点。</w:t>
      </w:r>
    </w:p>
    <w:p w14:paraId="388B1715">
      <w:pPr>
        <w:keepNext w:val="0"/>
        <w:keepLines w:val="0"/>
        <w:pageBreakBefore w:val="0"/>
        <w:widowControl w:val="0"/>
        <w:numPr>
          <w:ilvl w:val="0"/>
          <w:numId w:val="0"/>
        </w:numPr>
        <w:kinsoku/>
        <w:wordWrap/>
        <w:overflowPunct/>
        <w:topLinePunct w:val="0"/>
        <w:autoSpaceDE/>
        <w:autoSpaceDN/>
        <w:bidi w:val="0"/>
        <w:adjustRightInd/>
        <w:snapToGrid/>
        <w:spacing w:before="40" w:after="40" w:line="360" w:lineRule="auto"/>
        <w:ind w:leftChars="0"/>
        <w:textAlignment w:val="auto"/>
        <w:rPr>
          <w:rFonts w:hint="eastAsia" w:ascii="宋体" w:hAnsi="宋体" w:eastAsia="宋体" w:cs="宋体"/>
          <w:sz w:val="24"/>
          <w:szCs w:val="24"/>
        </w:rPr>
      </w:pPr>
      <w:r>
        <w:rPr>
          <w:rFonts w:hint="eastAsia" w:cs="宋体"/>
          <w:b/>
          <w:bCs/>
          <w:sz w:val="24"/>
          <w:szCs w:val="24"/>
          <w:lang w:val="en-US" w:eastAsia="zh-CN"/>
        </w:rPr>
        <w:t>三</w:t>
      </w:r>
      <w:r>
        <w:rPr>
          <w:rFonts w:hint="eastAsia" w:ascii="宋体" w:hAnsi="宋体" w:eastAsia="宋体" w:cs="宋体"/>
          <w:b/>
          <w:bCs/>
          <w:sz w:val="24"/>
          <w:szCs w:val="24"/>
          <w:lang w:val="en-US" w:eastAsia="zh-CN"/>
        </w:rPr>
        <w:t>、</w:t>
      </w:r>
      <w:r>
        <w:rPr>
          <w:rFonts w:hint="eastAsia" w:cs="宋体"/>
          <w:b/>
          <w:bCs/>
          <w:sz w:val="24"/>
          <w:szCs w:val="24"/>
          <w:lang w:val="en-US" w:eastAsia="zh-CN"/>
        </w:rPr>
        <w:t>设备及服务要求</w:t>
      </w:r>
    </w:p>
    <w:p w14:paraId="5F417CD6">
      <w:pPr>
        <w:pStyle w:val="4"/>
        <w:spacing w:line="360" w:lineRule="auto"/>
        <w:rPr>
          <w:rFonts w:cs="宋体"/>
          <w:color w:val="auto"/>
        </w:rPr>
      </w:pPr>
      <w:r>
        <w:rPr>
          <w:rFonts w:hint="eastAsia" w:cs="宋体"/>
          <w:color w:val="auto"/>
        </w:rPr>
        <w:t>（一）设备要求</w:t>
      </w:r>
    </w:p>
    <w:p w14:paraId="00F7C3AB">
      <w:pPr>
        <w:adjustRightInd/>
        <w:spacing w:line="360" w:lineRule="auto"/>
        <w:ind w:left="0" w:leftChars="0" w:firstLine="480" w:firstLineChars="200"/>
        <w:jc w:val="left"/>
        <w:rPr>
          <w:rFonts w:cs="宋体"/>
          <w:color w:val="auto"/>
        </w:rPr>
      </w:pPr>
      <w:r>
        <w:rPr>
          <w:rFonts w:hint="eastAsia" w:cs="宋体"/>
          <w:color w:val="auto"/>
        </w:rPr>
        <w:t>1</w:t>
      </w:r>
      <w:r>
        <w:rPr>
          <w:rFonts w:hint="eastAsia" w:cs="宋体"/>
          <w:color w:val="auto"/>
          <w:lang w:eastAsia="zh-CN"/>
        </w:rPr>
        <w:t>.乙方</w:t>
      </w:r>
      <w:r>
        <w:rPr>
          <w:rFonts w:hint="eastAsia" w:cs="宋体"/>
          <w:color w:val="auto"/>
        </w:rPr>
        <w:t>提供的软件/设备必须是全新的优质产品，符合相应的国家标准的，并须提供相关产品的产品合格证、产品说明书和安装说明等资料，</w:t>
      </w:r>
      <w:r>
        <w:rPr>
          <w:rFonts w:hint="eastAsia" w:cs="宋体"/>
          <w:color w:val="auto"/>
          <w:lang w:eastAsia="zh-CN"/>
        </w:rPr>
        <w:t>乙方</w:t>
      </w:r>
      <w:r>
        <w:rPr>
          <w:rFonts w:hint="eastAsia" w:cs="宋体"/>
          <w:color w:val="auto"/>
        </w:rPr>
        <w:t>所提供的产品在安装调试完成后，应构成一个完整的系统，能按照技术要求连续运行。</w:t>
      </w:r>
    </w:p>
    <w:p w14:paraId="38FFAAF6">
      <w:pPr>
        <w:adjustRightInd/>
        <w:spacing w:line="360" w:lineRule="auto"/>
        <w:ind w:left="0" w:leftChars="0" w:firstLine="480" w:firstLineChars="200"/>
        <w:jc w:val="left"/>
        <w:rPr>
          <w:rFonts w:cs="宋体"/>
          <w:color w:val="auto"/>
        </w:rPr>
      </w:pPr>
      <w:r>
        <w:rPr>
          <w:rFonts w:hint="eastAsia" w:cs="宋体"/>
          <w:color w:val="auto"/>
        </w:rPr>
        <w:t>2</w:t>
      </w:r>
      <w:r>
        <w:rPr>
          <w:rFonts w:hint="eastAsia" w:cs="宋体"/>
          <w:color w:val="auto"/>
          <w:lang w:eastAsia="zh-CN"/>
        </w:rPr>
        <w:t>.乙方</w:t>
      </w:r>
      <w:r>
        <w:rPr>
          <w:rFonts w:hint="eastAsia" w:cs="宋体"/>
          <w:color w:val="auto"/>
        </w:rPr>
        <w:t>应列出详细的产品配置清单（包括各主要零部件的厂家或品牌、型号和规格、数量等），作为技术评价依据之一。</w:t>
      </w:r>
    </w:p>
    <w:p w14:paraId="77F0F331">
      <w:pPr>
        <w:pStyle w:val="4"/>
        <w:spacing w:line="360" w:lineRule="auto"/>
        <w:rPr>
          <w:rFonts w:cs="宋体"/>
          <w:color w:val="auto"/>
        </w:rPr>
      </w:pPr>
      <w:r>
        <w:rPr>
          <w:rFonts w:hint="eastAsia" w:cs="宋体"/>
          <w:color w:val="auto"/>
        </w:rPr>
        <w:t>（二）质保期要求</w:t>
      </w:r>
    </w:p>
    <w:p w14:paraId="31A25F30">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1.</w:t>
      </w:r>
      <w:r>
        <w:rPr>
          <w:rFonts w:hint="eastAsia" w:cs="宋体"/>
          <w:color w:val="auto"/>
          <w:kern w:val="0"/>
        </w:rPr>
        <w:t>质保期：本项目质保期</w:t>
      </w:r>
      <w:r>
        <w:rPr>
          <w:rFonts w:hint="eastAsia" w:cs="宋体"/>
          <w:color w:val="auto"/>
          <w:kern w:val="0"/>
          <w:highlight w:val="none"/>
          <w:lang w:val="en-US" w:eastAsia="zh-CN"/>
        </w:rPr>
        <w:t>不少于3</w:t>
      </w:r>
      <w:r>
        <w:rPr>
          <w:rFonts w:hint="eastAsia" w:cs="宋体"/>
          <w:color w:val="auto"/>
          <w:kern w:val="0"/>
          <w:highlight w:val="none"/>
        </w:rPr>
        <w:t>年</w:t>
      </w:r>
      <w:r>
        <w:rPr>
          <w:rFonts w:hint="eastAsia" w:cs="宋体"/>
          <w:color w:val="auto"/>
          <w:kern w:val="0"/>
        </w:rPr>
        <w:t>（若设备原厂商提供更长质保期，则按</w:t>
      </w:r>
      <w:r>
        <w:rPr>
          <w:rFonts w:hint="eastAsia" w:cs="宋体"/>
          <w:color w:val="auto"/>
          <w:kern w:val="0"/>
          <w:lang w:eastAsia="zh-CN"/>
        </w:rPr>
        <w:t>承诺</w:t>
      </w:r>
      <w:r>
        <w:rPr>
          <w:rFonts w:hint="eastAsia" w:cs="宋体"/>
          <w:color w:val="auto"/>
          <w:kern w:val="0"/>
        </w:rPr>
        <w:t>的质保期执行）。质保期从验收合格</w:t>
      </w:r>
      <w:r>
        <w:rPr>
          <w:rFonts w:hint="eastAsia" w:cs="宋体"/>
          <w:color w:val="auto"/>
          <w:kern w:val="0"/>
          <w:lang w:eastAsia="zh-CN"/>
        </w:rPr>
        <w:t>之</w:t>
      </w:r>
      <w:r>
        <w:rPr>
          <w:rFonts w:hint="eastAsia" w:cs="宋体"/>
          <w:color w:val="auto"/>
          <w:kern w:val="0"/>
        </w:rPr>
        <w:t>日起算。在质保期间，除人为损坏的问题，均由</w:t>
      </w:r>
      <w:r>
        <w:rPr>
          <w:rFonts w:hint="eastAsia" w:cs="宋体"/>
          <w:color w:val="auto"/>
          <w:kern w:val="0"/>
          <w:lang w:eastAsia="zh-CN"/>
        </w:rPr>
        <w:t>乙方</w:t>
      </w:r>
      <w:r>
        <w:rPr>
          <w:rFonts w:hint="eastAsia" w:cs="宋体"/>
          <w:color w:val="auto"/>
          <w:kern w:val="0"/>
        </w:rPr>
        <w:t>负责维修和更换，所有费用由</w:t>
      </w:r>
      <w:r>
        <w:rPr>
          <w:rFonts w:hint="eastAsia" w:cs="宋体"/>
          <w:color w:val="auto"/>
          <w:kern w:val="0"/>
          <w:lang w:eastAsia="zh-CN"/>
        </w:rPr>
        <w:t>乙方</w:t>
      </w:r>
      <w:r>
        <w:rPr>
          <w:rFonts w:hint="eastAsia" w:cs="宋体"/>
          <w:color w:val="auto"/>
          <w:kern w:val="0"/>
        </w:rPr>
        <w:t>自行承担。</w:t>
      </w:r>
      <w:r>
        <w:rPr>
          <w:rFonts w:hint="eastAsia" w:cs="宋体"/>
          <w:color w:val="auto"/>
          <w:kern w:val="0"/>
          <w:lang w:val="en-US" w:eastAsia="zh-CN"/>
        </w:rPr>
        <w:t>所有包含软件的设备需免费终生使用并提供更新服务。</w:t>
      </w:r>
    </w:p>
    <w:p w14:paraId="4A68B73B">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2.</w:t>
      </w:r>
      <w:r>
        <w:rPr>
          <w:rFonts w:hint="eastAsia" w:cs="宋体"/>
          <w:color w:val="auto"/>
          <w:kern w:val="0"/>
        </w:rPr>
        <w:t>在质保期内，</w:t>
      </w:r>
      <w:r>
        <w:rPr>
          <w:rFonts w:hint="eastAsia" w:cs="宋体"/>
          <w:color w:val="auto"/>
          <w:kern w:val="0"/>
          <w:lang w:eastAsia="zh-CN"/>
        </w:rPr>
        <w:t>乙方</w:t>
      </w:r>
      <w:r>
        <w:rPr>
          <w:rFonts w:hint="eastAsia" w:cs="宋体"/>
          <w:color w:val="auto"/>
          <w:kern w:val="0"/>
        </w:rPr>
        <w:t>应对货物出现的质量及安全问题负责处理解决并承担一切费用。</w:t>
      </w:r>
      <w:r>
        <w:rPr>
          <w:rFonts w:hint="eastAsia" w:cs="宋体"/>
          <w:color w:val="auto"/>
          <w:kern w:val="0"/>
          <w:lang w:eastAsia="zh-CN"/>
        </w:rPr>
        <w:t>乙方</w:t>
      </w:r>
      <w:r>
        <w:rPr>
          <w:rFonts w:hint="eastAsia" w:cs="宋体"/>
          <w:color w:val="auto"/>
          <w:kern w:val="0"/>
        </w:rPr>
        <w:t>负责免费提供设备运行所需全部备件，并提供免费维修、保养服务。</w:t>
      </w:r>
    </w:p>
    <w:p w14:paraId="48EFFA34">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3.</w:t>
      </w:r>
      <w:r>
        <w:rPr>
          <w:rFonts w:hint="eastAsia" w:cs="宋体"/>
          <w:color w:val="auto"/>
          <w:kern w:val="0"/>
        </w:rPr>
        <w:t>质保期内，非因</w:t>
      </w:r>
      <w:r>
        <w:rPr>
          <w:rFonts w:hint="eastAsia" w:cs="宋体"/>
          <w:color w:val="auto"/>
          <w:kern w:val="0"/>
          <w:lang w:eastAsia="zh-CN"/>
        </w:rPr>
        <w:t>甲方</w:t>
      </w:r>
      <w:r>
        <w:rPr>
          <w:rFonts w:hint="eastAsia" w:cs="宋体"/>
          <w:color w:val="auto"/>
          <w:kern w:val="0"/>
        </w:rPr>
        <w:t>人为原因而出现设备质量问题的，由</w:t>
      </w:r>
      <w:r>
        <w:rPr>
          <w:rFonts w:hint="eastAsia" w:cs="宋体"/>
          <w:color w:val="auto"/>
          <w:kern w:val="0"/>
          <w:lang w:eastAsia="zh-CN"/>
        </w:rPr>
        <w:t>乙方</w:t>
      </w:r>
      <w:r>
        <w:rPr>
          <w:rFonts w:hint="eastAsia" w:cs="宋体"/>
          <w:color w:val="auto"/>
          <w:kern w:val="0"/>
        </w:rPr>
        <w:t>负责包修、包换或包退并承担修理、调换或退货而产生的实际费用。如因</w:t>
      </w:r>
      <w:r>
        <w:rPr>
          <w:rFonts w:hint="eastAsia" w:cs="宋体"/>
          <w:color w:val="auto"/>
          <w:kern w:val="0"/>
          <w:lang w:eastAsia="zh-CN"/>
        </w:rPr>
        <w:t>甲方</w:t>
      </w:r>
      <w:r>
        <w:rPr>
          <w:rFonts w:hint="eastAsia" w:cs="宋体"/>
          <w:color w:val="auto"/>
          <w:kern w:val="0"/>
        </w:rPr>
        <w:t>使用不当造成故障的，</w:t>
      </w:r>
      <w:r>
        <w:rPr>
          <w:rFonts w:hint="eastAsia" w:cs="宋体"/>
          <w:color w:val="auto"/>
          <w:kern w:val="0"/>
          <w:lang w:eastAsia="zh-CN"/>
        </w:rPr>
        <w:t>乙方</w:t>
      </w:r>
      <w:r>
        <w:rPr>
          <w:rFonts w:hint="eastAsia" w:cs="宋体"/>
          <w:color w:val="auto"/>
          <w:kern w:val="0"/>
        </w:rPr>
        <w:t>应负责修理、调换，费用另行协商。</w:t>
      </w:r>
    </w:p>
    <w:p w14:paraId="79779419">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4.</w:t>
      </w:r>
      <w:r>
        <w:rPr>
          <w:rFonts w:hint="eastAsia" w:cs="宋体"/>
          <w:color w:val="auto"/>
          <w:kern w:val="0"/>
        </w:rPr>
        <w:t>质保期内，如故障在</w:t>
      </w:r>
      <w:r>
        <w:rPr>
          <w:rFonts w:hint="eastAsia" w:cs="宋体"/>
          <w:color w:val="auto"/>
          <w:kern w:val="0"/>
          <w:lang w:eastAsia="zh-CN"/>
        </w:rPr>
        <w:t>乙方</w:t>
      </w:r>
      <w:r>
        <w:rPr>
          <w:rFonts w:hint="eastAsia" w:cs="宋体"/>
          <w:color w:val="auto"/>
          <w:kern w:val="0"/>
        </w:rPr>
        <w:t>检修3个工作日后仍无法排除的，</w:t>
      </w:r>
      <w:r>
        <w:rPr>
          <w:rFonts w:hint="eastAsia" w:cs="宋体"/>
          <w:color w:val="auto"/>
          <w:kern w:val="0"/>
          <w:lang w:eastAsia="zh-CN"/>
        </w:rPr>
        <w:t>甲方</w:t>
      </w:r>
      <w:r>
        <w:rPr>
          <w:rFonts w:hint="eastAsia" w:cs="宋体"/>
          <w:color w:val="auto"/>
          <w:kern w:val="0"/>
        </w:rPr>
        <w:t>有权要求</w:t>
      </w:r>
      <w:r>
        <w:rPr>
          <w:rFonts w:hint="eastAsia" w:cs="宋体"/>
          <w:color w:val="auto"/>
          <w:kern w:val="0"/>
          <w:lang w:eastAsia="zh-CN"/>
        </w:rPr>
        <w:t>乙方</w:t>
      </w:r>
      <w:r>
        <w:rPr>
          <w:rFonts w:hint="eastAsia" w:cs="宋体"/>
          <w:color w:val="auto"/>
          <w:kern w:val="0"/>
        </w:rPr>
        <w:t>在</w:t>
      </w:r>
      <w:r>
        <w:rPr>
          <w:rFonts w:hint="eastAsia" w:cs="宋体"/>
          <w:color w:val="auto"/>
          <w:kern w:val="0"/>
          <w:lang w:eastAsia="zh-CN"/>
        </w:rPr>
        <w:t>甲方</w:t>
      </w:r>
      <w:r>
        <w:rPr>
          <w:rFonts w:hint="eastAsia" w:cs="宋体"/>
          <w:color w:val="auto"/>
          <w:kern w:val="0"/>
        </w:rPr>
        <w:t>指定期限内免费提供不低于故障设备规格型号档次的备用设备供</w:t>
      </w:r>
      <w:r>
        <w:rPr>
          <w:rFonts w:hint="eastAsia" w:cs="宋体"/>
          <w:color w:val="auto"/>
          <w:kern w:val="0"/>
          <w:lang w:eastAsia="zh-CN"/>
        </w:rPr>
        <w:t>甲方</w:t>
      </w:r>
      <w:r>
        <w:rPr>
          <w:rFonts w:hint="eastAsia" w:cs="宋体"/>
          <w:color w:val="auto"/>
          <w:kern w:val="0"/>
        </w:rPr>
        <w:t>使用，直至故障排除。</w:t>
      </w:r>
    </w:p>
    <w:p w14:paraId="7D9C3B96">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5</w:t>
      </w:r>
      <w:r>
        <w:rPr>
          <w:rFonts w:hint="eastAsia" w:cs="宋体"/>
          <w:color w:val="auto"/>
          <w:kern w:val="0"/>
        </w:rPr>
        <w:t>.质保期内，如</w:t>
      </w:r>
      <w:r>
        <w:rPr>
          <w:rFonts w:hint="eastAsia" w:cs="宋体"/>
          <w:color w:val="auto"/>
          <w:kern w:val="0"/>
          <w:lang w:eastAsia="zh-CN"/>
        </w:rPr>
        <w:t>乙方</w:t>
      </w:r>
      <w:r>
        <w:rPr>
          <w:rFonts w:hint="eastAsia" w:cs="宋体"/>
          <w:color w:val="auto"/>
          <w:kern w:val="0"/>
        </w:rPr>
        <w:t>未按照约定履行义务的，</w:t>
      </w:r>
      <w:r>
        <w:rPr>
          <w:rFonts w:hint="eastAsia" w:cs="宋体"/>
          <w:color w:val="auto"/>
          <w:kern w:val="0"/>
          <w:lang w:eastAsia="zh-CN"/>
        </w:rPr>
        <w:t>甲方</w:t>
      </w:r>
      <w:r>
        <w:rPr>
          <w:rFonts w:hint="eastAsia" w:cs="宋体"/>
          <w:color w:val="auto"/>
          <w:kern w:val="0"/>
        </w:rPr>
        <w:t>有权自行委托第三人维修，维修费用由</w:t>
      </w:r>
      <w:r>
        <w:rPr>
          <w:rFonts w:hint="eastAsia" w:cs="宋体"/>
          <w:color w:val="auto"/>
          <w:kern w:val="0"/>
          <w:lang w:eastAsia="zh-CN"/>
        </w:rPr>
        <w:t>乙方</w:t>
      </w:r>
      <w:r>
        <w:rPr>
          <w:rFonts w:hint="eastAsia" w:cs="宋体"/>
          <w:color w:val="auto"/>
          <w:kern w:val="0"/>
        </w:rPr>
        <w:t>承担。如因此造成</w:t>
      </w:r>
      <w:r>
        <w:rPr>
          <w:rFonts w:hint="eastAsia" w:cs="宋体"/>
          <w:color w:val="auto"/>
          <w:kern w:val="0"/>
          <w:lang w:eastAsia="zh-CN"/>
        </w:rPr>
        <w:t>甲方</w:t>
      </w:r>
      <w:r>
        <w:rPr>
          <w:rFonts w:hint="eastAsia" w:cs="宋体"/>
          <w:color w:val="auto"/>
          <w:kern w:val="0"/>
        </w:rPr>
        <w:t>损失的，</w:t>
      </w:r>
      <w:r>
        <w:rPr>
          <w:rFonts w:hint="eastAsia" w:cs="宋体"/>
          <w:color w:val="auto"/>
          <w:kern w:val="0"/>
          <w:lang w:eastAsia="zh-CN"/>
        </w:rPr>
        <w:t>乙方</w:t>
      </w:r>
      <w:r>
        <w:rPr>
          <w:rFonts w:hint="eastAsia" w:cs="宋体"/>
          <w:color w:val="auto"/>
          <w:kern w:val="0"/>
        </w:rPr>
        <w:t>应当赔偿</w:t>
      </w:r>
      <w:r>
        <w:rPr>
          <w:rFonts w:hint="eastAsia" w:cs="宋体"/>
          <w:color w:val="auto"/>
          <w:kern w:val="0"/>
          <w:lang w:eastAsia="zh-CN"/>
        </w:rPr>
        <w:t>甲方</w:t>
      </w:r>
      <w:r>
        <w:rPr>
          <w:rFonts w:hint="eastAsia" w:cs="宋体"/>
          <w:color w:val="auto"/>
          <w:kern w:val="0"/>
        </w:rPr>
        <w:t>的全部损失。</w:t>
      </w:r>
    </w:p>
    <w:p w14:paraId="6E902804">
      <w:pPr>
        <w:autoSpaceDE w:val="0"/>
        <w:autoSpaceDN w:val="0"/>
        <w:spacing w:line="360" w:lineRule="auto"/>
        <w:ind w:left="0" w:leftChars="0" w:firstLine="480" w:firstLineChars="200"/>
        <w:jc w:val="left"/>
        <w:rPr>
          <w:rFonts w:hint="eastAsia" w:cs="宋体"/>
          <w:color w:val="auto"/>
          <w:kern w:val="0"/>
        </w:rPr>
      </w:pPr>
      <w:r>
        <w:rPr>
          <w:rFonts w:hint="eastAsia" w:cs="宋体"/>
          <w:color w:val="auto"/>
          <w:kern w:val="0"/>
          <w:lang w:val="en-US" w:eastAsia="zh-CN"/>
        </w:rPr>
        <w:t>6</w:t>
      </w:r>
      <w:r>
        <w:rPr>
          <w:rFonts w:hint="eastAsia" w:cs="宋体"/>
          <w:color w:val="auto"/>
          <w:kern w:val="0"/>
        </w:rPr>
        <w:t>.质保期内出现无法排除的故障，</w:t>
      </w:r>
      <w:r>
        <w:rPr>
          <w:rFonts w:hint="eastAsia" w:cs="宋体"/>
          <w:color w:val="auto"/>
          <w:kern w:val="0"/>
          <w:lang w:eastAsia="zh-CN"/>
        </w:rPr>
        <w:t>乙方</w:t>
      </w:r>
      <w:r>
        <w:rPr>
          <w:rFonts w:hint="eastAsia" w:cs="宋体"/>
          <w:color w:val="auto"/>
          <w:kern w:val="0"/>
        </w:rPr>
        <w:t>需无条件更换同型号或高于技术要求参数的产品。质保期内因不能排除的故障而影响工作的情况每发生一次，其质保期相应延长60天。</w:t>
      </w:r>
    </w:p>
    <w:p w14:paraId="1B2E8562">
      <w:pPr>
        <w:pStyle w:val="4"/>
        <w:spacing w:line="360" w:lineRule="auto"/>
        <w:ind w:firstLine="480" w:firstLineChars="200"/>
        <w:rPr>
          <w:rFonts w:hint="eastAsia" w:cs="宋体"/>
          <w:color w:val="auto"/>
          <w:kern w:val="0"/>
        </w:rPr>
      </w:pPr>
      <w:r>
        <w:rPr>
          <w:rFonts w:hint="eastAsia" w:cs="宋体"/>
          <w:b w:val="0"/>
          <w:bCs w:val="0"/>
          <w:color w:val="auto"/>
          <w:kern w:val="0"/>
          <w:lang w:val="en-US" w:eastAsia="zh-CN"/>
        </w:rPr>
        <w:t>7</w:t>
      </w:r>
      <w:r>
        <w:rPr>
          <w:rFonts w:hint="eastAsia" w:cs="宋体"/>
          <w:b w:val="0"/>
          <w:bCs w:val="0"/>
          <w:color w:val="auto"/>
          <w:kern w:val="0"/>
        </w:rPr>
        <w:t>.质保期满后，</w:t>
      </w:r>
      <w:r>
        <w:rPr>
          <w:rFonts w:hint="eastAsia" w:cs="宋体"/>
          <w:b w:val="0"/>
          <w:bCs w:val="0"/>
          <w:color w:val="auto"/>
          <w:kern w:val="0"/>
          <w:lang w:eastAsia="zh-CN"/>
        </w:rPr>
        <w:t>乙方</w:t>
      </w:r>
      <w:r>
        <w:rPr>
          <w:rFonts w:hint="eastAsia" w:cs="宋体"/>
          <w:b w:val="0"/>
          <w:bCs w:val="0"/>
          <w:color w:val="auto"/>
          <w:kern w:val="0"/>
        </w:rPr>
        <w:t>继续为</w:t>
      </w:r>
      <w:r>
        <w:rPr>
          <w:rFonts w:hint="eastAsia" w:cs="宋体"/>
          <w:b w:val="0"/>
          <w:bCs w:val="0"/>
          <w:color w:val="auto"/>
          <w:kern w:val="0"/>
          <w:lang w:eastAsia="zh-CN"/>
        </w:rPr>
        <w:t>甲方</w:t>
      </w:r>
      <w:r>
        <w:rPr>
          <w:rFonts w:hint="eastAsia" w:cs="宋体"/>
          <w:b w:val="0"/>
          <w:bCs w:val="0"/>
          <w:color w:val="auto"/>
          <w:kern w:val="0"/>
        </w:rPr>
        <w:t>服务，仅收取零配件成本费，所涉及软件终身免费升级。</w:t>
      </w:r>
    </w:p>
    <w:p w14:paraId="4401D9CC">
      <w:pPr>
        <w:pStyle w:val="4"/>
        <w:spacing w:line="360" w:lineRule="auto"/>
        <w:rPr>
          <w:rFonts w:cs="宋体"/>
          <w:color w:val="auto"/>
        </w:rPr>
      </w:pPr>
      <w:r>
        <w:rPr>
          <w:rFonts w:hint="eastAsia" w:cs="宋体"/>
          <w:color w:val="auto"/>
        </w:rPr>
        <w:t>（三）验收要求</w:t>
      </w:r>
    </w:p>
    <w:p w14:paraId="22B8D36D">
      <w:pPr>
        <w:bidi w:val="0"/>
        <w:spacing w:line="360" w:lineRule="auto"/>
        <w:rPr>
          <w:rFonts w:hint="eastAsia"/>
        </w:rPr>
      </w:pPr>
      <w:r>
        <w:rPr>
          <w:rFonts w:hint="eastAsia"/>
          <w:lang w:val="en-US" w:eastAsia="zh-CN"/>
        </w:rPr>
        <w:t>1.</w:t>
      </w:r>
      <w:r>
        <w:rPr>
          <w:rFonts w:hint="eastAsia"/>
        </w:rPr>
        <w:t>甲方认为有必要在设备制造过程中派人到生产厂家进行监制，并在设备发货前赴生产厂进行预验收，乙方应予以积极配合并对监制或预验收工作提供方便。</w:t>
      </w:r>
    </w:p>
    <w:p w14:paraId="55F1548E">
      <w:pPr>
        <w:bidi w:val="0"/>
        <w:spacing w:line="360" w:lineRule="auto"/>
        <w:rPr>
          <w:rFonts w:hint="eastAsia"/>
        </w:rPr>
      </w:pPr>
      <w:r>
        <w:rPr>
          <w:rFonts w:hint="eastAsia"/>
          <w:lang w:val="en-US" w:eastAsia="zh-CN"/>
        </w:rPr>
        <w:t>2.</w:t>
      </w:r>
      <w:r>
        <w:rPr>
          <w:rFonts w:hint="eastAsia"/>
        </w:rPr>
        <w:t>设备到达现场后，乙方应派人参与甲方组织的开箱检验工作。</w:t>
      </w:r>
    </w:p>
    <w:p w14:paraId="63FA4E91">
      <w:pPr>
        <w:bidi w:val="0"/>
        <w:spacing w:line="360" w:lineRule="auto"/>
        <w:rPr>
          <w:rFonts w:hint="eastAsia"/>
        </w:rPr>
      </w:pPr>
      <w:r>
        <w:rPr>
          <w:rFonts w:hint="eastAsia"/>
          <w:lang w:val="en-US" w:eastAsia="zh-CN"/>
        </w:rPr>
        <w:t>3.</w:t>
      </w:r>
      <w:r>
        <w:rPr>
          <w:rFonts w:hint="eastAsia"/>
        </w:rPr>
        <w:t>乙方交货前应按国家（行业）标准及合同规定的检验方法，做出全面检测。其记录附在质量证明书内。但有关质量、规格、性能、数量或重量的检验不应视为最终检验。乙方检验的结果和详细要求应在质量证明书中加以说明。进口元器件应提供报关及商检证明。</w:t>
      </w:r>
    </w:p>
    <w:p w14:paraId="0910CC00">
      <w:pPr>
        <w:bidi w:val="0"/>
        <w:spacing w:line="360" w:lineRule="auto"/>
        <w:rPr>
          <w:rFonts w:hint="eastAsia"/>
        </w:rPr>
      </w:pPr>
      <w:r>
        <w:rPr>
          <w:rFonts w:hint="eastAsia"/>
          <w:lang w:val="en-US" w:eastAsia="zh-CN"/>
        </w:rPr>
        <w:t>4.</w:t>
      </w:r>
      <w:r>
        <w:rPr>
          <w:rFonts w:hint="eastAsia"/>
        </w:rPr>
        <w:t>设备安装、调试结束后，经过一个月的试运转考核无故障，并经有关部门的检验合格后，买卖双方共同签署验收合格证书。</w:t>
      </w:r>
    </w:p>
    <w:p w14:paraId="33CF161A">
      <w:pPr>
        <w:bidi w:val="0"/>
        <w:spacing w:line="360" w:lineRule="auto"/>
        <w:rPr>
          <w:rFonts w:hint="eastAsia"/>
        </w:rPr>
      </w:pPr>
      <w:r>
        <w:rPr>
          <w:rFonts w:hint="eastAsia"/>
          <w:lang w:val="en-US" w:eastAsia="zh-CN"/>
        </w:rPr>
        <w:t>5.</w:t>
      </w:r>
      <w:r>
        <w:rPr>
          <w:rFonts w:hint="eastAsia"/>
        </w:rPr>
        <w:t>标的产品质量要求，有国家强制性标准的，不得低于国家强制性标准；无国家强制性标准的，不得低于行业强制性标准。</w:t>
      </w:r>
    </w:p>
    <w:p w14:paraId="28D365B7">
      <w:pPr>
        <w:bidi w:val="0"/>
        <w:spacing w:line="360" w:lineRule="auto"/>
        <w:rPr>
          <w:rFonts w:hint="eastAsia"/>
        </w:rPr>
      </w:pPr>
      <w:r>
        <w:rPr>
          <w:rFonts w:hint="eastAsia"/>
          <w:lang w:val="en-US" w:eastAsia="zh-CN"/>
        </w:rPr>
        <w:t>6.</w:t>
      </w:r>
      <w:r>
        <w:rPr>
          <w:rFonts w:hint="eastAsia"/>
        </w:rPr>
        <w:t>乙方应对提供的标的产品的质量负责。乙方交货时，应将产品合格证(或质量保证书)和双方商定的必要的技术资料（包括且不限于标的产品对应的使用、安装、养护说明等）随同产品交甲方验收。甲方在验收中，如果发现没有合格证(或质量保证书)和必要的技术资料，有权拒付货款，并有权要求乙方及时补送，超过合同规定的交货期补交的，视为逾期交货；若在甲方规定的交货期内仍不能补交的，甲方有权解除合同，同时有权就因此所遭受的损失向乙方追偿。</w:t>
      </w:r>
    </w:p>
    <w:p w14:paraId="7A9E82FC">
      <w:pPr>
        <w:bidi w:val="0"/>
        <w:spacing w:line="360" w:lineRule="auto"/>
        <w:rPr>
          <w:rFonts w:hint="eastAsia"/>
        </w:rPr>
      </w:pPr>
      <w:r>
        <w:rPr>
          <w:rFonts w:hint="eastAsia"/>
          <w:lang w:val="en-US" w:eastAsia="zh-CN"/>
        </w:rPr>
        <w:t>7.</w:t>
      </w:r>
      <w:r>
        <w:rPr>
          <w:rFonts w:hint="eastAsia"/>
        </w:rPr>
        <w:t>乙方所交付的标的物如未能达到招标文件（“设备技术要求”）要求满足或其产品宣称的性能、功能实现的，甲方有权视标的产品的质量情况，自主选择委托具有资质的第三方进行检测，如产品质量无法达到合同约定标准的，乙方应当承担相应的检测费用。如乙方拒绝预缴检测费用或者拒绝配合提供检测的，视为产品质量未能达到合同约定标准。</w:t>
      </w:r>
    </w:p>
    <w:p w14:paraId="062EC109">
      <w:pPr>
        <w:bidi w:val="0"/>
        <w:spacing w:line="360" w:lineRule="auto"/>
        <w:rPr>
          <w:rFonts w:hint="eastAsia" w:ascii="宋体" w:hAnsi="宋体" w:eastAsia="宋体" w:cs="宋体"/>
          <w:szCs w:val="24"/>
        </w:rPr>
      </w:pPr>
      <w:r>
        <w:rPr>
          <w:rFonts w:hint="eastAsia"/>
          <w:lang w:val="en-US" w:eastAsia="zh-CN"/>
        </w:rPr>
        <w:t>8.</w:t>
      </w:r>
      <w:r>
        <w:rPr>
          <w:rFonts w:hint="eastAsia"/>
        </w:rPr>
        <w:t>乙方应对履行本合同项下的安装义务所组织、实施的施工行为承担安全保障义务，任何因乙方导致双方或者任何第三方人身、财产损失，均由乙方承担，必要时乙方应当为相关指派人员、场地（公众责任）购买保险并承担相关费用。</w:t>
      </w:r>
    </w:p>
    <w:p w14:paraId="3BB627AE">
      <w:pPr>
        <w:pStyle w:val="4"/>
        <w:spacing w:line="360" w:lineRule="auto"/>
        <w:rPr>
          <w:rFonts w:hint="eastAsia" w:eastAsia="宋体" w:cs="宋体"/>
          <w:color w:val="auto"/>
          <w:lang w:eastAsia="zh-CN"/>
        </w:rPr>
      </w:pPr>
      <w:r>
        <w:rPr>
          <w:rFonts w:hint="eastAsia" w:cs="宋体"/>
          <w:color w:val="auto"/>
        </w:rPr>
        <w:t>（四）</w:t>
      </w:r>
      <w:r>
        <w:rPr>
          <w:rFonts w:hint="eastAsia"/>
          <w:b/>
          <w:bCs/>
        </w:rPr>
        <w:t>送货调试安装</w:t>
      </w:r>
    </w:p>
    <w:p w14:paraId="03784402">
      <w:pPr>
        <w:bidi w:val="0"/>
        <w:spacing w:line="360" w:lineRule="auto"/>
        <w:ind w:left="0" w:leftChars="0" w:firstLine="480" w:firstLineChars="200"/>
        <w:rPr>
          <w:rFonts w:hint="eastAsia"/>
          <w:b w:val="0"/>
          <w:bCs w:val="0"/>
        </w:rPr>
      </w:pPr>
      <w:r>
        <w:rPr>
          <w:rFonts w:hint="eastAsia"/>
          <w:b w:val="0"/>
          <w:bCs w:val="0"/>
          <w:lang w:val="en-US" w:eastAsia="zh-CN"/>
        </w:rPr>
        <w:t>1.乙方</w:t>
      </w:r>
      <w:r>
        <w:rPr>
          <w:rFonts w:hint="eastAsia"/>
          <w:b w:val="0"/>
          <w:bCs w:val="0"/>
        </w:rPr>
        <w:t>应按招标文件规定的货物性能、技术要求、质量标准向</w:t>
      </w:r>
      <w:r>
        <w:rPr>
          <w:rFonts w:hint="eastAsia"/>
          <w:b w:val="0"/>
          <w:bCs w:val="0"/>
          <w:lang w:eastAsia="zh-CN"/>
        </w:rPr>
        <w:t>甲方</w:t>
      </w:r>
      <w:r>
        <w:rPr>
          <w:rFonts w:hint="eastAsia"/>
          <w:b w:val="0"/>
          <w:bCs w:val="0"/>
        </w:rPr>
        <w:t>提供未经使用的全新产品，符合国家法律法规规定和技术规格、质量标准的出厂原装合格产品。</w:t>
      </w:r>
      <w:r>
        <w:rPr>
          <w:rFonts w:hint="eastAsia"/>
          <w:b w:val="0"/>
          <w:bCs w:val="0"/>
          <w:lang w:eastAsia="zh-CN"/>
        </w:rPr>
        <w:t>乙方</w:t>
      </w:r>
      <w:r>
        <w:rPr>
          <w:rFonts w:hint="eastAsia"/>
          <w:b w:val="0"/>
          <w:bCs w:val="0"/>
        </w:rPr>
        <w:t>应派</w:t>
      </w:r>
      <w:r>
        <w:rPr>
          <w:rFonts w:hint="eastAsia"/>
          <w:b w:val="0"/>
          <w:bCs w:val="0"/>
          <w:lang w:eastAsia="zh-CN"/>
        </w:rPr>
        <w:t>甲方</w:t>
      </w:r>
      <w:r>
        <w:rPr>
          <w:rFonts w:hint="eastAsia"/>
          <w:b w:val="0"/>
          <w:bCs w:val="0"/>
        </w:rPr>
        <w:t>认可的有经验和能力、具有相应资质的技术人员，负责系统设备安装工作，在设备安装期间应充分了解设备安装进度要求，解决安装中出现的技术问题。</w:t>
      </w:r>
    </w:p>
    <w:p w14:paraId="6695D3D2">
      <w:pPr>
        <w:bidi w:val="0"/>
        <w:spacing w:line="360" w:lineRule="auto"/>
        <w:ind w:left="0" w:leftChars="0" w:firstLine="480" w:firstLineChars="200"/>
        <w:rPr>
          <w:rFonts w:hint="eastAsia"/>
          <w:b w:val="0"/>
          <w:bCs w:val="0"/>
          <w:lang w:val="en-US" w:eastAsia="zh-CN"/>
        </w:rPr>
      </w:pPr>
      <w:r>
        <w:rPr>
          <w:rFonts w:hint="eastAsia"/>
          <w:b w:val="0"/>
          <w:bCs w:val="0"/>
          <w:lang w:val="en-US" w:eastAsia="zh-CN"/>
        </w:rPr>
        <w:t>2.调试所需专用工具设施物料由乙方自备、自费运到现场，完工后自费搬走。送货、调试过程中发生的费用由乙方负责。</w:t>
      </w:r>
    </w:p>
    <w:p w14:paraId="31ED4CF8">
      <w:pPr>
        <w:pStyle w:val="4"/>
        <w:spacing w:line="360" w:lineRule="auto"/>
        <w:ind w:firstLine="480" w:firstLineChars="200"/>
        <w:rPr>
          <w:rFonts w:hint="eastAsia"/>
          <w:b w:val="0"/>
          <w:bCs w:val="0"/>
          <w:lang w:val="en-US" w:eastAsia="zh-CN"/>
        </w:rPr>
      </w:pPr>
      <w:r>
        <w:rPr>
          <w:rFonts w:hint="eastAsia"/>
          <w:b w:val="0"/>
          <w:bCs w:val="0"/>
          <w:lang w:val="en-US" w:eastAsia="zh-CN"/>
        </w:rPr>
        <w:t>3.设备的拆箱、通电、调试等各项工作由乙方负责，但必须在甲方指定人员的参与下进行。在实际实施前必须先经甲方同意方可进行。调试的原始记录须经各方签字后作为验收的文件之一。</w:t>
      </w:r>
    </w:p>
    <w:p w14:paraId="750A1048">
      <w:pPr>
        <w:spacing w:beforeLines="0" w:afterLines="0" w:line="360" w:lineRule="auto"/>
        <w:rPr>
          <w:rFonts w:hint="eastAsia"/>
          <w:sz w:val="24"/>
          <w:szCs w:val="24"/>
        </w:rPr>
      </w:pPr>
      <w:r>
        <w:rPr>
          <w:rFonts w:hint="eastAsia"/>
          <w:sz w:val="24"/>
          <w:szCs w:val="24"/>
        </w:rPr>
        <w:t>4.乙方在货物发运前对其进行满足运输距离、防潮、防震、防锈和防破损装卸等要求包装，以保证货物安全运达甲方指定地点。包装费由乙方承担。</w:t>
      </w:r>
    </w:p>
    <w:p w14:paraId="131C4A03">
      <w:pPr>
        <w:spacing w:beforeLines="0" w:afterLines="0" w:line="360" w:lineRule="auto"/>
        <w:rPr>
          <w:rFonts w:hint="eastAsia"/>
          <w:sz w:val="24"/>
          <w:szCs w:val="24"/>
        </w:rPr>
      </w:pPr>
      <w:r>
        <w:rPr>
          <w:rFonts w:hint="eastAsia"/>
          <w:sz w:val="24"/>
          <w:szCs w:val="24"/>
        </w:rPr>
        <w:t>5.使用说明书、质量检验证明书、随配附件和工具以及清单一并附于货物内。</w:t>
      </w:r>
    </w:p>
    <w:p w14:paraId="6E532DCB">
      <w:pPr>
        <w:spacing w:beforeLines="0" w:afterLines="0" w:line="360" w:lineRule="auto"/>
        <w:rPr>
          <w:rFonts w:hint="eastAsia"/>
          <w:sz w:val="24"/>
          <w:szCs w:val="24"/>
        </w:rPr>
      </w:pPr>
      <w:r>
        <w:rPr>
          <w:rFonts w:hint="eastAsia"/>
          <w:sz w:val="24"/>
          <w:szCs w:val="24"/>
        </w:rPr>
        <w:t>6.货物在交付采购方前发生的风险由乙方承担，交付前的运输费用均由乙方承担。</w:t>
      </w:r>
    </w:p>
    <w:p w14:paraId="5D1F2117">
      <w:pPr>
        <w:spacing w:beforeLines="0" w:afterLines="0" w:line="360" w:lineRule="auto"/>
        <w:rPr>
          <w:rFonts w:hint="eastAsia"/>
          <w:sz w:val="24"/>
          <w:szCs w:val="24"/>
        </w:rPr>
      </w:pPr>
      <w:r>
        <w:rPr>
          <w:rFonts w:hint="eastAsia"/>
          <w:sz w:val="24"/>
          <w:szCs w:val="24"/>
        </w:rPr>
        <w:t>7.货物在规定的交付期限内由乙方送达甲方指定的地点且经开箱检验合格视为交付。</w:t>
      </w:r>
    </w:p>
    <w:p w14:paraId="7E647A0F">
      <w:pPr>
        <w:spacing w:beforeLines="0" w:afterLines="0" w:line="360" w:lineRule="auto"/>
        <w:rPr>
          <w:rFonts w:hint="eastAsia"/>
          <w:sz w:val="24"/>
          <w:szCs w:val="24"/>
        </w:rPr>
      </w:pPr>
      <w:r>
        <w:rPr>
          <w:rFonts w:hint="eastAsia"/>
          <w:sz w:val="24"/>
          <w:szCs w:val="24"/>
        </w:rPr>
        <w:t>8.乙方未经甲方同意，单方面改变运输路线和运输工具的，须承担由此增加的费用。由此造成交货逾期的，还须承担逾期交货的违约责任。</w:t>
      </w:r>
    </w:p>
    <w:p w14:paraId="71BD00C2">
      <w:pPr>
        <w:pStyle w:val="4"/>
        <w:spacing w:line="360" w:lineRule="auto"/>
        <w:rPr>
          <w:rFonts w:cs="宋体"/>
          <w:color w:val="auto"/>
        </w:rPr>
      </w:pPr>
      <w:r>
        <w:rPr>
          <w:rFonts w:hint="eastAsia" w:cs="宋体"/>
          <w:color w:val="auto"/>
        </w:rPr>
        <w:t>（五）售后服务要求</w:t>
      </w:r>
    </w:p>
    <w:p w14:paraId="62679A0C">
      <w:pPr>
        <w:spacing w:line="360" w:lineRule="auto"/>
        <w:ind w:firstLine="480" w:firstLineChars="200"/>
        <w:rPr>
          <w:rFonts w:cs="宋体"/>
          <w:color w:val="auto"/>
        </w:rPr>
      </w:pPr>
      <w:r>
        <w:rPr>
          <w:rFonts w:hint="eastAsia" w:cs="宋体"/>
          <w:color w:val="auto"/>
        </w:rPr>
        <w:t>1.质保期内出现的质量问题，</w:t>
      </w:r>
      <w:r>
        <w:rPr>
          <w:rFonts w:hint="eastAsia" w:cs="宋体"/>
          <w:color w:val="auto"/>
          <w:lang w:eastAsia="zh-CN"/>
        </w:rPr>
        <w:t>乙方</w:t>
      </w:r>
      <w:r>
        <w:rPr>
          <w:rFonts w:hint="eastAsia" w:cs="宋体"/>
          <w:color w:val="auto"/>
        </w:rPr>
        <w:t>必须在接到</w:t>
      </w:r>
      <w:r>
        <w:rPr>
          <w:rFonts w:hint="eastAsia" w:cs="宋体"/>
          <w:color w:val="auto"/>
          <w:lang w:eastAsia="zh-CN"/>
        </w:rPr>
        <w:t>甲方</w:t>
      </w:r>
      <w:r>
        <w:rPr>
          <w:rFonts w:hint="eastAsia" w:cs="宋体"/>
          <w:color w:val="auto"/>
        </w:rPr>
        <w:t>通知后</w:t>
      </w:r>
      <w:r>
        <w:rPr>
          <w:rFonts w:hint="eastAsia" w:cs="宋体"/>
          <w:color w:val="auto"/>
          <w:lang w:val="en-US" w:eastAsia="zh-CN"/>
        </w:rPr>
        <w:t>3</w:t>
      </w:r>
      <w:r>
        <w:rPr>
          <w:rFonts w:hint="eastAsia" w:cs="宋体"/>
          <w:color w:val="auto"/>
        </w:rPr>
        <w:t>小时内</w:t>
      </w:r>
      <w:r>
        <w:rPr>
          <w:rFonts w:hint="eastAsia" w:cs="宋体"/>
          <w:color w:val="auto"/>
          <w:lang w:eastAsia="zh-CN"/>
        </w:rPr>
        <w:t>到达现场</w:t>
      </w:r>
      <w:r>
        <w:rPr>
          <w:rFonts w:hint="eastAsia" w:cs="宋体"/>
          <w:color w:val="auto"/>
        </w:rPr>
        <w:t>响应，24小时内解决问题；如在24小时之内仍不能排除故障的，</w:t>
      </w:r>
      <w:r>
        <w:rPr>
          <w:rFonts w:hint="eastAsia" w:cs="宋体"/>
          <w:color w:val="auto"/>
          <w:lang w:eastAsia="zh-CN"/>
        </w:rPr>
        <w:t>乙方</w:t>
      </w:r>
      <w:r>
        <w:rPr>
          <w:rFonts w:hint="eastAsia" w:cs="宋体"/>
          <w:color w:val="auto"/>
        </w:rPr>
        <w:t>应提供与原产品相同或不低于原产品档次的备用产品。故障排除后</w:t>
      </w:r>
      <w:r>
        <w:rPr>
          <w:rFonts w:hint="eastAsia" w:cs="宋体"/>
          <w:color w:val="auto"/>
          <w:lang w:eastAsia="zh-CN"/>
        </w:rPr>
        <w:t>乙方</w:t>
      </w:r>
      <w:r>
        <w:rPr>
          <w:rFonts w:hint="eastAsia" w:cs="宋体"/>
          <w:color w:val="auto"/>
        </w:rPr>
        <w:t>应出具书面故障诊断报告备案。</w:t>
      </w:r>
    </w:p>
    <w:p w14:paraId="615EED6A">
      <w:pPr>
        <w:spacing w:line="360" w:lineRule="auto"/>
        <w:ind w:firstLine="480" w:firstLineChars="200"/>
        <w:rPr>
          <w:rFonts w:cs="宋体"/>
          <w:color w:val="auto"/>
        </w:rPr>
      </w:pPr>
      <w:r>
        <w:rPr>
          <w:rFonts w:hint="eastAsia" w:cs="宋体"/>
          <w:color w:val="auto"/>
        </w:rPr>
        <w:t>2.出现故障后，</w:t>
      </w:r>
      <w:r>
        <w:rPr>
          <w:rFonts w:hint="eastAsia" w:cs="宋体"/>
          <w:color w:val="auto"/>
          <w:lang w:eastAsia="zh-CN"/>
        </w:rPr>
        <w:t>乙方</w:t>
      </w:r>
      <w:r>
        <w:rPr>
          <w:rFonts w:hint="eastAsia" w:cs="宋体"/>
          <w:color w:val="auto"/>
        </w:rPr>
        <w:t>如未按上述要求进行响应，</w:t>
      </w:r>
      <w:r>
        <w:rPr>
          <w:rFonts w:hint="eastAsia" w:cs="宋体"/>
          <w:color w:val="auto"/>
          <w:lang w:eastAsia="zh-CN"/>
        </w:rPr>
        <w:t>甲方</w:t>
      </w:r>
      <w:r>
        <w:rPr>
          <w:rFonts w:hint="eastAsia" w:cs="宋体"/>
          <w:color w:val="auto"/>
        </w:rPr>
        <w:t>可以采取必要的补救措施，由此产生的风险和费用全部由</w:t>
      </w:r>
      <w:r>
        <w:rPr>
          <w:rFonts w:hint="eastAsia" w:cs="宋体"/>
          <w:color w:val="auto"/>
          <w:lang w:eastAsia="zh-CN"/>
        </w:rPr>
        <w:t>乙方</w:t>
      </w:r>
      <w:r>
        <w:rPr>
          <w:rFonts w:hint="eastAsia" w:cs="宋体"/>
          <w:color w:val="auto"/>
        </w:rPr>
        <w:t>承担。</w:t>
      </w:r>
    </w:p>
    <w:p w14:paraId="459B8938">
      <w:pPr>
        <w:spacing w:line="360" w:lineRule="auto"/>
        <w:ind w:firstLine="480" w:firstLineChars="200"/>
        <w:rPr>
          <w:rFonts w:hint="eastAsia" w:cs="宋体"/>
          <w:color w:val="auto"/>
        </w:rPr>
      </w:pPr>
      <w:r>
        <w:rPr>
          <w:rFonts w:hint="eastAsia" w:cs="宋体"/>
          <w:color w:val="auto"/>
        </w:rPr>
        <w:t>3.质保期内，除人为损坏和不可抗力外，期间所产生的任何维护或维修及更换配件的费用均由</w:t>
      </w:r>
      <w:r>
        <w:rPr>
          <w:rFonts w:hint="eastAsia" w:cs="宋体"/>
          <w:color w:val="auto"/>
          <w:lang w:eastAsia="zh-CN"/>
        </w:rPr>
        <w:t>乙方</w:t>
      </w:r>
      <w:r>
        <w:rPr>
          <w:rFonts w:hint="eastAsia" w:cs="宋体"/>
          <w:color w:val="auto"/>
        </w:rPr>
        <w:t>承担。</w:t>
      </w:r>
    </w:p>
    <w:p w14:paraId="70221E61">
      <w:pPr>
        <w:spacing w:line="360" w:lineRule="auto"/>
        <w:ind w:firstLine="480" w:firstLineChars="200"/>
        <w:rPr>
          <w:rFonts w:hint="default" w:cs="宋体"/>
          <w:color w:val="auto"/>
          <w:lang w:val="en-US" w:eastAsia="zh-CN"/>
        </w:rPr>
      </w:pPr>
      <w:r>
        <w:rPr>
          <w:rFonts w:hint="eastAsia" w:cs="宋体"/>
          <w:color w:val="auto"/>
          <w:lang w:val="en-US" w:eastAsia="zh-CN"/>
        </w:rPr>
        <w:t>4.质保期外，乙方仍应提供不低于质保期内水平的质量保障，相关维护费用不得超过项目采购价的5%。</w:t>
      </w:r>
    </w:p>
    <w:p w14:paraId="6C037172">
      <w:pPr>
        <w:pStyle w:val="4"/>
        <w:spacing w:line="360" w:lineRule="auto"/>
        <w:rPr>
          <w:rFonts w:cs="宋体"/>
          <w:color w:val="auto"/>
        </w:rPr>
      </w:pPr>
      <w:r>
        <w:rPr>
          <w:rFonts w:hint="eastAsia" w:cs="宋体"/>
          <w:color w:val="auto"/>
        </w:rPr>
        <w:t>（六）培训要求</w:t>
      </w:r>
    </w:p>
    <w:p w14:paraId="64F9FDC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b/>
          <w:bCs/>
          <w:lang w:eastAsia="zh-CN"/>
        </w:rPr>
      </w:pPr>
      <w:r>
        <w:rPr>
          <w:rFonts w:hint="eastAsia" w:cs="宋体"/>
          <w:color w:val="auto"/>
          <w:lang w:eastAsia="zh-CN"/>
        </w:rPr>
        <w:t>乙方</w:t>
      </w:r>
      <w:r>
        <w:rPr>
          <w:rFonts w:hint="eastAsia" w:cs="宋体"/>
          <w:color w:val="auto"/>
        </w:rPr>
        <w:t>负责对中标产品的操作培训、应用等与产品使用、维护等相关的技术问题，对</w:t>
      </w:r>
      <w:r>
        <w:rPr>
          <w:rFonts w:hint="eastAsia" w:cs="宋体"/>
          <w:color w:val="auto"/>
          <w:lang w:eastAsia="zh-CN"/>
        </w:rPr>
        <w:t>甲方</w:t>
      </w:r>
      <w:r>
        <w:rPr>
          <w:rFonts w:hint="eastAsia" w:cs="宋体"/>
          <w:color w:val="auto"/>
        </w:rPr>
        <w:t>的操作人员、维修人员进行用户现场培训，培训内容包括硬件和软件使用；培训地点用户指定，不限制人数，可根据需要延长培训时间。培训后要求</w:t>
      </w:r>
      <w:r>
        <w:rPr>
          <w:rFonts w:hint="eastAsia" w:cs="宋体"/>
          <w:color w:val="auto"/>
          <w:lang w:eastAsia="zh-CN"/>
        </w:rPr>
        <w:t>甲方</w:t>
      </w:r>
      <w:r>
        <w:rPr>
          <w:rFonts w:hint="eastAsia" w:cs="宋体"/>
          <w:color w:val="auto"/>
        </w:rPr>
        <w:t>相关人员达到能熟练掌握产品操作与设置等的基本原理与应用技术。投标文件中提供详细培训方案。</w:t>
      </w:r>
    </w:p>
    <w:p w14:paraId="2E11A496">
      <w:pPr>
        <w:keepNext w:val="0"/>
        <w:keepLines w:val="0"/>
        <w:pageBreakBefore w:val="0"/>
        <w:widowControl w:val="0"/>
        <w:numPr>
          <w:ilvl w:val="0"/>
          <w:numId w:val="0"/>
        </w:numPr>
        <w:kinsoku/>
        <w:wordWrap/>
        <w:overflowPunct/>
        <w:topLinePunct w:val="0"/>
        <w:autoSpaceDE/>
        <w:autoSpaceDN/>
        <w:bidi w:val="0"/>
        <w:spacing w:line="360" w:lineRule="auto"/>
        <w:ind w:leftChars="0"/>
        <w:textAlignment w:val="auto"/>
        <w:rPr>
          <w:rFonts w:hint="eastAsia" w:cs="宋体"/>
          <w:b/>
          <w:bCs/>
          <w:sz w:val="24"/>
          <w:szCs w:val="24"/>
          <w:shd w:val="clear" w:color="auto" w:fill="auto"/>
          <w:lang w:val="en-US" w:eastAsia="zh-CN"/>
        </w:rPr>
      </w:pPr>
      <w:r>
        <w:rPr>
          <w:rFonts w:hint="eastAsia" w:cs="宋体"/>
          <w:b/>
          <w:bCs/>
          <w:sz w:val="24"/>
          <w:szCs w:val="24"/>
          <w:shd w:val="clear" w:color="auto" w:fill="auto"/>
          <w:lang w:val="en-US" w:eastAsia="zh-CN"/>
        </w:rPr>
        <w:t>四、付款方式</w:t>
      </w:r>
    </w:p>
    <w:p w14:paraId="68622F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 xml:space="preserve">▲根据《保障中小企业款项支付条例》、省财政厅《关于坚决打赢疫情防控阻击战进一步做好政府采购资金支持企业发展工作的通知》（浙财采监【2022】3号）要求，制定如下付款方式：        </w:t>
      </w:r>
    </w:p>
    <w:p w14:paraId="3F8DF78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甲方</w:t>
      </w:r>
      <w:r>
        <w:rPr>
          <w:rFonts w:hint="eastAsia" w:ascii="宋体" w:hAnsi="宋体" w:eastAsia="宋体" w:cs="宋体"/>
          <w:sz w:val="24"/>
          <w:szCs w:val="24"/>
        </w:rPr>
        <w:t>自合同生效及具备实施条件后7个工作日内支付预付款，也即合同金额的40%；（注：若</w:t>
      </w:r>
      <w:r>
        <w:rPr>
          <w:rFonts w:hint="eastAsia" w:ascii="宋体" w:hAnsi="宋体" w:eastAsia="宋体" w:cs="宋体"/>
          <w:sz w:val="24"/>
          <w:szCs w:val="24"/>
          <w:lang w:eastAsia="zh-CN"/>
        </w:rPr>
        <w:t>乙方</w:t>
      </w:r>
      <w:r>
        <w:rPr>
          <w:rFonts w:hint="eastAsia" w:ascii="宋体" w:hAnsi="宋体" w:eastAsia="宋体" w:cs="宋体"/>
          <w:sz w:val="24"/>
          <w:szCs w:val="24"/>
        </w:rPr>
        <w:t>明确表示无需预付款或者主动要求降低预付款比例的，</w:t>
      </w:r>
      <w:r>
        <w:rPr>
          <w:rFonts w:hint="eastAsia" w:ascii="宋体" w:hAnsi="宋体" w:eastAsia="宋体" w:cs="宋体"/>
          <w:sz w:val="24"/>
          <w:szCs w:val="24"/>
          <w:lang w:eastAsia="zh-CN"/>
        </w:rPr>
        <w:t>甲方</w:t>
      </w:r>
      <w:r>
        <w:rPr>
          <w:rFonts w:hint="eastAsia" w:ascii="宋体" w:hAnsi="宋体" w:eastAsia="宋体" w:cs="宋体"/>
          <w:sz w:val="24"/>
          <w:szCs w:val="24"/>
        </w:rPr>
        <w:t>可不适用前述规定。）</w:t>
      </w:r>
    </w:p>
    <w:p w14:paraId="4E52049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2.全部</w:t>
      </w:r>
      <w:r>
        <w:rPr>
          <w:rFonts w:hint="eastAsia" w:cs="宋体"/>
          <w:sz w:val="24"/>
          <w:szCs w:val="24"/>
          <w:lang w:eastAsia="zh-CN"/>
        </w:rPr>
        <w:t>产品</w:t>
      </w:r>
      <w:r>
        <w:rPr>
          <w:rFonts w:hint="eastAsia" w:ascii="宋体" w:hAnsi="宋体" w:eastAsia="宋体" w:cs="宋体"/>
          <w:sz w:val="24"/>
          <w:szCs w:val="24"/>
        </w:rPr>
        <w:t>完成</w:t>
      </w:r>
      <w:r>
        <w:rPr>
          <w:rFonts w:hint="eastAsia" w:cs="宋体"/>
          <w:sz w:val="24"/>
          <w:szCs w:val="24"/>
          <w:lang w:eastAsia="zh-CN"/>
        </w:rPr>
        <w:t>供货、安装、调试</w:t>
      </w:r>
      <w:r>
        <w:rPr>
          <w:rFonts w:hint="eastAsia" w:ascii="宋体" w:hAnsi="宋体" w:eastAsia="宋体" w:cs="宋体"/>
          <w:sz w:val="24"/>
          <w:szCs w:val="24"/>
        </w:rPr>
        <w:t>后进行初验，初验合格后支付合同金额的50%，终验合格后支付剩余款项10%。</w:t>
      </w:r>
    </w:p>
    <w:p w14:paraId="1284DD8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sz w:val="24"/>
          <w:szCs w:val="24"/>
        </w:rPr>
        <w:t>如遇合同期内未完成验收，</w:t>
      </w:r>
      <w:r>
        <w:rPr>
          <w:rFonts w:hint="eastAsia" w:ascii="宋体" w:hAnsi="宋体" w:eastAsia="宋体" w:cs="宋体"/>
          <w:sz w:val="24"/>
          <w:szCs w:val="24"/>
          <w:lang w:eastAsia="zh-CN"/>
        </w:rPr>
        <w:t>乙方</w:t>
      </w:r>
      <w:r>
        <w:rPr>
          <w:rFonts w:hint="eastAsia" w:ascii="宋体" w:hAnsi="宋体" w:eastAsia="宋体" w:cs="宋体"/>
          <w:sz w:val="24"/>
          <w:szCs w:val="24"/>
        </w:rPr>
        <w:t>必须出具与付款金额相对应的担保措施，担保措施可以是银行、保险公司等金融机构出具的预付款保函或其他担保措施。在出具保函证明后完成余款支付。</w:t>
      </w:r>
      <w:r>
        <w:rPr>
          <w:rFonts w:hint="eastAsia" w:ascii="宋体" w:hAnsi="宋体" w:eastAsia="宋体" w:cs="宋体"/>
          <w:sz w:val="24"/>
          <w:szCs w:val="24"/>
          <w:lang w:eastAsia="zh-CN"/>
        </w:rPr>
        <w:t>甲方</w:t>
      </w:r>
      <w:r>
        <w:rPr>
          <w:rFonts w:hint="eastAsia" w:ascii="宋体" w:hAnsi="宋体" w:eastAsia="宋体" w:cs="宋体"/>
          <w:sz w:val="24"/>
          <w:szCs w:val="24"/>
        </w:rPr>
        <w:t>在收到货物</w:t>
      </w:r>
      <w:r>
        <w:rPr>
          <w:rFonts w:hint="eastAsia" w:cs="宋体"/>
          <w:sz w:val="24"/>
          <w:szCs w:val="24"/>
          <w:lang w:eastAsia="zh-CN"/>
        </w:rPr>
        <w:t>后</w:t>
      </w:r>
      <w:r>
        <w:rPr>
          <w:rFonts w:hint="eastAsia" w:ascii="宋体" w:hAnsi="宋体" w:eastAsia="宋体" w:cs="宋体"/>
          <w:sz w:val="24"/>
          <w:szCs w:val="24"/>
        </w:rPr>
        <w:t>验收完毕，并出具验收报告后，办理解除担保的相关材料。</w:t>
      </w:r>
    </w:p>
    <w:p w14:paraId="4AB55D55">
      <w:pPr>
        <w:keepNext w:val="0"/>
        <w:keepLines w:val="0"/>
        <w:pageBreakBefore w:val="0"/>
        <w:widowControl w:val="0"/>
        <w:kinsoku/>
        <w:wordWrap/>
        <w:overflowPunct/>
        <w:topLinePunct w:val="0"/>
        <w:autoSpaceDE/>
        <w:autoSpaceDN/>
        <w:bidi w:val="0"/>
        <w:spacing w:line="360" w:lineRule="auto"/>
        <w:ind w:left="0" w:leftChars="0" w:firstLine="0" w:firstLineChars="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cs="宋体"/>
          <w:b/>
          <w:bCs/>
          <w:sz w:val="24"/>
          <w:szCs w:val="24"/>
          <w:highlight w:val="none"/>
          <w:lang w:val="en-US" w:eastAsia="zh-CN"/>
        </w:rPr>
        <w:t>五</w:t>
      </w:r>
      <w:r>
        <w:rPr>
          <w:rFonts w:hint="eastAsia" w:ascii="宋体" w:hAnsi="宋体" w:eastAsia="宋体" w:cs="宋体"/>
          <w:b/>
          <w:bCs/>
          <w:sz w:val="24"/>
          <w:szCs w:val="24"/>
          <w:highlight w:val="none"/>
          <w:lang w:val="en-US" w:eastAsia="zh-CN"/>
        </w:rPr>
        <w:t>、履约保证</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金</w:t>
      </w:r>
    </w:p>
    <w:p w14:paraId="2B42B2C9">
      <w:pPr>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480" w:firstLineChars="200"/>
        <w:jc w:val="left"/>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履约保证金为合同金额的1%；履约保证金形式为：乙方</w:t>
      </w:r>
      <w:r>
        <w:rPr>
          <w:rFonts w:hint="eastAsia" w:ascii="宋体" w:hAnsi="宋体" w:cs="宋体"/>
          <w:b w:val="0"/>
          <w:bCs/>
          <w:color w:val="auto"/>
          <w:sz w:val="24"/>
          <w:highlight w:val="none"/>
        </w:rPr>
        <w:t>应当以支票、汇票、本票或者金融机构、担保机构出具的保函等非现金形式提交。鼓励和支持</w:t>
      </w:r>
      <w:r>
        <w:rPr>
          <w:rFonts w:hint="eastAsia" w:ascii="宋体" w:hAnsi="宋体" w:cs="宋体"/>
          <w:b w:val="0"/>
          <w:bCs/>
          <w:color w:val="auto"/>
          <w:sz w:val="24"/>
          <w:highlight w:val="none"/>
          <w:lang w:eastAsia="zh-CN"/>
        </w:rPr>
        <w:t>乙方</w:t>
      </w:r>
      <w:r>
        <w:rPr>
          <w:rFonts w:hint="eastAsia" w:ascii="宋体" w:hAnsi="宋体" w:cs="宋体"/>
          <w:b w:val="0"/>
          <w:bCs/>
          <w:color w:val="auto"/>
          <w:sz w:val="24"/>
          <w:highlight w:val="none"/>
        </w:rPr>
        <w:t>以银行、保险公司出具的保函形式提供履约保证金</w:t>
      </w:r>
      <w:r>
        <w:rPr>
          <w:rFonts w:hint="eastAsia" w:asciiTheme="minorEastAsia" w:hAnsiTheme="minorEastAsia" w:eastAsiaTheme="minorEastAsia" w:cstheme="minorEastAsia"/>
          <w:color w:val="auto"/>
          <w:kern w:val="2"/>
          <w:sz w:val="24"/>
          <w:szCs w:val="24"/>
          <w:highlight w:val="none"/>
          <w:lang w:val="en-US" w:eastAsia="zh-CN" w:bidi="ar-SA"/>
        </w:rPr>
        <w:t>；乙方应根据甲方要求汇入甲方指定账号或提供保函。合同履约完毕，履约保证金无息退还。</w:t>
      </w:r>
    </w:p>
    <w:p w14:paraId="0EC3D9E1">
      <w:pPr>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0" w:firstLineChars="0"/>
        <w:jc w:val="left"/>
        <w:textAlignment w:val="auto"/>
        <w:rPr>
          <w:rFonts w:hint="eastAsia" w:ascii="宋体" w:hAnsi="宋体" w:eastAsia="宋体" w:cs="宋体"/>
          <w:b/>
          <w:sz w:val="24"/>
          <w:szCs w:val="24"/>
        </w:rPr>
      </w:pPr>
      <w:r>
        <w:rPr>
          <w:rFonts w:hint="eastAsia" w:cs="宋体"/>
          <w:b/>
          <w:sz w:val="24"/>
          <w:szCs w:val="24"/>
          <w:lang w:eastAsia="zh-CN"/>
        </w:rPr>
        <w:t>六</w:t>
      </w:r>
      <w:r>
        <w:rPr>
          <w:rFonts w:hint="eastAsia" w:ascii="宋体" w:hAnsi="宋体" w:eastAsia="宋体" w:cs="宋体"/>
          <w:b/>
          <w:sz w:val="24"/>
          <w:szCs w:val="24"/>
        </w:rPr>
        <w:t>、违约责任</w:t>
      </w:r>
    </w:p>
    <w:p w14:paraId="1787B39A">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乙方应按合同约定时间和地点准时供货、完成安装等，逾期履约的，每迟延一日乙方应向甲方支付违约金5000元。逾期超过30日的，甲方有权单方面解除合同，乙方应赔偿损失至全额覆盖。</w:t>
      </w:r>
    </w:p>
    <w:p w14:paraId="254D9EDB">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甲方有权从未付款中扣除违约金或要求乙方另行支付该违约金。</w:t>
      </w:r>
    </w:p>
    <w:p w14:paraId="2AA949D6">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因乙方提供的货物不符合检验要求而逾期供货的属于乙方责任，按上述约定支付违约金。</w:t>
      </w:r>
    </w:p>
    <w:p w14:paraId="1B496D45">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4</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甲方有权根据甲方按检验标准自己检验的结果或当地质检部门出具的质检证书向乙方提出索赔。在根据合同中规定的检验期和质保期内，如果乙方对甲方提出的索赔和差异负有责任，乙方应按照甲方同意的下列一种或多种方式解决索赔事宜，同时承担全额质检/检验费用：</w:t>
      </w:r>
    </w:p>
    <w:p w14:paraId="60576BDF">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（1）</w:t>
      </w:r>
      <w:r>
        <w:rPr>
          <w:rFonts w:hint="eastAsia" w:ascii="宋体" w:hAnsi="宋体" w:eastAsia="宋体" w:cs="宋体"/>
          <w:b w:val="0"/>
          <w:bCs w:val="0"/>
          <w:sz w:val="24"/>
          <w:szCs w:val="24"/>
          <w:lang w:val="en-US" w:eastAsia="zh-CN"/>
        </w:rPr>
        <w:t>退货：乙方按合同规定的同种货币将货款退还给甲方，并承担由此发生的一切损失和费用，包括利息、银行手续费、运费、保险费、检验费、仓储费、装卸费以及为保护退回货物所需的其它必要费用。</w:t>
      </w:r>
    </w:p>
    <w:p w14:paraId="59E85F1D">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（2）</w:t>
      </w:r>
      <w:r>
        <w:rPr>
          <w:rFonts w:hint="eastAsia" w:ascii="宋体" w:hAnsi="宋体" w:eastAsia="宋体" w:cs="宋体"/>
          <w:b w:val="0"/>
          <w:bCs w:val="0"/>
          <w:sz w:val="24"/>
          <w:szCs w:val="24"/>
          <w:lang w:val="en-US" w:eastAsia="zh-CN"/>
        </w:rPr>
        <w:t>根据货物低劣程度、损坏程度以及甲方所遭受损失的数额，经买卖双方商定降低货物的价格。</w:t>
      </w:r>
    </w:p>
    <w:p w14:paraId="4746F3C4">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hAnsi="宋体" w:cs="宋体"/>
          <w:b w:val="0"/>
          <w:bCs w:val="0"/>
          <w:sz w:val="24"/>
          <w:szCs w:val="24"/>
          <w:lang w:val="en-US" w:eastAsia="zh-CN"/>
        </w:rPr>
        <w:t>（3）</w:t>
      </w:r>
      <w:r>
        <w:rPr>
          <w:rFonts w:hint="eastAsia" w:ascii="宋体" w:hAnsi="宋体" w:eastAsia="宋体" w:cs="宋体"/>
          <w:b w:val="0"/>
          <w:bCs w:val="0"/>
          <w:sz w:val="24"/>
          <w:szCs w:val="24"/>
          <w:lang w:val="en-US" w:eastAsia="zh-CN"/>
        </w:rPr>
        <w:t>用符合规格、质量和性能要求的新零件、部件或货物来更换有缺陷的部分或修补缺陷部分，乙方应承担一切费用和风险，并负担甲方所发生的一切直接费用</w:t>
      </w:r>
    </w:p>
    <w:p w14:paraId="50FC3B65">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5</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如果在甲方发出索赔通知后30天内，乙方未作答复，上述索赔应视已被乙方接受。乙方未能在甲方提出索赔通知后30天内或甲方同意的更长时间内，按照本合同第九条2规定的方法解决索赔事宜，甲方将从未付款中扣回索赔金额。如果这些金额不足以补偿索赔金额，甲方有权向乙方提出不足部分的补偿。</w:t>
      </w:r>
    </w:p>
    <w:p w14:paraId="5F455759">
      <w:pPr>
        <w:pStyle w:val="16"/>
        <w:keepNext w:val="0"/>
        <w:keepLines w:val="0"/>
        <w:pageBreakBefore w:val="0"/>
        <w:widowControl w:val="0"/>
        <w:kinsoku/>
        <w:wordWrap/>
        <w:overflowPunct/>
        <w:topLinePunct w:val="0"/>
        <w:autoSpaceDE/>
        <w:autoSpaceDN/>
        <w:bidi w:val="0"/>
        <w:adjustRightInd/>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6</w:t>
      </w:r>
      <w:r>
        <w:rPr>
          <w:rFonts w:hint="eastAsia" w:hAnsi="宋体" w:cs="宋体"/>
          <w:b w:val="0"/>
          <w:bCs w:val="0"/>
          <w:sz w:val="24"/>
          <w:szCs w:val="24"/>
          <w:lang w:val="en-US" w:eastAsia="zh-CN"/>
        </w:rPr>
        <w:t>.</w:t>
      </w:r>
      <w:r>
        <w:rPr>
          <w:rFonts w:hint="eastAsia" w:ascii="宋体" w:hAnsi="宋体" w:eastAsia="宋体" w:cs="宋体"/>
          <w:b w:val="0"/>
          <w:bCs w:val="0"/>
          <w:sz w:val="24"/>
          <w:szCs w:val="24"/>
          <w:lang w:val="en-US" w:eastAsia="zh-CN"/>
        </w:rPr>
        <w:t>因乙方不履行约定导致甲方需通过诉讼方式追偿的，甲方因此发生的所有费用，包括但不限于诉讼费、律师费、保全费、公证费、鉴定费、执行费、相关人员差旅费等，均应由乙方承担。</w:t>
      </w:r>
    </w:p>
    <w:p w14:paraId="7E8F42D9">
      <w:pPr>
        <w:keepNext w:val="0"/>
        <w:keepLines w:val="0"/>
        <w:pageBreakBefore w:val="0"/>
        <w:widowControl w:val="0"/>
        <w:tabs>
          <w:tab w:val="left" w:pos="3420"/>
          <w:tab w:val="left" w:pos="9180"/>
        </w:tabs>
        <w:kinsoku/>
        <w:wordWrap/>
        <w:overflowPunct/>
        <w:topLinePunct w:val="0"/>
        <w:autoSpaceDE/>
        <w:autoSpaceDN/>
        <w:bidi w:val="0"/>
        <w:adjustRightInd w:val="0"/>
        <w:snapToGrid w:val="0"/>
        <w:spacing w:before="40" w:after="40" w:line="360" w:lineRule="auto"/>
        <w:ind w:left="0" w:leftChars="0" w:firstLine="480" w:firstLineChars="200"/>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7</w:t>
      </w:r>
      <w:r>
        <w:rPr>
          <w:rFonts w:hint="eastAsia" w:cs="宋体"/>
          <w:b w:val="0"/>
          <w:bCs w:val="0"/>
          <w:sz w:val="24"/>
          <w:szCs w:val="24"/>
          <w:lang w:val="en-US" w:eastAsia="zh-CN"/>
        </w:rPr>
        <w:t>.</w:t>
      </w:r>
      <w:r>
        <w:rPr>
          <w:rFonts w:hint="eastAsia" w:ascii="宋体" w:hAnsi="宋体" w:eastAsia="宋体" w:cs="宋体"/>
          <w:b w:val="0"/>
          <w:bCs w:val="0"/>
          <w:sz w:val="24"/>
          <w:szCs w:val="24"/>
          <w:lang w:val="en-US" w:eastAsia="zh-CN"/>
        </w:rPr>
        <w:t>其余违约责任，依照《中华人民共和国民法典》及相关法律、法规的规定执行。</w:t>
      </w:r>
    </w:p>
    <w:p w14:paraId="3BD53898">
      <w:pPr>
        <w:keepNext w:val="0"/>
        <w:keepLines w:val="0"/>
        <w:pageBreakBefore w:val="0"/>
        <w:widowControl w:val="0"/>
        <w:tabs>
          <w:tab w:val="left" w:pos="3420"/>
          <w:tab w:val="left" w:pos="9180"/>
        </w:tabs>
        <w:kinsoku/>
        <w:wordWrap/>
        <w:overflowPunct/>
        <w:topLinePunct w:val="0"/>
        <w:autoSpaceDE/>
        <w:autoSpaceDN/>
        <w:bidi w:val="0"/>
        <w:adjustRightInd w:val="0"/>
        <w:snapToGrid w:val="0"/>
        <w:spacing w:before="40" w:after="40" w:line="360" w:lineRule="auto"/>
        <w:ind w:left="0" w:leftChars="0" w:firstLine="0" w:firstLineChars="0"/>
        <w:textAlignment w:val="auto"/>
        <w:rPr>
          <w:rFonts w:hint="eastAsia" w:ascii="宋体" w:hAnsi="宋体" w:eastAsia="宋体" w:cs="宋体"/>
          <w:b/>
          <w:sz w:val="24"/>
          <w:szCs w:val="24"/>
        </w:rPr>
      </w:pPr>
      <w:r>
        <w:rPr>
          <w:rFonts w:hint="eastAsia" w:cs="宋体"/>
          <w:b/>
          <w:sz w:val="24"/>
          <w:szCs w:val="24"/>
          <w:lang w:val="en-US" w:eastAsia="zh-CN"/>
        </w:rPr>
        <w:t>七、</w:t>
      </w:r>
      <w:r>
        <w:rPr>
          <w:rFonts w:hint="eastAsia" w:ascii="宋体" w:hAnsi="宋体" w:eastAsia="宋体" w:cs="宋体"/>
          <w:b/>
          <w:sz w:val="24"/>
          <w:szCs w:val="24"/>
        </w:rPr>
        <w:t>争议的解决方式</w:t>
      </w:r>
    </w:p>
    <w:p w14:paraId="49A1D34E">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1.双方在履行合同中所发生的一切争议，原则上协商解决，协商不成的，任何一方均有权向甲方住所地人民法院提起诉讼解决。诉讼期间，除正在进行诉讼的部分外，本合同其它部分应继续执行。</w:t>
      </w:r>
    </w:p>
    <w:p w14:paraId="5C9169BF">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2.组成本合同文件及优先解释顺序如下：</w:t>
      </w:r>
    </w:p>
    <w:p w14:paraId="0A5C99EC">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1）本合同协议书；</w:t>
      </w:r>
    </w:p>
    <w:p w14:paraId="78FE5A8F">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2）中标通知书；</w:t>
      </w:r>
    </w:p>
    <w:p w14:paraId="2DFDC32C">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3）招标文件以及更正通知；</w:t>
      </w:r>
    </w:p>
    <w:p w14:paraId="04C2F602">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4）投标文件及评标过程中有关澄清文件；</w:t>
      </w:r>
    </w:p>
    <w:p w14:paraId="219938F6">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80" w:firstLineChars="200"/>
        <w:textAlignment w:val="auto"/>
        <w:rPr>
          <w:rFonts w:hint="eastAsia" w:cs="宋体"/>
          <w:b/>
          <w:sz w:val="24"/>
          <w:szCs w:val="24"/>
          <w:lang w:eastAsia="zh-CN"/>
        </w:rPr>
      </w:pPr>
      <w:r>
        <w:rPr>
          <w:rFonts w:hint="eastAsia" w:ascii="宋体" w:hAnsi="宋体" w:eastAsia="宋体" w:cs="宋体"/>
          <w:bCs/>
          <w:sz w:val="24"/>
          <w:szCs w:val="24"/>
        </w:rPr>
        <w:t>5）国家有关标准、规范及有关技术文件。</w:t>
      </w:r>
    </w:p>
    <w:p w14:paraId="28DBBC46">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Cs/>
          <w:sz w:val="24"/>
          <w:szCs w:val="24"/>
        </w:rPr>
      </w:pPr>
      <w:r>
        <w:rPr>
          <w:rFonts w:hint="eastAsia" w:cs="宋体"/>
          <w:b/>
          <w:sz w:val="24"/>
          <w:szCs w:val="24"/>
          <w:lang w:eastAsia="zh-CN"/>
        </w:rPr>
        <w:t>八</w:t>
      </w:r>
      <w:r>
        <w:rPr>
          <w:rFonts w:hint="eastAsia" w:ascii="宋体" w:hAnsi="宋体" w:eastAsia="宋体" w:cs="宋体"/>
          <w:b/>
          <w:sz w:val="24"/>
          <w:szCs w:val="24"/>
        </w:rPr>
        <w:t>、转让和分包</w:t>
      </w:r>
    </w:p>
    <w:p w14:paraId="743D6A87">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乙方不得部分转让或全部转让其应履行的合同义务。如有转让和未经甲方同意的分包行为，甲方有权解除合同，没收履约保证金并追究乙方的违约责任。</w:t>
      </w:r>
    </w:p>
    <w:p w14:paraId="0E259E6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
          <w:sz w:val="24"/>
          <w:szCs w:val="24"/>
        </w:rPr>
      </w:pPr>
      <w:r>
        <w:rPr>
          <w:rFonts w:hint="eastAsia" w:cs="宋体"/>
          <w:b/>
          <w:sz w:val="24"/>
          <w:szCs w:val="24"/>
          <w:lang w:eastAsia="zh-CN"/>
        </w:rPr>
        <w:t>九</w:t>
      </w:r>
      <w:r>
        <w:rPr>
          <w:rFonts w:hint="eastAsia" w:ascii="宋体" w:hAnsi="宋体" w:eastAsia="宋体" w:cs="宋体"/>
          <w:b/>
          <w:sz w:val="24"/>
          <w:szCs w:val="24"/>
        </w:rPr>
        <w:t>、其它</w:t>
      </w:r>
    </w:p>
    <w:p w14:paraId="2F0F2453">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rPr>
        <w:t>1.乙方应保证所提供的</w:t>
      </w:r>
      <w:r>
        <w:rPr>
          <w:rFonts w:hint="eastAsia" w:ascii="宋体" w:hAnsi="宋体" w:eastAsia="宋体" w:cs="宋体"/>
          <w:bCs/>
          <w:sz w:val="24"/>
          <w:szCs w:val="24"/>
          <w:lang w:val="en-US" w:eastAsia="zh-CN"/>
        </w:rPr>
        <w:t>服务</w:t>
      </w:r>
      <w:r>
        <w:rPr>
          <w:rFonts w:hint="eastAsia" w:ascii="宋体" w:hAnsi="宋体" w:eastAsia="宋体" w:cs="宋体"/>
          <w:bCs/>
          <w:sz w:val="24"/>
          <w:szCs w:val="24"/>
        </w:rPr>
        <w:t>不会侵犯任何第三方的知识产权。</w:t>
      </w:r>
    </w:p>
    <w:p w14:paraId="651F016D">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rPr>
      </w:pPr>
      <w:r>
        <w:rPr>
          <w:rFonts w:hint="eastAsia" w:ascii="宋体" w:hAnsi="宋体" w:eastAsia="宋体" w:cs="宋体"/>
          <w:bCs/>
          <w:sz w:val="24"/>
          <w:szCs w:val="24"/>
          <w:lang w:val="en-US" w:eastAsia="zh-CN"/>
        </w:rPr>
        <w:t>2</w:t>
      </w:r>
      <w:r>
        <w:rPr>
          <w:rFonts w:hint="eastAsia" w:ascii="宋体" w:hAnsi="宋体" w:eastAsia="宋体" w:cs="宋体"/>
          <w:bCs/>
          <w:sz w:val="24"/>
          <w:szCs w:val="24"/>
        </w:rPr>
        <w:t>.</w:t>
      </w:r>
      <w:r>
        <w:rPr>
          <w:rFonts w:hint="eastAsia" w:cs="宋体"/>
          <w:bCs/>
          <w:sz w:val="24"/>
          <w:szCs w:val="24"/>
          <w:lang w:eastAsia="zh-CN"/>
        </w:rPr>
        <w:t>招标文件</w:t>
      </w:r>
      <w:r>
        <w:rPr>
          <w:rFonts w:hint="eastAsia" w:ascii="宋体" w:hAnsi="宋体" w:eastAsia="宋体" w:cs="宋体"/>
          <w:bCs/>
          <w:sz w:val="24"/>
          <w:szCs w:val="24"/>
        </w:rPr>
        <w:t>、</w:t>
      </w:r>
      <w:r>
        <w:rPr>
          <w:rFonts w:hint="eastAsia" w:ascii="宋体" w:hAnsi="宋体" w:eastAsia="宋体" w:cs="宋体"/>
          <w:bCs/>
          <w:sz w:val="24"/>
          <w:szCs w:val="24"/>
          <w:lang w:eastAsia="zh-CN"/>
        </w:rPr>
        <w:t>响应文件</w:t>
      </w:r>
      <w:r>
        <w:rPr>
          <w:rFonts w:hint="eastAsia" w:ascii="宋体" w:hAnsi="宋体" w:eastAsia="宋体" w:cs="宋体"/>
          <w:bCs/>
          <w:sz w:val="24"/>
          <w:szCs w:val="24"/>
        </w:rPr>
        <w:t>、补充协议、询标答复纪要及合同谈判纪要作为本合同的附件，与本合同具有同等法律效力。</w:t>
      </w:r>
    </w:p>
    <w:p w14:paraId="7CFE3F0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470" w:firstLineChars="196"/>
        <w:textAlignment w:val="auto"/>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3</w:t>
      </w:r>
      <w:r>
        <w:rPr>
          <w:rFonts w:hint="eastAsia" w:ascii="宋体" w:hAnsi="宋体" w:eastAsia="宋体" w:cs="宋体"/>
          <w:bCs/>
          <w:sz w:val="24"/>
          <w:szCs w:val="24"/>
        </w:rPr>
        <w:t>.本合同未尽事宜，遵照《中华人民共和国民法典》（合同编）有关条文执行</w:t>
      </w:r>
      <w:r>
        <w:rPr>
          <w:rFonts w:hint="eastAsia" w:cs="宋体"/>
          <w:bCs/>
          <w:sz w:val="24"/>
          <w:szCs w:val="24"/>
          <w:lang w:eastAsia="zh-CN"/>
        </w:rPr>
        <w:t>。</w:t>
      </w:r>
    </w:p>
    <w:p w14:paraId="2980F588">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firstLine="0" w:firstLineChars="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十</w:t>
      </w:r>
      <w:r>
        <w:rPr>
          <w:rFonts w:hint="eastAsia" w:ascii="宋体" w:hAnsi="宋体" w:eastAsia="宋体" w:cs="宋体"/>
          <w:b/>
          <w:sz w:val="24"/>
          <w:szCs w:val="24"/>
        </w:rPr>
        <w:t>、合同份数：</w:t>
      </w:r>
    </w:p>
    <w:p w14:paraId="23176269">
      <w:pPr>
        <w:pStyle w:val="205"/>
        <w:keepNext w:val="0"/>
        <w:keepLines w:val="0"/>
        <w:pageBreakBefore w:val="0"/>
        <w:widowControl w:val="0"/>
        <w:kinsoku/>
        <w:wordWrap/>
        <w:overflowPunct/>
        <w:topLinePunct w:val="0"/>
        <w:autoSpaceDE/>
        <w:autoSpaceDN/>
        <w:bidi w:val="0"/>
        <w:adjustRightInd w:val="0"/>
        <w:snapToGrid w:val="0"/>
        <w:spacing w:before="40" w:after="40" w:line="360" w:lineRule="auto"/>
        <w:ind w:left="0" w:leftChars="0" w:firstLine="480" w:firstLineChars="200"/>
        <w:textAlignment w:val="auto"/>
        <w:rPr>
          <w:rFonts w:hint="eastAsia"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本合同一式</w:t>
      </w:r>
      <w:r>
        <w:rPr>
          <w:rFonts w:hint="eastAsia" w:ascii="宋体" w:hAnsi="宋体" w:eastAsia="宋体" w:cs="宋体"/>
          <w:color w:val="000000" w:themeColor="text1"/>
          <w:sz w:val="24"/>
          <w:szCs w:val="24"/>
          <w:lang w:val="en-US" w:eastAsia="zh-CN"/>
          <w14:textFill>
            <w14:solidFill>
              <w14:schemeClr w14:val="tx1"/>
            </w14:solidFill>
          </w14:textFill>
        </w:rPr>
        <w:t>陆</w:t>
      </w:r>
      <w:r>
        <w:rPr>
          <w:rFonts w:hint="eastAsia" w:ascii="宋体" w:hAnsi="宋体" w:eastAsia="宋体" w:cs="宋体"/>
          <w:color w:val="000000" w:themeColor="text1"/>
          <w:sz w:val="24"/>
          <w:szCs w:val="24"/>
          <w14:textFill>
            <w14:solidFill>
              <w14:schemeClr w14:val="tx1"/>
            </w14:solidFill>
          </w14:textFill>
        </w:rPr>
        <w:t>份，甲</w:t>
      </w:r>
      <w:r>
        <w:rPr>
          <w:rFonts w:hint="eastAsia" w:ascii="宋体" w:hAnsi="宋体" w:eastAsia="宋体" w:cs="宋体"/>
          <w:color w:val="000000" w:themeColor="text1"/>
          <w:sz w:val="24"/>
          <w:szCs w:val="24"/>
          <w:lang w:val="en-US" w:eastAsia="zh-CN"/>
          <w14:textFill>
            <w14:solidFill>
              <w14:schemeClr w14:val="tx1"/>
            </w14:solidFill>
          </w14:textFill>
        </w:rPr>
        <w:t>方执肆份，</w:t>
      </w:r>
      <w:r>
        <w:rPr>
          <w:rFonts w:hint="eastAsia" w:ascii="宋体" w:hAnsi="宋体" w:eastAsia="宋体" w:cs="宋体"/>
          <w:color w:val="000000" w:themeColor="text1"/>
          <w:sz w:val="24"/>
          <w:szCs w:val="24"/>
          <w14:textFill>
            <w14:solidFill>
              <w14:schemeClr w14:val="tx1"/>
            </w14:solidFill>
          </w14:textFill>
        </w:rPr>
        <w:t>乙方</w:t>
      </w:r>
      <w:r>
        <w:rPr>
          <w:rFonts w:hint="eastAsia" w:ascii="宋体" w:hAnsi="宋体" w:eastAsia="宋体" w:cs="宋体"/>
          <w:color w:val="000000" w:themeColor="text1"/>
          <w:sz w:val="24"/>
          <w:szCs w:val="24"/>
          <w:lang w:val="en-US" w:eastAsia="zh-CN"/>
          <w14:textFill>
            <w14:solidFill>
              <w14:schemeClr w14:val="tx1"/>
            </w14:solidFill>
          </w14:textFill>
        </w:rPr>
        <w:t>执</w:t>
      </w:r>
      <w:r>
        <w:rPr>
          <w:rFonts w:hint="eastAsia" w:ascii="宋体" w:hAnsi="宋体" w:eastAsia="宋体" w:cs="宋体"/>
          <w:color w:val="000000" w:themeColor="text1"/>
          <w:sz w:val="24"/>
          <w:szCs w:val="24"/>
          <w14:textFill>
            <w14:solidFill>
              <w14:schemeClr w14:val="tx1"/>
            </w14:solidFill>
          </w14:textFill>
        </w:rPr>
        <w:t>两份。具有同等法律效力。双方签字盖</w:t>
      </w:r>
      <w:r>
        <w:rPr>
          <w:rFonts w:hint="eastAsia" w:ascii="宋体" w:hAnsi="宋体" w:eastAsia="宋体" w:cs="宋体"/>
          <w:sz w:val="24"/>
          <w:szCs w:val="24"/>
        </w:rPr>
        <w:t>章生效。</w:t>
      </w:r>
    </w:p>
    <w:p w14:paraId="4507ECB5">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6CA7FEBB">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238CD5D1">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p>
    <w:p w14:paraId="7815F653">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甲方（盖章）：</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乙方（盖章）：</w:t>
      </w:r>
    </w:p>
    <w:p w14:paraId="0E517B1B">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法定代表人或委托代理人（签字）</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法定代表人或委托代理人（签字）</w:t>
      </w:r>
      <w:r>
        <w:rPr>
          <w:rFonts w:hint="eastAsia" w:asciiTheme="minorEastAsia" w:hAnsiTheme="minorEastAsia" w:eastAsiaTheme="minorEastAsia" w:cstheme="minorEastAsia"/>
          <w:bCs/>
          <w:sz w:val="24"/>
          <w:szCs w:val="24"/>
          <w:lang w:eastAsia="zh-CN"/>
        </w:rPr>
        <w:t>：</w:t>
      </w:r>
      <w:r>
        <w:rPr>
          <w:rFonts w:hint="eastAsia" w:asciiTheme="minorEastAsia" w:hAnsiTheme="minorEastAsia" w:eastAsiaTheme="minorEastAsia" w:cstheme="minorEastAsia"/>
          <w:bCs/>
          <w:sz w:val="24"/>
          <w:szCs w:val="24"/>
          <w:lang w:val="en-US" w:eastAsia="zh-CN"/>
        </w:rPr>
        <w:t xml:space="preserve">                                </w:t>
      </w:r>
    </w:p>
    <w:p w14:paraId="54141965">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电话：</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电话：</w:t>
      </w:r>
    </w:p>
    <w:p w14:paraId="588DB782">
      <w:pPr>
        <w:pStyle w:val="205"/>
        <w:adjustRightInd w:val="0"/>
        <w:snapToGrid w:val="0"/>
        <w:spacing w:line="360" w:lineRule="auto"/>
        <w:ind w:firstLine="470" w:firstLineChars="196"/>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日期：</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日期：</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年</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月</w:t>
      </w:r>
      <w:r>
        <w:rPr>
          <w:rFonts w:hint="eastAsia" w:asciiTheme="minorEastAsia" w:hAnsiTheme="minorEastAsia" w:eastAsiaTheme="minorEastAsia" w:cstheme="minorEastAsia"/>
          <w:bCs/>
          <w:sz w:val="24"/>
          <w:szCs w:val="24"/>
          <w:lang w:val="en-US" w:eastAsia="zh-CN"/>
        </w:rPr>
        <w:t xml:space="preserve">  </w:t>
      </w:r>
      <w:r>
        <w:rPr>
          <w:rFonts w:hint="eastAsia" w:asciiTheme="minorEastAsia" w:hAnsiTheme="minorEastAsia" w:eastAsiaTheme="minorEastAsia" w:cstheme="minorEastAsia"/>
          <w:bCs/>
          <w:sz w:val="24"/>
          <w:szCs w:val="24"/>
        </w:rPr>
        <w:t>日</w:t>
      </w:r>
    </w:p>
    <w:p w14:paraId="20580412">
      <w:pPr>
        <w:spacing w:line="360" w:lineRule="auto"/>
        <w:ind w:left="0" w:leftChars="0" w:firstLine="0" w:firstLineChars="0"/>
        <w:rPr>
          <w:rFonts w:hint="eastAsia" w:ascii="宋体" w:hAnsi="宋体" w:eastAsia="宋体" w:cs="宋体"/>
          <w:b/>
          <w:bCs/>
        </w:rPr>
      </w:pPr>
    </w:p>
    <w:p w14:paraId="5D96FA26">
      <w:pPr>
        <w:spacing w:line="360" w:lineRule="auto"/>
        <w:ind w:left="0" w:leftChars="0" w:firstLine="0" w:firstLineChars="0"/>
        <w:jc w:val="center"/>
        <w:rPr>
          <w:rFonts w:hint="eastAsia" w:ascii="宋体" w:hAnsi="宋体" w:eastAsia="宋体" w:cs="宋体"/>
          <w:color w:val="auto"/>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b/>
          <w:bCs/>
        </w:rPr>
        <w:t>附件（请严格按照招</w:t>
      </w:r>
      <w:r>
        <w:rPr>
          <w:rFonts w:hint="eastAsia" w:ascii="宋体" w:hAnsi="宋体" w:eastAsia="宋体" w:cs="宋体"/>
          <w:b/>
          <w:bCs/>
          <w:lang w:eastAsia="zh-CN"/>
        </w:rPr>
        <w:t>投标文件</w:t>
      </w:r>
      <w:r>
        <w:rPr>
          <w:rFonts w:hint="eastAsia" w:ascii="宋体" w:hAnsi="宋体" w:eastAsia="宋体" w:cs="宋体"/>
          <w:b/>
          <w:bCs/>
        </w:rPr>
        <w:t>和</w:t>
      </w:r>
      <w:r>
        <w:rPr>
          <w:rFonts w:hint="eastAsia" w:ascii="宋体" w:hAnsi="宋体" w:eastAsia="宋体" w:cs="宋体"/>
          <w:b/>
          <w:bCs/>
          <w:lang w:val="en-US" w:eastAsia="zh-CN"/>
        </w:rPr>
        <w:t>询标纪要</w:t>
      </w:r>
      <w:r>
        <w:rPr>
          <w:rFonts w:hint="eastAsia" w:ascii="宋体" w:hAnsi="宋体" w:eastAsia="宋体" w:cs="宋体"/>
          <w:b/>
          <w:bCs/>
        </w:rPr>
        <w:t>填写配置清单和服务承诺）</w:t>
      </w:r>
      <w:r>
        <w:rPr>
          <w:rFonts w:hint="eastAsia" w:ascii="宋体" w:hAnsi="宋体" w:eastAsia="宋体" w:cs="宋体"/>
        </w:rPr>
        <w:t>（如有）</w:t>
      </w:r>
    </w:p>
    <w:p w14:paraId="57495E68">
      <w:pPr>
        <w:pStyle w:val="2"/>
        <w:jc w:val="center"/>
        <w:rPr>
          <w:rFonts w:hint="eastAsia" w:ascii="宋体" w:hAnsi="宋体" w:eastAsia="宋体" w:cs="宋体"/>
          <w:szCs w:val="32"/>
        </w:rPr>
      </w:pPr>
      <w:r>
        <w:rPr>
          <w:rFonts w:hint="eastAsia" w:ascii="宋体" w:hAnsi="宋体" w:eastAsia="宋体" w:cs="宋体"/>
          <w:sz w:val="36"/>
          <w:szCs w:val="36"/>
        </w:rPr>
        <w:t xml:space="preserve">第六章 </w:t>
      </w:r>
      <w:r>
        <w:rPr>
          <w:rFonts w:hint="eastAsia" w:cs="宋体"/>
          <w:sz w:val="36"/>
          <w:szCs w:val="36"/>
          <w:lang w:val="en-US" w:eastAsia="zh-CN"/>
        </w:rPr>
        <w:t xml:space="preserve"> </w:t>
      </w:r>
      <w:r>
        <w:rPr>
          <w:rFonts w:hint="eastAsia" w:ascii="宋体" w:hAnsi="宋体" w:eastAsia="宋体" w:cs="宋体"/>
          <w:sz w:val="36"/>
          <w:szCs w:val="36"/>
        </w:rPr>
        <w:t>投标文件格式</w:t>
      </w:r>
      <w:bookmarkEnd w:id="79"/>
      <w:bookmarkEnd w:id="80"/>
    </w:p>
    <w:p w14:paraId="3E59884A">
      <w:pPr>
        <w:pStyle w:val="22"/>
        <w:spacing w:line="360" w:lineRule="auto"/>
        <w:jc w:val="center"/>
        <w:rPr>
          <w:rFonts w:hint="eastAsia" w:ascii="宋体" w:hAnsi="宋体" w:eastAsia="宋体" w:cs="宋体"/>
          <w:sz w:val="24"/>
          <w:szCs w:val="24"/>
        </w:rPr>
      </w:pPr>
      <w:r>
        <w:rPr>
          <w:rFonts w:hint="eastAsia" w:ascii="宋体" w:hAnsi="宋体" w:eastAsia="宋体" w:cs="宋体"/>
          <w:b/>
          <w:bCs/>
          <w:sz w:val="24"/>
          <w:szCs w:val="24"/>
        </w:rPr>
        <w:t>（要求提供但未提供</w:t>
      </w:r>
      <w:r>
        <w:rPr>
          <w:rFonts w:hint="eastAsia" w:hAnsi="宋体" w:cs="宋体"/>
          <w:b/>
          <w:bCs/>
          <w:sz w:val="24"/>
          <w:szCs w:val="24"/>
          <w:lang w:eastAsia="zh-CN"/>
        </w:rPr>
        <w:t>附件</w:t>
      </w:r>
      <w:r>
        <w:rPr>
          <w:rFonts w:hint="eastAsia" w:ascii="宋体" w:hAnsi="宋体" w:eastAsia="宋体" w:cs="宋体"/>
          <w:b/>
          <w:bCs/>
          <w:sz w:val="24"/>
          <w:szCs w:val="24"/>
        </w:rPr>
        <w:t>的文件由投标人自</w:t>
      </w:r>
      <w:r>
        <w:rPr>
          <w:rFonts w:hint="eastAsia" w:hAnsi="宋体" w:cs="宋体"/>
          <w:b/>
          <w:bCs/>
          <w:sz w:val="24"/>
          <w:szCs w:val="24"/>
          <w:lang w:eastAsia="zh-CN"/>
        </w:rPr>
        <w:t>拟格式</w:t>
      </w:r>
      <w:r>
        <w:rPr>
          <w:rFonts w:hint="eastAsia" w:ascii="宋体" w:hAnsi="宋体" w:eastAsia="宋体" w:cs="宋体"/>
          <w:b/>
          <w:bCs/>
          <w:sz w:val="24"/>
          <w:szCs w:val="24"/>
        </w:rPr>
        <w:t>）</w:t>
      </w:r>
    </w:p>
    <w:p w14:paraId="22DD0C13">
      <w:pPr>
        <w:pStyle w:val="22"/>
        <w:spacing w:line="360" w:lineRule="auto"/>
        <w:rPr>
          <w:rFonts w:hint="eastAsia" w:ascii="宋体" w:hAnsi="宋体" w:eastAsia="宋体" w:cs="宋体"/>
          <w:b/>
          <w:bCs/>
          <w:sz w:val="24"/>
          <w:szCs w:val="24"/>
        </w:rPr>
      </w:pPr>
    </w:p>
    <w:p w14:paraId="619A5328">
      <w:pPr>
        <w:pStyle w:val="22"/>
        <w:spacing w:line="360" w:lineRule="auto"/>
        <w:rPr>
          <w:rFonts w:hint="default" w:ascii="宋体" w:hAnsi="宋体" w:eastAsia="宋体" w:cs="宋体"/>
          <w:sz w:val="28"/>
          <w:szCs w:val="28"/>
          <w:lang w:val="en-US" w:eastAsia="zh-CN"/>
        </w:rPr>
      </w:pPr>
      <w:r>
        <w:rPr>
          <w:rFonts w:hint="eastAsia" w:ascii="宋体" w:hAnsi="宋体" w:eastAsia="宋体" w:cs="宋体"/>
          <w:b/>
          <w:bCs/>
          <w:sz w:val="24"/>
          <w:szCs w:val="24"/>
        </w:rPr>
        <w:t>资格文件封面</w:t>
      </w:r>
      <w:r>
        <w:rPr>
          <w:rFonts w:hint="eastAsia" w:hAnsi="宋体" w:cs="宋体"/>
          <w:b/>
          <w:bCs/>
          <w:sz w:val="24"/>
          <w:szCs w:val="24"/>
          <w:lang w:val="en-US" w:eastAsia="zh-CN"/>
        </w:rPr>
        <w:t xml:space="preserve">                                                  正本（副本）</w:t>
      </w:r>
    </w:p>
    <w:p w14:paraId="2EFA8B3B">
      <w:pPr>
        <w:ind w:firstLine="480"/>
        <w:rPr>
          <w:rFonts w:hint="eastAsia" w:ascii="宋体" w:hAnsi="宋体" w:eastAsia="宋体" w:cs="宋体"/>
        </w:rPr>
      </w:pPr>
    </w:p>
    <w:p w14:paraId="2FED717E">
      <w:pPr>
        <w:ind w:left="0" w:leftChars="0" w:firstLine="0" w:firstLineChars="0"/>
        <w:jc w:val="center"/>
        <w:rPr>
          <w:rFonts w:hint="eastAsia" w:ascii="宋体" w:hAnsi="宋体" w:eastAsia="宋体" w:cs="宋体"/>
          <w:b/>
          <w:bCs/>
          <w:sz w:val="32"/>
          <w:szCs w:val="32"/>
        </w:rPr>
      </w:pPr>
      <w:r>
        <w:rPr>
          <w:rFonts w:hint="eastAsia" w:ascii="宋体" w:hAnsi="宋体" w:eastAsia="宋体" w:cs="宋体"/>
          <w:b/>
          <w:bCs/>
          <w:sz w:val="32"/>
          <w:szCs w:val="32"/>
        </w:rPr>
        <w:t>资格文件</w:t>
      </w:r>
    </w:p>
    <w:p w14:paraId="57B1FBD9">
      <w:pPr>
        <w:pStyle w:val="16"/>
        <w:rPr>
          <w:rFonts w:hint="eastAsia" w:ascii="宋体" w:hAnsi="宋体" w:eastAsia="宋体" w:cs="宋体"/>
          <w:b/>
          <w:bCs/>
          <w:sz w:val="24"/>
          <w:szCs w:val="24"/>
        </w:rPr>
      </w:pPr>
    </w:p>
    <w:p w14:paraId="0999EE3B">
      <w:pPr>
        <w:rPr>
          <w:rFonts w:hint="eastAsia" w:ascii="宋体" w:hAnsi="宋体" w:eastAsia="宋体" w:cs="宋体"/>
          <w:b/>
          <w:bCs/>
          <w:sz w:val="24"/>
          <w:szCs w:val="24"/>
        </w:rPr>
      </w:pPr>
    </w:p>
    <w:p w14:paraId="6768B5EF">
      <w:pPr>
        <w:pStyle w:val="16"/>
        <w:rPr>
          <w:rFonts w:hint="eastAsia" w:ascii="宋体" w:hAnsi="宋体" w:eastAsia="宋体" w:cs="宋体"/>
          <w:b/>
          <w:bCs/>
          <w:sz w:val="24"/>
          <w:szCs w:val="24"/>
        </w:rPr>
      </w:pPr>
    </w:p>
    <w:p w14:paraId="7BF98F6B">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2ABE43BA">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2F9599C3">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34ACA5E0">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75058068">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742DF637">
      <w:pPr>
        <w:ind w:firstLine="456"/>
        <w:rPr>
          <w:rFonts w:hint="eastAsia" w:ascii="宋体" w:hAnsi="宋体" w:eastAsia="宋体" w:cs="宋体"/>
          <w:bCs/>
          <w:spacing w:val="-6"/>
          <w:sz w:val="30"/>
          <w:szCs w:val="30"/>
        </w:rPr>
      </w:pPr>
    </w:p>
    <w:p w14:paraId="6BC73DC7">
      <w:pPr>
        <w:spacing w:line="48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323A5A6F">
      <w:pPr>
        <w:spacing w:line="480" w:lineRule="auto"/>
        <w:ind w:firstLine="480"/>
        <w:rPr>
          <w:rFonts w:hint="eastAsia" w:ascii="宋体" w:hAnsi="宋体" w:eastAsia="宋体" w:cs="宋体"/>
        </w:rPr>
      </w:pPr>
      <w:r>
        <w:rPr>
          <w:rFonts w:hint="eastAsia" w:ascii="宋体" w:hAnsi="宋体" w:eastAsia="宋体" w:cs="宋体"/>
          <w:bCs/>
          <w:spacing w:val="-6"/>
          <w:sz w:val="30"/>
          <w:szCs w:val="30"/>
        </w:rPr>
        <w:t>日期：    年  月  日</w:t>
      </w:r>
    </w:p>
    <w:p w14:paraId="7C36C114">
      <w:pPr>
        <w:pStyle w:val="79"/>
        <w:rPr>
          <w:rFonts w:hint="eastAsia" w:ascii="宋体" w:hAnsi="宋体" w:eastAsia="宋体" w:cs="宋体"/>
          <w:color w:val="auto"/>
        </w:rPr>
      </w:pPr>
    </w:p>
    <w:p w14:paraId="523D20B8">
      <w:pPr>
        <w:pStyle w:val="79"/>
        <w:rPr>
          <w:rFonts w:hint="eastAsia" w:ascii="宋体" w:hAnsi="宋体" w:eastAsia="宋体" w:cs="宋体"/>
          <w:color w:val="auto"/>
        </w:rPr>
      </w:pPr>
    </w:p>
    <w:p w14:paraId="56C6CCD1">
      <w:pPr>
        <w:pStyle w:val="79"/>
        <w:rPr>
          <w:rFonts w:hint="eastAsia" w:ascii="宋体" w:hAnsi="宋体" w:eastAsia="宋体" w:cs="宋体"/>
          <w:color w:val="auto"/>
        </w:rPr>
      </w:pPr>
    </w:p>
    <w:p w14:paraId="27E7767B">
      <w:pPr>
        <w:pStyle w:val="79"/>
        <w:rPr>
          <w:rFonts w:hint="eastAsia" w:ascii="宋体" w:hAnsi="宋体" w:eastAsia="宋体" w:cs="宋体"/>
          <w:color w:val="auto"/>
        </w:rPr>
      </w:pPr>
    </w:p>
    <w:p w14:paraId="53E6FBF8">
      <w:pPr>
        <w:pStyle w:val="79"/>
        <w:rPr>
          <w:rFonts w:hint="eastAsia" w:ascii="宋体" w:hAnsi="宋体" w:eastAsia="宋体" w:cs="宋体"/>
          <w:color w:val="auto"/>
        </w:rPr>
      </w:pPr>
    </w:p>
    <w:p w14:paraId="60A72C8C">
      <w:pPr>
        <w:pStyle w:val="79"/>
        <w:rPr>
          <w:rFonts w:hint="eastAsia" w:ascii="宋体" w:hAnsi="宋体" w:eastAsia="宋体" w:cs="宋体"/>
          <w:color w:val="auto"/>
        </w:rPr>
      </w:pPr>
    </w:p>
    <w:p w14:paraId="600B9610">
      <w:pPr>
        <w:pStyle w:val="79"/>
        <w:rPr>
          <w:rFonts w:hint="eastAsia" w:ascii="宋体" w:hAnsi="宋体" w:eastAsia="宋体" w:cs="宋体"/>
          <w:color w:val="auto"/>
        </w:rPr>
      </w:pPr>
    </w:p>
    <w:p w14:paraId="2E0D62F6">
      <w:pPr>
        <w:pStyle w:val="79"/>
        <w:rPr>
          <w:rFonts w:hint="eastAsia" w:ascii="宋体" w:hAnsi="宋体" w:eastAsia="宋体" w:cs="宋体"/>
          <w:color w:val="auto"/>
        </w:rPr>
      </w:pPr>
    </w:p>
    <w:p w14:paraId="371A1432">
      <w:pPr>
        <w:pStyle w:val="79"/>
        <w:rPr>
          <w:rFonts w:hint="eastAsia" w:ascii="宋体" w:hAnsi="宋体" w:eastAsia="宋体" w:cs="宋体"/>
          <w:color w:val="auto"/>
        </w:rPr>
      </w:pPr>
    </w:p>
    <w:p w14:paraId="34134550">
      <w:pPr>
        <w:pStyle w:val="79"/>
        <w:rPr>
          <w:rFonts w:hint="eastAsia" w:ascii="宋体" w:hAnsi="宋体" w:eastAsia="宋体" w:cs="宋体"/>
          <w:color w:val="auto"/>
        </w:rPr>
      </w:pPr>
    </w:p>
    <w:p w14:paraId="008FB670">
      <w:pPr>
        <w:pStyle w:val="79"/>
        <w:rPr>
          <w:rFonts w:hint="eastAsia" w:ascii="宋体" w:hAnsi="宋体" w:eastAsia="宋体" w:cs="宋体"/>
          <w:color w:val="auto"/>
        </w:rPr>
      </w:pPr>
    </w:p>
    <w:p w14:paraId="5A2A894D">
      <w:pPr>
        <w:pStyle w:val="79"/>
        <w:rPr>
          <w:rFonts w:hint="eastAsia" w:ascii="宋体" w:hAnsi="宋体" w:eastAsia="宋体" w:cs="宋体"/>
          <w:color w:val="auto"/>
        </w:rPr>
      </w:pPr>
    </w:p>
    <w:p w14:paraId="5FC756C7">
      <w:pPr>
        <w:spacing w:line="480" w:lineRule="auto"/>
        <w:ind w:left="0" w:leftChars="0" w:firstLine="0" w:firstLineChars="0"/>
        <w:jc w:val="center"/>
        <w:outlineLvl w:val="0"/>
        <w:rPr>
          <w:rFonts w:hint="eastAsia" w:ascii="宋体" w:hAnsi="宋体" w:eastAsia="宋体" w:cs="宋体"/>
          <w:b/>
          <w:kern w:val="0"/>
        </w:rPr>
      </w:pPr>
      <w:r>
        <w:rPr>
          <w:rFonts w:hint="eastAsia" w:ascii="宋体" w:hAnsi="宋体" w:eastAsia="宋体" w:cs="宋体"/>
        </w:rPr>
        <w:br w:type="page"/>
      </w:r>
      <w:r>
        <w:rPr>
          <w:rFonts w:hint="eastAsia" w:ascii="宋体" w:hAnsi="宋体" w:eastAsia="宋体" w:cs="宋体"/>
          <w:b/>
          <w:kern w:val="0"/>
          <w:sz w:val="32"/>
          <w:szCs w:val="32"/>
        </w:rPr>
        <w:t>资格文件目录</w:t>
      </w:r>
    </w:p>
    <w:p w14:paraId="09A4AA12">
      <w:pPr>
        <w:numPr>
          <w:ilvl w:val="0"/>
          <w:numId w:val="0"/>
        </w:numPr>
        <w:spacing w:line="480" w:lineRule="auto"/>
        <w:ind w:firstLine="480" w:firstLineChars="200"/>
        <w:rPr>
          <w:rFonts w:hint="default" w:cs="宋体"/>
          <w:lang w:val="en-US" w:eastAsia="zh-CN"/>
        </w:rPr>
      </w:pPr>
      <w:r>
        <w:rPr>
          <w:rFonts w:hint="eastAsia" w:cs="宋体"/>
          <w:lang w:val="en-US" w:eastAsia="zh-CN"/>
        </w:rPr>
        <w:t>1.投标声明书；（附件一）</w:t>
      </w:r>
    </w:p>
    <w:p w14:paraId="7D4D4E7F">
      <w:pPr>
        <w:numPr>
          <w:ilvl w:val="0"/>
          <w:numId w:val="0"/>
        </w:numPr>
        <w:spacing w:line="480" w:lineRule="auto"/>
        <w:ind w:firstLine="480" w:firstLineChars="200"/>
        <w:rPr>
          <w:rFonts w:hint="default" w:cs="宋体"/>
          <w:lang w:val="en-US" w:eastAsia="zh-CN"/>
        </w:rPr>
      </w:pPr>
      <w:r>
        <w:rPr>
          <w:rFonts w:hint="eastAsia" w:cs="宋体"/>
          <w:lang w:val="en-US" w:eastAsia="zh-CN"/>
        </w:rPr>
        <w:t>2.</w:t>
      </w:r>
      <w:r>
        <w:rPr>
          <w:rFonts w:hint="eastAsia" w:ascii="宋体" w:hAnsi="宋体" w:eastAsia="宋体" w:cs="宋体"/>
        </w:rPr>
        <w:t>有效的</w:t>
      </w:r>
      <w:r>
        <w:rPr>
          <w:rFonts w:hint="eastAsia" w:cs="宋体"/>
          <w:lang w:eastAsia="zh-CN"/>
        </w:rPr>
        <w:t>营业</w:t>
      </w:r>
      <w:r>
        <w:rPr>
          <w:rFonts w:hint="eastAsia" w:ascii="宋体" w:hAnsi="宋体" w:eastAsia="宋体" w:cs="宋体"/>
        </w:rPr>
        <w:t>执照</w:t>
      </w:r>
      <w:r>
        <w:rPr>
          <w:rFonts w:hint="eastAsia" w:ascii="宋体" w:hAnsi="宋体" w:eastAsia="宋体" w:cs="宋体"/>
          <w:lang w:eastAsia="zh-CN"/>
        </w:rPr>
        <w:t>副本；（扫描件一份）</w:t>
      </w:r>
    </w:p>
    <w:p w14:paraId="46FD85CA">
      <w:pPr>
        <w:numPr>
          <w:ilvl w:val="0"/>
          <w:numId w:val="0"/>
        </w:numPr>
        <w:spacing w:line="480" w:lineRule="auto"/>
        <w:ind w:firstLine="480" w:firstLineChars="200"/>
        <w:rPr>
          <w:rFonts w:hint="eastAsia" w:eastAsia="宋体" w:cs="宋体"/>
          <w:lang w:val="en-US" w:eastAsia="zh-CN"/>
        </w:rPr>
      </w:pPr>
      <w:r>
        <w:rPr>
          <w:rFonts w:hint="eastAsia" w:cs="宋体"/>
          <w:lang w:val="en-US" w:eastAsia="zh-CN"/>
        </w:rPr>
        <w:t>3.</w:t>
      </w:r>
      <w:r>
        <w:rPr>
          <w:rFonts w:hint="eastAsia" w:ascii="宋体" w:hAnsi="宋体" w:eastAsia="宋体" w:cs="宋体"/>
        </w:rPr>
        <w:t>符合参加政府采购活动应当具备的一般条件的承诺函</w:t>
      </w:r>
      <w:r>
        <w:rPr>
          <w:rFonts w:hint="eastAsia" w:cs="宋体"/>
          <w:lang w:eastAsia="zh-CN"/>
        </w:rPr>
        <w:t>；（附件二）</w:t>
      </w:r>
    </w:p>
    <w:p w14:paraId="7F878A18">
      <w:pPr>
        <w:numPr>
          <w:ilvl w:val="0"/>
          <w:numId w:val="0"/>
        </w:numPr>
        <w:spacing w:line="480" w:lineRule="auto"/>
        <w:ind w:firstLine="480" w:firstLineChars="200"/>
        <w:rPr>
          <w:rFonts w:hint="default" w:cs="宋体"/>
          <w:lang w:val="en-US" w:eastAsia="zh-CN"/>
        </w:rPr>
      </w:pPr>
      <w:r>
        <w:rPr>
          <w:rFonts w:hint="eastAsia" w:cs="宋体"/>
          <w:lang w:val="en-US" w:eastAsia="zh-CN"/>
        </w:rPr>
        <w:t>4.</w:t>
      </w:r>
      <w:r>
        <w:rPr>
          <w:rFonts w:hint="eastAsia" w:ascii="宋体" w:hAnsi="宋体"/>
          <w:sz w:val="24"/>
        </w:rPr>
        <w:t>投标人</w:t>
      </w:r>
      <w:r>
        <w:rPr>
          <w:rFonts w:hint="eastAsia" w:ascii="宋体" w:hAnsi="宋体"/>
          <w:sz w:val="24"/>
          <w:lang w:eastAsia="zh-CN"/>
        </w:rPr>
        <w:t>股权信息表；（附件三）</w:t>
      </w:r>
    </w:p>
    <w:p w14:paraId="46DF75FA">
      <w:pPr>
        <w:numPr>
          <w:ilvl w:val="0"/>
          <w:numId w:val="0"/>
        </w:numPr>
        <w:bidi w:val="0"/>
        <w:spacing w:line="480" w:lineRule="auto"/>
        <w:ind w:firstLine="480" w:firstLineChars="200"/>
        <w:rPr>
          <w:rFonts w:hint="eastAsia" w:eastAsia="宋体"/>
          <w:lang w:val="en-US" w:eastAsia="zh-CN"/>
        </w:rPr>
      </w:pPr>
      <w:r>
        <w:rPr>
          <w:rFonts w:hint="eastAsia"/>
          <w:lang w:val="en-US" w:eastAsia="zh-CN"/>
        </w:rPr>
        <w:t>5.</w:t>
      </w:r>
      <w:r>
        <w:rPr>
          <w:rFonts w:hint="eastAsia" w:cs="宋体"/>
          <w:b w:val="0"/>
          <w:bCs w:val="0"/>
          <w:sz w:val="24"/>
          <w:szCs w:val="24"/>
        </w:rPr>
        <w:t>法定代表人</w:t>
      </w:r>
      <w:r>
        <w:rPr>
          <w:rFonts w:hint="eastAsia" w:cs="宋体"/>
          <w:b w:val="0"/>
          <w:bCs w:val="0"/>
          <w:sz w:val="24"/>
          <w:szCs w:val="24"/>
          <w:lang w:eastAsia="zh-CN"/>
        </w:rPr>
        <w:t>有效身份</w:t>
      </w:r>
      <w:r>
        <w:rPr>
          <w:rFonts w:hint="eastAsia" w:cs="宋体"/>
          <w:b w:val="0"/>
          <w:bCs w:val="0"/>
          <w:sz w:val="24"/>
          <w:szCs w:val="24"/>
        </w:rPr>
        <w:t>证明书和法定代表人授权委托书（投标人的代表若为非法定代表人的，必须提交法定代表人授权</w:t>
      </w:r>
      <w:r>
        <w:rPr>
          <w:rFonts w:hint="eastAsia" w:cs="宋体"/>
          <w:b w:val="0"/>
          <w:bCs w:val="0"/>
          <w:sz w:val="24"/>
          <w:szCs w:val="24"/>
          <w:lang w:eastAsia="zh-CN"/>
        </w:rPr>
        <w:t>委托</w:t>
      </w:r>
      <w:r>
        <w:rPr>
          <w:rFonts w:hint="eastAsia" w:cs="宋体"/>
          <w:b w:val="0"/>
          <w:bCs w:val="0"/>
          <w:sz w:val="24"/>
          <w:szCs w:val="24"/>
        </w:rPr>
        <w:t>书</w:t>
      </w:r>
      <w:r>
        <w:rPr>
          <w:rFonts w:hint="eastAsia" w:cs="宋体"/>
          <w:b w:val="0"/>
          <w:bCs w:val="0"/>
          <w:sz w:val="24"/>
          <w:szCs w:val="24"/>
          <w:lang w:eastAsia="zh-CN"/>
        </w:rPr>
        <w:t>、授权代表</w:t>
      </w:r>
      <w:r>
        <w:rPr>
          <w:rFonts w:hint="eastAsia" w:cs="宋体"/>
          <w:b w:val="0"/>
          <w:bCs w:val="0"/>
          <w:sz w:val="24"/>
          <w:szCs w:val="24"/>
        </w:rPr>
        <w:t>身份证复印件、授权</w:t>
      </w:r>
      <w:r>
        <w:rPr>
          <w:rFonts w:hint="eastAsia" w:cs="宋体"/>
          <w:b w:val="0"/>
          <w:bCs w:val="0"/>
          <w:sz w:val="24"/>
          <w:szCs w:val="24"/>
          <w:lang w:eastAsia="zh-CN"/>
        </w:rPr>
        <w:t>代表</w:t>
      </w:r>
      <w:r>
        <w:rPr>
          <w:rFonts w:hint="eastAsia" w:cs="宋体"/>
          <w:b w:val="0"/>
          <w:bCs w:val="0"/>
          <w:sz w:val="24"/>
          <w:szCs w:val="24"/>
        </w:rPr>
        <w:t>社保证明（提供近</w:t>
      </w:r>
      <w:r>
        <w:rPr>
          <w:rFonts w:hint="eastAsia" w:cs="宋体"/>
          <w:b w:val="0"/>
          <w:bCs w:val="0"/>
          <w:sz w:val="24"/>
          <w:szCs w:val="24"/>
          <w:lang w:eastAsia="zh-CN"/>
        </w:rPr>
        <w:t>三个月</w:t>
      </w:r>
      <w:r>
        <w:rPr>
          <w:rFonts w:hint="eastAsia" w:cs="宋体"/>
          <w:b w:val="0"/>
          <w:bCs w:val="0"/>
          <w:sz w:val="24"/>
          <w:szCs w:val="24"/>
        </w:rPr>
        <w:t>任意一</w:t>
      </w:r>
      <w:r>
        <w:rPr>
          <w:rFonts w:hint="eastAsia" w:cs="宋体"/>
          <w:b w:val="0"/>
          <w:bCs w:val="0"/>
          <w:sz w:val="24"/>
          <w:szCs w:val="24"/>
          <w:lang w:eastAsia="zh-CN"/>
        </w:rPr>
        <w:t>个</w:t>
      </w:r>
      <w:r>
        <w:rPr>
          <w:rFonts w:hint="eastAsia" w:cs="宋体"/>
          <w:b w:val="0"/>
          <w:bCs w:val="0"/>
          <w:sz w:val="24"/>
          <w:szCs w:val="24"/>
        </w:rPr>
        <w:t>月的社保缴纳证明）</w:t>
      </w:r>
      <w:r>
        <w:rPr>
          <w:rFonts w:hint="eastAsia" w:cs="宋体"/>
          <w:b w:val="0"/>
          <w:bCs w:val="0"/>
          <w:sz w:val="24"/>
          <w:szCs w:val="24"/>
          <w:lang w:eastAsia="zh-CN"/>
        </w:rPr>
        <w:t>；（附件四）</w:t>
      </w:r>
    </w:p>
    <w:p w14:paraId="0BCF3960">
      <w:pPr>
        <w:numPr>
          <w:ilvl w:val="0"/>
          <w:numId w:val="0"/>
        </w:numPr>
        <w:bidi w:val="0"/>
        <w:spacing w:line="480" w:lineRule="auto"/>
        <w:ind w:firstLine="480" w:firstLineChars="200"/>
        <w:rPr>
          <w:rFonts w:hint="default"/>
          <w:lang w:val="en-US" w:eastAsia="zh-CN"/>
        </w:rPr>
      </w:pPr>
      <w:r>
        <w:rPr>
          <w:rFonts w:hint="eastAsia"/>
          <w:lang w:val="en-US" w:eastAsia="zh-CN"/>
        </w:rPr>
        <w:t>6.廉政承诺书；（附件五）</w:t>
      </w:r>
    </w:p>
    <w:p w14:paraId="44B5086F">
      <w:pPr>
        <w:numPr>
          <w:ilvl w:val="0"/>
          <w:numId w:val="0"/>
        </w:numPr>
        <w:bidi w:val="0"/>
        <w:spacing w:line="480" w:lineRule="auto"/>
        <w:ind w:firstLine="480" w:firstLineChars="200"/>
        <w:rPr>
          <w:rFonts w:hint="eastAsia" w:eastAsia="宋体"/>
          <w:lang w:val="en-US" w:eastAsia="zh-CN"/>
        </w:rPr>
      </w:pPr>
      <w:r>
        <w:rPr>
          <w:rFonts w:hint="eastAsia"/>
          <w:lang w:val="en-US" w:eastAsia="zh-CN"/>
        </w:rPr>
        <w:t>7.中小企业声明函或监狱企业、</w:t>
      </w:r>
      <w:r>
        <w:rPr>
          <w:rFonts w:hint="eastAsia" w:ascii="宋体" w:hAnsi="宋体" w:eastAsia="宋体" w:cs="宋体"/>
        </w:rPr>
        <w:t>残疾人福利性单位声明函</w:t>
      </w:r>
      <w:r>
        <w:rPr>
          <w:rFonts w:hint="eastAsia" w:cs="宋体"/>
          <w:lang w:eastAsia="zh-CN"/>
        </w:rPr>
        <w:t>。（附件六）</w:t>
      </w:r>
    </w:p>
    <w:p w14:paraId="6BFBBD45">
      <w:pPr>
        <w:pStyle w:val="79"/>
        <w:spacing w:line="480" w:lineRule="auto"/>
        <w:rPr>
          <w:rFonts w:hint="eastAsia" w:ascii="宋体" w:hAnsi="宋体" w:eastAsia="宋体" w:cs="宋体"/>
        </w:rPr>
      </w:pPr>
      <w:r>
        <w:rPr>
          <w:rFonts w:hint="eastAsia" w:ascii="宋体" w:hAnsi="宋体" w:eastAsia="宋体" w:cs="宋体"/>
        </w:rPr>
        <w:t xml:space="preserve">    </w:t>
      </w:r>
    </w:p>
    <w:p w14:paraId="2536C178">
      <w:pPr>
        <w:pStyle w:val="81"/>
        <w:spacing w:line="480" w:lineRule="auto"/>
        <w:rPr>
          <w:rFonts w:hint="eastAsia" w:ascii="宋体" w:hAnsi="宋体" w:eastAsia="宋体" w:cs="宋体"/>
          <w:sz w:val="24"/>
          <w:szCs w:val="24"/>
          <w:lang w:eastAsia="zh-CN"/>
        </w:rPr>
        <w:sectPr>
          <w:headerReference r:id="rId15" w:type="default"/>
          <w:pgSz w:w="11907" w:h="16840"/>
          <w:pgMar w:top="1247" w:right="1304" w:bottom="1021" w:left="1304" w:header="720" w:footer="720" w:gutter="0"/>
          <w:pgNumType w:fmt="decimal"/>
          <w:cols w:space="720" w:num="1"/>
          <w:docGrid w:linePitch="286" w:charSpace="0"/>
        </w:sectPr>
      </w:pPr>
    </w:p>
    <w:p w14:paraId="20ACB8E3">
      <w:pPr>
        <w:snapToGrid w:val="0"/>
        <w:ind w:left="0" w:leftChars="0" w:right="480" w:firstLine="0" w:firstLineChars="0"/>
        <w:jc w:val="left"/>
        <w:rPr>
          <w:rStyle w:val="59"/>
          <w:rFonts w:hint="eastAsia" w:cs="宋体"/>
          <w:sz w:val="24"/>
          <w:szCs w:val="24"/>
          <w:lang w:val="en-US" w:eastAsia="zh-CN"/>
        </w:rPr>
      </w:pPr>
      <w:r>
        <w:rPr>
          <w:rStyle w:val="59"/>
          <w:rFonts w:hint="eastAsia" w:cs="宋体"/>
          <w:sz w:val="24"/>
          <w:szCs w:val="24"/>
          <w:lang w:val="en-US" w:eastAsia="zh-CN"/>
        </w:rPr>
        <w:t>附件一</w:t>
      </w:r>
    </w:p>
    <w:p w14:paraId="6BE05CAC">
      <w:pPr>
        <w:bidi w:val="0"/>
        <w:spacing w:line="480" w:lineRule="auto"/>
        <w:ind w:left="0" w:leftChars="0" w:firstLine="0" w:firstLineChars="0"/>
        <w:jc w:val="center"/>
        <w:rPr>
          <w:rFonts w:hint="eastAsia"/>
          <w:lang w:val="en-US" w:eastAsia="zh-CN"/>
        </w:rPr>
      </w:pPr>
      <w:r>
        <w:rPr>
          <w:rFonts w:hint="eastAsia"/>
          <w:b/>
          <w:bCs/>
          <w:sz w:val="28"/>
          <w:szCs w:val="28"/>
          <w:lang w:val="en-US" w:eastAsia="zh-CN"/>
        </w:rPr>
        <w:t>投标声明书</w:t>
      </w:r>
    </w:p>
    <w:p w14:paraId="4EF385AB">
      <w:pPr>
        <w:keepNext w:val="0"/>
        <w:keepLines w:val="0"/>
        <w:pageBreakBefore w:val="0"/>
        <w:kinsoku/>
        <w:overflowPunct/>
        <w:topLinePunct w:val="0"/>
        <w:bidi w:val="0"/>
        <w:snapToGrid w:val="0"/>
        <w:spacing w:line="480"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u w:val="single"/>
          <w:lang w:eastAsia="zh-CN"/>
        </w:rPr>
        <w:t>（招标人）（代理机构）</w:t>
      </w:r>
      <w:r>
        <w:rPr>
          <w:rFonts w:hint="eastAsia" w:ascii="宋体" w:hAnsi="宋体" w:eastAsia="宋体" w:cs="宋体"/>
          <w:sz w:val="24"/>
          <w:szCs w:val="24"/>
        </w:rPr>
        <w:t>：</w:t>
      </w:r>
    </w:p>
    <w:p w14:paraId="680C7AF1">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kern w:val="0"/>
          <w:sz w:val="24"/>
          <w:szCs w:val="24"/>
          <w:lang w:val="zh-CN"/>
        </w:rPr>
        <w:t>我公司</w:t>
      </w:r>
      <w:r>
        <w:rPr>
          <w:rFonts w:hint="eastAsia" w:ascii="宋体" w:hAnsi="宋体" w:eastAsia="宋体" w:cs="宋体"/>
          <w:sz w:val="24"/>
          <w:szCs w:val="24"/>
        </w:rPr>
        <w:t>声明截止投标时间近三年以来，在招标</w:t>
      </w:r>
      <w:r>
        <w:rPr>
          <w:rFonts w:hint="eastAsia" w:ascii="宋体" w:hAnsi="宋体" w:eastAsia="宋体" w:cs="宋体"/>
          <w:kern w:val="0"/>
          <w:sz w:val="24"/>
          <w:szCs w:val="24"/>
        </w:rPr>
        <w:t>领域中</w:t>
      </w:r>
      <w:r>
        <w:rPr>
          <w:rFonts w:hint="eastAsia" w:ascii="宋体" w:hAnsi="宋体" w:eastAsia="宋体" w:cs="宋体"/>
          <w:sz w:val="24"/>
          <w:szCs w:val="24"/>
        </w:rPr>
        <w:t>，在项目招标、投标和合同履约期间无任何不良行为记录和违法、违规行为</w:t>
      </w:r>
      <w:r>
        <w:rPr>
          <w:rFonts w:hint="eastAsia" w:ascii="宋体" w:hAnsi="宋体" w:eastAsia="宋体" w:cs="宋体"/>
          <w:kern w:val="0"/>
          <w:sz w:val="24"/>
          <w:szCs w:val="24"/>
          <w:lang w:val="zh-CN"/>
        </w:rPr>
        <w:t>。</w:t>
      </w:r>
    </w:p>
    <w:p w14:paraId="3632273C">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 xml:space="preserve">我公司自愿参加 </w:t>
      </w:r>
      <w:r>
        <w:rPr>
          <w:rFonts w:hint="eastAsia" w:ascii="宋体" w:hAnsi="宋体" w:eastAsia="宋体" w:cs="宋体"/>
          <w:sz w:val="24"/>
          <w:szCs w:val="24"/>
          <w:u w:val="single"/>
        </w:rPr>
        <w:t xml:space="preserve">       </w:t>
      </w:r>
      <w:r>
        <w:rPr>
          <w:rFonts w:hint="eastAsia" w:ascii="宋体" w:hAnsi="宋体" w:eastAsia="宋体" w:cs="宋体"/>
          <w:sz w:val="24"/>
          <w:szCs w:val="24"/>
        </w:rPr>
        <w:t>项目[招标编号：</w:t>
      </w:r>
      <w:r>
        <w:rPr>
          <w:rFonts w:hint="eastAsia" w:ascii="宋体" w:hAnsi="宋体" w:eastAsia="宋体" w:cs="宋体"/>
          <w:sz w:val="24"/>
          <w:szCs w:val="24"/>
          <w:u w:val="single"/>
        </w:rPr>
        <w:t xml:space="preserve">              </w:t>
      </w:r>
      <w:r>
        <w:rPr>
          <w:rFonts w:hint="eastAsia" w:ascii="宋体" w:hAnsi="宋体" w:eastAsia="宋体" w:cs="宋体"/>
          <w:sz w:val="24"/>
          <w:szCs w:val="24"/>
        </w:rPr>
        <w:t>]的投标，并保证投标文件中所列举的投标报价文件及相关资料和公司基本情况资料是真实的、合法的。</w:t>
      </w:r>
    </w:p>
    <w:p w14:paraId="1945EB61">
      <w:pPr>
        <w:keepNext w:val="0"/>
        <w:keepLines w:val="0"/>
        <w:pageBreakBefore w:val="0"/>
        <w:kinsoku/>
        <w:overflowPunct/>
        <w:topLinePunct w:val="0"/>
        <w:bidi w:val="0"/>
        <w:spacing w:line="480" w:lineRule="auto"/>
        <w:ind w:firstLine="48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我公司已详细阅读全部“招标文件”，包括修改文件（如果有）以及全部招标资料和相关附件，并已了解我公司在招投标过程中的权利和义务。</w:t>
      </w:r>
    </w:p>
    <w:p w14:paraId="0FB59650">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kern w:val="0"/>
          <w:sz w:val="24"/>
          <w:szCs w:val="24"/>
          <w:lang w:val="zh-CN"/>
        </w:rPr>
        <w:t>我公司理解并接受招标文件的各项规定和要求，同意此次招标文件中的各项内容，</w:t>
      </w:r>
      <w:r>
        <w:rPr>
          <w:rFonts w:hint="eastAsia" w:ascii="宋体" w:hAnsi="宋体" w:eastAsia="宋体" w:cs="宋体"/>
          <w:kern w:val="0"/>
          <w:sz w:val="24"/>
          <w:szCs w:val="24"/>
        </w:rPr>
        <w:t>并</w:t>
      </w:r>
      <w:r>
        <w:rPr>
          <w:rFonts w:hint="eastAsia" w:ascii="宋体" w:hAnsi="宋体" w:eastAsia="宋体" w:cs="宋体"/>
          <w:kern w:val="0"/>
          <w:sz w:val="24"/>
          <w:szCs w:val="24"/>
          <w:lang w:val="zh-CN"/>
        </w:rPr>
        <w:t>同意提供按照贵方可能要求的与投标有关的一切数据或资料等。</w:t>
      </w:r>
    </w:p>
    <w:p w14:paraId="3F50B78C">
      <w:pPr>
        <w:keepNext w:val="0"/>
        <w:keepLines w:val="0"/>
        <w:pageBreakBefore w:val="0"/>
        <w:kinsoku/>
        <w:overflowPunct/>
        <w:topLinePunct w:val="0"/>
        <w:bidi w:val="0"/>
        <w:spacing w:line="480" w:lineRule="auto"/>
        <w:ind w:firstLine="480"/>
        <w:textAlignment w:val="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本公司如中标，保证按照投标文件的承诺与贵方签订合同，保证履行合同条款并缴纳履约保证金。</w:t>
      </w:r>
    </w:p>
    <w:p w14:paraId="42400EC7">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40D10C8F">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4565A1C2">
      <w:pPr>
        <w:pStyle w:val="82"/>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10D36B6E">
      <w:pPr>
        <w:keepNext w:val="0"/>
        <w:keepLines w:val="0"/>
        <w:pageBreakBefore w:val="0"/>
        <w:kinsoku/>
        <w:overflowPunct/>
        <w:topLinePunct w:val="0"/>
        <w:bidi w:val="0"/>
        <w:textAlignment w:val="auto"/>
        <w:rPr>
          <w:rFonts w:hint="eastAsia" w:ascii="宋体" w:hAnsi="宋体" w:eastAsia="宋体" w:cs="宋体"/>
          <w:sz w:val="24"/>
          <w:szCs w:val="24"/>
          <w:lang w:val="zh-CN"/>
        </w:rPr>
      </w:pPr>
    </w:p>
    <w:p w14:paraId="1829215A">
      <w:pPr>
        <w:pStyle w:val="79"/>
        <w:keepNext w:val="0"/>
        <w:keepLines w:val="0"/>
        <w:pageBreakBefore w:val="0"/>
        <w:kinsoku/>
        <w:overflowPunct/>
        <w:topLinePunct w:val="0"/>
        <w:bidi w:val="0"/>
        <w:textAlignment w:val="auto"/>
        <w:rPr>
          <w:rFonts w:hint="eastAsia" w:ascii="宋体" w:hAnsi="宋体" w:eastAsia="宋体" w:cs="宋体"/>
          <w:color w:val="auto"/>
          <w:sz w:val="24"/>
          <w:szCs w:val="24"/>
          <w:lang w:val="zh-CN"/>
        </w:rPr>
      </w:pPr>
    </w:p>
    <w:p w14:paraId="564B8853">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投标人名称（公章）：</w:t>
      </w:r>
    </w:p>
    <w:p w14:paraId="3A4433C8">
      <w:pPr>
        <w:keepNext w:val="0"/>
        <w:keepLines w:val="0"/>
        <w:pageBreakBefore w:val="0"/>
        <w:kinsoku/>
        <w:overflowPunct/>
        <w:topLinePunct w:val="0"/>
        <w:bidi w:val="0"/>
        <w:spacing w:line="48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法定代表人或其</w:t>
      </w:r>
      <w:r>
        <w:rPr>
          <w:rFonts w:hint="eastAsia" w:ascii="宋体" w:hAnsi="宋体" w:eastAsia="宋体" w:cs="宋体"/>
          <w:sz w:val="24"/>
          <w:szCs w:val="24"/>
          <w:lang w:eastAsia="zh-CN"/>
        </w:rPr>
        <w:t>授权代表</w:t>
      </w:r>
      <w:r>
        <w:rPr>
          <w:rFonts w:hint="eastAsia" w:ascii="宋体" w:hAnsi="宋体" w:eastAsia="宋体" w:cs="宋体"/>
          <w:sz w:val="24"/>
          <w:szCs w:val="24"/>
        </w:rPr>
        <w:t>（签字）：</w:t>
      </w:r>
    </w:p>
    <w:p w14:paraId="512C45A9">
      <w:pPr>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r>
        <w:rPr>
          <w:rFonts w:hint="eastAsia" w:ascii="宋体" w:hAnsi="宋体" w:eastAsia="宋体" w:cs="宋体"/>
          <w:sz w:val="24"/>
          <w:szCs w:val="24"/>
        </w:rPr>
        <w:t>日期：  年   月   日</w:t>
      </w:r>
    </w:p>
    <w:p w14:paraId="0AEA9577">
      <w:pPr>
        <w:snapToGrid w:val="0"/>
        <w:ind w:left="0" w:leftChars="0" w:right="480" w:firstLine="0" w:firstLineChars="0"/>
        <w:jc w:val="left"/>
        <w:rPr>
          <w:rStyle w:val="59"/>
          <w:rFonts w:hint="eastAsia" w:ascii="宋体" w:hAnsi="宋体" w:eastAsia="宋体" w:cs="宋体"/>
          <w:sz w:val="24"/>
          <w:szCs w:val="24"/>
          <w:lang w:val="en-US" w:eastAsia="zh-CN"/>
        </w:rPr>
      </w:pPr>
      <w:r>
        <w:rPr>
          <w:rStyle w:val="59"/>
          <w:rFonts w:hint="eastAsia" w:cs="宋体"/>
          <w:sz w:val="24"/>
          <w:szCs w:val="24"/>
          <w:lang w:val="en-US" w:eastAsia="zh-CN"/>
        </w:rPr>
        <w:t>附件二</w:t>
      </w:r>
    </w:p>
    <w:p w14:paraId="0FDB79F3">
      <w:pPr>
        <w:snapToGrid w:val="0"/>
        <w:spacing w:line="480" w:lineRule="auto"/>
        <w:ind w:right="480" w:firstLine="482"/>
        <w:jc w:val="center"/>
        <w:rPr>
          <w:rFonts w:hint="eastAsia" w:ascii="宋体" w:hAnsi="宋体" w:eastAsia="宋体" w:cs="宋体"/>
          <w:b/>
          <w:kern w:val="0"/>
          <w:sz w:val="28"/>
          <w:szCs w:val="28"/>
        </w:rPr>
      </w:pPr>
      <w:r>
        <w:rPr>
          <w:rFonts w:hint="eastAsia" w:ascii="宋体" w:hAnsi="宋体" w:eastAsia="宋体" w:cs="宋体"/>
          <w:b/>
          <w:kern w:val="0"/>
          <w:sz w:val="28"/>
          <w:szCs w:val="28"/>
        </w:rPr>
        <w:t>符合参加政府采购活动应当具备的一般条件的承诺函</w:t>
      </w:r>
    </w:p>
    <w:p w14:paraId="3243E83A">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u w:val="single"/>
        </w:rPr>
        <w:t>（招标人）、（招标代理机构）</w:t>
      </w:r>
      <w:r>
        <w:rPr>
          <w:rFonts w:hint="eastAsia" w:ascii="宋体" w:hAnsi="宋体" w:eastAsia="宋体" w:cs="宋体"/>
        </w:rPr>
        <w:t>：</w:t>
      </w:r>
    </w:p>
    <w:p w14:paraId="69EDA51F">
      <w:pPr>
        <w:snapToGrid w:val="0"/>
        <w:spacing w:line="480" w:lineRule="auto"/>
        <w:ind w:firstLine="480"/>
        <w:rPr>
          <w:rFonts w:hint="eastAsia" w:ascii="宋体" w:hAnsi="宋体" w:eastAsia="宋体" w:cs="宋体"/>
        </w:rPr>
      </w:pPr>
      <w:r>
        <w:rPr>
          <w:rFonts w:hint="eastAsia" w:ascii="宋体" w:hAnsi="宋体" w:eastAsia="宋体" w:cs="宋体"/>
        </w:rPr>
        <w:t>我方参与</w:t>
      </w:r>
      <w:r>
        <w:rPr>
          <w:rFonts w:hint="eastAsia" w:ascii="宋体" w:hAnsi="宋体" w:eastAsia="宋体" w:cs="宋体"/>
          <w:u w:val="single"/>
        </w:rPr>
        <w:t>（项目名称）</w:t>
      </w:r>
      <w:r>
        <w:rPr>
          <w:rFonts w:hint="eastAsia" w:cs="宋体"/>
          <w:u w:val="single"/>
          <w:lang w:eastAsia="zh-CN"/>
        </w:rPr>
        <w:t>（项目</w:t>
      </w:r>
      <w:r>
        <w:rPr>
          <w:rFonts w:hint="eastAsia" w:ascii="宋体" w:hAnsi="宋体" w:eastAsia="宋体" w:cs="宋体"/>
          <w:u w:val="single"/>
        </w:rPr>
        <w:t>编号：</w:t>
      </w:r>
      <w:r>
        <w:rPr>
          <w:rFonts w:hint="eastAsia" w:cs="宋体"/>
          <w:u w:val="single"/>
          <w:lang w:eastAsia="zh-CN"/>
        </w:rPr>
        <w:t>）</w:t>
      </w:r>
      <w:r>
        <w:rPr>
          <w:rFonts w:hint="eastAsia" w:cs="宋体"/>
          <w:lang w:eastAsia="zh-CN"/>
        </w:rPr>
        <w:t>的</w:t>
      </w:r>
      <w:r>
        <w:rPr>
          <w:rFonts w:hint="eastAsia" w:ascii="宋体" w:hAnsi="宋体" w:eastAsia="宋体" w:cs="宋体"/>
        </w:rPr>
        <w:t>招标活动，郑重承诺：</w:t>
      </w:r>
    </w:p>
    <w:p w14:paraId="3C589C19">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（一）具备《中华人民共和国政府采购法》第二十二条第一款规定的条件：</w:t>
      </w:r>
    </w:p>
    <w:p w14:paraId="7C2DA1E4">
      <w:pPr>
        <w:snapToGrid w:val="0"/>
        <w:spacing w:line="480" w:lineRule="auto"/>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具有独立承担民事责任的能力；</w:t>
      </w:r>
    </w:p>
    <w:p w14:paraId="1F232D06">
      <w:pPr>
        <w:snapToGrid w:val="0"/>
        <w:spacing w:line="480" w:lineRule="auto"/>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 xml:space="preserve">具有良好的商业信誉和健全的财务会计制度； </w:t>
      </w:r>
    </w:p>
    <w:p w14:paraId="3588EF05">
      <w:pPr>
        <w:snapToGrid w:val="0"/>
        <w:spacing w:line="480" w:lineRule="auto"/>
        <w:ind w:firstLine="480"/>
        <w:rPr>
          <w:rFonts w:hint="eastAsia" w:ascii="宋体" w:hAnsi="宋体" w:eastAsia="宋体" w:cs="宋体"/>
        </w:rPr>
      </w:pPr>
      <w:r>
        <w:rPr>
          <w:rFonts w:hint="eastAsia" w:ascii="宋体" w:hAnsi="宋体" w:eastAsia="宋体" w:cs="宋体"/>
        </w:rPr>
        <w:t>3</w:t>
      </w:r>
      <w:r>
        <w:rPr>
          <w:rFonts w:hint="eastAsia" w:cs="宋体"/>
          <w:lang w:eastAsia="zh-CN"/>
        </w:rPr>
        <w:t>.</w:t>
      </w:r>
      <w:r>
        <w:rPr>
          <w:rFonts w:hint="eastAsia" w:ascii="宋体" w:hAnsi="宋体" w:eastAsia="宋体" w:cs="宋体"/>
        </w:rPr>
        <w:t>具有履行合同所必需的设备和专业技术能力；</w:t>
      </w:r>
    </w:p>
    <w:p w14:paraId="457B0582">
      <w:pPr>
        <w:snapToGrid w:val="0"/>
        <w:spacing w:line="480" w:lineRule="auto"/>
        <w:ind w:firstLine="480"/>
        <w:rPr>
          <w:rFonts w:hint="eastAsia" w:ascii="宋体" w:hAnsi="宋体" w:eastAsia="宋体" w:cs="宋体"/>
        </w:rPr>
      </w:pPr>
      <w:r>
        <w:rPr>
          <w:rFonts w:hint="eastAsia" w:ascii="宋体" w:hAnsi="宋体" w:eastAsia="宋体" w:cs="宋体"/>
        </w:rPr>
        <w:t>4</w:t>
      </w:r>
      <w:r>
        <w:rPr>
          <w:rFonts w:hint="eastAsia" w:cs="宋体"/>
          <w:lang w:eastAsia="zh-CN"/>
        </w:rPr>
        <w:t>.</w:t>
      </w:r>
      <w:r>
        <w:rPr>
          <w:rFonts w:hint="eastAsia" w:ascii="宋体" w:hAnsi="宋体" w:eastAsia="宋体" w:cs="宋体"/>
        </w:rPr>
        <w:t>有依法缴纳税收和社会保障资金的良好记录；</w:t>
      </w:r>
    </w:p>
    <w:p w14:paraId="3710E650">
      <w:pPr>
        <w:snapToGrid w:val="0"/>
        <w:spacing w:line="480" w:lineRule="auto"/>
        <w:ind w:firstLine="480"/>
        <w:rPr>
          <w:rFonts w:hint="eastAsia" w:ascii="宋体" w:hAnsi="宋体" w:eastAsia="宋体" w:cs="宋体"/>
        </w:rPr>
      </w:pPr>
      <w:r>
        <w:rPr>
          <w:rFonts w:hint="eastAsia" w:ascii="宋体" w:hAnsi="宋体" w:eastAsia="宋体" w:cs="宋体"/>
        </w:rPr>
        <w:t>5</w:t>
      </w:r>
      <w:r>
        <w:rPr>
          <w:rFonts w:hint="eastAsia" w:cs="宋体"/>
          <w:lang w:eastAsia="zh-CN"/>
        </w:rPr>
        <w:t>.</w:t>
      </w:r>
      <w:r>
        <w:rPr>
          <w:rFonts w:hint="eastAsia" w:ascii="宋体" w:hAnsi="宋体" w:eastAsia="宋体" w:cs="宋体"/>
        </w:rPr>
        <w:t>参加招标活动前三年内，在经营活动中没有重大违法记录；</w:t>
      </w:r>
    </w:p>
    <w:p w14:paraId="0405C0FF">
      <w:pPr>
        <w:snapToGrid w:val="0"/>
        <w:spacing w:line="480" w:lineRule="auto"/>
        <w:ind w:firstLine="480"/>
        <w:rPr>
          <w:rFonts w:hint="eastAsia" w:ascii="宋体" w:hAnsi="宋体" w:eastAsia="宋体" w:cs="宋体"/>
        </w:rPr>
      </w:pPr>
      <w:r>
        <w:rPr>
          <w:rFonts w:hint="eastAsia" w:ascii="宋体" w:hAnsi="宋体" w:eastAsia="宋体" w:cs="宋体"/>
        </w:rPr>
        <w:t>6</w:t>
      </w:r>
      <w:r>
        <w:rPr>
          <w:rFonts w:hint="eastAsia" w:cs="宋体"/>
          <w:lang w:eastAsia="zh-CN"/>
        </w:rPr>
        <w:t>.</w:t>
      </w:r>
      <w:r>
        <w:rPr>
          <w:rFonts w:hint="eastAsia" w:ascii="宋体" w:hAnsi="宋体" w:eastAsia="宋体" w:cs="宋体"/>
        </w:rPr>
        <w:t>具有法律、行政法规规定的其他条件。</w:t>
      </w:r>
    </w:p>
    <w:p w14:paraId="72BC4C2E">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（二）未被信用中国（www.creditchina.gov.cn)、中国政府采购网（www.ccgp.gov.cn）列入失信被执行人、重大税收违法案件当事人名单、政府采购严重违法失信行为记录名单。</w:t>
      </w:r>
    </w:p>
    <w:p w14:paraId="216C671D">
      <w:pPr>
        <w:snapToGrid w:val="0"/>
        <w:spacing w:line="480" w:lineRule="auto"/>
        <w:ind w:left="0" w:leftChars="0" w:firstLine="0" w:firstLineChars="0"/>
        <w:rPr>
          <w:rFonts w:hint="eastAsia" w:ascii="宋体" w:hAnsi="宋体" w:eastAsia="宋体" w:cs="宋体"/>
        </w:rPr>
      </w:pPr>
      <w:r>
        <w:rPr>
          <w:rFonts w:hint="eastAsia" w:ascii="宋体" w:hAnsi="宋体" w:eastAsia="宋体" w:cs="宋体"/>
        </w:rPr>
        <w:t>（三）不存在以下情况：</w:t>
      </w:r>
    </w:p>
    <w:p w14:paraId="62F105DD">
      <w:pPr>
        <w:snapToGrid w:val="0"/>
        <w:spacing w:line="480" w:lineRule="auto"/>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单位负责人为同一人或者存在直接控股、管理关系的不同</w:t>
      </w:r>
      <w:r>
        <w:rPr>
          <w:rFonts w:hint="eastAsia" w:cs="宋体"/>
          <w:lang w:eastAsia="zh-CN"/>
        </w:rPr>
        <w:t>投</w:t>
      </w:r>
      <w:r>
        <w:rPr>
          <w:rFonts w:hint="eastAsia" w:ascii="宋体" w:hAnsi="宋体" w:eastAsia="宋体" w:cs="宋体"/>
        </w:rPr>
        <w:t>标人参加同一合同项下的招标活动的；</w:t>
      </w:r>
    </w:p>
    <w:p w14:paraId="654D7B30">
      <w:pPr>
        <w:snapToGrid w:val="0"/>
        <w:spacing w:line="480" w:lineRule="auto"/>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为招标项目提供整体设计、规范编制或者项目管理、监理、检测等服务后再参加该招标项目的其他招标活动的。</w:t>
      </w:r>
    </w:p>
    <w:p w14:paraId="1C92B6C9">
      <w:pPr>
        <w:rPr>
          <w:rFonts w:hint="eastAsia"/>
        </w:rPr>
      </w:pPr>
    </w:p>
    <w:p w14:paraId="13070D40">
      <w:pPr>
        <w:spacing w:line="480" w:lineRule="auto"/>
        <w:ind w:left="0" w:leftChars="0" w:firstLine="0" w:firstLineChars="0"/>
        <w:jc w:val="both"/>
        <w:rPr>
          <w:rFonts w:hint="eastAsia" w:ascii="宋体" w:hAnsi="宋体" w:eastAsia="宋体" w:cs="宋体"/>
        </w:rPr>
      </w:pPr>
      <w:r>
        <w:rPr>
          <w:rFonts w:hint="eastAsia" w:ascii="宋体" w:hAnsi="宋体" w:eastAsia="宋体" w:cs="宋体"/>
        </w:rPr>
        <w:t>投标人名称（公章）：</w:t>
      </w:r>
    </w:p>
    <w:p w14:paraId="1D3AD026">
      <w:pPr>
        <w:spacing w:line="480" w:lineRule="auto"/>
        <w:ind w:left="0" w:leftChars="0" w:firstLine="0" w:firstLineChars="0"/>
        <w:jc w:val="both"/>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660C84F4">
      <w:pPr>
        <w:spacing w:line="480" w:lineRule="auto"/>
        <w:ind w:left="0" w:leftChars="0" w:firstLine="0" w:firstLineChars="0"/>
        <w:jc w:val="left"/>
        <w:rPr>
          <w:rFonts w:hint="eastAsia" w:ascii="宋体" w:hAnsi="宋体" w:eastAsia="宋体" w:cs="宋体"/>
        </w:rPr>
      </w:pPr>
      <w:r>
        <w:rPr>
          <w:rFonts w:hint="eastAsia" w:ascii="宋体" w:hAnsi="宋体" w:eastAsia="宋体" w:cs="宋体"/>
        </w:rPr>
        <w:t>日期：  年   月   日</w:t>
      </w:r>
    </w:p>
    <w:p w14:paraId="6D5DC516">
      <w:pPr>
        <w:pStyle w:val="79"/>
        <w:rPr>
          <w:rFonts w:hint="eastAsia" w:ascii="宋体" w:hAnsi="宋体" w:eastAsia="宋体" w:cs="宋体"/>
        </w:rPr>
      </w:pPr>
    </w:p>
    <w:p w14:paraId="271C8B6E">
      <w:pPr>
        <w:pStyle w:val="79"/>
        <w:rPr>
          <w:rFonts w:hint="eastAsia" w:ascii="宋体" w:hAnsi="宋体" w:eastAsia="宋体" w:cs="宋体"/>
          <w:color w:val="auto"/>
        </w:rPr>
      </w:pPr>
    </w:p>
    <w:p w14:paraId="364D8CBB">
      <w:pPr>
        <w:pStyle w:val="79"/>
        <w:rPr>
          <w:rFonts w:hint="eastAsia" w:ascii="宋体" w:hAnsi="宋体" w:eastAsia="宋体" w:cs="宋体"/>
          <w:color w:val="auto"/>
        </w:rPr>
      </w:pPr>
    </w:p>
    <w:p w14:paraId="15F66439">
      <w:pPr>
        <w:pStyle w:val="2"/>
        <w:jc w:val="left"/>
        <w:rPr>
          <w:rFonts w:hint="eastAsia" w:cs="宋体"/>
          <w:sz w:val="24"/>
          <w:szCs w:val="24"/>
          <w:lang w:eastAsia="zh-CN"/>
        </w:rPr>
        <w:sectPr>
          <w:pgSz w:w="11907" w:h="16840"/>
          <w:pgMar w:top="1247" w:right="1304" w:bottom="1021" w:left="1304" w:header="720" w:footer="720" w:gutter="0"/>
          <w:pgNumType w:fmt="decimal"/>
          <w:cols w:space="720" w:num="1"/>
          <w:rtlGutter w:val="1"/>
          <w:docGrid w:linePitch="286" w:charSpace="0"/>
        </w:sectPr>
      </w:pPr>
    </w:p>
    <w:p w14:paraId="49F2CDD7">
      <w:pPr>
        <w:ind w:left="0" w:leftChars="0" w:firstLine="0" w:firstLineChars="0"/>
        <w:rPr>
          <w:rFonts w:hint="eastAsia"/>
          <w:b/>
          <w:bCs/>
          <w:lang w:eastAsia="zh-CN"/>
        </w:rPr>
      </w:pPr>
      <w:r>
        <w:rPr>
          <w:rFonts w:hint="eastAsia"/>
          <w:b/>
          <w:bCs/>
          <w:lang w:eastAsia="zh-CN"/>
        </w:rPr>
        <w:t>附件三</w:t>
      </w:r>
    </w:p>
    <w:p w14:paraId="29E555AE">
      <w:pPr>
        <w:bidi w:val="0"/>
        <w:ind w:left="0" w:leftChars="0" w:firstLine="0" w:firstLineChars="0"/>
        <w:jc w:val="center"/>
        <w:rPr>
          <w:rFonts w:hint="eastAsia"/>
          <w:lang w:eastAsia="zh-CN"/>
        </w:rPr>
      </w:pPr>
      <w:r>
        <w:rPr>
          <w:rFonts w:hint="eastAsia"/>
          <w:b/>
          <w:bCs/>
          <w:sz w:val="28"/>
          <w:szCs w:val="28"/>
          <w:lang w:eastAsia="zh-CN"/>
        </w:rPr>
        <w:t>投标人股权信息表</w:t>
      </w:r>
    </w:p>
    <w:tbl>
      <w:tblPr>
        <w:tblStyle w:val="44"/>
        <w:tblW w:w="953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11"/>
        <w:gridCol w:w="1541"/>
        <w:gridCol w:w="1514"/>
        <w:gridCol w:w="2018"/>
        <w:gridCol w:w="1171"/>
        <w:gridCol w:w="1227"/>
        <w:gridCol w:w="1350"/>
      </w:tblGrid>
      <w:tr w14:paraId="689C50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5"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54592E7">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投标人股权信息表</w:t>
            </w:r>
          </w:p>
        </w:tc>
      </w:tr>
      <w:tr w14:paraId="0C7532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0B2C64BD">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项目编号：</w:t>
            </w:r>
          </w:p>
        </w:tc>
      </w:tr>
      <w:tr w14:paraId="3E55D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54D0C2EA">
            <w:pPr>
              <w:keepNext w:val="0"/>
              <w:keepLines w:val="0"/>
              <w:pageBreakBefore w:val="0"/>
              <w:kinsoku/>
              <w:wordWrap/>
              <w:overflowPunct/>
              <w:topLinePunct w:val="0"/>
              <w:autoSpaceDE/>
              <w:autoSpaceDN/>
              <w:bidi w:val="0"/>
              <w:adjustRightInd w:val="0"/>
              <w:snapToGrid w:val="0"/>
              <w:spacing w:line="440" w:lineRule="exact"/>
              <w:ind w:left="0" w:leftChars="0" w:firstLine="0" w:firstLineChars="0"/>
              <w:jc w:val="left"/>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r>
      <w:tr w14:paraId="4882B4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6"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0E09E">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DF68">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投标人名称</w:t>
            </w:r>
          </w:p>
        </w:tc>
        <w:tc>
          <w:tcPr>
            <w:tcW w:w="1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E3B7A">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p>
        </w:tc>
        <w:tc>
          <w:tcPr>
            <w:tcW w:w="2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EE83E">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股东（股权比例）</w:t>
            </w: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CB07D">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董事</w:t>
            </w: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16CBC">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监事</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650DE0">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授权代表</w:t>
            </w:r>
          </w:p>
        </w:tc>
      </w:tr>
      <w:tr w14:paraId="0A18C5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1" w:hRule="atLeast"/>
        </w:trPr>
        <w:tc>
          <w:tcPr>
            <w:tcW w:w="7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D00C5">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154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D15E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51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A4591">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20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7473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17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AAFE9">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2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15F4C">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FE6BA">
            <w:pPr>
              <w:keepNext w:val="0"/>
              <w:keepLines w:val="0"/>
              <w:pageBreakBefore w:val="0"/>
              <w:kinsoku/>
              <w:wordWrap/>
              <w:overflowPunct/>
              <w:topLinePunct w:val="0"/>
              <w:autoSpaceDE/>
              <w:autoSpaceDN/>
              <w:bidi w:val="0"/>
              <w:adjustRightInd w:val="0"/>
              <w:snapToGrid w:val="0"/>
              <w:spacing w:line="440" w:lineRule="exact"/>
              <w:jc w:val="center"/>
              <w:rPr>
                <w:rFonts w:hint="eastAsia" w:ascii="宋体" w:hAnsi="宋体" w:eastAsia="宋体" w:cs="宋体"/>
                <w:i w:val="0"/>
                <w:iCs w:val="0"/>
                <w:color w:val="000000"/>
                <w:sz w:val="24"/>
                <w:szCs w:val="24"/>
                <w:u w:val="none"/>
              </w:rPr>
            </w:pPr>
          </w:p>
        </w:tc>
      </w:tr>
      <w:tr w14:paraId="397D6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4CE4B7">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投标人全称（盖章）：</w:t>
            </w:r>
          </w:p>
        </w:tc>
      </w:tr>
      <w:tr w14:paraId="551058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8" w:hRule="atLeast"/>
        </w:trPr>
        <w:tc>
          <w:tcPr>
            <w:tcW w:w="9532"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72CEE1">
            <w:pPr>
              <w:keepNext w:val="0"/>
              <w:keepLines w:val="0"/>
              <w:pageBreakBefore w:val="0"/>
              <w:widowControl/>
              <w:suppressLineNumbers w:val="0"/>
              <w:kinsoku/>
              <w:wordWrap/>
              <w:overflowPunct/>
              <w:topLinePunct w:val="0"/>
              <w:autoSpaceDE/>
              <w:autoSpaceDN/>
              <w:bidi w:val="0"/>
              <w:adjustRightInd w:val="0"/>
              <w:snapToGrid w:val="0"/>
              <w:spacing w:line="440" w:lineRule="exact"/>
              <w:ind w:left="0" w:leftChars="0" w:firstLine="0" w:firstLineChars="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法定代表人或</w:t>
            </w:r>
            <w:r>
              <w:rPr>
                <w:rFonts w:hint="eastAsia" w:cs="宋体"/>
                <w:i w:val="0"/>
                <w:iCs w:val="0"/>
                <w:color w:val="000000"/>
                <w:kern w:val="0"/>
                <w:sz w:val="24"/>
                <w:szCs w:val="24"/>
                <w:u w:val="none"/>
                <w:lang w:val="en-US" w:eastAsia="zh-CN" w:bidi="ar"/>
              </w:rPr>
              <w:t>其</w:t>
            </w:r>
            <w:r>
              <w:rPr>
                <w:rFonts w:hint="eastAsia" w:ascii="宋体" w:hAnsi="宋体" w:eastAsia="宋体" w:cs="宋体"/>
                <w:i w:val="0"/>
                <w:iCs w:val="0"/>
                <w:color w:val="000000"/>
                <w:kern w:val="0"/>
                <w:sz w:val="24"/>
                <w:szCs w:val="24"/>
                <w:u w:val="none"/>
                <w:lang w:val="en-US" w:eastAsia="zh-CN" w:bidi="ar"/>
              </w:rPr>
              <w:t>授权代表</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签字</w:t>
            </w:r>
            <w:r>
              <w:rPr>
                <w:rFonts w:hint="eastAsia"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 xml:space="preserve">：                                            </w:t>
            </w:r>
          </w:p>
        </w:tc>
      </w:tr>
    </w:tbl>
    <w:p w14:paraId="05A2AB10">
      <w:pPr>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p>
    <w:p w14:paraId="240CC69C">
      <w:pPr>
        <w:pStyle w:val="29"/>
        <w:rPr>
          <w:rFonts w:hint="eastAsia" w:cs="宋体"/>
          <w:b/>
          <w:bCs/>
          <w:sz w:val="24"/>
          <w:szCs w:val="24"/>
        </w:rPr>
      </w:pPr>
      <w:r>
        <w:rPr>
          <w:rFonts w:hint="eastAsia"/>
          <w:b/>
          <w:bCs/>
          <w:lang w:eastAsia="zh-CN"/>
        </w:rPr>
        <w:t>附件四、</w:t>
      </w:r>
      <w:r>
        <w:rPr>
          <w:rFonts w:hint="eastAsia" w:cs="宋体"/>
          <w:b/>
          <w:bCs/>
          <w:sz w:val="24"/>
          <w:szCs w:val="24"/>
        </w:rPr>
        <w:t>法定代表人</w:t>
      </w:r>
      <w:r>
        <w:rPr>
          <w:rFonts w:hint="eastAsia" w:cs="宋体"/>
          <w:b/>
          <w:bCs/>
          <w:sz w:val="24"/>
          <w:szCs w:val="24"/>
          <w:lang w:eastAsia="zh-CN"/>
        </w:rPr>
        <w:t>有效身份</w:t>
      </w:r>
      <w:r>
        <w:rPr>
          <w:rFonts w:hint="eastAsia" w:cs="宋体"/>
          <w:b/>
          <w:bCs/>
          <w:sz w:val="24"/>
          <w:szCs w:val="24"/>
        </w:rPr>
        <w:t>证明书和法定代表人授权委托书</w:t>
      </w:r>
    </w:p>
    <w:p w14:paraId="50DF24AF">
      <w:pPr>
        <w:bidi w:val="0"/>
        <w:spacing w:line="480" w:lineRule="auto"/>
        <w:ind w:left="0" w:leftChars="0" w:firstLine="0" w:firstLineChars="0"/>
        <w:jc w:val="center"/>
        <w:rPr>
          <w:rFonts w:hint="eastAsia"/>
          <w:lang w:eastAsia="zh-CN"/>
        </w:rPr>
      </w:pPr>
      <w:r>
        <w:rPr>
          <w:rFonts w:hint="eastAsia" w:cs="宋体"/>
          <w:b/>
          <w:bCs/>
          <w:sz w:val="28"/>
          <w:szCs w:val="28"/>
        </w:rPr>
        <w:t>法定代表人</w:t>
      </w:r>
      <w:r>
        <w:rPr>
          <w:rFonts w:hint="eastAsia" w:cs="宋体"/>
          <w:b/>
          <w:bCs/>
          <w:sz w:val="28"/>
          <w:szCs w:val="28"/>
          <w:lang w:eastAsia="zh-CN"/>
        </w:rPr>
        <w:t>有效身份</w:t>
      </w:r>
      <w:r>
        <w:rPr>
          <w:rFonts w:hint="eastAsia" w:cs="宋体"/>
          <w:b/>
          <w:bCs/>
          <w:sz w:val="28"/>
          <w:szCs w:val="28"/>
        </w:rPr>
        <w:t>证明书</w:t>
      </w:r>
    </w:p>
    <w:p w14:paraId="74FD482C">
      <w:pPr>
        <w:spacing w:line="480" w:lineRule="auto"/>
        <w:ind w:left="0" w:leftChars="0" w:firstLine="0" w:firstLineChars="0"/>
        <w:rPr>
          <w:rFonts w:hint="eastAsia" w:ascii="宋体" w:hAnsi="宋体" w:eastAsia="宋体" w:cs="宋体"/>
          <w:bCs/>
          <w:spacing w:val="-6"/>
          <w:lang w:eastAsia="zh-CN"/>
        </w:rPr>
      </w:pPr>
      <w:r>
        <w:rPr>
          <w:rFonts w:hint="eastAsia" w:ascii="宋体" w:hAnsi="宋体" w:eastAsia="宋体" w:cs="宋体"/>
          <w:bCs/>
          <w:spacing w:val="-6"/>
        </w:rPr>
        <w:t>致：</w:t>
      </w:r>
      <w:r>
        <w:rPr>
          <w:rFonts w:hint="eastAsia" w:ascii="宋体" w:hAnsi="宋体" w:eastAsia="宋体" w:cs="宋体"/>
          <w:bCs/>
          <w:spacing w:val="-6"/>
          <w:u w:val="single"/>
          <w:lang w:eastAsia="zh-CN"/>
        </w:rPr>
        <w:t>（</w:t>
      </w:r>
      <w:r>
        <w:rPr>
          <w:rFonts w:hint="eastAsia" w:cs="宋体"/>
          <w:bCs/>
          <w:spacing w:val="-6"/>
          <w:u w:val="single"/>
          <w:lang w:eastAsia="zh-CN"/>
        </w:rPr>
        <w:t>招标人</w:t>
      </w:r>
      <w:r>
        <w:rPr>
          <w:rFonts w:hint="eastAsia" w:ascii="宋体" w:hAnsi="宋体" w:eastAsia="宋体" w:cs="宋体"/>
          <w:bCs/>
          <w:spacing w:val="-6"/>
          <w:u w:val="single"/>
          <w:lang w:eastAsia="zh-CN"/>
        </w:rPr>
        <w:t>）（代理机构）</w:t>
      </w:r>
    </w:p>
    <w:p w14:paraId="4A1598BD">
      <w:pPr>
        <w:spacing w:line="480" w:lineRule="auto"/>
        <w:ind w:firstLine="456"/>
        <w:rPr>
          <w:rFonts w:hint="eastAsia" w:ascii="宋体" w:hAnsi="宋体" w:eastAsia="宋体" w:cs="宋体"/>
          <w:bCs/>
          <w:spacing w:val="-6"/>
        </w:rPr>
      </w:pPr>
      <w:r>
        <w:rPr>
          <w:rFonts w:hint="eastAsia" w:ascii="宋体" w:hAnsi="宋体" w:eastAsia="宋体" w:cs="宋体"/>
          <w:bCs/>
          <w:spacing w:val="-6"/>
        </w:rPr>
        <w:t>我</w:t>
      </w:r>
      <w:r>
        <w:rPr>
          <w:rFonts w:hint="eastAsia" w:ascii="宋体" w:hAnsi="宋体" w:eastAsia="宋体" w:cs="宋体"/>
          <w:spacing w:val="-6"/>
        </w:rPr>
        <w:t>____________</w:t>
      </w:r>
      <w:r>
        <w:rPr>
          <w:rFonts w:hint="eastAsia" w:ascii="宋体" w:hAnsi="宋体" w:eastAsia="宋体" w:cs="宋体"/>
          <w:bCs/>
          <w:spacing w:val="-6"/>
        </w:rPr>
        <w:t>（姓名）系_______________________</w:t>
      </w:r>
      <w:r>
        <w:rPr>
          <w:rFonts w:hint="eastAsia" w:ascii="宋体" w:hAnsi="宋体" w:eastAsia="宋体" w:cs="宋体"/>
          <w:bCs/>
          <w:spacing w:val="-6"/>
          <w:lang w:eastAsia="zh-CN"/>
        </w:rPr>
        <w:t>（单位名称）</w:t>
      </w:r>
      <w:r>
        <w:rPr>
          <w:rFonts w:hint="eastAsia" w:ascii="宋体" w:hAnsi="宋体" w:eastAsia="宋体" w:cs="宋体"/>
          <w:bCs/>
          <w:spacing w:val="-6"/>
        </w:rPr>
        <w:t>的法定代表人，身份证号码：_________________________________。</w:t>
      </w:r>
    </w:p>
    <w:p w14:paraId="496C6EEE">
      <w:pPr>
        <w:spacing w:line="480" w:lineRule="auto"/>
        <w:ind w:firstLine="456"/>
        <w:rPr>
          <w:rFonts w:hint="eastAsia" w:ascii="宋体" w:hAnsi="宋体" w:eastAsia="宋体" w:cs="宋体"/>
          <w:bCs/>
          <w:spacing w:val="-6"/>
        </w:rPr>
      </w:pPr>
      <w:r>
        <w:rPr>
          <w:rFonts w:hint="eastAsia" w:ascii="宋体" w:hAnsi="宋体" w:eastAsia="宋体" w:cs="宋体"/>
          <w:bCs/>
          <w:spacing w:val="-6"/>
        </w:rPr>
        <w:t>特此证明。</w:t>
      </w:r>
    </w:p>
    <w:p w14:paraId="6E89D62C">
      <w:pPr>
        <w:ind w:firstLine="456"/>
        <w:rPr>
          <w:rFonts w:hint="eastAsia" w:ascii="宋体" w:hAnsi="宋体" w:eastAsia="宋体" w:cs="宋体"/>
          <w:bCs/>
          <w:spacing w:val="-6"/>
        </w:rPr>
      </w:pPr>
    </w:p>
    <w:tbl>
      <w:tblPr>
        <w:tblStyle w:val="44"/>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14:paraId="759C9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5" w:hRule="atLeast"/>
        </w:trPr>
        <w:tc>
          <w:tcPr>
            <w:tcW w:w="9498" w:type="dxa"/>
            <w:vAlign w:val="top"/>
          </w:tcPr>
          <w:p w14:paraId="3E0FA1B6">
            <w:pPr>
              <w:ind w:firstLine="480"/>
              <w:rPr>
                <w:rFonts w:hint="eastAsia" w:ascii="宋体" w:hAnsi="宋体" w:eastAsia="宋体" w:cs="宋体"/>
              </w:rPr>
            </w:pPr>
          </w:p>
          <w:p w14:paraId="64C2259F">
            <w:pPr>
              <w:ind w:firstLine="480"/>
              <w:rPr>
                <w:rFonts w:hint="eastAsia" w:ascii="宋体" w:hAnsi="宋体" w:eastAsia="宋体" w:cs="宋体"/>
              </w:rPr>
            </w:pPr>
          </w:p>
          <w:p w14:paraId="2AB244D0">
            <w:pPr>
              <w:ind w:firstLine="480"/>
              <w:rPr>
                <w:rFonts w:hint="eastAsia" w:ascii="宋体" w:hAnsi="宋体" w:eastAsia="宋体" w:cs="宋体"/>
              </w:rPr>
            </w:pPr>
          </w:p>
          <w:p w14:paraId="0FFA52F8">
            <w:pPr>
              <w:ind w:firstLine="2409" w:firstLineChars="1000"/>
              <w:rPr>
                <w:rFonts w:hint="eastAsia" w:ascii="宋体" w:hAnsi="宋体" w:eastAsia="宋体" w:cs="宋体"/>
                <w:b/>
                <w:bCs/>
                <w:lang w:eastAsia="zh-CN"/>
              </w:rPr>
            </w:pPr>
            <w:r>
              <w:rPr>
                <w:rFonts w:hint="eastAsia" w:ascii="宋体" w:hAnsi="宋体" w:eastAsia="宋体" w:cs="宋体"/>
                <w:b/>
                <w:bCs/>
                <w:lang w:eastAsia="zh-CN"/>
              </w:rPr>
              <w:t>法定代表人有效身份证明复印件粘贴处</w:t>
            </w:r>
          </w:p>
          <w:p w14:paraId="037C212A">
            <w:pPr>
              <w:ind w:firstLine="480"/>
              <w:rPr>
                <w:rFonts w:hint="eastAsia" w:ascii="宋体" w:hAnsi="宋体" w:eastAsia="宋体" w:cs="宋体"/>
              </w:rPr>
            </w:pPr>
          </w:p>
          <w:p w14:paraId="32486D13">
            <w:pPr>
              <w:ind w:firstLine="480"/>
              <w:rPr>
                <w:rFonts w:hint="eastAsia" w:ascii="宋体" w:hAnsi="宋体" w:eastAsia="宋体" w:cs="宋体"/>
              </w:rPr>
            </w:pPr>
          </w:p>
          <w:p w14:paraId="08E7A232">
            <w:pPr>
              <w:ind w:firstLine="456"/>
              <w:rPr>
                <w:rFonts w:hint="eastAsia" w:ascii="宋体" w:hAnsi="宋体" w:eastAsia="宋体" w:cs="宋体"/>
                <w:bCs/>
                <w:spacing w:val="-6"/>
              </w:rPr>
            </w:pPr>
          </w:p>
        </w:tc>
      </w:tr>
    </w:tbl>
    <w:p w14:paraId="27171A68">
      <w:pPr>
        <w:ind w:firstLine="456"/>
        <w:rPr>
          <w:rFonts w:hint="eastAsia" w:ascii="宋体" w:hAnsi="宋体" w:eastAsia="宋体" w:cs="宋体"/>
          <w:bCs/>
          <w:spacing w:val="-6"/>
        </w:rPr>
      </w:pPr>
    </w:p>
    <w:p w14:paraId="59ED917A">
      <w:pPr>
        <w:ind w:right="456" w:firstLine="458"/>
        <w:rPr>
          <w:rFonts w:hint="eastAsia" w:ascii="宋体" w:hAnsi="宋体" w:eastAsia="宋体" w:cs="宋体"/>
          <w:b/>
          <w:bCs/>
          <w:spacing w:val="-6"/>
        </w:rPr>
      </w:pPr>
    </w:p>
    <w:p w14:paraId="43DCCCE0">
      <w:pPr>
        <w:ind w:right="456" w:firstLine="458"/>
        <w:rPr>
          <w:rFonts w:hint="eastAsia" w:ascii="宋体" w:hAnsi="宋体" w:eastAsia="宋体" w:cs="宋体"/>
          <w:b/>
          <w:bCs/>
          <w:spacing w:val="-6"/>
        </w:rPr>
      </w:pPr>
    </w:p>
    <w:p w14:paraId="4067EE1D">
      <w:pPr>
        <w:ind w:right="456" w:firstLine="458"/>
        <w:rPr>
          <w:rFonts w:hint="eastAsia" w:ascii="宋体" w:hAnsi="宋体" w:eastAsia="宋体" w:cs="宋体"/>
          <w:b/>
          <w:bCs/>
          <w:spacing w:val="-6"/>
        </w:rPr>
      </w:pPr>
    </w:p>
    <w:p w14:paraId="129060BC">
      <w:pPr>
        <w:spacing w:line="480" w:lineRule="auto"/>
        <w:ind w:firstLine="480"/>
        <w:rPr>
          <w:rFonts w:hint="eastAsia" w:ascii="宋体" w:hAnsi="宋体" w:eastAsia="宋体" w:cs="宋体"/>
        </w:rPr>
      </w:pPr>
      <w:r>
        <w:rPr>
          <w:rFonts w:hint="eastAsia" w:ascii="宋体" w:hAnsi="宋体" w:eastAsia="宋体" w:cs="宋体"/>
        </w:rPr>
        <w:t>投标人名称（公章）：</w:t>
      </w:r>
    </w:p>
    <w:p w14:paraId="1F415DD7">
      <w:pPr>
        <w:spacing w:line="480" w:lineRule="auto"/>
        <w:ind w:firstLine="480"/>
        <w:rPr>
          <w:rFonts w:hint="eastAsia" w:ascii="宋体" w:hAnsi="宋体" w:eastAsia="宋体" w:cs="宋体"/>
        </w:rPr>
      </w:pPr>
      <w:r>
        <w:rPr>
          <w:rFonts w:hint="eastAsia" w:ascii="宋体" w:hAnsi="宋体" w:eastAsia="宋体" w:cs="宋体"/>
        </w:rPr>
        <w:t>法定代表人</w:t>
      </w:r>
      <w:r>
        <w:rPr>
          <w:rFonts w:hint="eastAsia" w:cs="宋体"/>
          <w:lang w:eastAsia="zh-CN"/>
        </w:rPr>
        <w:t>或其授权代表</w:t>
      </w:r>
      <w:r>
        <w:rPr>
          <w:rFonts w:hint="eastAsia" w:ascii="宋体" w:hAnsi="宋体" w:eastAsia="宋体" w:cs="宋体"/>
        </w:rPr>
        <w:t>（签字）：</w:t>
      </w:r>
    </w:p>
    <w:p w14:paraId="5C059750">
      <w:pPr>
        <w:spacing w:line="480" w:lineRule="auto"/>
        <w:ind w:firstLine="480"/>
        <w:rPr>
          <w:rFonts w:hint="eastAsia" w:ascii="宋体" w:hAnsi="宋体" w:eastAsia="宋体" w:cs="宋体"/>
        </w:rPr>
      </w:pPr>
      <w:r>
        <w:rPr>
          <w:rFonts w:hint="eastAsia" w:ascii="宋体" w:hAnsi="宋体" w:eastAsia="宋体" w:cs="宋体"/>
        </w:rPr>
        <w:t>日期：  年   月   日</w:t>
      </w:r>
    </w:p>
    <w:p w14:paraId="7F0394FD">
      <w:pPr>
        <w:tabs>
          <w:tab w:val="left" w:pos="326"/>
        </w:tabs>
        <w:bidi w:val="0"/>
        <w:jc w:val="left"/>
        <w:rPr>
          <w:rFonts w:hint="eastAsia" w:ascii="宋体" w:hAnsi="宋体" w:eastAsia="宋体" w:cs="Times New Roman"/>
          <w:kern w:val="2"/>
          <w:sz w:val="24"/>
          <w:szCs w:val="24"/>
          <w:lang w:val="en-US" w:eastAsia="zh-CN" w:bidi="ar-SA"/>
        </w:rPr>
        <w:sectPr>
          <w:pgSz w:w="11907" w:h="16840"/>
          <w:pgMar w:top="1247" w:right="1304" w:bottom="1021" w:left="1304" w:header="720" w:footer="720" w:gutter="0"/>
          <w:pgNumType w:fmt="decimal"/>
          <w:cols w:space="720" w:num="1"/>
          <w:rtlGutter w:val="1"/>
          <w:docGrid w:linePitch="286" w:charSpace="0"/>
        </w:sectPr>
      </w:pPr>
    </w:p>
    <w:p w14:paraId="716B71CA">
      <w:pPr>
        <w:spacing w:line="480" w:lineRule="auto"/>
        <w:ind w:left="0" w:leftChars="0" w:firstLine="0" w:firstLineChars="0"/>
        <w:jc w:val="center"/>
        <w:rPr>
          <w:rFonts w:hint="eastAsia"/>
          <w:lang w:eastAsia="zh-CN"/>
        </w:rPr>
      </w:pPr>
      <w:r>
        <w:rPr>
          <w:rFonts w:hint="eastAsia" w:cs="宋体"/>
          <w:b/>
          <w:bCs/>
          <w:sz w:val="28"/>
          <w:szCs w:val="28"/>
        </w:rPr>
        <w:t>法定代表人授权委托书</w:t>
      </w:r>
    </w:p>
    <w:p w14:paraId="3297F0FC">
      <w:pPr>
        <w:spacing w:line="480" w:lineRule="auto"/>
        <w:ind w:left="0" w:leftChars="0" w:firstLine="480" w:firstLineChars="200"/>
        <w:rPr>
          <w:rFonts w:hint="eastAsia" w:cs="宋体"/>
          <w:sz w:val="24"/>
          <w:szCs w:val="24"/>
        </w:rPr>
      </w:pPr>
      <w:r>
        <w:rPr>
          <w:rFonts w:hint="eastAsia" w:cs="宋体"/>
          <w:sz w:val="24"/>
          <w:szCs w:val="24"/>
        </w:rPr>
        <w:t>本授权委托书声明，我</w:t>
      </w:r>
      <w:r>
        <w:rPr>
          <w:rFonts w:hint="eastAsia" w:cs="宋体"/>
          <w:sz w:val="24"/>
          <w:szCs w:val="24"/>
          <w:u w:val="single"/>
        </w:rPr>
        <w:t xml:space="preserve">        </w:t>
      </w:r>
      <w:r>
        <w:rPr>
          <w:rFonts w:hint="eastAsia" w:cs="宋体"/>
          <w:sz w:val="24"/>
          <w:szCs w:val="24"/>
        </w:rPr>
        <w:t>（姓名）系</w:t>
      </w:r>
      <w:r>
        <w:rPr>
          <w:rFonts w:hint="eastAsia" w:cs="宋体"/>
          <w:sz w:val="24"/>
          <w:szCs w:val="24"/>
          <w:u w:val="single"/>
        </w:rPr>
        <w:t xml:space="preserve">        </w:t>
      </w:r>
      <w:r>
        <w:rPr>
          <w:rFonts w:hint="eastAsia" w:cs="宋体"/>
          <w:sz w:val="24"/>
          <w:szCs w:val="24"/>
        </w:rPr>
        <w:t>（</w:t>
      </w:r>
      <w:r>
        <w:rPr>
          <w:rFonts w:hint="eastAsia" w:cs="宋体"/>
          <w:sz w:val="24"/>
          <w:szCs w:val="24"/>
          <w:lang w:eastAsia="zh-CN"/>
        </w:rPr>
        <w:t>投标人</w:t>
      </w:r>
      <w:r>
        <w:rPr>
          <w:rFonts w:hint="eastAsia" w:cs="宋体"/>
          <w:sz w:val="24"/>
          <w:szCs w:val="24"/>
        </w:rPr>
        <w:t>名称）的法定代表人，现授权委托</w:t>
      </w:r>
      <w:r>
        <w:rPr>
          <w:rFonts w:hint="eastAsia" w:cs="宋体"/>
          <w:sz w:val="24"/>
          <w:szCs w:val="24"/>
          <w:u w:val="single"/>
        </w:rPr>
        <w:t xml:space="preserve">        </w:t>
      </w:r>
      <w:r>
        <w:rPr>
          <w:rFonts w:hint="eastAsia" w:cs="宋体"/>
          <w:sz w:val="24"/>
          <w:szCs w:val="24"/>
        </w:rPr>
        <w:t>（姓名）为我单位</w:t>
      </w:r>
      <w:r>
        <w:rPr>
          <w:rFonts w:hint="eastAsia" w:cs="宋体"/>
          <w:sz w:val="24"/>
          <w:szCs w:val="24"/>
          <w:lang w:eastAsia="zh-CN"/>
        </w:rPr>
        <w:t>授权代表</w:t>
      </w:r>
      <w:r>
        <w:rPr>
          <w:rFonts w:hint="eastAsia" w:cs="宋体"/>
          <w:sz w:val="24"/>
          <w:szCs w:val="24"/>
        </w:rPr>
        <w:t>，以本单位的名义参加</w:t>
      </w:r>
      <w:r>
        <w:rPr>
          <w:rFonts w:hint="eastAsia" w:cs="宋体"/>
          <w:sz w:val="24"/>
          <w:szCs w:val="24"/>
          <w:u w:val="single"/>
        </w:rPr>
        <w:t xml:space="preserve">           </w:t>
      </w:r>
      <w:r>
        <w:rPr>
          <w:rFonts w:hint="eastAsia" w:cs="宋体"/>
          <w:sz w:val="24"/>
          <w:szCs w:val="24"/>
        </w:rPr>
        <w:t>（</w:t>
      </w:r>
      <w:r>
        <w:rPr>
          <w:rFonts w:hint="eastAsia" w:cs="宋体"/>
          <w:sz w:val="24"/>
          <w:szCs w:val="24"/>
          <w:lang w:eastAsia="zh-CN"/>
        </w:rPr>
        <w:t>招标人</w:t>
      </w:r>
      <w:r>
        <w:rPr>
          <w:rFonts w:hint="eastAsia" w:cs="宋体"/>
          <w:sz w:val="24"/>
          <w:szCs w:val="24"/>
        </w:rPr>
        <w:t>）的</w:t>
      </w:r>
      <w:r>
        <w:rPr>
          <w:rFonts w:hint="eastAsia" w:cs="宋体"/>
          <w:sz w:val="24"/>
          <w:szCs w:val="24"/>
          <w:u w:val="single"/>
        </w:rPr>
        <w:t xml:space="preserve">                        </w:t>
      </w:r>
      <w:r>
        <w:rPr>
          <w:rFonts w:hint="eastAsia" w:cs="宋体"/>
          <w:sz w:val="24"/>
          <w:szCs w:val="24"/>
        </w:rPr>
        <w:t>项目的投标活动。授权</w:t>
      </w:r>
      <w:r>
        <w:rPr>
          <w:rFonts w:hint="eastAsia" w:cs="宋体"/>
          <w:sz w:val="24"/>
          <w:szCs w:val="24"/>
          <w:lang w:eastAsia="zh-CN"/>
        </w:rPr>
        <w:t>代表</w:t>
      </w:r>
      <w:r>
        <w:rPr>
          <w:rFonts w:hint="eastAsia" w:cs="宋体"/>
          <w:sz w:val="24"/>
          <w:szCs w:val="24"/>
        </w:rPr>
        <w:t>在投标、开标、评标、合同谈判过程中所签署的一切文件和处理与之有关的一切事务，我均予以承认。</w:t>
      </w:r>
    </w:p>
    <w:p w14:paraId="52D278E6">
      <w:pPr>
        <w:spacing w:line="480" w:lineRule="auto"/>
        <w:ind w:firstLine="480" w:firstLineChars="200"/>
        <w:rPr>
          <w:rFonts w:hint="eastAsia" w:cs="宋体"/>
          <w:sz w:val="24"/>
          <w:szCs w:val="24"/>
        </w:rPr>
      </w:pPr>
      <w:r>
        <w:rPr>
          <w:rFonts w:hint="eastAsia" w:cs="宋体"/>
          <w:sz w:val="24"/>
          <w:szCs w:val="24"/>
        </w:rPr>
        <w:t>被授权人无转委托权，特此委托。</w:t>
      </w:r>
    </w:p>
    <w:p w14:paraId="23F9558D">
      <w:pPr>
        <w:spacing w:after="156" w:line="480" w:lineRule="auto"/>
        <w:rPr>
          <w:rFonts w:hint="eastAsia" w:cs="宋体"/>
          <w:b/>
          <w:sz w:val="24"/>
          <w:szCs w:val="24"/>
        </w:rPr>
      </w:pPr>
    </w:p>
    <w:p w14:paraId="4360A9A3">
      <w:pPr>
        <w:spacing w:line="480" w:lineRule="auto"/>
        <w:rPr>
          <w:rFonts w:hint="eastAsia" w:cs="宋体"/>
          <w:sz w:val="24"/>
          <w:szCs w:val="24"/>
          <w:u w:val="single"/>
        </w:rPr>
      </w:pPr>
      <w:r>
        <w:rPr>
          <w:rFonts w:hint="eastAsia" w:cs="宋体"/>
          <w:sz w:val="24"/>
          <w:szCs w:val="24"/>
        </w:rPr>
        <w:t>授权代</w:t>
      </w:r>
      <w:r>
        <w:rPr>
          <w:rFonts w:hint="eastAsia" w:cs="宋体"/>
          <w:sz w:val="24"/>
          <w:szCs w:val="24"/>
          <w:lang w:eastAsia="zh-CN"/>
        </w:rPr>
        <w:t>表</w:t>
      </w:r>
      <w:r>
        <w:rPr>
          <w:rFonts w:hint="eastAsia" w:cs="宋体"/>
          <w:sz w:val="24"/>
          <w:szCs w:val="24"/>
        </w:rPr>
        <w:t>：</w:t>
      </w:r>
      <w:r>
        <w:rPr>
          <w:rFonts w:hint="eastAsia" w:cs="宋体"/>
          <w:sz w:val="24"/>
          <w:szCs w:val="24"/>
          <w:u w:val="single"/>
        </w:rPr>
        <w:t xml:space="preserve">   （签字）</w:t>
      </w:r>
      <w:r>
        <w:rPr>
          <w:rFonts w:hint="eastAsia" w:cs="宋体"/>
          <w:sz w:val="24"/>
          <w:szCs w:val="24"/>
          <w:u w:val="single"/>
          <w:lang w:val="en-US" w:eastAsia="zh-CN"/>
        </w:rPr>
        <w:t xml:space="preserve"> </w:t>
      </w:r>
      <w:r>
        <w:rPr>
          <w:rFonts w:hint="eastAsia" w:cs="宋体"/>
          <w:sz w:val="24"/>
          <w:szCs w:val="24"/>
          <w:u w:val="single"/>
        </w:rPr>
        <w:t xml:space="preserve">   </w:t>
      </w:r>
    </w:p>
    <w:p w14:paraId="6FF24265">
      <w:pPr>
        <w:bidi w:val="0"/>
        <w:spacing w:line="480" w:lineRule="auto"/>
        <w:rPr>
          <w:rFonts w:hint="eastAsia"/>
        </w:rPr>
      </w:pPr>
      <w:r>
        <w:rPr>
          <w:rFonts w:hint="eastAsia"/>
        </w:rPr>
        <w:t>身份证号码：</w:t>
      </w:r>
      <w:r>
        <w:rPr>
          <w:rFonts w:hint="eastAsia"/>
          <w:u w:val="single"/>
          <w:lang w:val="en-US" w:eastAsia="zh-CN"/>
        </w:rPr>
        <w:t xml:space="preserve">      </w:t>
      </w:r>
      <w:r>
        <w:rPr>
          <w:rFonts w:hint="eastAsia"/>
          <w:lang w:val="en-US" w:eastAsia="zh-CN"/>
        </w:rPr>
        <w:t xml:space="preserve">       </w:t>
      </w:r>
      <w:r>
        <w:rPr>
          <w:rFonts w:hint="eastAsia"/>
        </w:rPr>
        <w:t xml:space="preserve">                                 </w:t>
      </w:r>
    </w:p>
    <w:p w14:paraId="41AC3E8A">
      <w:pPr>
        <w:spacing w:line="480" w:lineRule="auto"/>
        <w:rPr>
          <w:rFonts w:hint="eastAsia" w:cs="宋体"/>
          <w:sz w:val="24"/>
          <w:szCs w:val="24"/>
          <w:u w:val="single"/>
        </w:rPr>
      </w:pPr>
      <w:r>
        <w:rPr>
          <w:rFonts w:hint="eastAsia" w:cs="宋体"/>
          <w:sz w:val="24"/>
          <w:szCs w:val="24"/>
        </w:rPr>
        <w:t>职务：</w:t>
      </w:r>
      <w:r>
        <w:rPr>
          <w:rFonts w:hint="eastAsia" w:cs="宋体"/>
          <w:sz w:val="24"/>
          <w:szCs w:val="24"/>
          <w:u w:val="single"/>
        </w:rPr>
        <w:t xml:space="preserve">                    </w:t>
      </w:r>
    </w:p>
    <w:p w14:paraId="30CD156B">
      <w:pPr>
        <w:spacing w:line="480" w:lineRule="auto"/>
        <w:rPr>
          <w:rFonts w:hint="eastAsia" w:cs="宋体"/>
          <w:sz w:val="24"/>
          <w:szCs w:val="24"/>
        </w:rPr>
      </w:pPr>
      <w:r>
        <w:rPr>
          <w:rFonts w:hint="eastAsia" w:cs="宋体"/>
          <w:sz w:val="24"/>
          <w:szCs w:val="24"/>
          <w:lang w:eastAsia="zh-CN"/>
        </w:rPr>
        <w:t>投标人名称</w:t>
      </w:r>
      <w:r>
        <w:rPr>
          <w:rFonts w:hint="eastAsia" w:cs="宋体"/>
          <w:sz w:val="24"/>
          <w:szCs w:val="24"/>
        </w:rPr>
        <w:t>：</w:t>
      </w:r>
      <w:r>
        <w:rPr>
          <w:rFonts w:hint="eastAsia" w:cs="宋体"/>
          <w:sz w:val="24"/>
          <w:szCs w:val="24"/>
          <w:u w:val="single"/>
        </w:rPr>
        <w:t xml:space="preserve">                 （盖章）</w:t>
      </w:r>
    </w:p>
    <w:p w14:paraId="6829D4D6">
      <w:pPr>
        <w:spacing w:line="480" w:lineRule="auto"/>
        <w:rPr>
          <w:rFonts w:hint="eastAsia" w:cs="宋体"/>
          <w:sz w:val="24"/>
          <w:szCs w:val="24"/>
        </w:rPr>
      </w:pPr>
      <w:r>
        <w:rPr>
          <w:rFonts w:hint="eastAsia" w:cs="宋体"/>
          <w:sz w:val="24"/>
          <w:szCs w:val="24"/>
        </w:rPr>
        <w:t>法定代表人：</w:t>
      </w:r>
      <w:r>
        <w:rPr>
          <w:rFonts w:hint="eastAsia" w:cs="宋体"/>
          <w:sz w:val="24"/>
          <w:szCs w:val="24"/>
          <w:u w:val="single"/>
        </w:rPr>
        <w:t xml:space="preserve">                （签名或盖章）</w:t>
      </w:r>
    </w:p>
    <w:p w14:paraId="3493EF5D">
      <w:pPr>
        <w:pStyle w:val="8"/>
        <w:spacing w:after="156" w:line="480" w:lineRule="auto"/>
        <w:ind w:firstLine="480" w:firstLineChars="200"/>
        <w:rPr>
          <w:rFonts w:hint="eastAsia" w:eastAsia="宋体" w:cs="宋体"/>
          <w:sz w:val="24"/>
          <w:szCs w:val="24"/>
        </w:rPr>
      </w:pPr>
      <w:r>
        <w:rPr>
          <w:rFonts w:hint="eastAsia" w:eastAsia="宋体" w:cs="宋体"/>
          <w:sz w:val="24"/>
          <w:szCs w:val="24"/>
        </w:rPr>
        <w:t>日期：    年   月   日</w:t>
      </w:r>
    </w:p>
    <w:p w14:paraId="4D4F9219">
      <w:pPr>
        <w:pStyle w:val="8"/>
        <w:spacing w:after="156" w:line="480" w:lineRule="exact"/>
        <w:ind w:firstLine="0"/>
        <w:rPr>
          <w:rFonts w:hint="eastAsia" w:eastAsia="宋体" w:cs="宋体"/>
          <w:sz w:val="24"/>
          <w:szCs w:val="24"/>
        </w:rPr>
      </w:pPr>
    </w:p>
    <w:p w14:paraId="163372E6">
      <w:pPr>
        <w:pStyle w:val="8"/>
        <w:spacing w:after="156" w:line="480" w:lineRule="exact"/>
        <w:ind w:firstLine="0"/>
        <w:rPr>
          <w:rFonts w:hint="eastAsia" w:eastAsia="宋体" w:cs="宋体"/>
          <w:sz w:val="24"/>
          <w:szCs w:val="24"/>
        </w:rPr>
      </w:pPr>
      <w:r>
        <w:rPr>
          <w:rFonts w:hint="eastAsia" w:eastAsia="宋体" w:cs="宋体"/>
          <w:sz w:val="24"/>
          <w:szCs w:val="24"/>
        </w:rPr>
        <w:t>—————————————————————————————————————</w:t>
      </w:r>
    </w:p>
    <w:p w14:paraId="61135537">
      <w:pPr>
        <w:pStyle w:val="8"/>
        <w:spacing w:after="156" w:line="480" w:lineRule="exact"/>
        <w:ind w:firstLine="0"/>
        <w:rPr>
          <w:rFonts w:hint="eastAsia" w:eastAsia="宋体" w:cs="宋体"/>
          <w:sz w:val="24"/>
          <w:szCs w:val="24"/>
        </w:rPr>
      </w:pPr>
    </w:p>
    <w:p w14:paraId="691188A2">
      <w:pPr>
        <w:pStyle w:val="8"/>
        <w:spacing w:after="156" w:line="480" w:lineRule="exact"/>
        <w:ind w:firstLine="0"/>
        <w:jc w:val="center"/>
        <w:rPr>
          <w:rFonts w:hint="eastAsia" w:eastAsia="宋体" w:cs="宋体"/>
          <w:b/>
          <w:bCs/>
          <w:sz w:val="24"/>
          <w:szCs w:val="24"/>
        </w:rPr>
      </w:pPr>
    </w:p>
    <w:p w14:paraId="193481EB">
      <w:pPr>
        <w:pStyle w:val="8"/>
        <w:spacing w:after="156" w:line="480" w:lineRule="exact"/>
        <w:ind w:firstLine="0"/>
        <w:jc w:val="center"/>
        <w:rPr>
          <w:rFonts w:hint="eastAsia" w:eastAsia="宋体" w:cs="宋体"/>
          <w:b/>
          <w:bCs/>
          <w:sz w:val="24"/>
          <w:szCs w:val="24"/>
        </w:rPr>
      </w:pPr>
      <w:r>
        <w:rPr>
          <w:rFonts w:hint="eastAsia" w:eastAsia="宋体" w:cs="宋体"/>
          <w:b/>
          <w:bCs/>
          <w:sz w:val="24"/>
          <w:szCs w:val="24"/>
        </w:rPr>
        <w:t>授权代</w:t>
      </w:r>
      <w:r>
        <w:rPr>
          <w:rFonts w:hint="eastAsia" w:eastAsia="宋体" w:cs="宋体"/>
          <w:b/>
          <w:bCs/>
          <w:sz w:val="24"/>
          <w:szCs w:val="24"/>
          <w:lang w:eastAsia="zh-CN"/>
        </w:rPr>
        <w:t>表</w:t>
      </w:r>
      <w:r>
        <w:rPr>
          <w:rFonts w:hint="eastAsia" w:eastAsia="宋体" w:cs="宋体"/>
          <w:b/>
          <w:bCs/>
          <w:sz w:val="24"/>
          <w:szCs w:val="24"/>
        </w:rPr>
        <w:t>有效身份证明复印件粘贴处</w:t>
      </w:r>
    </w:p>
    <w:p w14:paraId="485EB14A">
      <w:pPr>
        <w:rPr>
          <w:rFonts w:hint="eastAsia"/>
        </w:rPr>
      </w:pPr>
    </w:p>
    <w:p w14:paraId="65B77984">
      <w:pPr>
        <w:pStyle w:val="16"/>
        <w:rPr>
          <w:rFonts w:hint="eastAsia"/>
        </w:rPr>
      </w:pPr>
    </w:p>
    <w:p w14:paraId="37F6EB90">
      <w:pPr>
        <w:bidi w:val="0"/>
        <w:jc w:val="center"/>
        <w:rPr>
          <w:rFonts w:hint="eastAsia"/>
          <w:lang w:eastAsia="zh-CN"/>
        </w:rPr>
        <w:sectPr>
          <w:pgSz w:w="11907" w:h="16840"/>
          <w:pgMar w:top="1247" w:right="1304" w:bottom="1021" w:left="1304" w:header="720" w:footer="720" w:gutter="0"/>
          <w:pgNumType w:fmt="decimal"/>
          <w:cols w:space="720" w:num="1"/>
          <w:rtlGutter w:val="1"/>
          <w:docGrid w:linePitch="286" w:charSpace="0"/>
        </w:sectPr>
      </w:pPr>
      <w:bookmarkStart w:id="82" w:name="_Toc23078"/>
      <w:r>
        <w:rPr>
          <w:rFonts w:hint="eastAsia"/>
          <w:b/>
          <w:bCs/>
        </w:rPr>
        <w:t>（</w:t>
      </w:r>
      <w:r>
        <w:rPr>
          <w:rFonts w:hint="eastAsia"/>
          <w:b/>
          <w:bCs/>
          <w:lang w:eastAsia="zh-CN"/>
        </w:rPr>
        <w:t>提供</w:t>
      </w:r>
      <w:r>
        <w:rPr>
          <w:rFonts w:hint="eastAsia"/>
          <w:b/>
          <w:bCs/>
        </w:rPr>
        <w:t>授权代</w:t>
      </w:r>
      <w:r>
        <w:rPr>
          <w:rFonts w:hint="eastAsia"/>
          <w:b/>
          <w:bCs/>
          <w:lang w:eastAsia="zh-CN"/>
        </w:rPr>
        <w:t>表</w:t>
      </w:r>
      <w:r>
        <w:rPr>
          <w:rFonts w:hint="eastAsia"/>
          <w:b/>
          <w:bCs/>
        </w:rPr>
        <w:t>近</w:t>
      </w:r>
      <w:r>
        <w:rPr>
          <w:rFonts w:hint="eastAsia"/>
          <w:b/>
          <w:bCs/>
          <w:lang w:eastAsia="zh-CN"/>
        </w:rPr>
        <w:t>三个月任意</w:t>
      </w:r>
      <w:r>
        <w:rPr>
          <w:rFonts w:hint="eastAsia"/>
          <w:b/>
          <w:bCs/>
        </w:rPr>
        <w:t>一个月</w:t>
      </w:r>
      <w:r>
        <w:rPr>
          <w:rFonts w:hint="eastAsia"/>
          <w:b/>
          <w:bCs/>
          <w:lang w:eastAsia="zh-CN"/>
        </w:rPr>
        <w:t>的</w:t>
      </w:r>
      <w:r>
        <w:rPr>
          <w:rFonts w:hint="eastAsia"/>
          <w:b/>
          <w:bCs/>
        </w:rPr>
        <w:t>社保缴纳证明）</w:t>
      </w:r>
      <w:bookmarkEnd w:id="82"/>
    </w:p>
    <w:p w14:paraId="42D1957A">
      <w:pPr>
        <w:pStyle w:val="2"/>
        <w:jc w:val="left"/>
        <w:rPr>
          <w:rFonts w:hint="eastAsia" w:cs="宋体"/>
          <w:sz w:val="24"/>
          <w:szCs w:val="24"/>
          <w:lang w:eastAsia="zh-CN"/>
        </w:rPr>
      </w:pPr>
      <w:r>
        <w:rPr>
          <w:rFonts w:hint="eastAsia" w:cs="宋体"/>
          <w:sz w:val="24"/>
          <w:szCs w:val="24"/>
          <w:lang w:eastAsia="zh-CN"/>
        </w:rPr>
        <w:t>附件五</w:t>
      </w:r>
    </w:p>
    <w:p w14:paraId="5B4E38A3">
      <w:pPr>
        <w:pStyle w:val="2"/>
        <w:spacing w:line="480" w:lineRule="auto"/>
        <w:jc w:val="center"/>
        <w:rPr>
          <w:rFonts w:hint="eastAsia" w:cs="宋体"/>
          <w:sz w:val="24"/>
          <w:szCs w:val="24"/>
          <w:lang w:eastAsia="zh-CN"/>
        </w:rPr>
      </w:pPr>
      <w:r>
        <w:rPr>
          <w:rFonts w:hint="eastAsia" w:cs="宋体"/>
          <w:sz w:val="28"/>
          <w:szCs w:val="28"/>
          <w:lang w:eastAsia="zh-CN"/>
        </w:rPr>
        <w:t>廉政承诺书</w:t>
      </w:r>
    </w:p>
    <w:p w14:paraId="54D879FA">
      <w:pPr>
        <w:spacing w:line="240" w:lineRule="auto"/>
        <w:ind w:left="0" w:leftChars="0" w:firstLine="0" w:firstLineChars="0"/>
        <w:rPr>
          <w:rFonts w:hint="eastAsia" w:ascii="宋体" w:hAnsi="宋体" w:eastAsia="宋体" w:cs="宋体"/>
        </w:rPr>
      </w:pPr>
      <w:r>
        <w:rPr>
          <w:rFonts w:hint="eastAsia" w:cs="宋体"/>
          <w:u w:val="single"/>
          <w:lang w:eastAsia="zh-CN"/>
        </w:rPr>
        <w:t>（招标人）</w:t>
      </w:r>
      <w:r>
        <w:rPr>
          <w:rFonts w:hint="eastAsia" w:ascii="宋体" w:hAnsi="宋体" w:eastAsia="宋体" w:cs="宋体"/>
        </w:rPr>
        <w:t>：</w:t>
      </w:r>
    </w:p>
    <w:p w14:paraId="7FB354C6">
      <w:pPr>
        <w:pStyle w:val="79"/>
        <w:rPr>
          <w:rFonts w:hint="eastAsia" w:ascii="宋体" w:hAnsi="宋体" w:eastAsia="宋体" w:cs="宋体"/>
          <w:color w:val="auto"/>
        </w:rPr>
      </w:pPr>
    </w:p>
    <w:p w14:paraId="25A09CDC">
      <w:pPr>
        <w:spacing w:line="480" w:lineRule="auto"/>
        <w:ind w:firstLine="480"/>
        <w:rPr>
          <w:rFonts w:hint="eastAsia" w:ascii="宋体" w:hAnsi="宋体" w:eastAsia="宋体" w:cs="宋体"/>
        </w:rPr>
      </w:pPr>
      <w:r>
        <w:rPr>
          <w:rFonts w:hint="eastAsia" w:ascii="宋体" w:hAnsi="宋体" w:eastAsia="宋体" w:cs="宋体"/>
        </w:rPr>
        <w:t xml:space="preserve">我单位响应你单位项目招标要求参加投标。在这次投标过程中和中标后，我们将严格遵守国家法律法规要求，并郑重承诺： </w:t>
      </w:r>
    </w:p>
    <w:p w14:paraId="79C72B9B">
      <w:pPr>
        <w:spacing w:line="480" w:lineRule="auto"/>
        <w:ind w:firstLine="480"/>
        <w:rPr>
          <w:rFonts w:hint="eastAsia" w:ascii="宋体" w:hAnsi="宋体" w:eastAsia="宋体" w:cs="宋体"/>
        </w:rPr>
      </w:pPr>
      <w:r>
        <w:rPr>
          <w:rFonts w:hint="eastAsia" w:ascii="宋体" w:hAnsi="宋体" w:eastAsia="宋体" w:cs="宋体"/>
        </w:rPr>
        <w:t>一、不向项目有关人员及部门赠送礼金礼物、有价证券、回扣以及中介费、介绍费、咨询费等好处费；</w:t>
      </w:r>
    </w:p>
    <w:p w14:paraId="4D6C6E94">
      <w:pPr>
        <w:spacing w:line="480" w:lineRule="auto"/>
        <w:ind w:firstLine="480"/>
        <w:rPr>
          <w:rFonts w:hint="eastAsia" w:ascii="宋体" w:hAnsi="宋体" w:eastAsia="宋体" w:cs="宋体"/>
        </w:rPr>
      </w:pPr>
      <w:r>
        <w:rPr>
          <w:rFonts w:hint="eastAsia" w:ascii="宋体" w:hAnsi="宋体" w:eastAsia="宋体" w:cs="宋体"/>
        </w:rPr>
        <w:t>二、不为项目有关人员及部门报销应由你方单位或个人支付的费用；</w:t>
      </w:r>
    </w:p>
    <w:p w14:paraId="714676EA">
      <w:pPr>
        <w:spacing w:line="480" w:lineRule="auto"/>
        <w:ind w:firstLine="480"/>
        <w:rPr>
          <w:rFonts w:hint="eastAsia" w:ascii="宋体" w:hAnsi="宋体" w:eastAsia="宋体" w:cs="宋体"/>
        </w:rPr>
      </w:pPr>
      <w:r>
        <w:rPr>
          <w:rFonts w:hint="eastAsia" w:ascii="宋体" w:hAnsi="宋体" w:eastAsia="宋体" w:cs="宋体"/>
        </w:rPr>
        <w:t>三、不向项目有关人员及部门提供有可能影响公正的宴请和健身娱乐等活动；</w:t>
      </w:r>
    </w:p>
    <w:p w14:paraId="383FC097">
      <w:pPr>
        <w:spacing w:line="480" w:lineRule="auto"/>
        <w:ind w:firstLine="480"/>
        <w:rPr>
          <w:rFonts w:hint="eastAsia" w:ascii="宋体" w:hAnsi="宋体" w:eastAsia="宋体" w:cs="宋体"/>
        </w:rPr>
      </w:pPr>
      <w:r>
        <w:rPr>
          <w:rFonts w:hint="eastAsia" w:ascii="宋体" w:hAnsi="宋体" w:eastAsia="宋体" w:cs="宋体"/>
        </w:rPr>
        <w:t>四、不为项目有关人员及部门出国（境）、旅游等提供方便；</w:t>
      </w:r>
    </w:p>
    <w:p w14:paraId="73F77A84">
      <w:pPr>
        <w:spacing w:line="480" w:lineRule="auto"/>
        <w:ind w:firstLine="480"/>
        <w:rPr>
          <w:rFonts w:hint="eastAsia" w:ascii="宋体" w:hAnsi="宋体" w:eastAsia="宋体" w:cs="宋体"/>
        </w:rPr>
      </w:pPr>
      <w:r>
        <w:rPr>
          <w:rFonts w:hint="eastAsia" w:ascii="宋体" w:hAnsi="宋体" w:eastAsia="宋体" w:cs="宋体"/>
        </w:rPr>
        <w:t>五、不为项目有关人员个人装修住房、婚丧嫁娶、配偶子女工作安排等提供好处；</w:t>
      </w:r>
    </w:p>
    <w:p w14:paraId="3E249AD2">
      <w:pPr>
        <w:spacing w:line="480" w:lineRule="auto"/>
        <w:ind w:firstLine="480"/>
        <w:rPr>
          <w:rFonts w:hint="eastAsia" w:ascii="宋体" w:hAnsi="宋体" w:eastAsia="宋体" w:cs="宋体"/>
        </w:rPr>
      </w:pPr>
      <w:r>
        <w:rPr>
          <w:rFonts w:hint="eastAsia" w:ascii="宋体" w:hAnsi="宋体" w:eastAsia="宋体" w:cs="宋体"/>
        </w:rPr>
        <w:t>六、严格遵守招标投标法、合同法等法律，诚实守信，合法经营，坚决抵制各种违法违纪行为。</w:t>
      </w:r>
    </w:p>
    <w:p w14:paraId="506403A6">
      <w:pPr>
        <w:spacing w:line="480" w:lineRule="auto"/>
        <w:ind w:firstLine="480"/>
        <w:rPr>
          <w:rFonts w:hint="eastAsia" w:ascii="宋体" w:hAnsi="宋体" w:eastAsia="宋体" w:cs="宋体"/>
        </w:rPr>
      </w:pPr>
      <w:r>
        <w:rPr>
          <w:rFonts w:hint="eastAsia" w:ascii="宋体" w:hAnsi="宋体" w:eastAsia="宋体" w:cs="宋体"/>
        </w:rPr>
        <w:t>如违反上述承诺，你单位有权立即取消我单位投标、中标或在建项目的建设资格，有权拒绝我单位在一定时期内进入你单位进行工程建设或其他经营活动，并通报省招标监管处。由此引起的相应损失均由我单位承担。</w:t>
      </w:r>
    </w:p>
    <w:p w14:paraId="7A929696">
      <w:pPr>
        <w:ind w:firstLine="0" w:firstLineChars="0"/>
        <w:rPr>
          <w:rFonts w:hint="eastAsia" w:ascii="宋体" w:hAnsi="宋体" w:eastAsia="宋体" w:cs="宋体"/>
        </w:rPr>
      </w:pPr>
    </w:p>
    <w:p w14:paraId="05063F7C">
      <w:pPr>
        <w:ind w:firstLine="0" w:firstLineChars="0"/>
        <w:jc w:val="left"/>
        <w:rPr>
          <w:rFonts w:hint="eastAsia" w:ascii="宋体" w:hAnsi="宋体" w:eastAsia="宋体" w:cs="宋体"/>
        </w:rPr>
      </w:pPr>
    </w:p>
    <w:p w14:paraId="435DFC4D">
      <w:pPr>
        <w:spacing w:line="480" w:lineRule="auto"/>
        <w:ind w:firstLine="480"/>
        <w:rPr>
          <w:rFonts w:hint="eastAsia" w:ascii="宋体" w:hAnsi="宋体" w:eastAsia="宋体" w:cs="宋体"/>
        </w:rPr>
      </w:pPr>
      <w:r>
        <w:rPr>
          <w:rFonts w:hint="eastAsia" w:ascii="宋体" w:hAnsi="宋体" w:eastAsia="宋体" w:cs="宋体"/>
        </w:rPr>
        <w:t>投标人名称（公章）：</w:t>
      </w:r>
    </w:p>
    <w:p w14:paraId="6D5C8754">
      <w:pPr>
        <w:spacing w:line="48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4B5714B6">
      <w:pPr>
        <w:spacing w:line="480" w:lineRule="auto"/>
        <w:ind w:firstLine="480"/>
        <w:rPr>
          <w:rFonts w:hint="eastAsia" w:cs="宋体"/>
          <w:sz w:val="24"/>
          <w:szCs w:val="24"/>
          <w:lang w:eastAsia="zh-CN"/>
        </w:rPr>
      </w:pPr>
      <w:r>
        <w:rPr>
          <w:rFonts w:hint="eastAsia" w:ascii="宋体" w:hAnsi="宋体" w:eastAsia="宋体" w:cs="宋体"/>
        </w:rPr>
        <w:t>日期：  年   月   日</w:t>
      </w:r>
    </w:p>
    <w:p w14:paraId="2B28B877">
      <w:pPr>
        <w:pStyle w:val="2"/>
        <w:jc w:val="left"/>
        <w:rPr>
          <w:rFonts w:hint="eastAsia" w:cs="宋体"/>
          <w:sz w:val="24"/>
          <w:szCs w:val="24"/>
          <w:lang w:eastAsia="zh-CN"/>
        </w:rPr>
        <w:sectPr>
          <w:pgSz w:w="11907" w:h="16840"/>
          <w:pgMar w:top="1247" w:right="1304" w:bottom="1021" w:left="1304" w:header="720" w:footer="720" w:gutter="0"/>
          <w:pgNumType w:fmt="decimal"/>
          <w:cols w:space="720" w:num="1"/>
          <w:rtlGutter w:val="1"/>
          <w:docGrid w:linePitch="286" w:charSpace="0"/>
        </w:sectPr>
      </w:pPr>
    </w:p>
    <w:p w14:paraId="07D40678">
      <w:pPr>
        <w:pStyle w:val="2"/>
        <w:jc w:val="left"/>
        <w:rPr>
          <w:rFonts w:hint="eastAsia" w:ascii="宋体" w:hAnsi="宋体" w:eastAsia="宋体" w:cs="宋体"/>
          <w:sz w:val="24"/>
          <w:szCs w:val="24"/>
          <w:lang w:eastAsia="zh-CN"/>
        </w:rPr>
      </w:pPr>
      <w:r>
        <w:rPr>
          <w:rFonts w:hint="eastAsia" w:cs="宋体"/>
          <w:sz w:val="24"/>
          <w:szCs w:val="24"/>
          <w:lang w:eastAsia="zh-CN"/>
        </w:rPr>
        <w:t>附件六</w:t>
      </w:r>
    </w:p>
    <w:p w14:paraId="6695A385">
      <w:pPr>
        <w:pStyle w:val="4"/>
        <w:spacing w:line="480" w:lineRule="auto"/>
        <w:jc w:val="center"/>
        <w:rPr>
          <w:rFonts w:hint="eastAsia" w:ascii="宋体" w:hAnsi="宋体" w:eastAsia="宋体" w:cs="宋体"/>
          <w:color w:val="000000"/>
          <w:spacing w:val="-6"/>
          <w:sz w:val="32"/>
        </w:rPr>
      </w:pPr>
      <w:r>
        <w:rPr>
          <w:rFonts w:hint="eastAsia" w:cs="宋体"/>
          <w:color w:val="000000"/>
          <w:spacing w:val="-6"/>
          <w:sz w:val="28"/>
          <w:szCs w:val="28"/>
          <w:lang w:val="en-US" w:eastAsia="zh-CN"/>
        </w:rPr>
        <w:t xml:space="preserve"> </w:t>
      </w:r>
      <w:r>
        <w:rPr>
          <w:rFonts w:hint="eastAsia" w:ascii="宋体" w:hAnsi="宋体" w:eastAsia="宋体" w:cs="宋体"/>
          <w:color w:val="000000"/>
          <w:spacing w:val="-6"/>
          <w:sz w:val="28"/>
          <w:szCs w:val="28"/>
        </w:rPr>
        <w:t>中小企业声明函（</w:t>
      </w:r>
      <w:r>
        <w:rPr>
          <w:rFonts w:hint="eastAsia" w:cs="宋体"/>
          <w:color w:val="000000"/>
          <w:spacing w:val="-6"/>
          <w:sz w:val="28"/>
          <w:szCs w:val="28"/>
          <w:lang w:eastAsia="zh-CN"/>
        </w:rPr>
        <w:t>货物</w:t>
      </w:r>
      <w:r>
        <w:rPr>
          <w:rFonts w:hint="eastAsia" w:ascii="宋体" w:hAnsi="宋体" w:eastAsia="宋体" w:cs="宋体"/>
          <w:color w:val="000000"/>
          <w:spacing w:val="-6"/>
          <w:sz w:val="28"/>
          <w:szCs w:val="28"/>
        </w:rPr>
        <w:t>）</w:t>
      </w:r>
    </w:p>
    <w:p w14:paraId="69CCEC37">
      <w:pPr>
        <w:ind w:firstLine="480"/>
        <w:rPr>
          <w:rFonts w:hint="eastAsia" w:ascii="宋体" w:hAnsi="宋体" w:eastAsia="宋体" w:cs="宋体"/>
        </w:rPr>
      </w:pPr>
      <w:r>
        <w:rPr>
          <w:rFonts w:hint="eastAsia" w:ascii="宋体" w:hAnsi="宋体" w:eastAsia="宋体" w:cs="宋体"/>
        </w:rPr>
        <w:t>本公司（联合体）郑重声明，根据《政府采购促进中小企业发展管理办法》（财库﹝2020﹞46 号）的规定，本公司（联合体）参加</w:t>
      </w:r>
      <w:r>
        <w:rPr>
          <w:rFonts w:hint="eastAsia" w:ascii="宋体" w:hAnsi="宋体" w:eastAsia="宋体" w:cs="宋体"/>
          <w:u w:val="single"/>
        </w:rPr>
        <w:t>（</w:t>
      </w:r>
      <w:r>
        <w:rPr>
          <w:rFonts w:hint="eastAsia" w:cs="宋体"/>
          <w:u w:val="single"/>
          <w:lang w:eastAsia="zh-CN"/>
        </w:rPr>
        <w:t>招标人名称</w:t>
      </w:r>
      <w:r>
        <w:rPr>
          <w:rFonts w:hint="eastAsia" w:ascii="宋体" w:hAnsi="宋体" w:eastAsia="宋体" w:cs="宋体"/>
          <w:u w:val="single"/>
        </w:rPr>
        <w:t>）</w:t>
      </w:r>
      <w:r>
        <w:rPr>
          <w:rFonts w:hint="eastAsia" w:ascii="宋体" w:hAnsi="宋体" w:eastAsia="宋体" w:cs="宋体"/>
        </w:rPr>
        <w:t>的</w:t>
      </w:r>
      <w:r>
        <w:rPr>
          <w:rFonts w:hint="eastAsia" w:ascii="宋体" w:hAnsi="宋体" w:eastAsia="宋体" w:cs="宋体"/>
          <w:u w:val="single"/>
        </w:rPr>
        <w:t>（</w:t>
      </w:r>
      <w:r>
        <w:rPr>
          <w:rFonts w:hint="eastAsia" w:cs="宋体"/>
          <w:u w:val="single"/>
          <w:lang w:eastAsia="zh-CN"/>
        </w:rPr>
        <w:t>项目名称</w:t>
      </w:r>
      <w:r>
        <w:rPr>
          <w:rFonts w:hint="eastAsia" w:ascii="宋体" w:hAnsi="宋体" w:eastAsia="宋体" w:cs="宋体"/>
          <w:u w:val="single"/>
        </w:rPr>
        <w:t>）</w:t>
      </w:r>
      <w:r>
        <w:rPr>
          <w:rFonts w:hint="eastAsia" w:ascii="宋体" w:hAnsi="宋体" w:eastAsia="宋体" w:cs="宋体"/>
        </w:rPr>
        <w:t>采购活动，提供的</w:t>
      </w:r>
      <w:r>
        <w:rPr>
          <w:rFonts w:hint="eastAsia" w:cs="宋体"/>
          <w:lang w:eastAsia="zh-CN"/>
        </w:rPr>
        <w:t>货物</w:t>
      </w:r>
      <w:r>
        <w:rPr>
          <w:rFonts w:hint="eastAsia" w:ascii="宋体" w:hAnsi="宋体" w:eastAsia="宋体" w:cs="宋体"/>
        </w:rPr>
        <w:t>全部由符合政策要求的中小企业</w:t>
      </w:r>
      <w:r>
        <w:rPr>
          <w:rFonts w:hint="eastAsia" w:cs="宋体"/>
          <w:lang w:eastAsia="zh-CN"/>
        </w:rPr>
        <w:t>制造</w:t>
      </w:r>
      <w:r>
        <w:rPr>
          <w:rFonts w:hint="eastAsia" w:ascii="宋体" w:hAnsi="宋体" w:eastAsia="宋体" w:cs="宋体"/>
        </w:rPr>
        <w:t>。相关企业（含联合体中的中小企业、签订分包意向协议的中小企业）的具体情况如下：</w:t>
      </w:r>
    </w:p>
    <w:p w14:paraId="451DADDA">
      <w:pPr>
        <w:ind w:firstLine="480"/>
        <w:rPr>
          <w:rFonts w:hint="eastAsia" w:ascii="宋体" w:hAnsi="宋体" w:eastAsia="宋体" w:cs="宋体"/>
        </w:rPr>
      </w:pPr>
      <w:r>
        <w:rPr>
          <w:rFonts w:hint="eastAsia" w:ascii="宋体" w:hAnsi="宋体" w:eastAsia="宋体" w:cs="宋体"/>
        </w:rPr>
        <w:t xml:space="preserve">1. </w:t>
      </w:r>
      <w:r>
        <w:rPr>
          <w:rFonts w:hint="eastAsia" w:ascii="宋体" w:hAnsi="宋体" w:eastAsia="宋体" w:cs="宋体"/>
          <w:u w:val="single"/>
        </w:rPr>
        <w:t>（</w:t>
      </w:r>
      <w:r>
        <w:rPr>
          <w:rFonts w:hint="eastAsia" w:cs="宋体"/>
          <w:u w:val="single"/>
          <w:lang w:eastAsia="zh-CN"/>
        </w:rPr>
        <w:t>标的名称</w:t>
      </w:r>
      <w:r>
        <w:rPr>
          <w:rFonts w:hint="eastAsia" w:ascii="宋体" w:hAnsi="宋体" w:eastAsia="宋体" w:cs="宋体"/>
          <w:u w:val="single"/>
        </w:rPr>
        <w:t>）</w:t>
      </w:r>
      <w:r>
        <w:rPr>
          <w:rFonts w:hint="eastAsia" w:ascii="宋体" w:hAnsi="宋体" w:eastAsia="宋体" w:cs="宋体"/>
        </w:rPr>
        <w:t xml:space="preserve"> ，属于 </w:t>
      </w:r>
      <w:r>
        <w:rPr>
          <w:rFonts w:hint="eastAsia" w:ascii="宋体" w:hAnsi="宋体" w:eastAsia="宋体" w:cs="宋体"/>
          <w:u w:val="single"/>
        </w:rPr>
        <w:t>（</w:t>
      </w:r>
      <w:r>
        <w:rPr>
          <w:rFonts w:hint="eastAsia" w:cs="宋体"/>
          <w:u w:val="single"/>
          <w:lang w:eastAsia="zh-CN"/>
        </w:rPr>
        <w:t>招标文件中明确的所属行业</w:t>
      </w:r>
      <w:r>
        <w:rPr>
          <w:rFonts w:hint="eastAsia" w:ascii="宋体" w:hAnsi="宋体" w:eastAsia="宋体" w:cs="宋体"/>
          <w:u w:val="single"/>
        </w:rPr>
        <w:t>）</w:t>
      </w:r>
      <w:r>
        <w:rPr>
          <w:rFonts w:hint="eastAsia" w:ascii="宋体" w:hAnsi="宋体" w:eastAsia="宋体" w:cs="宋体"/>
        </w:rPr>
        <w:t>行业 ；</w:t>
      </w:r>
      <w:r>
        <w:rPr>
          <w:rFonts w:hint="eastAsia" w:cs="宋体"/>
          <w:lang w:eastAsia="zh-CN"/>
        </w:rPr>
        <w:t>制造商</w:t>
      </w:r>
      <w:r>
        <w:rPr>
          <w:rFonts w:hint="eastAsia" w:ascii="宋体" w:hAnsi="宋体" w:eastAsia="宋体" w:cs="宋体"/>
        </w:rPr>
        <w:t>为</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14:paraId="2346CC73">
      <w:pPr>
        <w:ind w:firstLine="480"/>
        <w:rPr>
          <w:rFonts w:hint="eastAsia" w:ascii="宋体" w:hAnsi="宋体" w:eastAsia="宋体" w:cs="宋体"/>
        </w:rPr>
      </w:pPr>
      <w:r>
        <w:rPr>
          <w:rFonts w:hint="eastAsia" w:cs="宋体"/>
          <w:lang w:val="en-US" w:eastAsia="zh-CN"/>
        </w:rPr>
        <w:t>2</w:t>
      </w:r>
      <w:r>
        <w:rPr>
          <w:rFonts w:hint="eastAsia" w:ascii="宋体" w:hAnsi="宋体" w:eastAsia="宋体" w:cs="宋体"/>
        </w:rPr>
        <w:t xml:space="preserve">. </w:t>
      </w:r>
      <w:r>
        <w:rPr>
          <w:rFonts w:hint="eastAsia" w:ascii="宋体" w:hAnsi="宋体" w:eastAsia="宋体" w:cs="宋体"/>
          <w:u w:val="single"/>
        </w:rPr>
        <w:t>（</w:t>
      </w:r>
      <w:r>
        <w:rPr>
          <w:rFonts w:hint="eastAsia" w:cs="宋体"/>
          <w:u w:val="single"/>
          <w:lang w:eastAsia="zh-CN"/>
        </w:rPr>
        <w:t>标的名称</w:t>
      </w:r>
      <w:r>
        <w:rPr>
          <w:rFonts w:hint="eastAsia" w:ascii="宋体" w:hAnsi="宋体" w:eastAsia="宋体" w:cs="宋体"/>
          <w:u w:val="single"/>
        </w:rPr>
        <w:t>）</w:t>
      </w:r>
      <w:r>
        <w:rPr>
          <w:rFonts w:hint="eastAsia" w:ascii="宋体" w:hAnsi="宋体" w:eastAsia="宋体" w:cs="宋体"/>
        </w:rPr>
        <w:t xml:space="preserve"> ，属于 </w:t>
      </w:r>
      <w:r>
        <w:rPr>
          <w:rFonts w:hint="eastAsia" w:ascii="宋体" w:hAnsi="宋体" w:eastAsia="宋体" w:cs="宋体"/>
          <w:u w:val="single"/>
        </w:rPr>
        <w:t>（</w:t>
      </w:r>
      <w:r>
        <w:rPr>
          <w:rFonts w:hint="eastAsia" w:cs="宋体"/>
          <w:u w:val="single"/>
          <w:lang w:eastAsia="zh-CN"/>
        </w:rPr>
        <w:t>招标文件中明确的所属行业</w:t>
      </w:r>
      <w:r>
        <w:rPr>
          <w:rFonts w:hint="eastAsia" w:ascii="宋体" w:hAnsi="宋体" w:eastAsia="宋体" w:cs="宋体"/>
          <w:u w:val="single"/>
        </w:rPr>
        <w:t>）</w:t>
      </w:r>
      <w:r>
        <w:rPr>
          <w:rFonts w:hint="eastAsia" w:ascii="宋体" w:hAnsi="宋体" w:eastAsia="宋体" w:cs="宋体"/>
        </w:rPr>
        <w:t>行业 ；</w:t>
      </w:r>
      <w:r>
        <w:rPr>
          <w:rFonts w:hint="eastAsia" w:cs="宋体"/>
          <w:lang w:eastAsia="zh-CN"/>
        </w:rPr>
        <w:t>制造商</w:t>
      </w:r>
      <w:r>
        <w:rPr>
          <w:rFonts w:hint="eastAsia" w:ascii="宋体" w:hAnsi="宋体" w:eastAsia="宋体" w:cs="宋体"/>
        </w:rPr>
        <w:t>为</w:t>
      </w:r>
      <w:r>
        <w:rPr>
          <w:rFonts w:hint="eastAsia" w:ascii="宋体" w:hAnsi="宋体" w:eastAsia="宋体" w:cs="宋体"/>
          <w:u w:val="single"/>
        </w:rPr>
        <w:t>（企业名称）</w:t>
      </w:r>
      <w:r>
        <w:rPr>
          <w:rFonts w:hint="eastAsia" w:ascii="宋体" w:hAnsi="宋体" w:eastAsia="宋体" w:cs="宋体"/>
        </w:rPr>
        <w:t xml:space="preserve"> ，从业人员</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人，营业收入为</w:t>
      </w:r>
      <w:r>
        <w:rPr>
          <w:rFonts w:hint="eastAsia" w:ascii="宋体" w:hAnsi="宋体" w:eastAsia="宋体" w:cs="宋体"/>
          <w:u w:val="single"/>
        </w:rPr>
        <w:t xml:space="preserve">  </w:t>
      </w:r>
      <w:r>
        <w:rPr>
          <w:rFonts w:hint="eastAsia" w:cs="宋体"/>
          <w:u w:val="single"/>
          <w:lang w:val="en-US" w:eastAsia="zh-CN"/>
        </w:rPr>
        <w:t xml:space="preserve"> </w:t>
      </w:r>
      <w:r>
        <w:rPr>
          <w:rFonts w:hint="eastAsia" w:ascii="宋体" w:hAnsi="宋体" w:eastAsia="宋体" w:cs="宋体"/>
        </w:rPr>
        <w:t>万元，资产总额为</w:t>
      </w:r>
      <w:r>
        <w:rPr>
          <w:rFonts w:hint="eastAsia" w:ascii="宋体" w:hAnsi="宋体" w:eastAsia="宋体" w:cs="宋体"/>
          <w:u w:val="single"/>
        </w:rPr>
        <w:t xml:space="preserve">   </w:t>
      </w:r>
      <w:r>
        <w:rPr>
          <w:rFonts w:hint="eastAsia" w:ascii="宋体" w:hAnsi="宋体" w:eastAsia="宋体" w:cs="宋体"/>
        </w:rPr>
        <w:t>万元，属于</w:t>
      </w:r>
      <w:r>
        <w:rPr>
          <w:rFonts w:hint="eastAsia" w:ascii="宋体" w:hAnsi="宋体" w:eastAsia="宋体" w:cs="宋体"/>
          <w:u w:val="single"/>
        </w:rPr>
        <w:t>（中型企业、小型企业、微型企业）</w:t>
      </w:r>
      <w:r>
        <w:rPr>
          <w:rFonts w:hint="eastAsia" w:ascii="宋体" w:hAnsi="宋体" w:eastAsia="宋体" w:cs="宋体"/>
        </w:rPr>
        <w:t xml:space="preserve"> ；</w:t>
      </w:r>
    </w:p>
    <w:p w14:paraId="51F5DBE9">
      <w:pPr>
        <w:ind w:firstLine="480"/>
        <w:rPr>
          <w:rFonts w:hint="eastAsia" w:ascii="宋体" w:hAnsi="宋体" w:eastAsia="宋体" w:cs="宋体"/>
        </w:rPr>
      </w:pPr>
      <w:r>
        <w:rPr>
          <w:rFonts w:hint="eastAsia" w:ascii="宋体" w:hAnsi="宋体" w:eastAsia="宋体" w:cs="宋体"/>
        </w:rPr>
        <w:t>……</w:t>
      </w:r>
    </w:p>
    <w:p w14:paraId="1930F030">
      <w:pPr>
        <w:ind w:firstLine="480"/>
        <w:rPr>
          <w:rFonts w:hint="eastAsia" w:ascii="宋体" w:hAnsi="宋体" w:eastAsia="宋体" w:cs="宋体"/>
        </w:rPr>
      </w:pPr>
      <w:r>
        <w:rPr>
          <w:rFonts w:hint="eastAsia" w:ascii="宋体" w:hAnsi="宋体" w:eastAsia="宋体" w:cs="宋体"/>
        </w:rPr>
        <w:t>以上企业，不属于大企业的分支机构，不存在控股股东为大企业的情形，也不存在与大企业的负责人为同一人的情形。</w:t>
      </w:r>
    </w:p>
    <w:p w14:paraId="6A673BF4">
      <w:pPr>
        <w:ind w:firstLine="480"/>
        <w:rPr>
          <w:rFonts w:hint="eastAsia" w:ascii="宋体" w:hAnsi="宋体" w:eastAsia="宋体" w:cs="宋体"/>
          <w:color w:val="000000"/>
        </w:rPr>
      </w:pPr>
      <w:r>
        <w:rPr>
          <w:rFonts w:hint="eastAsia" w:ascii="宋体" w:hAnsi="宋体" w:eastAsia="宋体" w:cs="宋体"/>
        </w:rPr>
        <w:t>本企业对上述声明内容的真实性负责。如有虚假，将依法承担相应责任。</w:t>
      </w:r>
      <w:r>
        <w:rPr>
          <w:rFonts w:hint="eastAsia" w:ascii="宋体" w:hAnsi="宋体" w:eastAsia="宋体" w:cs="宋体"/>
          <w:color w:val="000000"/>
        </w:rPr>
        <w:t xml:space="preserve"> </w:t>
      </w:r>
    </w:p>
    <w:p w14:paraId="3A55B34E">
      <w:pPr>
        <w:pStyle w:val="16"/>
        <w:spacing w:line="360" w:lineRule="auto"/>
        <w:rPr>
          <w:rFonts w:hint="eastAsia" w:ascii="宋体" w:hAnsi="宋体" w:eastAsia="宋体" w:cs="宋体"/>
          <w:color w:val="000000"/>
        </w:rPr>
      </w:pPr>
    </w:p>
    <w:p w14:paraId="6B9816D7">
      <w:pPr>
        <w:ind w:firstLine="480"/>
        <w:rPr>
          <w:rFonts w:hint="eastAsia" w:ascii="宋体" w:hAnsi="宋体" w:eastAsia="宋体" w:cs="宋体"/>
          <w:color w:val="000000"/>
        </w:rPr>
      </w:pPr>
    </w:p>
    <w:p w14:paraId="24E92AD1">
      <w:pPr>
        <w:ind w:firstLine="480"/>
        <w:jc w:val="center"/>
        <w:rPr>
          <w:rFonts w:hint="eastAsia" w:ascii="宋体" w:hAnsi="宋体" w:eastAsia="宋体" w:cs="宋体"/>
          <w:color w:val="000000"/>
        </w:rPr>
      </w:pPr>
      <w:r>
        <w:rPr>
          <w:rFonts w:hint="eastAsia" w:ascii="宋体" w:hAnsi="宋体" w:eastAsia="宋体" w:cs="宋体"/>
          <w:color w:val="000000"/>
        </w:rPr>
        <w:t xml:space="preserve">                                         </w:t>
      </w:r>
      <w:r>
        <w:rPr>
          <w:rFonts w:hint="eastAsia" w:cs="宋体"/>
          <w:color w:val="000000"/>
          <w:lang w:eastAsia="zh-CN"/>
        </w:rPr>
        <w:t>投标人</w:t>
      </w:r>
      <w:r>
        <w:rPr>
          <w:rFonts w:hint="eastAsia" w:ascii="宋体" w:hAnsi="宋体" w:eastAsia="宋体" w:cs="宋体"/>
          <w:color w:val="000000"/>
        </w:rPr>
        <w:t>名称（盖章）：</w:t>
      </w:r>
    </w:p>
    <w:p w14:paraId="36F35A81">
      <w:pPr>
        <w:ind w:firstLine="480"/>
        <w:jc w:val="center"/>
        <w:rPr>
          <w:rFonts w:hint="eastAsia" w:ascii="宋体" w:hAnsi="宋体" w:eastAsia="宋体" w:cs="宋体"/>
          <w:color w:val="000000"/>
        </w:rPr>
      </w:pPr>
      <w:r>
        <w:rPr>
          <w:rFonts w:hint="eastAsia" w:ascii="宋体" w:hAnsi="宋体" w:eastAsia="宋体" w:cs="宋体"/>
          <w:color w:val="000000"/>
        </w:rPr>
        <w:t xml:space="preserve">                                          日期：   年   月   日 </w:t>
      </w:r>
    </w:p>
    <w:p w14:paraId="5E6C4E5E">
      <w:pPr>
        <w:pStyle w:val="16"/>
        <w:rPr>
          <w:rFonts w:hint="eastAsia" w:ascii="宋体" w:hAnsi="宋体" w:eastAsia="宋体" w:cs="宋体"/>
          <w:color w:val="000000"/>
          <w:szCs w:val="24"/>
        </w:rPr>
      </w:pPr>
    </w:p>
    <w:p w14:paraId="1296807F">
      <w:pPr>
        <w:ind w:firstLine="422"/>
        <w:rPr>
          <w:rFonts w:hint="eastAsia" w:ascii="宋体" w:hAnsi="宋体" w:eastAsia="宋体" w:cs="宋体"/>
          <w:b/>
          <w:bCs/>
          <w:color w:val="000000"/>
          <w:sz w:val="21"/>
          <w:szCs w:val="21"/>
        </w:rPr>
      </w:pPr>
    </w:p>
    <w:p w14:paraId="61AD1A17">
      <w:pPr>
        <w:ind w:firstLine="422"/>
        <w:rPr>
          <w:rFonts w:hint="eastAsia" w:ascii="宋体" w:hAnsi="宋体" w:eastAsia="宋体" w:cs="宋体"/>
          <w:b/>
          <w:bCs/>
          <w:color w:val="000000"/>
          <w:sz w:val="21"/>
          <w:szCs w:val="21"/>
        </w:rPr>
      </w:pPr>
      <w:r>
        <w:rPr>
          <w:rFonts w:hint="eastAsia" w:ascii="宋体" w:hAnsi="宋体" w:eastAsia="宋体" w:cs="宋体"/>
          <w:b/>
          <w:bCs/>
          <w:color w:val="000000"/>
          <w:sz w:val="21"/>
          <w:szCs w:val="21"/>
        </w:rPr>
        <w:t>说明：</w:t>
      </w:r>
    </w:p>
    <w:p w14:paraId="22CAE2D9">
      <w:pPr>
        <w:ind w:firstLine="422"/>
        <w:jc w:val="left"/>
        <w:rPr>
          <w:rFonts w:hint="eastAsia" w:ascii="宋体" w:hAnsi="宋体" w:eastAsia="宋体" w:cs="宋体"/>
          <w:b/>
          <w:color w:val="000000"/>
          <w:sz w:val="21"/>
          <w:szCs w:val="21"/>
        </w:rPr>
      </w:pPr>
      <w:r>
        <w:rPr>
          <w:rFonts w:hint="eastAsia" w:ascii="宋体" w:hAnsi="宋体" w:eastAsia="宋体" w:cs="宋体"/>
          <w:b/>
          <w:color w:val="000000"/>
          <w:sz w:val="21"/>
          <w:szCs w:val="21"/>
        </w:rPr>
        <w:t>1.从业人员、营业收入、资产总额填报上一年度数据，数据未填写的视为未提供《中小企业声明函》。</w:t>
      </w:r>
    </w:p>
    <w:p w14:paraId="60BA5AA0">
      <w:pPr>
        <w:ind w:firstLine="480"/>
        <w:rPr>
          <w:rFonts w:hint="eastAsia" w:ascii="宋体" w:hAnsi="宋体" w:eastAsia="宋体" w:cs="宋体"/>
          <w:color w:val="000000"/>
        </w:rPr>
      </w:pPr>
    </w:p>
    <w:p w14:paraId="05FED8A6">
      <w:pPr>
        <w:pStyle w:val="16"/>
        <w:rPr>
          <w:rFonts w:hint="eastAsia" w:ascii="宋体" w:hAnsi="宋体" w:eastAsia="宋体" w:cs="宋体"/>
          <w:color w:val="000000"/>
        </w:rPr>
      </w:pPr>
    </w:p>
    <w:p w14:paraId="2A59895D">
      <w:pPr>
        <w:ind w:firstLine="480"/>
        <w:jc w:val="right"/>
        <w:rPr>
          <w:rFonts w:hint="eastAsia" w:ascii="宋体" w:hAnsi="宋体" w:eastAsia="宋体" w:cs="宋体"/>
          <w:color w:val="000000"/>
        </w:rPr>
        <w:sectPr>
          <w:pgSz w:w="11907" w:h="16840"/>
          <w:pgMar w:top="1247" w:right="1304" w:bottom="1021" w:left="1304" w:header="720" w:footer="720" w:gutter="0"/>
          <w:pgNumType w:fmt="decimal"/>
          <w:cols w:space="720" w:num="1"/>
          <w:rtlGutter w:val="1"/>
          <w:docGrid w:linePitch="286" w:charSpace="0"/>
        </w:sectPr>
      </w:pPr>
    </w:p>
    <w:tbl>
      <w:tblPr>
        <w:tblStyle w:val="44"/>
        <w:tblW w:w="14720" w:type="dxa"/>
        <w:tblInd w:w="0" w:type="dxa"/>
        <w:tblLayout w:type="fixed"/>
        <w:tblCellMar>
          <w:top w:w="0" w:type="dxa"/>
          <w:left w:w="108" w:type="dxa"/>
          <w:bottom w:w="0" w:type="dxa"/>
          <w:right w:w="108" w:type="dxa"/>
        </w:tblCellMar>
      </w:tblPr>
      <w:tblGrid>
        <w:gridCol w:w="1912"/>
        <w:gridCol w:w="1440"/>
        <w:gridCol w:w="1696"/>
        <w:gridCol w:w="1609"/>
        <w:gridCol w:w="1193"/>
        <w:gridCol w:w="1501"/>
        <w:gridCol w:w="1539"/>
        <w:gridCol w:w="1268"/>
        <w:gridCol w:w="1259"/>
        <w:gridCol w:w="1165"/>
        <w:gridCol w:w="138"/>
      </w:tblGrid>
      <w:tr w14:paraId="46BD037E">
        <w:tblPrEx>
          <w:tblCellMar>
            <w:top w:w="0" w:type="dxa"/>
            <w:left w:w="108" w:type="dxa"/>
            <w:bottom w:w="0" w:type="dxa"/>
            <w:right w:w="108" w:type="dxa"/>
          </w:tblCellMar>
        </w:tblPrEx>
        <w:trPr>
          <w:gridAfter w:val="1"/>
          <w:wAfter w:w="138" w:type="dxa"/>
          <w:trHeight w:val="430" w:hRule="atLeast"/>
        </w:trPr>
        <w:tc>
          <w:tcPr>
            <w:tcW w:w="14582" w:type="dxa"/>
            <w:gridSpan w:val="10"/>
            <w:tcBorders>
              <w:top w:val="nil"/>
              <w:left w:val="nil"/>
              <w:bottom w:val="nil"/>
              <w:right w:val="nil"/>
            </w:tcBorders>
            <w:vAlign w:val="bottom"/>
          </w:tcPr>
          <w:p w14:paraId="224DF940">
            <w:pPr>
              <w:ind w:firstLine="0" w:firstLineChars="0"/>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中小微行业划型标准规定（根据工信部联企业〔2011〕300号制定）</w:t>
            </w:r>
          </w:p>
        </w:tc>
      </w:tr>
      <w:tr w14:paraId="687B915A">
        <w:tblPrEx>
          <w:tblCellMar>
            <w:top w:w="0" w:type="dxa"/>
            <w:left w:w="108" w:type="dxa"/>
            <w:bottom w:w="0" w:type="dxa"/>
            <w:right w:w="108" w:type="dxa"/>
          </w:tblCellMar>
        </w:tblPrEx>
        <w:trPr>
          <w:trHeight w:val="497" w:hRule="atLeast"/>
        </w:trPr>
        <w:tc>
          <w:tcPr>
            <w:tcW w:w="1912" w:type="dxa"/>
            <w:vMerge w:val="restart"/>
            <w:tcBorders>
              <w:top w:val="single" w:color="auto" w:sz="8" w:space="0"/>
              <w:left w:val="single" w:color="auto" w:sz="8" w:space="0"/>
              <w:bottom w:val="single" w:color="000000" w:sz="4" w:space="0"/>
              <w:right w:val="single" w:color="auto" w:sz="8" w:space="0"/>
            </w:tcBorders>
            <w:vAlign w:val="center"/>
          </w:tcPr>
          <w:p w14:paraId="78074BAF">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行业</w:t>
            </w:r>
          </w:p>
        </w:tc>
        <w:tc>
          <w:tcPr>
            <w:tcW w:w="4745" w:type="dxa"/>
            <w:gridSpan w:val="3"/>
            <w:tcBorders>
              <w:top w:val="single" w:color="auto" w:sz="8" w:space="0"/>
              <w:left w:val="nil"/>
              <w:bottom w:val="single" w:color="auto" w:sz="4" w:space="0"/>
              <w:right w:val="single" w:color="000000" w:sz="8" w:space="0"/>
            </w:tcBorders>
            <w:vAlign w:val="bottom"/>
          </w:tcPr>
          <w:p w14:paraId="62026D0F">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中型企业</w:t>
            </w:r>
          </w:p>
        </w:tc>
        <w:tc>
          <w:tcPr>
            <w:tcW w:w="4233" w:type="dxa"/>
            <w:gridSpan w:val="3"/>
            <w:tcBorders>
              <w:top w:val="single" w:color="auto" w:sz="8" w:space="0"/>
              <w:left w:val="nil"/>
              <w:bottom w:val="single" w:color="auto" w:sz="4" w:space="0"/>
              <w:right w:val="single" w:color="000000" w:sz="8" w:space="0"/>
            </w:tcBorders>
            <w:vAlign w:val="bottom"/>
          </w:tcPr>
          <w:p w14:paraId="28B2BAC5">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小型企业</w:t>
            </w:r>
          </w:p>
        </w:tc>
        <w:tc>
          <w:tcPr>
            <w:tcW w:w="3830" w:type="dxa"/>
            <w:gridSpan w:val="4"/>
            <w:tcBorders>
              <w:top w:val="single" w:color="auto" w:sz="8" w:space="0"/>
              <w:left w:val="nil"/>
              <w:bottom w:val="single" w:color="auto" w:sz="4" w:space="0"/>
              <w:right w:val="single" w:color="000000" w:sz="8" w:space="0"/>
            </w:tcBorders>
            <w:vAlign w:val="bottom"/>
          </w:tcPr>
          <w:p w14:paraId="4E479F29">
            <w:pPr>
              <w:spacing w:line="240" w:lineRule="auto"/>
              <w:ind w:firstLine="301"/>
              <w:jc w:val="center"/>
              <w:rPr>
                <w:rFonts w:hint="eastAsia" w:ascii="宋体" w:hAnsi="宋体" w:eastAsia="宋体" w:cs="宋体"/>
                <w:b/>
                <w:bCs/>
                <w:color w:val="000000"/>
                <w:sz w:val="15"/>
                <w:szCs w:val="15"/>
              </w:rPr>
            </w:pPr>
            <w:r>
              <w:rPr>
                <w:rFonts w:hint="eastAsia" w:ascii="宋体" w:hAnsi="宋体" w:eastAsia="宋体" w:cs="宋体"/>
                <w:b/>
                <w:bCs/>
                <w:color w:val="000000"/>
                <w:sz w:val="15"/>
                <w:szCs w:val="15"/>
              </w:rPr>
              <w:t>微型企业</w:t>
            </w:r>
          </w:p>
        </w:tc>
      </w:tr>
      <w:tr w14:paraId="2E1C0FC1">
        <w:tblPrEx>
          <w:tblCellMar>
            <w:top w:w="0" w:type="dxa"/>
            <w:left w:w="108" w:type="dxa"/>
            <w:bottom w:w="0" w:type="dxa"/>
            <w:right w:w="108" w:type="dxa"/>
          </w:tblCellMar>
        </w:tblPrEx>
        <w:trPr>
          <w:trHeight w:val="558" w:hRule="atLeast"/>
        </w:trPr>
        <w:tc>
          <w:tcPr>
            <w:tcW w:w="1912" w:type="dxa"/>
            <w:vMerge w:val="continue"/>
            <w:tcBorders>
              <w:top w:val="single" w:color="auto" w:sz="8" w:space="0"/>
              <w:left w:val="single" w:color="auto" w:sz="8" w:space="0"/>
              <w:bottom w:val="single" w:color="000000" w:sz="4" w:space="0"/>
              <w:right w:val="single" w:color="auto" w:sz="8" w:space="0"/>
            </w:tcBorders>
            <w:vAlign w:val="center"/>
          </w:tcPr>
          <w:p w14:paraId="76D9ECE6">
            <w:pPr>
              <w:spacing w:line="240" w:lineRule="auto"/>
              <w:ind w:firstLine="301"/>
              <w:rPr>
                <w:rFonts w:hint="eastAsia" w:ascii="宋体" w:hAnsi="宋体" w:eastAsia="宋体" w:cs="宋体"/>
                <w:b/>
                <w:bCs/>
                <w:color w:val="000000"/>
                <w:sz w:val="15"/>
                <w:szCs w:val="15"/>
              </w:rPr>
            </w:pPr>
          </w:p>
        </w:tc>
        <w:tc>
          <w:tcPr>
            <w:tcW w:w="1440" w:type="dxa"/>
            <w:tcBorders>
              <w:top w:val="nil"/>
              <w:left w:val="nil"/>
              <w:bottom w:val="single" w:color="auto" w:sz="4" w:space="0"/>
              <w:right w:val="single" w:color="auto" w:sz="4" w:space="0"/>
            </w:tcBorders>
            <w:vAlign w:val="bottom"/>
          </w:tcPr>
          <w:p w14:paraId="414EA46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696" w:type="dxa"/>
            <w:tcBorders>
              <w:top w:val="nil"/>
              <w:left w:val="nil"/>
              <w:bottom w:val="single" w:color="auto" w:sz="4" w:space="0"/>
              <w:right w:val="single" w:color="auto" w:sz="4" w:space="0"/>
            </w:tcBorders>
            <w:vAlign w:val="bottom"/>
          </w:tcPr>
          <w:p w14:paraId="1400B0A2">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w:t>
            </w:r>
          </w:p>
          <w:p w14:paraId="7303E504">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609" w:type="dxa"/>
            <w:tcBorders>
              <w:top w:val="nil"/>
              <w:left w:val="nil"/>
              <w:bottom w:val="single" w:color="auto" w:sz="4" w:space="0"/>
              <w:right w:val="single" w:color="auto" w:sz="8" w:space="0"/>
            </w:tcBorders>
            <w:vAlign w:val="bottom"/>
          </w:tcPr>
          <w:p w14:paraId="6AA32BA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w:t>
            </w:r>
          </w:p>
          <w:p w14:paraId="2B6B0A8B">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193" w:type="dxa"/>
            <w:tcBorders>
              <w:top w:val="nil"/>
              <w:left w:val="nil"/>
              <w:bottom w:val="single" w:color="auto" w:sz="4" w:space="0"/>
              <w:right w:val="single" w:color="auto" w:sz="4" w:space="0"/>
            </w:tcBorders>
            <w:vAlign w:val="bottom"/>
          </w:tcPr>
          <w:p w14:paraId="73C13D18">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501" w:type="dxa"/>
            <w:tcBorders>
              <w:top w:val="nil"/>
              <w:left w:val="nil"/>
              <w:bottom w:val="single" w:color="auto" w:sz="4" w:space="0"/>
              <w:right w:val="single" w:color="auto" w:sz="4" w:space="0"/>
            </w:tcBorders>
            <w:vAlign w:val="bottom"/>
          </w:tcPr>
          <w:p w14:paraId="7951E8AC">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w:t>
            </w:r>
          </w:p>
          <w:p w14:paraId="5CB44BC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539" w:type="dxa"/>
            <w:tcBorders>
              <w:top w:val="nil"/>
              <w:left w:val="nil"/>
              <w:bottom w:val="single" w:color="auto" w:sz="4" w:space="0"/>
              <w:right w:val="single" w:color="auto" w:sz="8" w:space="0"/>
            </w:tcBorders>
            <w:vAlign w:val="bottom"/>
          </w:tcPr>
          <w:p w14:paraId="48900179">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w:t>
            </w:r>
          </w:p>
          <w:p w14:paraId="6D923320">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（万元）</w:t>
            </w:r>
          </w:p>
        </w:tc>
        <w:tc>
          <w:tcPr>
            <w:tcW w:w="1268" w:type="dxa"/>
            <w:tcBorders>
              <w:top w:val="nil"/>
              <w:left w:val="nil"/>
              <w:bottom w:val="single" w:color="auto" w:sz="4" w:space="0"/>
              <w:right w:val="single" w:color="auto" w:sz="4" w:space="0"/>
            </w:tcBorders>
            <w:vAlign w:val="bottom"/>
          </w:tcPr>
          <w:p w14:paraId="1DBBFEDF">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从业人员X（人）</w:t>
            </w:r>
          </w:p>
        </w:tc>
        <w:tc>
          <w:tcPr>
            <w:tcW w:w="1259" w:type="dxa"/>
            <w:tcBorders>
              <w:top w:val="nil"/>
              <w:left w:val="nil"/>
              <w:bottom w:val="single" w:color="auto" w:sz="4" w:space="0"/>
              <w:right w:val="single" w:color="auto" w:sz="4" w:space="0"/>
            </w:tcBorders>
            <w:vAlign w:val="bottom"/>
          </w:tcPr>
          <w:p w14:paraId="5F114EE1">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营业收入Y（万元）</w:t>
            </w:r>
          </w:p>
        </w:tc>
        <w:tc>
          <w:tcPr>
            <w:tcW w:w="1303" w:type="dxa"/>
            <w:gridSpan w:val="2"/>
            <w:tcBorders>
              <w:top w:val="nil"/>
              <w:left w:val="nil"/>
              <w:bottom w:val="single" w:color="auto" w:sz="4" w:space="0"/>
              <w:right w:val="single" w:color="auto" w:sz="8" w:space="0"/>
            </w:tcBorders>
            <w:vAlign w:val="bottom"/>
          </w:tcPr>
          <w:p w14:paraId="7273321C">
            <w:pPr>
              <w:spacing w:line="240" w:lineRule="auto"/>
              <w:ind w:firstLine="300"/>
              <w:jc w:val="center"/>
              <w:rPr>
                <w:rFonts w:hint="eastAsia" w:ascii="宋体" w:hAnsi="宋体" w:eastAsia="宋体" w:cs="宋体"/>
                <w:color w:val="000000"/>
                <w:sz w:val="15"/>
                <w:szCs w:val="15"/>
              </w:rPr>
            </w:pPr>
            <w:r>
              <w:rPr>
                <w:rFonts w:hint="eastAsia" w:ascii="宋体" w:hAnsi="宋体" w:eastAsia="宋体" w:cs="宋体"/>
                <w:color w:val="000000"/>
                <w:sz w:val="15"/>
                <w:szCs w:val="15"/>
              </w:rPr>
              <w:t>资产总额Z（万元）</w:t>
            </w:r>
          </w:p>
        </w:tc>
      </w:tr>
      <w:tr w14:paraId="63BF8070">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1EC445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1、农林牧渔业</w:t>
            </w:r>
          </w:p>
        </w:tc>
        <w:tc>
          <w:tcPr>
            <w:tcW w:w="1440" w:type="dxa"/>
            <w:tcBorders>
              <w:top w:val="nil"/>
              <w:left w:val="nil"/>
              <w:bottom w:val="single" w:color="auto" w:sz="4" w:space="0"/>
              <w:right w:val="single" w:color="auto" w:sz="4" w:space="0"/>
            </w:tcBorders>
            <w:vAlign w:val="bottom"/>
          </w:tcPr>
          <w:p w14:paraId="29705F9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31F196A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500≤Y＜20000</w:t>
            </w:r>
          </w:p>
        </w:tc>
        <w:tc>
          <w:tcPr>
            <w:tcW w:w="1609" w:type="dxa"/>
            <w:tcBorders>
              <w:top w:val="nil"/>
              <w:left w:val="nil"/>
              <w:bottom w:val="single" w:color="auto" w:sz="4" w:space="0"/>
              <w:right w:val="single" w:color="auto" w:sz="8" w:space="0"/>
            </w:tcBorders>
            <w:vAlign w:val="bottom"/>
          </w:tcPr>
          <w:p w14:paraId="3817CB5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1FC5F71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774A5A1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50≤Y＜500</w:t>
            </w:r>
          </w:p>
        </w:tc>
        <w:tc>
          <w:tcPr>
            <w:tcW w:w="1539" w:type="dxa"/>
            <w:tcBorders>
              <w:top w:val="nil"/>
              <w:left w:val="nil"/>
              <w:bottom w:val="single" w:color="auto" w:sz="4" w:space="0"/>
              <w:right w:val="single" w:color="auto" w:sz="8" w:space="0"/>
            </w:tcBorders>
            <w:vAlign w:val="bottom"/>
          </w:tcPr>
          <w:p w14:paraId="4A13122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4949DC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305B8E9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w:t>
            </w:r>
          </w:p>
        </w:tc>
        <w:tc>
          <w:tcPr>
            <w:tcW w:w="1303" w:type="dxa"/>
            <w:gridSpan w:val="2"/>
            <w:tcBorders>
              <w:top w:val="nil"/>
              <w:left w:val="nil"/>
              <w:bottom w:val="single" w:color="auto" w:sz="4" w:space="0"/>
              <w:right w:val="single" w:color="auto" w:sz="8" w:space="0"/>
            </w:tcBorders>
            <w:vAlign w:val="bottom"/>
          </w:tcPr>
          <w:p w14:paraId="6029E9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55638C0E">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27EA8F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2、工业</w:t>
            </w:r>
          </w:p>
        </w:tc>
        <w:tc>
          <w:tcPr>
            <w:tcW w:w="1440" w:type="dxa"/>
            <w:tcBorders>
              <w:top w:val="nil"/>
              <w:left w:val="nil"/>
              <w:bottom w:val="single" w:color="auto" w:sz="4" w:space="0"/>
              <w:right w:val="single" w:color="auto" w:sz="4" w:space="0"/>
            </w:tcBorders>
            <w:vAlign w:val="bottom"/>
          </w:tcPr>
          <w:p w14:paraId="7F72B18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3099784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2000≤Y＜40000</w:t>
            </w:r>
          </w:p>
        </w:tc>
        <w:tc>
          <w:tcPr>
            <w:tcW w:w="1609" w:type="dxa"/>
            <w:tcBorders>
              <w:top w:val="nil"/>
              <w:left w:val="nil"/>
              <w:bottom w:val="single" w:color="auto" w:sz="4" w:space="0"/>
              <w:right w:val="single" w:color="auto" w:sz="8" w:space="0"/>
            </w:tcBorders>
            <w:vAlign w:val="bottom"/>
          </w:tcPr>
          <w:p w14:paraId="486A14F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1E1104B8">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6294ADF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300≤Y＜2000</w:t>
            </w:r>
          </w:p>
        </w:tc>
        <w:tc>
          <w:tcPr>
            <w:tcW w:w="1539" w:type="dxa"/>
            <w:tcBorders>
              <w:top w:val="nil"/>
              <w:left w:val="nil"/>
              <w:bottom w:val="single" w:color="auto" w:sz="4" w:space="0"/>
              <w:right w:val="single" w:color="auto" w:sz="8" w:space="0"/>
            </w:tcBorders>
            <w:vAlign w:val="bottom"/>
          </w:tcPr>
          <w:p w14:paraId="421AB15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35665E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4C4B0DE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Y＜300</w:t>
            </w:r>
          </w:p>
        </w:tc>
        <w:tc>
          <w:tcPr>
            <w:tcW w:w="1303" w:type="dxa"/>
            <w:gridSpan w:val="2"/>
            <w:tcBorders>
              <w:top w:val="nil"/>
              <w:left w:val="nil"/>
              <w:bottom w:val="single" w:color="auto" w:sz="4" w:space="0"/>
              <w:right w:val="single" w:color="auto" w:sz="8" w:space="0"/>
            </w:tcBorders>
            <w:vAlign w:val="bottom"/>
          </w:tcPr>
          <w:p w14:paraId="62930A2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0022AA5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0CDB9A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3、建筑业</w:t>
            </w:r>
          </w:p>
        </w:tc>
        <w:tc>
          <w:tcPr>
            <w:tcW w:w="1440" w:type="dxa"/>
            <w:tcBorders>
              <w:top w:val="nil"/>
              <w:left w:val="nil"/>
              <w:bottom w:val="single" w:color="auto" w:sz="4" w:space="0"/>
              <w:right w:val="single" w:color="auto" w:sz="4" w:space="0"/>
            </w:tcBorders>
            <w:vAlign w:val="bottom"/>
          </w:tcPr>
          <w:p w14:paraId="2CC7135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29BC51C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6000≤Y＜80000</w:t>
            </w:r>
          </w:p>
        </w:tc>
        <w:tc>
          <w:tcPr>
            <w:tcW w:w="1609" w:type="dxa"/>
            <w:tcBorders>
              <w:top w:val="nil"/>
              <w:left w:val="nil"/>
              <w:bottom w:val="single" w:color="auto" w:sz="4" w:space="0"/>
              <w:right w:val="single" w:color="auto" w:sz="8" w:space="0"/>
            </w:tcBorders>
            <w:vAlign w:val="bottom"/>
          </w:tcPr>
          <w:p w14:paraId="516893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5000≤Z＜80000</w:t>
            </w:r>
          </w:p>
        </w:tc>
        <w:tc>
          <w:tcPr>
            <w:tcW w:w="1193" w:type="dxa"/>
            <w:tcBorders>
              <w:top w:val="nil"/>
              <w:left w:val="nil"/>
              <w:bottom w:val="single" w:color="auto" w:sz="4" w:space="0"/>
              <w:right w:val="single" w:color="auto" w:sz="4" w:space="0"/>
            </w:tcBorders>
            <w:vAlign w:val="bottom"/>
          </w:tcPr>
          <w:p w14:paraId="5506919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21436EF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300≤Y＜6000</w:t>
            </w:r>
          </w:p>
        </w:tc>
        <w:tc>
          <w:tcPr>
            <w:tcW w:w="1539" w:type="dxa"/>
            <w:tcBorders>
              <w:top w:val="nil"/>
              <w:left w:val="nil"/>
              <w:bottom w:val="single" w:color="auto" w:sz="4" w:space="0"/>
              <w:right w:val="single" w:color="auto" w:sz="8" w:space="0"/>
            </w:tcBorders>
            <w:vAlign w:val="bottom"/>
          </w:tcPr>
          <w:p w14:paraId="74204E7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300≤Z＜5000</w:t>
            </w:r>
          </w:p>
        </w:tc>
        <w:tc>
          <w:tcPr>
            <w:tcW w:w="1268" w:type="dxa"/>
            <w:tcBorders>
              <w:top w:val="nil"/>
              <w:left w:val="nil"/>
              <w:bottom w:val="single" w:color="auto" w:sz="4" w:space="0"/>
              <w:right w:val="single" w:color="auto" w:sz="4" w:space="0"/>
            </w:tcBorders>
            <w:vAlign w:val="bottom"/>
          </w:tcPr>
          <w:p w14:paraId="6D2646E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238C2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Y＜300</w:t>
            </w:r>
          </w:p>
        </w:tc>
        <w:tc>
          <w:tcPr>
            <w:tcW w:w="1303" w:type="dxa"/>
            <w:gridSpan w:val="2"/>
            <w:tcBorders>
              <w:top w:val="nil"/>
              <w:left w:val="nil"/>
              <w:bottom w:val="single" w:color="auto" w:sz="4" w:space="0"/>
              <w:right w:val="single" w:color="auto" w:sz="8" w:space="0"/>
            </w:tcBorders>
            <w:vAlign w:val="bottom"/>
          </w:tcPr>
          <w:p w14:paraId="0EE2D29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Z＜300</w:t>
            </w:r>
          </w:p>
        </w:tc>
      </w:tr>
      <w:tr w14:paraId="4AA6FCBA">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5EFEFB1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4、批发业</w:t>
            </w:r>
          </w:p>
        </w:tc>
        <w:tc>
          <w:tcPr>
            <w:tcW w:w="1440" w:type="dxa"/>
            <w:tcBorders>
              <w:top w:val="nil"/>
              <w:left w:val="nil"/>
              <w:bottom w:val="single" w:color="auto" w:sz="4" w:space="0"/>
              <w:right w:val="single" w:color="auto" w:sz="4" w:space="0"/>
            </w:tcBorders>
            <w:vAlign w:val="bottom"/>
          </w:tcPr>
          <w:p w14:paraId="7D080B5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20≤X＜200</w:t>
            </w:r>
          </w:p>
        </w:tc>
        <w:tc>
          <w:tcPr>
            <w:tcW w:w="1696" w:type="dxa"/>
            <w:tcBorders>
              <w:top w:val="nil"/>
              <w:left w:val="nil"/>
              <w:bottom w:val="single" w:color="auto" w:sz="4" w:space="0"/>
              <w:right w:val="single" w:color="auto" w:sz="4" w:space="0"/>
            </w:tcBorders>
            <w:vAlign w:val="bottom"/>
          </w:tcPr>
          <w:p w14:paraId="4458B32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5000≤Y＜40000</w:t>
            </w:r>
          </w:p>
        </w:tc>
        <w:tc>
          <w:tcPr>
            <w:tcW w:w="1609" w:type="dxa"/>
            <w:tcBorders>
              <w:top w:val="nil"/>
              <w:left w:val="nil"/>
              <w:bottom w:val="single" w:color="auto" w:sz="4" w:space="0"/>
              <w:right w:val="single" w:color="auto" w:sz="8" w:space="0"/>
            </w:tcBorders>
            <w:vAlign w:val="bottom"/>
          </w:tcPr>
          <w:p w14:paraId="04C8F21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5777E526">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5≤X＜20</w:t>
            </w:r>
          </w:p>
        </w:tc>
        <w:tc>
          <w:tcPr>
            <w:tcW w:w="1501" w:type="dxa"/>
            <w:tcBorders>
              <w:top w:val="nil"/>
              <w:left w:val="nil"/>
              <w:bottom w:val="single" w:color="auto" w:sz="4" w:space="0"/>
              <w:right w:val="single" w:color="auto" w:sz="4" w:space="0"/>
            </w:tcBorders>
            <w:vAlign w:val="bottom"/>
          </w:tcPr>
          <w:p w14:paraId="55AAF02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1000≤Y＜5000</w:t>
            </w:r>
          </w:p>
        </w:tc>
        <w:tc>
          <w:tcPr>
            <w:tcW w:w="1539" w:type="dxa"/>
            <w:tcBorders>
              <w:top w:val="nil"/>
              <w:left w:val="nil"/>
              <w:bottom w:val="single" w:color="auto" w:sz="4" w:space="0"/>
              <w:right w:val="single" w:color="auto" w:sz="8" w:space="0"/>
            </w:tcBorders>
            <w:vAlign w:val="bottom"/>
          </w:tcPr>
          <w:p w14:paraId="4B0BC59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3CE849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X＜5</w:t>
            </w:r>
          </w:p>
        </w:tc>
        <w:tc>
          <w:tcPr>
            <w:tcW w:w="1259" w:type="dxa"/>
            <w:tcBorders>
              <w:top w:val="nil"/>
              <w:left w:val="nil"/>
              <w:bottom w:val="single" w:color="auto" w:sz="4" w:space="0"/>
              <w:right w:val="single" w:color="auto" w:sz="4" w:space="0"/>
            </w:tcBorders>
            <w:vAlign w:val="bottom"/>
          </w:tcPr>
          <w:p w14:paraId="61AC0E5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Y＜1000</w:t>
            </w:r>
          </w:p>
        </w:tc>
        <w:tc>
          <w:tcPr>
            <w:tcW w:w="1303" w:type="dxa"/>
            <w:gridSpan w:val="2"/>
            <w:tcBorders>
              <w:top w:val="nil"/>
              <w:left w:val="nil"/>
              <w:bottom w:val="single" w:color="auto" w:sz="4" w:space="0"/>
              <w:right w:val="single" w:color="auto" w:sz="8" w:space="0"/>
            </w:tcBorders>
            <w:vAlign w:val="bottom"/>
          </w:tcPr>
          <w:p w14:paraId="25EDAB6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2E289B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DFD1A0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5、零售业</w:t>
            </w:r>
          </w:p>
        </w:tc>
        <w:tc>
          <w:tcPr>
            <w:tcW w:w="1440" w:type="dxa"/>
            <w:tcBorders>
              <w:top w:val="nil"/>
              <w:left w:val="nil"/>
              <w:bottom w:val="single" w:color="auto" w:sz="4" w:space="0"/>
              <w:right w:val="single" w:color="auto" w:sz="4" w:space="0"/>
            </w:tcBorders>
            <w:vAlign w:val="bottom"/>
          </w:tcPr>
          <w:p w14:paraId="449DC56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50≤X＜300</w:t>
            </w:r>
          </w:p>
        </w:tc>
        <w:tc>
          <w:tcPr>
            <w:tcW w:w="1696" w:type="dxa"/>
            <w:tcBorders>
              <w:top w:val="nil"/>
              <w:left w:val="nil"/>
              <w:bottom w:val="single" w:color="auto" w:sz="4" w:space="0"/>
              <w:right w:val="single" w:color="auto" w:sz="4" w:space="0"/>
            </w:tcBorders>
            <w:vAlign w:val="bottom"/>
          </w:tcPr>
          <w:p w14:paraId="00D5CB4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500≤Y＜20000</w:t>
            </w:r>
          </w:p>
        </w:tc>
        <w:tc>
          <w:tcPr>
            <w:tcW w:w="1609" w:type="dxa"/>
            <w:tcBorders>
              <w:top w:val="nil"/>
              <w:left w:val="nil"/>
              <w:bottom w:val="single" w:color="auto" w:sz="4" w:space="0"/>
              <w:right w:val="single" w:color="auto" w:sz="8" w:space="0"/>
            </w:tcBorders>
            <w:vAlign w:val="bottom"/>
          </w:tcPr>
          <w:p w14:paraId="3C0D1E8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5FB5FDA3">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10≤X＜50</w:t>
            </w:r>
          </w:p>
        </w:tc>
        <w:tc>
          <w:tcPr>
            <w:tcW w:w="1501" w:type="dxa"/>
            <w:tcBorders>
              <w:top w:val="nil"/>
              <w:left w:val="nil"/>
              <w:bottom w:val="single" w:color="auto" w:sz="4" w:space="0"/>
              <w:right w:val="single" w:color="auto" w:sz="4" w:space="0"/>
            </w:tcBorders>
            <w:vAlign w:val="bottom"/>
          </w:tcPr>
          <w:p w14:paraId="580AB58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100≤Y＜500</w:t>
            </w:r>
          </w:p>
        </w:tc>
        <w:tc>
          <w:tcPr>
            <w:tcW w:w="1539" w:type="dxa"/>
            <w:tcBorders>
              <w:top w:val="nil"/>
              <w:left w:val="nil"/>
              <w:bottom w:val="single" w:color="auto" w:sz="4" w:space="0"/>
              <w:right w:val="single" w:color="auto" w:sz="8" w:space="0"/>
            </w:tcBorders>
            <w:vAlign w:val="bottom"/>
          </w:tcPr>
          <w:p w14:paraId="6D35747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0B357E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2B609A0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608C3EB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2FF91E1">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DA699B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6、交通运输业</w:t>
            </w:r>
          </w:p>
        </w:tc>
        <w:tc>
          <w:tcPr>
            <w:tcW w:w="1440" w:type="dxa"/>
            <w:tcBorders>
              <w:top w:val="nil"/>
              <w:left w:val="nil"/>
              <w:bottom w:val="single" w:color="auto" w:sz="4" w:space="0"/>
              <w:right w:val="single" w:color="auto" w:sz="4" w:space="0"/>
            </w:tcBorders>
            <w:vAlign w:val="bottom"/>
          </w:tcPr>
          <w:p w14:paraId="5B7C695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5DB3CBF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3000≤Y＜30000</w:t>
            </w:r>
          </w:p>
        </w:tc>
        <w:tc>
          <w:tcPr>
            <w:tcW w:w="1609" w:type="dxa"/>
            <w:tcBorders>
              <w:top w:val="nil"/>
              <w:left w:val="nil"/>
              <w:bottom w:val="single" w:color="auto" w:sz="4" w:space="0"/>
              <w:right w:val="single" w:color="auto" w:sz="8" w:space="0"/>
            </w:tcBorders>
            <w:vAlign w:val="bottom"/>
          </w:tcPr>
          <w:p w14:paraId="2B29A7D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F60FD27">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48F0969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200≤Y＜3000</w:t>
            </w:r>
          </w:p>
        </w:tc>
        <w:tc>
          <w:tcPr>
            <w:tcW w:w="1539" w:type="dxa"/>
            <w:tcBorders>
              <w:top w:val="nil"/>
              <w:left w:val="nil"/>
              <w:bottom w:val="single" w:color="auto" w:sz="4" w:space="0"/>
              <w:right w:val="single" w:color="auto" w:sz="8" w:space="0"/>
            </w:tcBorders>
            <w:vAlign w:val="bottom"/>
          </w:tcPr>
          <w:p w14:paraId="7B95DA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1CE652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77F2EAE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V＜200</w:t>
            </w:r>
          </w:p>
        </w:tc>
        <w:tc>
          <w:tcPr>
            <w:tcW w:w="1303" w:type="dxa"/>
            <w:gridSpan w:val="2"/>
            <w:tcBorders>
              <w:top w:val="nil"/>
              <w:left w:val="nil"/>
              <w:bottom w:val="single" w:color="auto" w:sz="4" w:space="0"/>
              <w:right w:val="single" w:color="auto" w:sz="8" w:space="0"/>
            </w:tcBorders>
            <w:vAlign w:val="bottom"/>
          </w:tcPr>
          <w:p w14:paraId="4575210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743BE1D8">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185BA31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7、仓储业</w:t>
            </w:r>
          </w:p>
        </w:tc>
        <w:tc>
          <w:tcPr>
            <w:tcW w:w="1440" w:type="dxa"/>
            <w:tcBorders>
              <w:top w:val="nil"/>
              <w:left w:val="nil"/>
              <w:bottom w:val="single" w:color="auto" w:sz="4" w:space="0"/>
              <w:right w:val="single" w:color="auto" w:sz="4" w:space="0"/>
            </w:tcBorders>
            <w:vAlign w:val="bottom"/>
          </w:tcPr>
          <w:p w14:paraId="61D4EA4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100≤X＜200</w:t>
            </w:r>
          </w:p>
        </w:tc>
        <w:tc>
          <w:tcPr>
            <w:tcW w:w="1696" w:type="dxa"/>
            <w:tcBorders>
              <w:top w:val="nil"/>
              <w:left w:val="nil"/>
              <w:bottom w:val="single" w:color="auto" w:sz="4" w:space="0"/>
              <w:right w:val="single" w:color="auto" w:sz="4" w:space="0"/>
            </w:tcBorders>
            <w:vAlign w:val="bottom"/>
          </w:tcPr>
          <w:p w14:paraId="7754F38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1000≤Y＜30000</w:t>
            </w:r>
          </w:p>
        </w:tc>
        <w:tc>
          <w:tcPr>
            <w:tcW w:w="1609" w:type="dxa"/>
            <w:tcBorders>
              <w:top w:val="nil"/>
              <w:left w:val="nil"/>
              <w:bottom w:val="single" w:color="auto" w:sz="4" w:space="0"/>
              <w:right w:val="single" w:color="auto" w:sz="8" w:space="0"/>
            </w:tcBorders>
            <w:vAlign w:val="bottom"/>
          </w:tcPr>
          <w:p w14:paraId="43763D0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66E6B7D">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20≤X＜100</w:t>
            </w:r>
          </w:p>
        </w:tc>
        <w:tc>
          <w:tcPr>
            <w:tcW w:w="1501" w:type="dxa"/>
            <w:tcBorders>
              <w:top w:val="nil"/>
              <w:left w:val="nil"/>
              <w:bottom w:val="single" w:color="auto" w:sz="4" w:space="0"/>
              <w:right w:val="single" w:color="auto" w:sz="4" w:space="0"/>
            </w:tcBorders>
            <w:vAlign w:val="bottom"/>
          </w:tcPr>
          <w:p w14:paraId="429EB9F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0424E7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49EB9A1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4C6F3A1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678705B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5DEADEA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40A472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8、邮政业</w:t>
            </w:r>
          </w:p>
        </w:tc>
        <w:tc>
          <w:tcPr>
            <w:tcW w:w="1440" w:type="dxa"/>
            <w:tcBorders>
              <w:top w:val="nil"/>
              <w:left w:val="nil"/>
              <w:bottom w:val="single" w:color="auto" w:sz="4" w:space="0"/>
              <w:right w:val="single" w:color="auto" w:sz="4" w:space="0"/>
            </w:tcBorders>
            <w:vAlign w:val="bottom"/>
          </w:tcPr>
          <w:p w14:paraId="41E4F77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24A2503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2000≤Y＜30000</w:t>
            </w:r>
          </w:p>
        </w:tc>
        <w:tc>
          <w:tcPr>
            <w:tcW w:w="1609" w:type="dxa"/>
            <w:tcBorders>
              <w:top w:val="nil"/>
              <w:left w:val="nil"/>
              <w:bottom w:val="single" w:color="auto" w:sz="4" w:space="0"/>
              <w:right w:val="single" w:color="auto" w:sz="8" w:space="0"/>
            </w:tcBorders>
            <w:vAlign w:val="bottom"/>
          </w:tcPr>
          <w:p w14:paraId="23B1AC8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25C3B780">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20≤X＜300</w:t>
            </w:r>
          </w:p>
        </w:tc>
        <w:tc>
          <w:tcPr>
            <w:tcW w:w="1501" w:type="dxa"/>
            <w:tcBorders>
              <w:top w:val="nil"/>
              <w:left w:val="nil"/>
              <w:bottom w:val="single" w:color="auto" w:sz="4" w:space="0"/>
              <w:right w:val="single" w:color="auto" w:sz="4" w:space="0"/>
            </w:tcBorders>
            <w:vAlign w:val="bottom"/>
          </w:tcPr>
          <w:p w14:paraId="34A719D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43583E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1A60A6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X＜20</w:t>
            </w:r>
          </w:p>
        </w:tc>
        <w:tc>
          <w:tcPr>
            <w:tcW w:w="1259" w:type="dxa"/>
            <w:tcBorders>
              <w:top w:val="nil"/>
              <w:left w:val="nil"/>
              <w:bottom w:val="single" w:color="auto" w:sz="4" w:space="0"/>
              <w:right w:val="single" w:color="auto" w:sz="4" w:space="0"/>
            </w:tcBorders>
            <w:vAlign w:val="bottom"/>
          </w:tcPr>
          <w:p w14:paraId="7F3E8B2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2FB5CDC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3BFDA9C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1E89AB3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9、住宿业</w:t>
            </w:r>
          </w:p>
        </w:tc>
        <w:tc>
          <w:tcPr>
            <w:tcW w:w="1440" w:type="dxa"/>
            <w:tcBorders>
              <w:top w:val="nil"/>
              <w:left w:val="nil"/>
              <w:bottom w:val="single" w:color="auto" w:sz="4" w:space="0"/>
              <w:right w:val="single" w:color="auto" w:sz="4" w:space="0"/>
            </w:tcBorders>
            <w:vAlign w:val="bottom"/>
          </w:tcPr>
          <w:p w14:paraId="3ACA801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9F5D3E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2000≤Y＜10000</w:t>
            </w:r>
          </w:p>
        </w:tc>
        <w:tc>
          <w:tcPr>
            <w:tcW w:w="1609" w:type="dxa"/>
            <w:tcBorders>
              <w:top w:val="nil"/>
              <w:left w:val="nil"/>
              <w:bottom w:val="single" w:color="auto" w:sz="4" w:space="0"/>
              <w:right w:val="single" w:color="auto" w:sz="8" w:space="0"/>
            </w:tcBorders>
            <w:vAlign w:val="bottom"/>
          </w:tcPr>
          <w:p w14:paraId="2E7D868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6E6746BB">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22B9F4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01169E8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5C1890C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7A9E664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1141990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037807F9">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7104515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10、餐饮业</w:t>
            </w:r>
          </w:p>
        </w:tc>
        <w:tc>
          <w:tcPr>
            <w:tcW w:w="1440" w:type="dxa"/>
            <w:tcBorders>
              <w:top w:val="nil"/>
              <w:left w:val="nil"/>
              <w:bottom w:val="single" w:color="auto" w:sz="4" w:space="0"/>
              <w:right w:val="single" w:color="auto" w:sz="4" w:space="0"/>
            </w:tcBorders>
            <w:vAlign w:val="bottom"/>
          </w:tcPr>
          <w:p w14:paraId="06D3FCF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1722962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2000≤Y＜10000</w:t>
            </w:r>
          </w:p>
        </w:tc>
        <w:tc>
          <w:tcPr>
            <w:tcW w:w="1609" w:type="dxa"/>
            <w:tcBorders>
              <w:top w:val="nil"/>
              <w:left w:val="nil"/>
              <w:bottom w:val="single" w:color="auto" w:sz="4" w:space="0"/>
              <w:right w:val="single" w:color="auto" w:sz="8" w:space="0"/>
            </w:tcBorders>
            <w:vAlign w:val="bottom"/>
          </w:tcPr>
          <w:p w14:paraId="69451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3927915">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16A41EF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100≤Y＜2000</w:t>
            </w:r>
          </w:p>
        </w:tc>
        <w:tc>
          <w:tcPr>
            <w:tcW w:w="1539" w:type="dxa"/>
            <w:tcBorders>
              <w:top w:val="nil"/>
              <w:left w:val="nil"/>
              <w:bottom w:val="single" w:color="auto" w:sz="4" w:space="0"/>
              <w:right w:val="single" w:color="auto" w:sz="8" w:space="0"/>
            </w:tcBorders>
            <w:vAlign w:val="bottom"/>
          </w:tcPr>
          <w:p w14:paraId="6FDBAEA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13F1100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0795DAE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V＜100</w:t>
            </w:r>
          </w:p>
        </w:tc>
        <w:tc>
          <w:tcPr>
            <w:tcW w:w="1303" w:type="dxa"/>
            <w:gridSpan w:val="2"/>
            <w:tcBorders>
              <w:top w:val="nil"/>
              <w:left w:val="nil"/>
              <w:bottom w:val="single" w:color="auto" w:sz="4" w:space="0"/>
              <w:right w:val="single" w:color="auto" w:sz="8" w:space="0"/>
            </w:tcBorders>
            <w:vAlign w:val="bottom"/>
          </w:tcPr>
          <w:p w14:paraId="2544774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3648E08D">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513E060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11、信息传输业</w:t>
            </w:r>
          </w:p>
        </w:tc>
        <w:tc>
          <w:tcPr>
            <w:tcW w:w="1440" w:type="dxa"/>
            <w:tcBorders>
              <w:top w:val="nil"/>
              <w:left w:val="nil"/>
              <w:bottom w:val="single" w:color="auto" w:sz="4" w:space="0"/>
              <w:right w:val="single" w:color="auto" w:sz="4" w:space="0"/>
            </w:tcBorders>
            <w:vAlign w:val="bottom"/>
          </w:tcPr>
          <w:p w14:paraId="5E1AF72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100≤X＜2000</w:t>
            </w:r>
          </w:p>
        </w:tc>
        <w:tc>
          <w:tcPr>
            <w:tcW w:w="1696" w:type="dxa"/>
            <w:tcBorders>
              <w:top w:val="nil"/>
              <w:left w:val="nil"/>
              <w:bottom w:val="single" w:color="auto" w:sz="4" w:space="0"/>
              <w:right w:val="single" w:color="auto" w:sz="4" w:space="0"/>
            </w:tcBorders>
            <w:vAlign w:val="bottom"/>
          </w:tcPr>
          <w:p w14:paraId="53435EE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1000≤Y＜100000</w:t>
            </w:r>
          </w:p>
        </w:tc>
        <w:tc>
          <w:tcPr>
            <w:tcW w:w="1609" w:type="dxa"/>
            <w:tcBorders>
              <w:top w:val="nil"/>
              <w:left w:val="nil"/>
              <w:bottom w:val="single" w:color="auto" w:sz="4" w:space="0"/>
              <w:right w:val="single" w:color="auto" w:sz="8" w:space="0"/>
            </w:tcBorders>
            <w:vAlign w:val="bottom"/>
          </w:tcPr>
          <w:p w14:paraId="644E09C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35AF17BE">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686B4E7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4733668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E81681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593EE3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27D839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632BD7B">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340638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12、软件和信息技术服务业</w:t>
            </w:r>
          </w:p>
        </w:tc>
        <w:tc>
          <w:tcPr>
            <w:tcW w:w="1440" w:type="dxa"/>
            <w:tcBorders>
              <w:top w:val="nil"/>
              <w:left w:val="nil"/>
              <w:bottom w:val="single" w:color="auto" w:sz="4" w:space="0"/>
              <w:right w:val="single" w:color="auto" w:sz="4" w:space="0"/>
            </w:tcBorders>
            <w:vAlign w:val="bottom"/>
          </w:tcPr>
          <w:p w14:paraId="1DF257B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4DAEBA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1000≤Y＜10000</w:t>
            </w:r>
          </w:p>
        </w:tc>
        <w:tc>
          <w:tcPr>
            <w:tcW w:w="1609" w:type="dxa"/>
            <w:tcBorders>
              <w:top w:val="nil"/>
              <w:left w:val="nil"/>
              <w:bottom w:val="single" w:color="auto" w:sz="4" w:space="0"/>
              <w:right w:val="single" w:color="auto" w:sz="8" w:space="0"/>
            </w:tcBorders>
            <w:vAlign w:val="bottom"/>
          </w:tcPr>
          <w:p w14:paraId="6E6227B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3DB5F47B">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02F5235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50≤Y＜1000</w:t>
            </w:r>
          </w:p>
        </w:tc>
        <w:tc>
          <w:tcPr>
            <w:tcW w:w="1539" w:type="dxa"/>
            <w:tcBorders>
              <w:top w:val="nil"/>
              <w:left w:val="nil"/>
              <w:bottom w:val="single" w:color="auto" w:sz="4" w:space="0"/>
              <w:right w:val="single" w:color="auto" w:sz="8" w:space="0"/>
            </w:tcBorders>
            <w:vAlign w:val="bottom"/>
          </w:tcPr>
          <w:p w14:paraId="4EE234B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6C69D33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4B3816C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w:t>
            </w:r>
          </w:p>
        </w:tc>
        <w:tc>
          <w:tcPr>
            <w:tcW w:w="1303" w:type="dxa"/>
            <w:gridSpan w:val="2"/>
            <w:tcBorders>
              <w:top w:val="nil"/>
              <w:left w:val="nil"/>
              <w:bottom w:val="single" w:color="auto" w:sz="4" w:space="0"/>
              <w:right w:val="single" w:color="auto" w:sz="8" w:space="0"/>
            </w:tcBorders>
            <w:vAlign w:val="bottom"/>
          </w:tcPr>
          <w:p w14:paraId="0A7378C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941C76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45F606A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13、房地产开发经营</w:t>
            </w:r>
          </w:p>
        </w:tc>
        <w:tc>
          <w:tcPr>
            <w:tcW w:w="1440" w:type="dxa"/>
            <w:tcBorders>
              <w:top w:val="nil"/>
              <w:left w:val="nil"/>
              <w:bottom w:val="single" w:color="auto" w:sz="4" w:space="0"/>
              <w:right w:val="single" w:color="auto" w:sz="4" w:space="0"/>
            </w:tcBorders>
            <w:vAlign w:val="bottom"/>
          </w:tcPr>
          <w:p w14:paraId="316A397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96" w:type="dxa"/>
            <w:tcBorders>
              <w:top w:val="nil"/>
              <w:left w:val="nil"/>
              <w:bottom w:val="single" w:color="auto" w:sz="4" w:space="0"/>
              <w:right w:val="single" w:color="auto" w:sz="4" w:space="0"/>
            </w:tcBorders>
            <w:vAlign w:val="bottom"/>
          </w:tcPr>
          <w:p w14:paraId="15FBCB4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1000≤Y＜200000</w:t>
            </w:r>
          </w:p>
        </w:tc>
        <w:tc>
          <w:tcPr>
            <w:tcW w:w="1609" w:type="dxa"/>
            <w:tcBorders>
              <w:top w:val="nil"/>
              <w:left w:val="nil"/>
              <w:bottom w:val="single" w:color="auto" w:sz="4" w:space="0"/>
              <w:right w:val="single" w:color="auto" w:sz="8" w:space="0"/>
            </w:tcBorders>
            <w:vAlign w:val="bottom"/>
          </w:tcPr>
          <w:p w14:paraId="0F25701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5000≤Z＜10000</w:t>
            </w:r>
          </w:p>
        </w:tc>
        <w:tc>
          <w:tcPr>
            <w:tcW w:w="1193" w:type="dxa"/>
            <w:tcBorders>
              <w:top w:val="nil"/>
              <w:left w:val="nil"/>
              <w:bottom w:val="single" w:color="auto" w:sz="4" w:space="0"/>
              <w:right w:val="single" w:color="auto" w:sz="4" w:space="0"/>
            </w:tcBorders>
            <w:vAlign w:val="bottom"/>
          </w:tcPr>
          <w:p w14:paraId="3C09E6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01" w:type="dxa"/>
            <w:tcBorders>
              <w:top w:val="nil"/>
              <w:left w:val="nil"/>
              <w:bottom w:val="single" w:color="auto" w:sz="4" w:space="0"/>
              <w:right w:val="single" w:color="auto" w:sz="4" w:space="0"/>
            </w:tcBorders>
            <w:vAlign w:val="bottom"/>
          </w:tcPr>
          <w:p w14:paraId="1CD4D32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100≤Y＜1000</w:t>
            </w:r>
          </w:p>
        </w:tc>
        <w:tc>
          <w:tcPr>
            <w:tcW w:w="1539" w:type="dxa"/>
            <w:tcBorders>
              <w:top w:val="nil"/>
              <w:left w:val="nil"/>
              <w:bottom w:val="single" w:color="auto" w:sz="4" w:space="0"/>
              <w:right w:val="single" w:color="auto" w:sz="8" w:space="0"/>
            </w:tcBorders>
            <w:vAlign w:val="bottom"/>
          </w:tcPr>
          <w:p w14:paraId="5C781FF4">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2000≤Z＜5000</w:t>
            </w:r>
          </w:p>
        </w:tc>
        <w:tc>
          <w:tcPr>
            <w:tcW w:w="1268" w:type="dxa"/>
            <w:tcBorders>
              <w:top w:val="nil"/>
              <w:left w:val="nil"/>
              <w:bottom w:val="single" w:color="auto" w:sz="4" w:space="0"/>
              <w:right w:val="single" w:color="auto" w:sz="4" w:space="0"/>
            </w:tcBorders>
            <w:vAlign w:val="bottom"/>
          </w:tcPr>
          <w:p w14:paraId="18DD09B0">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59" w:type="dxa"/>
            <w:tcBorders>
              <w:top w:val="nil"/>
              <w:left w:val="nil"/>
              <w:bottom w:val="single" w:color="auto" w:sz="4" w:space="0"/>
              <w:right w:val="single" w:color="auto" w:sz="4" w:space="0"/>
            </w:tcBorders>
            <w:vAlign w:val="bottom"/>
          </w:tcPr>
          <w:p w14:paraId="4EA7C7E3">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Y＜100</w:t>
            </w:r>
          </w:p>
        </w:tc>
        <w:tc>
          <w:tcPr>
            <w:tcW w:w="1303" w:type="dxa"/>
            <w:gridSpan w:val="2"/>
            <w:tcBorders>
              <w:top w:val="nil"/>
              <w:left w:val="nil"/>
              <w:bottom w:val="single" w:color="auto" w:sz="4" w:space="0"/>
              <w:right w:val="single" w:color="auto" w:sz="8" w:space="0"/>
            </w:tcBorders>
            <w:vAlign w:val="bottom"/>
          </w:tcPr>
          <w:p w14:paraId="394F9B11">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Z＜2000</w:t>
            </w:r>
          </w:p>
        </w:tc>
      </w:tr>
      <w:tr w14:paraId="06DAE9B1">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326DE0B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14、物业管理</w:t>
            </w:r>
          </w:p>
        </w:tc>
        <w:tc>
          <w:tcPr>
            <w:tcW w:w="1440" w:type="dxa"/>
            <w:tcBorders>
              <w:top w:val="nil"/>
              <w:left w:val="nil"/>
              <w:bottom w:val="single" w:color="auto" w:sz="4" w:space="0"/>
              <w:right w:val="single" w:color="auto" w:sz="4" w:space="0"/>
            </w:tcBorders>
            <w:vAlign w:val="bottom"/>
          </w:tcPr>
          <w:p w14:paraId="3E71E1A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300≤X＜1000</w:t>
            </w:r>
          </w:p>
        </w:tc>
        <w:tc>
          <w:tcPr>
            <w:tcW w:w="1696" w:type="dxa"/>
            <w:tcBorders>
              <w:top w:val="nil"/>
              <w:left w:val="nil"/>
              <w:bottom w:val="single" w:color="auto" w:sz="4" w:space="0"/>
              <w:right w:val="single" w:color="auto" w:sz="4" w:space="0"/>
            </w:tcBorders>
            <w:vAlign w:val="bottom"/>
          </w:tcPr>
          <w:p w14:paraId="6DDA1C8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1000≤Y＜5000</w:t>
            </w:r>
          </w:p>
        </w:tc>
        <w:tc>
          <w:tcPr>
            <w:tcW w:w="1609" w:type="dxa"/>
            <w:tcBorders>
              <w:top w:val="nil"/>
              <w:left w:val="nil"/>
              <w:bottom w:val="single" w:color="auto" w:sz="4" w:space="0"/>
              <w:right w:val="single" w:color="auto" w:sz="8" w:space="0"/>
            </w:tcBorders>
            <w:vAlign w:val="bottom"/>
          </w:tcPr>
          <w:p w14:paraId="000294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4" w:space="0"/>
              <w:right w:val="single" w:color="auto" w:sz="4" w:space="0"/>
            </w:tcBorders>
            <w:vAlign w:val="bottom"/>
          </w:tcPr>
          <w:p w14:paraId="48D755C5">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501" w:type="dxa"/>
            <w:tcBorders>
              <w:top w:val="nil"/>
              <w:left w:val="nil"/>
              <w:bottom w:val="single" w:color="auto" w:sz="4" w:space="0"/>
              <w:right w:val="single" w:color="auto" w:sz="4" w:space="0"/>
            </w:tcBorders>
            <w:vAlign w:val="bottom"/>
          </w:tcPr>
          <w:p w14:paraId="36D5859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500≤Y＜1000</w:t>
            </w:r>
          </w:p>
        </w:tc>
        <w:tc>
          <w:tcPr>
            <w:tcW w:w="1539" w:type="dxa"/>
            <w:tcBorders>
              <w:top w:val="nil"/>
              <w:left w:val="nil"/>
              <w:bottom w:val="single" w:color="auto" w:sz="4" w:space="0"/>
              <w:right w:val="single" w:color="auto" w:sz="8" w:space="0"/>
            </w:tcBorders>
            <w:vAlign w:val="bottom"/>
          </w:tcPr>
          <w:p w14:paraId="47A05E9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4" w:space="0"/>
              <w:right w:val="single" w:color="auto" w:sz="4" w:space="0"/>
            </w:tcBorders>
            <w:vAlign w:val="bottom"/>
          </w:tcPr>
          <w:p w14:paraId="0109096B">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X＜100</w:t>
            </w:r>
          </w:p>
        </w:tc>
        <w:tc>
          <w:tcPr>
            <w:tcW w:w="1259" w:type="dxa"/>
            <w:tcBorders>
              <w:top w:val="nil"/>
              <w:left w:val="nil"/>
              <w:bottom w:val="single" w:color="auto" w:sz="4" w:space="0"/>
              <w:right w:val="single" w:color="auto" w:sz="4" w:space="0"/>
            </w:tcBorders>
            <w:vAlign w:val="bottom"/>
          </w:tcPr>
          <w:p w14:paraId="1573180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Y＜500</w:t>
            </w:r>
          </w:p>
        </w:tc>
        <w:tc>
          <w:tcPr>
            <w:tcW w:w="1303" w:type="dxa"/>
            <w:gridSpan w:val="2"/>
            <w:tcBorders>
              <w:top w:val="nil"/>
              <w:left w:val="nil"/>
              <w:bottom w:val="single" w:color="auto" w:sz="4" w:space="0"/>
              <w:right w:val="single" w:color="auto" w:sz="8" w:space="0"/>
            </w:tcBorders>
            <w:vAlign w:val="bottom"/>
          </w:tcPr>
          <w:p w14:paraId="66781E9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15047143">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4" w:space="0"/>
              <w:right w:val="single" w:color="auto" w:sz="8" w:space="0"/>
            </w:tcBorders>
            <w:vAlign w:val="bottom"/>
          </w:tcPr>
          <w:p w14:paraId="6B11CFA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15、租赁和商务服务业</w:t>
            </w:r>
          </w:p>
        </w:tc>
        <w:tc>
          <w:tcPr>
            <w:tcW w:w="1440" w:type="dxa"/>
            <w:tcBorders>
              <w:top w:val="nil"/>
              <w:left w:val="nil"/>
              <w:bottom w:val="single" w:color="auto" w:sz="4" w:space="0"/>
              <w:right w:val="single" w:color="auto" w:sz="4" w:space="0"/>
            </w:tcBorders>
            <w:vAlign w:val="bottom"/>
          </w:tcPr>
          <w:p w14:paraId="1B6B563A">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4" w:space="0"/>
              <w:right w:val="single" w:color="auto" w:sz="4" w:space="0"/>
            </w:tcBorders>
            <w:vAlign w:val="bottom"/>
          </w:tcPr>
          <w:p w14:paraId="40D47BF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09" w:type="dxa"/>
            <w:tcBorders>
              <w:top w:val="nil"/>
              <w:left w:val="nil"/>
              <w:bottom w:val="single" w:color="auto" w:sz="4" w:space="0"/>
              <w:right w:val="single" w:color="auto" w:sz="8" w:space="0"/>
            </w:tcBorders>
            <w:vAlign w:val="bottom"/>
          </w:tcPr>
          <w:p w14:paraId="279BF5DA">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8000≤Z＜120000</w:t>
            </w:r>
          </w:p>
        </w:tc>
        <w:tc>
          <w:tcPr>
            <w:tcW w:w="1193" w:type="dxa"/>
            <w:tcBorders>
              <w:top w:val="nil"/>
              <w:left w:val="nil"/>
              <w:bottom w:val="single" w:color="auto" w:sz="4" w:space="0"/>
              <w:right w:val="single" w:color="auto" w:sz="4" w:space="0"/>
            </w:tcBorders>
            <w:vAlign w:val="bottom"/>
          </w:tcPr>
          <w:p w14:paraId="2281EC9E">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4" w:space="0"/>
              <w:right w:val="single" w:color="auto" w:sz="4" w:space="0"/>
            </w:tcBorders>
            <w:vAlign w:val="bottom"/>
          </w:tcPr>
          <w:p w14:paraId="51B2A2D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39" w:type="dxa"/>
            <w:tcBorders>
              <w:top w:val="nil"/>
              <w:left w:val="nil"/>
              <w:bottom w:val="single" w:color="auto" w:sz="4" w:space="0"/>
              <w:right w:val="single" w:color="auto" w:sz="8" w:space="0"/>
            </w:tcBorders>
            <w:vAlign w:val="bottom"/>
          </w:tcPr>
          <w:p w14:paraId="7B4601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xml:space="preserve"> 100≤Z＜8000</w:t>
            </w:r>
          </w:p>
        </w:tc>
        <w:tc>
          <w:tcPr>
            <w:tcW w:w="1268" w:type="dxa"/>
            <w:tcBorders>
              <w:top w:val="nil"/>
              <w:left w:val="nil"/>
              <w:bottom w:val="single" w:color="auto" w:sz="4" w:space="0"/>
              <w:right w:val="single" w:color="auto" w:sz="4" w:space="0"/>
            </w:tcBorders>
            <w:vAlign w:val="bottom"/>
          </w:tcPr>
          <w:p w14:paraId="79126AAC">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4" w:space="0"/>
              <w:right w:val="single" w:color="auto" w:sz="4" w:space="0"/>
            </w:tcBorders>
            <w:vAlign w:val="bottom"/>
          </w:tcPr>
          <w:p w14:paraId="503C4C2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303" w:type="dxa"/>
            <w:gridSpan w:val="2"/>
            <w:tcBorders>
              <w:top w:val="nil"/>
              <w:left w:val="nil"/>
              <w:bottom w:val="single" w:color="auto" w:sz="4" w:space="0"/>
              <w:right w:val="single" w:color="auto" w:sz="8" w:space="0"/>
            </w:tcBorders>
            <w:vAlign w:val="bottom"/>
          </w:tcPr>
          <w:p w14:paraId="5917CA1E">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Z＜100</w:t>
            </w:r>
          </w:p>
        </w:tc>
      </w:tr>
      <w:tr w14:paraId="4C5DCB30">
        <w:tblPrEx>
          <w:tblCellMar>
            <w:top w:w="0" w:type="dxa"/>
            <w:left w:w="108" w:type="dxa"/>
            <w:bottom w:w="0" w:type="dxa"/>
            <w:right w:w="108" w:type="dxa"/>
          </w:tblCellMar>
        </w:tblPrEx>
        <w:trPr>
          <w:trHeight w:val="379" w:hRule="atLeast"/>
        </w:trPr>
        <w:tc>
          <w:tcPr>
            <w:tcW w:w="1912" w:type="dxa"/>
            <w:tcBorders>
              <w:top w:val="nil"/>
              <w:left w:val="single" w:color="auto" w:sz="8" w:space="0"/>
              <w:bottom w:val="single" w:color="auto" w:sz="8" w:space="0"/>
              <w:right w:val="single" w:color="auto" w:sz="8" w:space="0"/>
            </w:tcBorders>
            <w:vAlign w:val="bottom"/>
          </w:tcPr>
          <w:p w14:paraId="6D2E8FB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16、其他未列明行业</w:t>
            </w:r>
          </w:p>
        </w:tc>
        <w:tc>
          <w:tcPr>
            <w:tcW w:w="1440" w:type="dxa"/>
            <w:tcBorders>
              <w:top w:val="nil"/>
              <w:left w:val="nil"/>
              <w:bottom w:val="single" w:color="auto" w:sz="8" w:space="0"/>
              <w:right w:val="single" w:color="auto" w:sz="4" w:space="0"/>
            </w:tcBorders>
            <w:vAlign w:val="bottom"/>
          </w:tcPr>
          <w:p w14:paraId="1882C7CF">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100≤X＜300</w:t>
            </w:r>
          </w:p>
        </w:tc>
        <w:tc>
          <w:tcPr>
            <w:tcW w:w="1696" w:type="dxa"/>
            <w:tcBorders>
              <w:top w:val="nil"/>
              <w:left w:val="nil"/>
              <w:bottom w:val="single" w:color="auto" w:sz="8" w:space="0"/>
              <w:right w:val="single" w:color="auto" w:sz="4" w:space="0"/>
            </w:tcBorders>
            <w:vAlign w:val="bottom"/>
          </w:tcPr>
          <w:p w14:paraId="64AE67D7">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609" w:type="dxa"/>
            <w:tcBorders>
              <w:top w:val="nil"/>
              <w:left w:val="nil"/>
              <w:bottom w:val="single" w:color="auto" w:sz="8" w:space="0"/>
              <w:right w:val="single" w:color="auto" w:sz="8" w:space="0"/>
            </w:tcBorders>
            <w:vAlign w:val="bottom"/>
          </w:tcPr>
          <w:p w14:paraId="0B007412">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193" w:type="dxa"/>
            <w:tcBorders>
              <w:top w:val="nil"/>
              <w:left w:val="nil"/>
              <w:bottom w:val="single" w:color="auto" w:sz="8" w:space="0"/>
              <w:right w:val="single" w:color="auto" w:sz="4" w:space="0"/>
            </w:tcBorders>
            <w:vAlign w:val="bottom"/>
          </w:tcPr>
          <w:p w14:paraId="7DAD7B2A">
            <w:pPr>
              <w:spacing w:line="240" w:lineRule="auto"/>
              <w:ind w:left="0" w:leftChars="0" w:firstLine="0" w:firstLineChars="0"/>
              <w:jc w:val="center"/>
              <w:rPr>
                <w:rFonts w:hint="eastAsia" w:ascii="宋体" w:hAnsi="宋体" w:eastAsia="宋体" w:cs="宋体"/>
                <w:color w:val="000000"/>
                <w:sz w:val="15"/>
                <w:szCs w:val="15"/>
              </w:rPr>
            </w:pPr>
            <w:r>
              <w:rPr>
                <w:rFonts w:hint="eastAsia" w:ascii="宋体" w:hAnsi="宋体" w:eastAsia="宋体" w:cs="宋体"/>
                <w:color w:val="000000"/>
                <w:sz w:val="15"/>
                <w:szCs w:val="15"/>
              </w:rPr>
              <w:t>10≤X＜100</w:t>
            </w:r>
          </w:p>
        </w:tc>
        <w:tc>
          <w:tcPr>
            <w:tcW w:w="1501" w:type="dxa"/>
            <w:tcBorders>
              <w:top w:val="nil"/>
              <w:left w:val="nil"/>
              <w:bottom w:val="single" w:color="auto" w:sz="8" w:space="0"/>
              <w:right w:val="single" w:color="auto" w:sz="4" w:space="0"/>
            </w:tcBorders>
            <w:vAlign w:val="bottom"/>
          </w:tcPr>
          <w:p w14:paraId="02CDC059">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539" w:type="dxa"/>
            <w:tcBorders>
              <w:top w:val="nil"/>
              <w:left w:val="nil"/>
              <w:bottom w:val="single" w:color="auto" w:sz="8" w:space="0"/>
              <w:right w:val="single" w:color="auto" w:sz="8" w:space="0"/>
            </w:tcBorders>
            <w:vAlign w:val="bottom"/>
          </w:tcPr>
          <w:p w14:paraId="1913CA75">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268" w:type="dxa"/>
            <w:tcBorders>
              <w:top w:val="nil"/>
              <w:left w:val="nil"/>
              <w:bottom w:val="single" w:color="auto" w:sz="8" w:space="0"/>
              <w:right w:val="single" w:color="auto" w:sz="4" w:space="0"/>
            </w:tcBorders>
            <w:vAlign w:val="bottom"/>
          </w:tcPr>
          <w:p w14:paraId="0E9483DD">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X＜10</w:t>
            </w:r>
          </w:p>
        </w:tc>
        <w:tc>
          <w:tcPr>
            <w:tcW w:w="1259" w:type="dxa"/>
            <w:tcBorders>
              <w:top w:val="nil"/>
              <w:left w:val="nil"/>
              <w:bottom w:val="single" w:color="auto" w:sz="8" w:space="0"/>
              <w:right w:val="single" w:color="auto" w:sz="4" w:space="0"/>
            </w:tcBorders>
            <w:vAlign w:val="bottom"/>
          </w:tcPr>
          <w:p w14:paraId="201B9A58">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c>
          <w:tcPr>
            <w:tcW w:w="1303" w:type="dxa"/>
            <w:gridSpan w:val="2"/>
            <w:tcBorders>
              <w:top w:val="nil"/>
              <w:left w:val="nil"/>
              <w:bottom w:val="single" w:color="auto" w:sz="8" w:space="0"/>
              <w:right w:val="single" w:color="auto" w:sz="8" w:space="0"/>
            </w:tcBorders>
            <w:vAlign w:val="bottom"/>
          </w:tcPr>
          <w:p w14:paraId="13EAA126">
            <w:pPr>
              <w:spacing w:line="240" w:lineRule="auto"/>
              <w:ind w:firstLine="300"/>
              <w:rPr>
                <w:rFonts w:hint="eastAsia" w:ascii="宋体" w:hAnsi="宋体" w:eastAsia="宋体" w:cs="宋体"/>
                <w:color w:val="000000"/>
                <w:sz w:val="15"/>
                <w:szCs w:val="15"/>
              </w:rPr>
            </w:pPr>
            <w:r>
              <w:rPr>
                <w:rFonts w:hint="eastAsia" w:ascii="宋体" w:hAnsi="宋体" w:eastAsia="宋体" w:cs="宋体"/>
                <w:color w:val="000000"/>
                <w:sz w:val="15"/>
                <w:szCs w:val="15"/>
              </w:rPr>
              <w:t>　</w:t>
            </w:r>
          </w:p>
        </w:tc>
      </w:tr>
      <w:tr w14:paraId="60EBEB61">
        <w:tblPrEx>
          <w:tblCellMar>
            <w:top w:w="0" w:type="dxa"/>
            <w:left w:w="108" w:type="dxa"/>
            <w:bottom w:w="0" w:type="dxa"/>
            <w:right w:w="108" w:type="dxa"/>
          </w:tblCellMar>
        </w:tblPrEx>
        <w:trPr>
          <w:gridAfter w:val="1"/>
          <w:wAfter w:w="138" w:type="dxa"/>
          <w:trHeight w:val="618" w:hRule="atLeast"/>
        </w:trPr>
        <w:tc>
          <w:tcPr>
            <w:tcW w:w="14582" w:type="dxa"/>
            <w:gridSpan w:val="10"/>
            <w:tcBorders>
              <w:top w:val="nil"/>
              <w:left w:val="nil"/>
              <w:bottom w:val="nil"/>
              <w:right w:val="nil"/>
            </w:tcBorders>
            <w:vAlign w:val="bottom"/>
          </w:tcPr>
          <w:p w14:paraId="3DA1BE84">
            <w:pPr>
              <w:ind w:left="0" w:leftChars="0" w:firstLine="0" w:firstLineChars="0"/>
              <w:rPr>
                <w:rFonts w:hint="eastAsia" w:ascii="宋体" w:hAnsi="宋体" w:eastAsia="宋体" w:cs="宋体"/>
                <w:color w:val="000000"/>
                <w:sz w:val="15"/>
                <w:szCs w:val="15"/>
              </w:rPr>
            </w:pPr>
            <w:r>
              <w:rPr>
                <w:rFonts w:hint="eastAsia" w:ascii="宋体" w:hAnsi="宋体" w:eastAsia="宋体" w:cs="宋体"/>
                <w:color w:val="000000"/>
                <w:sz w:val="15"/>
                <w:szCs w:val="15"/>
              </w:rPr>
              <w:t>说明</w:t>
            </w:r>
            <w:r>
              <w:rPr>
                <w:rFonts w:hint="eastAsia" w:cs="宋体"/>
                <w:color w:val="000000"/>
                <w:sz w:val="15"/>
                <w:szCs w:val="15"/>
                <w:lang w:eastAsia="zh-CN"/>
              </w:rPr>
              <w:t>：</w:t>
            </w:r>
            <w:r>
              <w:rPr>
                <w:rFonts w:hint="eastAsia" w:ascii="宋体" w:hAnsi="宋体" w:eastAsia="宋体" w:cs="宋体"/>
                <w:color w:val="000000"/>
                <w:sz w:val="15"/>
                <w:szCs w:val="15"/>
              </w:rPr>
              <w:t>1、企业类型的划分以统计部门的统计数据为依据。</w:t>
            </w:r>
          </w:p>
          <w:p w14:paraId="54B567CE">
            <w:pPr>
              <w:numPr>
                <w:ilvl w:val="0"/>
                <w:numId w:val="0"/>
              </w:numPr>
              <w:ind w:firstLine="450" w:firstLineChars="300"/>
              <w:rPr>
                <w:rFonts w:hint="eastAsia" w:ascii="宋体" w:hAnsi="宋体" w:eastAsia="宋体" w:cs="宋体"/>
                <w:color w:val="000000"/>
                <w:sz w:val="15"/>
                <w:szCs w:val="15"/>
              </w:rPr>
            </w:pPr>
            <w:r>
              <w:rPr>
                <w:rFonts w:hint="eastAsia" w:cs="宋体"/>
                <w:color w:val="000000"/>
                <w:sz w:val="15"/>
                <w:szCs w:val="15"/>
                <w:lang w:val="en-US" w:eastAsia="zh-CN"/>
              </w:rPr>
              <w:t>2、</w:t>
            </w:r>
            <w:r>
              <w:rPr>
                <w:rFonts w:hint="eastAsia" w:ascii="宋体" w:hAnsi="宋体" w:eastAsia="宋体" w:cs="宋体"/>
                <w:color w:val="000000"/>
                <w:sz w:val="15"/>
                <w:szCs w:val="15"/>
              </w:rPr>
              <w:t>个体工商户和本规定以外的行业，参照本规定进行划型。</w:t>
            </w:r>
          </w:p>
          <w:p w14:paraId="15C79CAC">
            <w:pPr>
              <w:numPr>
                <w:ilvl w:val="0"/>
                <w:numId w:val="0"/>
              </w:numPr>
              <w:ind w:firstLine="450" w:firstLineChars="300"/>
              <w:rPr>
                <w:rFonts w:hint="eastAsia" w:ascii="宋体" w:hAnsi="宋体" w:eastAsia="宋体" w:cs="宋体"/>
                <w:color w:val="000000"/>
                <w:sz w:val="15"/>
                <w:szCs w:val="15"/>
              </w:rPr>
            </w:pPr>
            <w:r>
              <w:rPr>
                <w:rFonts w:hint="eastAsia" w:cs="宋体"/>
                <w:color w:val="000000"/>
                <w:sz w:val="15"/>
                <w:szCs w:val="15"/>
                <w:lang w:val="en-US" w:eastAsia="zh-CN"/>
              </w:rPr>
              <w:t>3、</w:t>
            </w:r>
            <w:r>
              <w:rPr>
                <w:rFonts w:hint="eastAsia" w:ascii="宋体" w:hAnsi="宋体" w:eastAsia="宋体" w:cs="宋体"/>
                <w:color w:val="000000"/>
                <w:sz w:val="15"/>
                <w:szCs w:val="15"/>
              </w:rPr>
              <w:t>本规定的中型企业标准上限即为大型企业标准的下限。</w:t>
            </w:r>
          </w:p>
        </w:tc>
      </w:tr>
    </w:tbl>
    <w:p w14:paraId="404F1D26">
      <w:pPr>
        <w:pStyle w:val="4"/>
        <w:rPr>
          <w:rFonts w:hint="eastAsia" w:ascii="宋体" w:hAnsi="宋体" w:eastAsia="宋体" w:cs="宋体"/>
        </w:rPr>
        <w:sectPr>
          <w:headerReference r:id="rId16" w:type="default"/>
          <w:footerReference r:id="rId17" w:type="default"/>
          <w:pgSz w:w="16840" w:h="11907" w:orient="landscape"/>
          <w:pgMar w:top="1304" w:right="1247" w:bottom="1304" w:left="1021" w:header="720" w:footer="720" w:gutter="0"/>
          <w:pgNumType w:fmt="decimal"/>
          <w:cols w:space="720" w:num="1"/>
          <w:docGrid w:linePitch="286" w:charSpace="0"/>
        </w:sectPr>
      </w:pPr>
    </w:p>
    <w:p w14:paraId="32B50CFA">
      <w:pPr>
        <w:pStyle w:val="4"/>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监狱企业资格证明材料</w:t>
      </w:r>
    </w:p>
    <w:p w14:paraId="4BBA7C5B">
      <w:pPr>
        <w:ind w:firstLine="480"/>
        <w:rPr>
          <w:rFonts w:hint="eastAsia" w:ascii="宋体" w:hAnsi="宋体" w:eastAsia="宋体" w:cs="宋体"/>
          <w:highlight w:val="none"/>
        </w:rPr>
      </w:pPr>
      <w:r>
        <w:rPr>
          <w:rFonts w:hint="eastAsia" w:ascii="宋体" w:hAnsi="宋体" w:eastAsia="宋体" w:cs="宋体"/>
          <w:highlight w:val="none"/>
        </w:rPr>
        <w:t>（省级以上监狱管理局、戒毒管理局（含新疆生产建设兵团）出具的属于监狱企业的证明文件）</w:t>
      </w:r>
    </w:p>
    <w:p w14:paraId="616E64C2">
      <w:pPr>
        <w:ind w:firstLine="480"/>
        <w:rPr>
          <w:rFonts w:hint="eastAsia" w:ascii="宋体" w:hAnsi="宋体" w:eastAsia="宋体" w:cs="宋体"/>
          <w:highlight w:val="none"/>
        </w:rPr>
      </w:pPr>
    </w:p>
    <w:p w14:paraId="75AE3306">
      <w:pPr>
        <w:ind w:firstLine="480"/>
        <w:rPr>
          <w:rFonts w:hint="eastAsia" w:ascii="宋体" w:hAnsi="宋体" w:eastAsia="宋体" w:cs="宋体"/>
          <w:highlight w:val="none"/>
        </w:rPr>
      </w:pPr>
      <w:r>
        <w:rPr>
          <w:rFonts w:hint="eastAsia" w:ascii="宋体" w:hAnsi="宋体" w:eastAsia="宋体" w:cs="宋体"/>
          <w:highlight w:val="none"/>
        </w:rPr>
        <w:t>说明：监狱企业视同小型、微型企业。</w:t>
      </w:r>
    </w:p>
    <w:p w14:paraId="36774B07">
      <w:pPr>
        <w:pStyle w:val="79"/>
        <w:rPr>
          <w:rFonts w:hint="eastAsia" w:ascii="宋体" w:hAnsi="宋体" w:eastAsia="宋体" w:cs="宋体"/>
          <w:color w:val="auto"/>
          <w:highlight w:val="none"/>
        </w:rPr>
      </w:pPr>
    </w:p>
    <w:p w14:paraId="066CD8BD">
      <w:pPr>
        <w:pStyle w:val="79"/>
        <w:rPr>
          <w:rFonts w:hint="eastAsia" w:ascii="宋体" w:hAnsi="宋体" w:eastAsia="宋体" w:cs="宋体"/>
          <w:color w:val="auto"/>
          <w:highlight w:val="none"/>
        </w:rPr>
      </w:pPr>
    </w:p>
    <w:p w14:paraId="3D843360">
      <w:pPr>
        <w:pStyle w:val="79"/>
        <w:rPr>
          <w:rFonts w:hint="eastAsia" w:ascii="宋体" w:hAnsi="宋体" w:eastAsia="宋体" w:cs="宋体"/>
          <w:color w:val="auto"/>
          <w:highlight w:val="none"/>
        </w:rPr>
      </w:pPr>
    </w:p>
    <w:p w14:paraId="6E88E265">
      <w:pPr>
        <w:pStyle w:val="4"/>
        <w:jc w:val="center"/>
        <w:rPr>
          <w:rFonts w:hint="eastAsia" w:ascii="宋体" w:hAnsi="宋体" w:eastAsia="宋体" w:cs="宋体"/>
          <w:highlight w:val="none"/>
        </w:rPr>
      </w:pPr>
      <w:r>
        <w:rPr>
          <w:rFonts w:hint="eastAsia" w:ascii="宋体" w:hAnsi="宋体" w:eastAsia="宋体" w:cs="宋体"/>
          <w:highlight w:val="none"/>
          <w:lang w:val="en-US" w:eastAsia="zh-CN"/>
        </w:rPr>
        <w:t xml:space="preserve">  </w:t>
      </w:r>
      <w:r>
        <w:rPr>
          <w:rFonts w:hint="eastAsia" w:ascii="宋体" w:hAnsi="宋体" w:eastAsia="宋体" w:cs="宋体"/>
          <w:sz w:val="28"/>
          <w:szCs w:val="28"/>
          <w:highlight w:val="none"/>
        </w:rPr>
        <w:t>残疾人福利性单位声明函</w:t>
      </w:r>
    </w:p>
    <w:p w14:paraId="592B2295">
      <w:pPr>
        <w:ind w:firstLine="506"/>
        <w:jc w:val="center"/>
        <w:rPr>
          <w:rFonts w:hint="eastAsia" w:ascii="宋体" w:hAnsi="宋体" w:eastAsia="宋体" w:cs="宋体"/>
          <w:b/>
          <w:spacing w:val="6"/>
          <w:szCs w:val="21"/>
          <w:highlight w:val="none"/>
        </w:rPr>
      </w:pPr>
      <w:r>
        <w:rPr>
          <w:rFonts w:hint="eastAsia" w:ascii="宋体" w:hAnsi="宋体" w:eastAsia="宋体" w:cs="宋体"/>
          <w:b/>
          <w:spacing w:val="6"/>
          <w:szCs w:val="21"/>
          <w:highlight w:val="none"/>
        </w:rPr>
        <w:t>（非残疾人福利性单位可不提供）</w:t>
      </w:r>
    </w:p>
    <w:p w14:paraId="7311CD5C">
      <w:pPr>
        <w:ind w:firstLine="504"/>
        <w:rPr>
          <w:rFonts w:hint="eastAsia" w:ascii="宋体" w:hAnsi="宋体" w:eastAsia="宋体" w:cs="宋体"/>
          <w:spacing w:val="6"/>
          <w:highlight w:val="none"/>
        </w:rPr>
      </w:pPr>
      <w:r>
        <w:rPr>
          <w:rFonts w:hint="eastAsia" w:ascii="宋体" w:hAnsi="宋体" w:eastAsia="宋体" w:cs="宋体"/>
          <w:spacing w:val="6"/>
          <w:highlight w:val="none"/>
        </w:rPr>
        <w:t>本单位郑重声明，根据《财政部 民政部 中国残疾人联合会关于促进残疾人就业政府采购政策的通知》（财库</w:t>
      </w:r>
      <w:r>
        <w:rPr>
          <w:rFonts w:hint="eastAsia" w:ascii="宋体" w:hAnsi="宋体" w:eastAsia="宋体" w:cs="宋体"/>
          <w:highlight w:val="none"/>
        </w:rPr>
        <w:t>[2017]141</w:t>
      </w:r>
      <w:r>
        <w:rPr>
          <w:rFonts w:hint="eastAsia" w:ascii="宋体" w:hAnsi="宋体" w:eastAsia="宋体" w:cs="宋体"/>
          <w:spacing w:val="6"/>
          <w:highlight w:val="none"/>
        </w:rPr>
        <w:t>号）的规定，本单位为符合条件的残疾人福利性单位，且本单位参加</w:t>
      </w:r>
      <w:r>
        <w:rPr>
          <w:rFonts w:hint="eastAsia" w:cs="宋体"/>
          <w:spacing w:val="6"/>
          <w:highlight w:val="none"/>
          <w:u w:val="single"/>
          <w:lang w:eastAsia="zh-CN"/>
        </w:rPr>
        <w:t>（招标人名称）</w:t>
      </w:r>
      <w:r>
        <w:rPr>
          <w:rFonts w:hint="eastAsia" w:ascii="宋体" w:hAnsi="宋体" w:eastAsia="宋体" w:cs="宋体"/>
          <w:spacing w:val="6"/>
          <w:highlight w:val="none"/>
        </w:rPr>
        <w:t>的</w:t>
      </w:r>
      <w:r>
        <w:rPr>
          <w:rFonts w:hint="eastAsia" w:cs="宋体"/>
          <w:spacing w:val="6"/>
          <w:highlight w:val="none"/>
          <w:u w:val="single"/>
          <w:lang w:eastAsia="zh-CN"/>
        </w:rPr>
        <w:t>（项目名称）</w:t>
      </w:r>
      <w:r>
        <w:rPr>
          <w:rFonts w:hint="eastAsia" w:cs="宋体"/>
          <w:spacing w:val="6"/>
          <w:highlight w:val="none"/>
          <w:lang w:eastAsia="zh-CN"/>
        </w:rPr>
        <w:t>，</w:t>
      </w:r>
      <w:r>
        <w:rPr>
          <w:rFonts w:hint="eastAsia" w:ascii="宋体" w:hAnsi="宋体" w:eastAsia="宋体" w:cs="宋体"/>
          <w:spacing w:val="6"/>
          <w:highlight w:val="none"/>
        </w:rPr>
        <w:t>提供本单位</w:t>
      </w:r>
      <w:r>
        <w:rPr>
          <w:rFonts w:hint="eastAsia" w:ascii="宋体" w:hAnsi="宋体" w:eastAsia="宋体" w:cs="宋体"/>
          <w:spacing w:val="6"/>
          <w:highlight w:val="none"/>
          <w:lang w:eastAsia="zh-CN"/>
        </w:rPr>
        <w:t>承接</w:t>
      </w:r>
      <w:r>
        <w:rPr>
          <w:rFonts w:hint="eastAsia" w:ascii="宋体" w:hAnsi="宋体" w:eastAsia="宋体" w:cs="宋体"/>
          <w:spacing w:val="6"/>
          <w:highlight w:val="none"/>
        </w:rPr>
        <w:t>的</w:t>
      </w:r>
      <w:r>
        <w:rPr>
          <w:rFonts w:hint="eastAsia" w:ascii="宋体" w:hAnsi="宋体" w:eastAsia="宋体" w:cs="宋体"/>
          <w:spacing w:val="6"/>
          <w:highlight w:val="none"/>
          <w:lang w:eastAsia="zh-CN"/>
        </w:rPr>
        <w:t>服务</w:t>
      </w:r>
      <w:r>
        <w:rPr>
          <w:rFonts w:hint="eastAsia" w:ascii="宋体" w:hAnsi="宋体" w:eastAsia="宋体" w:cs="宋体"/>
          <w:spacing w:val="6"/>
          <w:highlight w:val="none"/>
        </w:rPr>
        <w:t>，或者提供其他残疾人福利性单位</w:t>
      </w:r>
      <w:r>
        <w:rPr>
          <w:rFonts w:hint="eastAsia" w:ascii="宋体" w:hAnsi="宋体" w:eastAsia="宋体" w:cs="宋体"/>
          <w:spacing w:val="6"/>
          <w:highlight w:val="none"/>
          <w:lang w:eastAsia="zh-CN"/>
        </w:rPr>
        <w:t>制造</w:t>
      </w:r>
      <w:r>
        <w:rPr>
          <w:rFonts w:hint="eastAsia" w:ascii="宋体" w:hAnsi="宋体" w:eastAsia="宋体" w:cs="宋体"/>
          <w:spacing w:val="6"/>
          <w:highlight w:val="none"/>
        </w:rPr>
        <w:t>的</w:t>
      </w:r>
      <w:r>
        <w:rPr>
          <w:rFonts w:hint="eastAsia" w:ascii="宋体" w:hAnsi="宋体" w:eastAsia="宋体" w:cs="宋体"/>
          <w:spacing w:val="6"/>
          <w:highlight w:val="none"/>
          <w:lang w:eastAsia="zh-CN"/>
        </w:rPr>
        <w:t>货物</w:t>
      </w:r>
      <w:r>
        <w:rPr>
          <w:rFonts w:hint="eastAsia" w:ascii="宋体" w:hAnsi="宋体" w:eastAsia="宋体" w:cs="宋体"/>
          <w:spacing w:val="6"/>
          <w:highlight w:val="none"/>
        </w:rPr>
        <w:t>（不包括使用非残疾人福利性单位注册商标的货物）。</w:t>
      </w:r>
    </w:p>
    <w:p w14:paraId="5BBFFBFB">
      <w:pPr>
        <w:ind w:firstLine="504"/>
        <w:rPr>
          <w:rFonts w:hint="eastAsia" w:ascii="宋体" w:hAnsi="宋体" w:eastAsia="宋体" w:cs="宋体"/>
          <w:spacing w:val="6"/>
          <w:highlight w:val="none"/>
        </w:rPr>
      </w:pPr>
      <w:r>
        <w:rPr>
          <w:rFonts w:hint="eastAsia" w:ascii="宋体" w:hAnsi="宋体" w:eastAsia="宋体" w:cs="宋体"/>
          <w:spacing w:val="6"/>
          <w:highlight w:val="none"/>
        </w:rPr>
        <w:t>本单位对上述声明的真实性负责。如有虚假，将依法承担相应责任。</w:t>
      </w:r>
    </w:p>
    <w:p w14:paraId="1FA0BF6C">
      <w:pPr>
        <w:ind w:firstLine="456"/>
        <w:rPr>
          <w:rFonts w:hint="eastAsia" w:ascii="宋体" w:hAnsi="宋体" w:eastAsia="宋体" w:cs="宋体"/>
          <w:spacing w:val="-6"/>
          <w:highlight w:val="none"/>
        </w:rPr>
      </w:pPr>
    </w:p>
    <w:p w14:paraId="52A9B6F7">
      <w:pPr>
        <w:spacing w:line="480" w:lineRule="auto"/>
        <w:ind w:firstLine="480"/>
        <w:rPr>
          <w:rFonts w:hint="eastAsia" w:ascii="宋体" w:hAnsi="宋体" w:eastAsia="宋体" w:cs="宋体"/>
          <w:highlight w:val="none"/>
        </w:rPr>
      </w:pPr>
      <w:r>
        <w:rPr>
          <w:rFonts w:hint="eastAsia" w:ascii="宋体" w:hAnsi="宋体" w:eastAsia="宋体" w:cs="宋体"/>
          <w:highlight w:val="none"/>
        </w:rPr>
        <w:t>投标人名称（公章）：</w:t>
      </w:r>
    </w:p>
    <w:p w14:paraId="1C7CBDED">
      <w:pPr>
        <w:spacing w:line="480" w:lineRule="auto"/>
        <w:ind w:firstLine="480"/>
        <w:rPr>
          <w:rFonts w:hint="eastAsia" w:ascii="宋体" w:hAnsi="宋体" w:eastAsia="宋体" w:cs="宋体"/>
          <w:highlight w:val="none"/>
        </w:rPr>
      </w:pPr>
      <w:r>
        <w:rPr>
          <w:rFonts w:hint="eastAsia" w:ascii="宋体" w:hAnsi="宋体" w:eastAsia="宋体" w:cs="宋体"/>
          <w:highlight w:val="none"/>
        </w:rPr>
        <w:t>法定代表人或其授权代表（签字或盖章）：</w:t>
      </w:r>
    </w:p>
    <w:p w14:paraId="77839924">
      <w:pPr>
        <w:spacing w:line="480" w:lineRule="auto"/>
        <w:ind w:firstLine="480"/>
        <w:rPr>
          <w:rFonts w:hint="eastAsia" w:ascii="宋体" w:hAnsi="宋体" w:eastAsia="宋体" w:cs="宋体"/>
          <w:highlight w:val="none"/>
        </w:rPr>
      </w:pPr>
      <w:r>
        <w:rPr>
          <w:rFonts w:hint="eastAsia" w:ascii="宋体" w:hAnsi="宋体" w:eastAsia="宋体" w:cs="宋体"/>
          <w:highlight w:val="none"/>
        </w:rPr>
        <w:t>日期：  年   月   日</w:t>
      </w:r>
    </w:p>
    <w:p w14:paraId="70F5DF66">
      <w:pPr>
        <w:spacing w:line="288" w:lineRule="auto"/>
        <w:ind w:firstLine="506"/>
        <w:jc w:val="left"/>
        <w:rPr>
          <w:rFonts w:hint="eastAsia" w:ascii="宋体" w:hAnsi="宋体" w:eastAsia="宋体" w:cs="宋体"/>
          <w:b/>
          <w:bCs/>
          <w:highlight w:val="none"/>
        </w:rPr>
      </w:pPr>
      <w:r>
        <w:rPr>
          <w:rFonts w:hint="eastAsia" w:ascii="宋体" w:hAnsi="宋体" w:eastAsia="宋体" w:cs="宋体"/>
          <w:b/>
          <w:spacing w:val="6"/>
          <w:highlight w:val="none"/>
        </w:rPr>
        <w:t>投标人不属于残疾人福利性单位的，无需提供此声明函，如提供所引起的后果由投标人承担。</w:t>
      </w:r>
    </w:p>
    <w:p w14:paraId="227AF03F">
      <w:pPr>
        <w:spacing w:line="288" w:lineRule="auto"/>
        <w:ind w:firstLine="456"/>
        <w:rPr>
          <w:rFonts w:hint="eastAsia" w:ascii="宋体" w:hAnsi="宋体" w:eastAsia="宋体" w:cs="宋体"/>
          <w:spacing w:val="-6"/>
          <w:highlight w:val="none"/>
        </w:rPr>
      </w:pPr>
    </w:p>
    <w:p w14:paraId="120ED79D">
      <w:pPr>
        <w:spacing w:line="360" w:lineRule="auto"/>
        <w:ind w:firstLine="482"/>
        <w:rPr>
          <w:rFonts w:hint="eastAsia" w:ascii="宋体" w:hAnsi="宋体" w:eastAsia="宋体" w:cs="宋体"/>
          <w:b/>
          <w:bCs/>
          <w:szCs w:val="21"/>
          <w:highlight w:val="none"/>
        </w:rPr>
      </w:pPr>
      <w:r>
        <w:rPr>
          <w:rFonts w:hint="eastAsia" w:ascii="宋体" w:hAnsi="宋体" w:eastAsia="宋体" w:cs="宋体"/>
          <w:b/>
          <w:bCs/>
          <w:szCs w:val="21"/>
          <w:highlight w:val="none"/>
        </w:rPr>
        <w:t>说明：</w:t>
      </w:r>
    </w:p>
    <w:p w14:paraId="51DDAA90">
      <w:pPr>
        <w:spacing w:line="360" w:lineRule="auto"/>
        <w:ind w:firstLine="480"/>
        <w:jc w:val="left"/>
        <w:rPr>
          <w:rFonts w:hint="eastAsia" w:ascii="宋体" w:hAnsi="宋体" w:eastAsia="宋体" w:cs="宋体"/>
          <w:spacing w:val="6"/>
          <w:szCs w:val="21"/>
          <w:highlight w:val="none"/>
        </w:rPr>
      </w:pPr>
      <w:r>
        <w:rPr>
          <w:rFonts w:hint="eastAsia" w:ascii="宋体" w:hAnsi="宋体" w:eastAsia="宋体" w:cs="宋体"/>
          <w:bCs/>
          <w:szCs w:val="21"/>
          <w:highlight w:val="none"/>
        </w:rPr>
        <w:t>1</w:t>
      </w:r>
      <w:r>
        <w:rPr>
          <w:rFonts w:hint="eastAsia" w:cs="宋体"/>
          <w:bCs/>
          <w:szCs w:val="21"/>
          <w:highlight w:val="none"/>
          <w:lang w:eastAsia="zh-CN"/>
        </w:rPr>
        <w:t>.</w:t>
      </w:r>
      <w:r>
        <w:rPr>
          <w:rFonts w:hint="eastAsia" w:ascii="宋体" w:hAnsi="宋体" w:eastAsia="宋体" w:cs="宋体"/>
          <w:spacing w:val="6"/>
          <w:szCs w:val="21"/>
          <w:highlight w:val="none"/>
        </w:rPr>
        <w:t>若投标人同时满足以下条件，则属于依法享受政府采购支持政策的残疾人福利性单位，可提供《残疾人福利性单位声明函》，并对声明的真实性负责：</w:t>
      </w:r>
    </w:p>
    <w:p w14:paraId="78DBAC0F">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1</w:t>
      </w:r>
      <w:r>
        <w:rPr>
          <w:rFonts w:hint="eastAsia" w:cs="宋体"/>
          <w:spacing w:val="6"/>
          <w:szCs w:val="21"/>
          <w:highlight w:val="none"/>
          <w:lang w:eastAsia="zh-CN"/>
        </w:rPr>
        <w:t>）</w:t>
      </w:r>
      <w:r>
        <w:rPr>
          <w:rFonts w:hint="eastAsia" w:ascii="宋体" w:hAnsi="宋体" w:eastAsia="宋体" w:cs="宋体"/>
          <w:spacing w:val="6"/>
          <w:szCs w:val="21"/>
          <w:highlight w:val="none"/>
        </w:rPr>
        <w:t>安置的残疾人占本单位在职职工人数的比例不低于25%（含25%），并且安置的残疾人人数不少于10人（含10人）；</w:t>
      </w:r>
    </w:p>
    <w:p w14:paraId="48976E27">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2</w:t>
      </w:r>
      <w:r>
        <w:rPr>
          <w:rFonts w:hint="eastAsia" w:cs="宋体"/>
          <w:spacing w:val="6"/>
          <w:szCs w:val="21"/>
          <w:highlight w:val="none"/>
          <w:lang w:eastAsia="zh-CN"/>
        </w:rPr>
        <w:t>）</w:t>
      </w:r>
      <w:r>
        <w:rPr>
          <w:rFonts w:hint="eastAsia" w:ascii="宋体" w:hAnsi="宋体" w:eastAsia="宋体" w:cs="宋体"/>
          <w:spacing w:val="6"/>
          <w:szCs w:val="21"/>
          <w:highlight w:val="none"/>
        </w:rPr>
        <w:t>依法与安置的每位残疾人签订了一年以上（含一年）的劳动合同或服务协议；</w:t>
      </w:r>
    </w:p>
    <w:p w14:paraId="7DB87E1D">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3</w:t>
      </w:r>
      <w:r>
        <w:rPr>
          <w:rFonts w:hint="eastAsia" w:cs="宋体"/>
          <w:spacing w:val="6"/>
          <w:szCs w:val="21"/>
          <w:highlight w:val="none"/>
          <w:lang w:eastAsia="zh-CN"/>
        </w:rPr>
        <w:t>）</w:t>
      </w:r>
      <w:r>
        <w:rPr>
          <w:rFonts w:hint="eastAsia" w:ascii="宋体" w:hAnsi="宋体" w:eastAsia="宋体" w:cs="宋体"/>
          <w:spacing w:val="6"/>
          <w:szCs w:val="21"/>
          <w:highlight w:val="none"/>
        </w:rPr>
        <w:t>为安置的每位残疾人按月足额缴纳了基本养老保险、基本医疗保险、失业保险、工伤保险和生育保险等社会保险费；</w:t>
      </w:r>
    </w:p>
    <w:p w14:paraId="02684177">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4</w:t>
      </w:r>
      <w:r>
        <w:rPr>
          <w:rFonts w:hint="eastAsia" w:cs="宋体"/>
          <w:spacing w:val="6"/>
          <w:szCs w:val="21"/>
          <w:highlight w:val="none"/>
          <w:lang w:eastAsia="zh-CN"/>
        </w:rPr>
        <w:t>）</w:t>
      </w:r>
      <w:r>
        <w:rPr>
          <w:rFonts w:hint="eastAsia" w:ascii="宋体" w:hAnsi="宋体" w:eastAsia="宋体" w:cs="宋体"/>
          <w:spacing w:val="6"/>
          <w:szCs w:val="21"/>
          <w:highlight w:val="none"/>
        </w:rPr>
        <w:t>通过银行等金融机构向安置的每位残疾人，按月支付了不低于单位所在区县适用的经省级人民政府批准的月最低工资标准的工资；</w:t>
      </w:r>
    </w:p>
    <w:p w14:paraId="5B89BA1B">
      <w:pPr>
        <w:spacing w:line="360" w:lineRule="auto"/>
        <w:ind w:left="0" w:leftChars="0" w:firstLine="504" w:firstLineChars="200"/>
        <w:jc w:val="left"/>
        <w:rPr>
          <w:rFonts w:hint="eastAsia" w:ascii="宋体" w:hAnsi="宋体" w:eastAsia="宋体" w:cs="宋体"/>
          <w:spacing w:val="6"/>
          <w:szCs w:val="21"/>
          <w:highlight w:val="none"/>
        </w:rPr>
      </w:pPr>
      <w:r>
        <w:rPr>
          <w:rFonts w:hint="eastAsia" w:cs="宋体"/>
          <w:spacing w:val="6"/>
          <w:szCs w:val="21"/>
          <w:highlight w:val="none"/>
          <w:lang w:eastAsia="zh-CN"/>
        </w:rPr>
        <w:t>（</w:t>
      </w:r>
      <w:r>
        <w:rPr>
          <w:rFonts w:hint="eastAsia" w:cs="宋体"/>
          <w:spacing w:val="6"/>
          <w:szCs w:val="21"/>
          <w:highlight w:val="none"/>
          <w:lang w:val="en-US" w:eastAsia="zh-CN"/>
        </w:rPr>
        <w:t>5</w:t>
      </w:r>
      <w:r>
        <w:rPr>
          <w:rFonts w:hint="eastAsia" w:cs="宋体"/>
          <w:spacing w:val="6"/>
          <w:szCs w:val="21"/>
          <w:highlight w:val="none"/>
          <w:lang w:eastAsia="zh-CN"/>
        </w:rPr>
        <w:t>）</w:t>
      </w:r>
      <w:r>
        <w:rPr>
          <w:rFonts w:hint="eastAsia" w:ascii="宋体" w:hAnsi="宋体" w:eastAsia="宋体" w:cs="宋体"/>
          <w:spacing w:val="6"/>
          <w:szCs w:val="21"/>
          <w:highlight w:val="none"/>
        </w:rPr>
        <w:t>提供本单位制造的货物、承担的工程或者服务（以下简称产品），或者提供其他残疾人福利性单位制造的货物（不包括使用非残疾人福利性单位注册商标的货物）。</w:t>
      </w:r>
    </w:p>
    <w:p w14:paraId="24B7DA40">
      <w:pPr>
        <w:spacing w:line="360" w:lineRule="auto"/>
        <w:ind w:firstLine="504"/>
        <w:jc w:val="left"/>
        <w:rPr>
          <w:rFonts w:hint="eastAsia" w:ascii="宋体" w:hAnsi="宋体" w:eastAsia="宋体" w:cs="宋体"/>
          <w:spacing w:val="6"/>
          <w:szCs w:val="21"/>
          <w:highlight w:val="none"/>
        </w:rPr>
      </w:pPr>
      <w:r>
        <w:rPr>
          <w:rFonts w:hint="eastAsia" w:cs="宋体"/>
          <w:spacing w:val="6"/>
          <w:szCs w:val="21"/>
          <w:highlight w:val="none"/>
          <w:lang w:val="en-US" w:eastAsia="zh-CN"/>
        </w:rPr>
        <w:t>2.</w:t>
      </w:r>
      <w:r>
        <w:rPr>
          <w:rFonts w:hint="eastAsia" w:ascii="宋体" w:hAnsi="宋体" w:eastAsia="宋体" w:cs="宋体"/>
          <w:spacing w:val="6"/>
          <w:szCs w:val="21"/>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71C63EB">
      <w:pPr>
        <w:spacing w:line="360" w:lineRule="auto"/>
        <w:ind w:firstLine="504"/>
        <w:jc w:val="left"/>
        <w:rPr>
          <w:rFonts w:hint="eastAsia" w:ascii="宋体" w:hAnsi="宋体" w:eastAsia="宋体" w:cs="宋体"/>
        </w:rPr>
      </w:pPr>
      <w:r>
        <w:rPr>
          <w:rFonts w:hint="eastAsia" w:cs="宋体"/>
          <w:spacing w:val="6"/>
          <w:szCs w:val="21"/>
          <w:highlight w:val="none"/>
          <w:lang w:val="en-US" w:eastAsia="zh-CN"/>
        </w:rPr>
        <w:t>3</w:t>
      </w:r>
      <w:r>
        <w:rPr>
          <w:rFonts w:hint="eastAsia" w:cs="宋体"/>
          <w:spacing w:val="6"/>
          <w:szCs w:val="21"/>
          <w:highlight w:val="none"/>
          <w:lang w:eastAsia="zh-CN"/>
        </w:rPr>
        <w:t>.</w:t>
      </w:r>
      <w:r>
        <w:rPr>
          <w:rFonts w:hint="eastAsia" w:ascii="宋体" w:hAnsi="宋体" w:eastAsia="宋体" w:cs="宋体"/>
          <w:spacing w:val="6"/>
          <w:szCs w:val="21"/>
          <w:highlight w:val="none"/>
        </w:rPr>
        <w:t>中标人为残疾人福利性单位的，《残疾人福利性单位声明函》随中标结果同时公告，接受社会监督。</w:t>
      </w:r>
      <w:r>
        <w:rPr>
          <w:rFonts w:hint="eastAsia" w:ascii="宋体" w:hAnsi="宋体" w:eastAsia="宋体" w:cs="宋体"/>
          <w:lang w:val="zh-CN"/>
        </w:rPr>
        <w:t xml:space="preserve">         </w:t>
      </w:r>
    </w:p>
    <w:p w14:paraId="16064F08">
      <w:pPr>
        <w:ind w:firstLine="482"/>
        <w:rPr>
          <w:rFonts w:hint="eastAsia" w:ascii="宋体" w:hAnsi="宋体" w:eastAsia="宋体" w:cs="宋体"/>
          <w:b/>
          <w:bCs/>
          <w:lang w:val="zh-CN"/>
        </w:rPr>
      </w:pPr>
    </w:p>
    <w:p w14:paraId="304B1BFA">
      <w:pPr>
        <w:ind w:firstLine="482"/>
        <w:rPr>
          <w:rFonts w:hint="eastAsia" w:ascii="宋体" w:hAnsi="宋体" w:eastAsia="宋体" w:cs="宋体"/>
          <w:b/>
          <w:bCs/>
          <w:lang w:val="zh-CN"/>
        </w:rPr>
      </w:pPr>
    </w:p>
    <w:p w14:paraId="114A7E98">
      <w:pPr>
        <w:pStyle w:val="79"/>
        <w:rPr>
          <w:rFonts w:hint="eastAsia" w:ascii="宋体" w:hAnsi="宋体" w:eastAsia="宋体" w:cs="宋体"/>
          <w:b/>
          <w:color w:val="auto"/>
          <w:lang w:val="zh-CN"/>
        </w:rPr>
      </w:pPr>
    </w:p>
    <w:p w14:paraId="2E794D6B">
      <w:pPr>
        <w:pStyle w:val="79"/>
        <w:rPr>
          <w:rFonts w:hint="eastAsia" w:ascii="宋体" w:hAnsi="宋体" w:eastAsia="宋体" w:cs="宋体"/>
          <w:b/>
          <w:color w:val="auto"/>
          <w:lang w:val="zh-CN"/>
        </w:rPr>
      </w:pPr>
    </w:p>
    <w:p w14:paraId="07D38F71">
      <w:pPr>
        <w:pStyle w:val="79"/>
        <w:rPr>
          <w:rFonts w:hint="eastAsia" w:ascii="宋体" w:hAnsi="宋体" w:eastAsia="宋体" w:cs="宋体"/>
          <w:b/>
          <w:color w:val="auto"/>
          <w:lang w:val="zh-CN"/>
        </w:rPr>
        <w:sectPr>
          <w:headerReference r:id="rId18" w:type="default"/>
          <w:footerReference r:id="rId19" w:type="default"/>
          <w:pgSz w:w="11907" w:h="16840"/>
          <w:pgMar w:top="1247" w:right="1304" w:bottom="1021" w:left="1304" w:header="720" w:footer="720" w:gutter="0"/>
          <w:pgNumType w:fmt="decimal"/>
          <w:cols w:space="720" w:num="1"/>
          <w:docGrid w:linePitch="286" w:charSpace="0"/>
        </w:sectPr>
      </w:pPr>
    </w:p>
    <w:p w14:paraId="03064DBF">
      <w:pPr>
        <w:pStyle w:val="4"/>
        <w:rPr>
          <w:rFonts w:hint="default" w:ascii="宋体" w:hAnsi="宋体" w:eastAsia="宋体" w:cs="宋体"/>
          <w:szCs w:val="24"/>
          <w:lang w:val="en-US" w:eastAsia="zh-CN"/>
        </w:rPr>
      </w:pPr>
      <w:r>
        <w:rPr>
          <w:rFonts w:hint="eastAsia" w:cs="宋体"/>
          <w:szCs w:val="24"/>
          <w:lang w:eastAsia="zh-CN"/>
        </w:rPr>
        <w:t>商务</w:t>
      </w:r>
      <w:r>
        <w:rPr>
          <w:rFonts w:hint="eastAsia" w:ascii="宋体" w:hAnsi="宋体" w:eastAsia="宋体" w:cs="宋体"/>
          <w:szCs w:val="24"/>
        </w:rPr>
        <w:t>技术文件封面</w:t>
      </w:r>
      <w:r>
        <w:rPr>
          <w:rFonts w:hint="eastAsia" w:cs="宋体"/>
          <w:szCs w:val="24"/>
          <w:lang w:val="en-US" w:eastAsia="zh-CN"/>
        </w:rPr>
        <w:t xml:space="preserve">                                                正本（副本）</w:t>
      </w:r>
    </w:p>
    <w:p w14:paraId="0EA65C17">
      <w:pPr>
        <w:ind w:firstLine="482"/>
        <w:jc w:val="center"/>
        <w:rPr>
          <w:rFonts w:hint="eastAsia" w:ascii="宋体" w:hAnsi="宋体" w:eastAsia="宋体" w:cs="宋体"/>
        </w:rPr>
      </w:pPr>
      <w:r>
        <w:rPr>
          <w:rFonts w:hint="eastAsia" w:ascii="宋体" w:hAnsi="宋体" w:eastAsia="宋体" w:cs="宋体"/>
          <w:b/>
          <w:bCs/>
        </w:rPr>
        <w:t xml:space="preserve"> </w:t>
      </w:r>
    </w:p>
    <w:p w14:paraId="615455CB">
      <w:pPr>
        <w:ind w:firstLine="480"/>
        <w:rPr>
          <w:rFonts w:hint="eastAsia" w:ascii="宋体" w:hAnsi="宋体" w:eastAsia="宋体" w:cs="宋体"/>
        </w:rPr>
      </w:pPr>
    </w:p>
    <w:p w14:paraId="1E1F1475">
      <w:pPr>
        <w:ind w:left="0" w:leftChars="0" w:firstLine="0" w:firstLineChars="0"/>
        <w:jc w:val="center"/>
        <w:rPr>
          <w:rFonts w:hint="eastAsia" w:ascii="宋体" w:hAnsi="宋体" w:eastAsia="宋体" w:cs="宋体"/>
          <w:sz w:val="32"/>
          <w:szCs w:val="32"/>
        </w:rPr>
      </w:pPr>
      <w:r>
        <w:rPr>
          <w:rFonts w:hint="eastAsia" w:cs="宋体"/>
          <w:b/>
          <w:bCs/>
          <w:sz w:val="32"/>
          <w:szCs w:val="32"/>
          <w:lang w:eastAsia="zh-CN"/>
        </w:rPr>
        <w:t>商务</w:t>
      </w:r>
      <w:r>
        <w:rPr>
          <w:rFonts w:hint="eastAsia" w:ascii="宋体" w:hAnsi="宋体" w:eastAsia="宋体" w:cs="宋体"/>
          <w:b/>
          <w:bCs/>
          <w:sz w:val="32"/>
          <w:szCs w:val="32"/>
        </w:rPr>
        <w:t>技术文件</w:t>
      </w:r>
    </w:p>
    <w:p w14:paraId="36D5B785">
      <w:pPr>
        <w:ind w:firstLine="480"/>
        <w:rPr>
          <w:rFonts w:hint="eastAsia" w:ascii="宋体" w:hAnsi="宋体" w:eastAsia="宋体" w:cs="宋体"/>
        </w:rPr>
      </w:pPr>
    </w:p>
    <w:p w14:paraId="491F549C">
      <w:pPr>
        <w:pStyle w:val="79"/>
        <w:rPr>
          <w:rFonts w:hint="eastAsia" w:ascii="宋体" w:hAnsi="宋体" w:eastAsia="宋体" w:cs="宋体"/>
          <w:color w:val="auto"/>
        </w:rPr>
      </w:pPr>
    </w:p>
    <w:p w14:paraId="3171E31A">
      <w:pPr>
        <w:pStyle w:val="79"/>
        <w:rPr>
          <w:rFonts w:hint="eastAsia" w:ascii="宋体" w:hAnsi="宋体" w:eastAsia="宋体" w:cs="宋体"/>
          <w:color w:val="auto"/>
        </w:rPr>
      </w:pPr>
    </w:p>
    <w:p w14:paraId="6E7EFDEC">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15C9C257">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501472FC">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50A358EA">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0B1C9944">
      <w:pPr>
        <w:spacing w:line="48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25E2D565">
      <w:pPr>
        <w:ind w:firstLine="456"/>
        <w:rPr>
          <w:rFonts w:hint="eastAsia" w:ascii="宋体" w:hAnsi="宋体" w:eastAsia="宋体" w:cs="宋体"/>
          <w:bCs/>
          <w:spacing w:val="-6"/>
          <w:sz w:val="30"/>
          <w:szCs w:val="30"/>
        </w:rPr>
      </w:pPr>
    </w:p>
    <w:p w14:paraId="39F90D41">
      <w:pPr>
        <w:spacing w:line="48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148645CA">
      <w:pPr>
        <w:spacing w:line="480" w:lineRule="auto"/>
        <w:ind w:firstLine="480"/>
        <w:rPr>
          <w:rFonts w:hint="eastAsia" w:ascii="宋体" w:hAnsi="宋体" w:eastAsia="宋体" w:cs="宋体"/>
        </w:rPr>
        <w:sectPr>
          <w:headerReference r:id="rId20" w:type="default"/>
          <w:pgSz w:w="11907" w:h="16840"/>
          <w:pgMar w:top="1247" w:right="1304" w:bottom="1021" w:left="1304" w:header="720" w:footer="720" w:gutter="0"/>
          <w:pgNumType w:fmt="decimal"/>
          <w:cols w:space="720" w:num="1"/>
          <w:docGrid w:linePitch="286" w:charSpace="0"/>
        </w:sectPr>
      </w:pPr>
      <w:r>
        <w:rPr>
          <w:rFonts w:hint="eastAsia" w:ascii="宋体" w:hAnsi="宋体" w:eastAsia="宋体" w:cs="宋体"/>
          <w:bCs/>
          <w:spacing w:val="-6"/>
          <w:sz w:val="30"/>
          <w:szCs w:val="30"/>
        </w:rPr>
        <w:t>日期：    年  月  日</w:t>
      </w:r>
    </w:p>
    <w:p w14:paraId="3E270488">
      <w:pPr>
        <w:ind w:left="0" w:leftChars="0" w:firstLine="0" w:firstLineChars="0"/>
        <w:rPr>
          <w:rFonts w:hint="eastAsia" w:ascii="宋体" w:hAnsi="宋体" w:eastAsia="宋体" w:cs="宋体"/>
          <w:b/>
          <w:kern w:val="0"/>
          <w:sz w:val="10"/>
          <w:szCs w:val="10"/>
        </w:rPr>
      </w:pPr>
      <w:bookmarkStart w:id="83" w:name="_Toc7692"/>
    </w:p>
    <w:p w14:paraId="071E2F28">
      <w:pPr>
        <w:spacing w:line="480" w:lineRule="auto"/>
        <w:ind w:left="0" w:leftChars="0" w:firstLine="0" w:firstLineChars="0"/>
        <w:jc w:val="center"/>
        <w:outlineLvl w:val="0"/>
        <w:rPr>
          <w:rFonts w:hint="eastAsia" w:ascii="宋体" w:hAnsi="宋体" w:eastAsia="宋体" w:cs="宋体"/>
          <w:b/>
          <w:kern w:val="0"/>
          <w:sz w:val="28"/>
          <w:szCs w:val="28"/>
        </w:rPr>
      </w:pPr>
      <w:r>
        <w:rPr>
          <w:rFonts w:hint="eastAsia" w:cs="宋体"/>
          <w:b/>
          <w:bCs/>
          <w:sz w:val="32"/>
          <w:szCs w:val="32"/>
          <w:lang w:eastAsia="zh-CN"/>
        </w:rPr>
        <w:t>商务</w:t>
      </w:r>
      <w:r>
        <w:rPr>
          <w:rFonts w:hint="eastAsia" w:ascii="宋体" w:hAnsi="宋体" w:eastAsia="宋体" w:cs="宋体"/>
          <w:b/>
          <w:bCs/>
          <w:sz w:val="32"/>
          <w:szCs w:val="32"/>
        </w:rPr>
        <w:t>技术</w:t>
      </w:r>
      <w:r>
        <w:rPr>
          <w:rFonts w:hint="eastAsia" w:ascii="宋体" w:hAnsi="宋体" w:eastAsia="宋体" w:cs="宋体"/>
          <w:b/>
          <w:bCs/>
          <w:kern w:val="0"/>
          <w:sz w:val="32"/>
          <w:szCs w:val="32"/>
        </w:rPr>
        <w:t>文</w:t>
      </w:r>
      <w:r>
        <w:rPr>
          <w:rFonts w:hint="eastAsia" w:ascii="宋体" w:hAnsi="宋体" w:eastAsia="宋体" w:cs="宋体"/>
          <w:b/>
          <w:kern w:val="0"/>
          <w:sz w:val="32"/>
          <w:szCs w:val="32"/>
        </w:rPr>
        <w:t>件目录</w:t>
      </w:r>
      <w:bookmarkEnd w:id="83"/>
    </w:p>
    <w:p w14:paraId="4E523994">
      <w:pPr>
        <w:numPr>
          <w:ilvl w:val="0"/>
          <w:numId w:val="0"/>
        </w:numPr>
        <w:spacing w:line="480" w:lineRule="auto"/>
        <w:ind w:firstLine="240" w:firstLineChars="100"/>
        <w:rPr>
          <w:rFonts w:hint="eastAsia" w:cs="宋体"/>
          <w:highlight w:val="none"/>
        </w:rPr>
      </w:pPr>
      <w:r>
        <w:rPr>
          <w:rFonts w:hint="eastAsia" w:cs="宋体"/>
          <w:highlight w:val="none"/>
          <w:lang w:val="en-US" w:eastAsia="zh-CN"/>
        </w:rPr>
        <w:t>1.</w:t>
      </w:r>
      <w:r>
        <w:rPr>
          <w:rFonts w:hint="eastAsia" w:cs="宋体"/>
          <w:highlight w:val="none"/>
          <w:lang w:eastAsia="zh-CN"/>
        </w:rPr>
        <w:t>评分索引表；（附件七）</w:t>
      </w:r>
    </w:p>
    <w:p w14:paraId="7522241C">
      <w:pPr>
        <w:numPr>
          <w:ilvl w:val="0"/>
          <w:numId w:val="0"/>
        </w:numPr>
        <w:spacing w:line="480" w:lineRule="auto"/>
        <w:ind w:firstLine="240" w:firstLineChars="100"/>
        <w:rPr>
          <w:rFonts w:hint="default" w:cs="宋体"/>
          <w:highlight w:val="none"/>
          <w:lang w:val="en-US" w:eastAsia="zh-CN"/>
        </w:rPr>
      </w:pPr>
      <w:r>
        <w:rPr>
          <w:rFonts w:hint="eastAsia" w:cs="宋体"/>
          <w:highlight w:val="none"/>
          <w:lang w:val="en-US" w:eastAsia="zh-CN"/>
        </w:rPr>
        <w:t>2.</w:t>
      </w:r>
      <w:r>
        <w:rPr>
          <w:rFonts w:hint="eastAsia" w:asciiTheme="minorEastAsia" w:hAnsiTheme="minorEastAsia" w:eastAsiaTheme="minorEastAsia" w:cstheme="minorEastAsia"/>
          <w:b w:val="0"/>
          <w:bCs w:val="0"/>
          <w:color w:val="auto"/>
          <w:kern w:val="0"/>
          <w:sz w:val="24"/>
          <w:szCs w:val="24"/>
          <w:highlight w:val="none"/>
        </w:rPr>
        <w:t>技术</w:t>
      </w:r>
      <w:r>
        <w:rPr>
          <w:rFonts w:hint="eastAsia" w:asciiTheme="minorEastAsia" w:hAnsiTheme="minorEastAsia" w:eastAsiaTheme="minorEastAsia" w:cstheme="minorEastAsia"/>
          <w:b w:val="0"/>
          <w:bCs w:val="0"/>
          <w:color w:val="auto"/>
          <w:kern w:val="0"/>
          <w:sz w:val="24"/>
          <w:szCs w:val="24"/>
          <w:highlight w:val="none"/>
          <w:lang w:eastAsia="zh-CN"/>
        </w:rPr>
        <w:t>指标响应</w:t>
      </w:r>
      <w:r>
        <w:rPr>
          <w:rFonts w:hint="eastAsia" w:ascii="宋体" w:hAnsi="宋体" w:eastAsia="宋体" w:cs="宋体"/>
          <w:b w:val="0"/>
          <w:bCs/>
          <w:sz w:val="24"/>
          <w:szCs w:val="24"/>
          <w:lang w:eastAsia="zh-CN"/>
        </w:rPr>
        <w:t>（产品配置清单、技术规范偏离表）</w:t>
      </w:r>
      <w:r>
        <w:rPr>
          <w:rFonts w:hint="eastAsia" w:cs="宋体"/>
          <w:highlight w:val="none"/>
          <w:lang w:val="en-US" w:eastAsia="zh-CN"/>
        </w:rPr>
        <w:t>；（附件八）（附件九）</w:t>
      </w:r>
    </w:p>
    <w:p w14:paraId="063A91E4">
      <w:pPr>
        <w:numPr>
          <w:ilvl w:val="0"/>
          <w:numId w:val="0"/>
        </w:numPr>
        <w:spacing w:line="480" w:lineRule="auto"/>
        <w:ind w:firstLine="240" w:firstLineChars="100"/>
        <w:rPr>
          <w:rFonts w:hint="default" w:eastAsia="宋体" w:cs="宋体"/>
          <w:highlight w:val="none"/>
          <w:lang w:val="en-US" w:eastAsia="zh-CN"/>
        </w:rPr>
      </w:pPr>
      <w:r>
        <w:rPr>
          <w:rFonts w:hint="eastAsia" w:cs="宋体"/>
          <w:highlight w:val="none"/>
          <w:lang w:val="en-US" w:eastAsia="zh-CN"/>
        </w:rPr>
        <w:t>3.</w:t>
      </w:r>
      <w:r>
        <w:rPr>
          <w:rFonts w:hint="eastAsia" w:ascii="宋体" w:hAnsi="宋体" w:eastAsia="宋体" w:cs="宋体"/>
          <w:i w:val="0"/>
          <w:iCs w:val="0"/>
          <w:color w:val="000000"/>
          <w:kern w:val="0"/>
          <w:sz w:val="24"/>
          <w:szCs w:val="24"/>
          <w:u w:val="none"/>
          <w:lang w:val="en-US" w:eastAsia="zh-CN" w:bidi="ar"/>
        </w:rPr>
        <w:t>组织与实施方案</w:t>
      </w:r>
      <w:r>
        <w:rPr>
          <w:rFonts w:hint="eastAsia" w:cs="宋体"/>
          <w:highlight w:val="none"/>
          <w:lang w:val="en-US" w:eastAsia="zh-CN"/>
        </w:rPr>
        <w:t>；</w:t>
      </w:r>
    </w:p>
    <w:p w14:paraId="0D58E292">
      <w:pPr>
        <w:numPr>
          <w:ilvl w:val="0"/>
          <w:numId w:val="0"/>
        </w:numPr>
        <w:spacing w:line="480" w:lineRule="auto"/>
        <w:ind w:firstLine="240" w:firstLineChars="100"/>
        <w:rPr>
          <w:rFonts w:hint="default" w:cs="宋体"/>
          <w:highlight w:val="none"/>
          <w:lang w:val="en-US" w:eastAsia="zh-CN"/>
        </w:rPr>
      </w:pPr>
      <w:r>
        <w:rPr>
          <w:rFonts w:hint="eastAsia" w:cs="宋体"/>
          <w:highlight w:val="none"/>
          <w:lang w:val="en-US" w:eastAsia="zh-CN"/>
        </w:rPr>
        <w:t>4.</w:t>
      </w:r>
      <w:r>
        <w:rPr>
          <w:rFonts w:hint="eastAsia" w:ascii="宋体" w:hAnsi="宋体" w:eastAsia="宋体" w:cs="宋体"/>
          <w:i w:val="0"/>
          <w:iCs w:val="0"/>
          <w:color w:val="000000"/>
          <w:kern w:val="0"/>
          <w:sz w:val="24"/>
          <w:szCs w:val="24"/>
          <w:u w:val="none"/>
          <w:lang w:val="en-US" w:eastAsia="zh-CN" w:bidi="ar"/>
        </w:rPr>
        <w:t>整体深化设计方案</w:t>
      </w:r>
      <w:r>
        <w:rPr>
          <w:rFonts w:hint="eastAsia" w:cs="宋体"/>
          <w:highlight w:val="none"/>
          <w:lang w:val="en-US" w:eastAsia="zh-CN"/>
        </w:rPr>
        <w:t>；</w:t>
      </w:r>
    </w:p>
    <w:p w14:paraId="463D5BCC">
      <w:pPr>
        <w:keepNext w:val="0"/>
        <w:keepLines w:val="0"/>
        <w:pageBreakBefore w:val="0"/>
        <w:widowControl w:val="0"/>
        <w:kinsoku/>
        <w:wordWrap/>
        <w:overflowPunct/>
        <w:topLinePunct w:val="0"/>
        <w:autoSpaceDE/>
        <w:autoSpaceDN/>
        <w:bidi w:val="0"/>
        <w:adjustRightInd w:val="0"/>
        <w:snapToGrid w:val="0"/>
        <w:spacing w:line="480" w:lineRule="auto"/>
        <w:ind w:left="0" w:leftChars="0" w:firstLine="240" w:firstLineChars="100"/>
        <w:jc w:val="both"/>
        <w:textAlignment w:val="auto"/>
        <w:rPr>
          <w:rFonts w:hint="default" w:cs="宋体"/>
          <w:highlight w:val="none"/>
          <w:lang w:val="en-US" w:eastAsia="zh-CN"/>
        </w:rPr>
      </w:pPr>
      <w:r>
        <w:rPr>
          <w:rFonts w:hint="eastAsia" w:cs="宋体"/>
          <w:highlight w:val="none"/>
          <w:lang w:val="en-US" w:eastAsia="zh-CN"/>
        </w:rPr>
        <w:t>5.</w:t>
      </w:r>
      <w:r>
        <w:rPr>
          <w:rFonts w:hint="eastAsia" w:ascii="宋体" w:hAnsi="宋体" w:eastAsia="宋体" w:cs="宋体"/>
          <w:i w:val="0"/>
          <w:iCs w:val="0"/>
          <w:color w:val="000000"/>
          <w:kern w:val="0"/>
          <w:sz w:val="24"/>
          <w:szCs w:val="24"/>
          <w:u w:val="none"/>
          <w:lang w:val="en-US" w:eastAsia="zh-CN" w:bidi="ar"/>
        </w:rPr>
        <w:t>人员配置</w:t>
      </w:r>
      <w:r>
        <w:rPr>
          <w:rFonts w:hint="eastAsia" w:cs="宋体"/>
          <w:highlight w:val="none"/>
          <w:lang w:val="en-US" w:eastAsia="zh-CN"/>
        </w:rPr>
        <w:t>；</w:t>
      </w:r>
    </w:p>
    <w:p w14:paraId="2FD9C0FA">
      <w:pPr>
        <w:keepNext w:val="0"/>
        <w:keepLines w:val="0"/>
        <w:pageBreakBefore w:val="0"/>
        <w:widowControl w:val="0"/>
        <w:kinsoku/>
        <w:wordWrap/>
        <w:overflowPunct/>
        <w:topLinePunct w:val="0"/>
        <w:autoSpaceDE/>
        <w:autoSpaceDN/>
        <w:bidi w:val="0"/>
        <w:adjustRightInd w:val="0"/>
        <w:snapToGrid w:val="0"/>
        <w:spacing w:line="480" w:lineRule="auto"/>
        <w:ind w:left="0" w:leftChars="0" w:firstLine="240" w:firstLineChars="100"/>
        <w:jc w:val="both"/>
        <w:textAlignment w:val="auto"/>
        <w:rPr>
          <w:rFonts w:hint="default" w:cs="宋体"/>
          <w:highlight w:val="none"/>
          <w:lang w:val="en-US" w:eastAsia="zh-CN"/>
        </w:rPr>
      </w:pPr>
      <w:r>
        <w:rPr>
          <w:rFonts w:hint="eastAsia" w:cs="宋体"/>
          <w:highlight w:val="none"/>
          <w:lang w:val="en-US" w:eastAsia="zh-CN"/>
        </w:rPr>
        <w:t>6.</w:t>
      </w:r>
      <w:r>
        <w:rPr>
          <w:rFonts w:hint="eastAsia" w:ascii="宋体" w:hAnsi="宋体" w:eastAsia="宋体" w:cs="宋体"/>
          <w:kern w:val="0"/>
          <w:sz w:val="24"/>
          <w:szCs w:val="24"/>
          <w:highlight w:val="none"/>
        </w:rPr>
        <w:t>售后服务方案</w:t>
      </w:r>
      <w:r>
        <w:rPr>
          <w:rFonts w:hint="eastAsia" w:cs="宋体"/>
          <w:highlight w:val="none"/>
          <w:lang w:val="en-US" w:eastAsia="zh-CN"/>
        </w:rPr>
        <w:t>；</w:t>
      </w:r>
    </w:p>
    <w:p w14:paraId="7A801837">
      <w:pPr>
        <w:numPr>
          <w:ilvl w:val="0"/>
          <w:numId w:val="0"/>
        </w:numPr>
        <w:spacing w:line="480" w:lineRule="auto"/>
        <w:ind w:firstLine="240" w:firstLineChars="100"/>
        <w:rPr>
          <w:rFonts w:hint="eastAsia" w:eastAsia="宋体" w:cs="宋体"/>
          <w:highlight w:val="none"/>
          <w:lang w:val="en-US" w:eastAsia="zh-CN"/>
        </w:rPr>
      </w:pPr>
      <w:r>
        <w:rPr>
          <w:rFonts w:hint="eastAsia" w:cs="宋体"/>
          <w:highlight w:val="none"/>
          <w:lang w:val="en-US" w:eastAsia="zh-CN"/>
        </w:rPr>
        <w:t>7.</w:t>
      </w:r>
      <w:r>
        <w:rPr>
          <w:rFonts w:hint="eastAsia" w:ascii="宋体" w:hAnsi="宋体" w:eastAsia="宋体" w:cs="宋体"/>
          <w:i w:val="0"/>
          <w:iCs w:val="0"/>
          <w:color w:val="000000"/>
          <w:kern w:val="0"/>
          <w:sz w:val="24"/>
          <w:szCs w:val="24"/>
          <w:u w:val="none"/>
          <w:lang w:val="en-US" w:eastAsia="zh-CN" w:bidi="ar"/>
        </w:rPr>
        <w:t>同类业绩</w:t>
      </w:r>
      <w:r>
        <w:rPr>
          <w:rFonts w:hint="eastAsia" w:cs="宋体"/>
          <w:i w:val="0"/>
          <w:iCs w:val="0"/>
          <w:color w:val="000000"/>
          <w:kern w:val="0"/>
          <w:sz w:val="24"/>
          <w:szCs w:val="24"/>
          <w:u w:val="none"/>
          <w:lang w:val="en-US" w:eastAsia="zh-CN" w:bidi="ar"/>
        </w:rPr>
        <w:t>：</w:t>
      </w:r>
      <w:r>
        <w:rPr>
          <w:rFonts w:hint="eastAsia" w:cs="宋体"/>
          <w:highlight w:val="none"/>
          <w:lang w:val="en-US" w:eastAsia="zh-CN"/>
        </w:rPr>
        <w:t>同类项目实施情况一览表；（附件十）</w:t>
      </w:r>
    </w:p>
    <w:p w14:paraId="499B38B5">
      <w:pPr>
        <w:numPr>
          <w:ilvl w:val="0"/>
          <w:numId w:val="0"/>
        </w:numPr>
        <w:spacing w:line="480" w:lineRule="auto"/>
        <w:ind w:firstLine="240" w:firstLineChars="100"/>
        <w:rPr>
          <w:rFonts w:hint="eastAsia" w:cs="宋体"/>
          <w:highlight w:val="none"/>
          <w:lang w:val="en-US" w:eastAsia="zh-CN"/>
        </w:rPr>
      </w:pPr>
      <w:r>
        <w:rPr>
          <w:rFonts w:hint="eastAsia" w:cs="宋体"/>
          <w:highlight w:val="none"/>
          <w:lang w:val="en-US" w:eastAsia="zh-CN"/>
        </w:rPr>
        <w:t>8.</w:t>
      </w:r>
      <w:r>
        <w:rPr>
          <w:rFonts w:hint="eastAsia" w:ascii="宋体" w:hAnsi="宋体" w:eastAsia="宋体" w:cs="宋体"/>
          <w:i w:val="0"/>
          <w:iCs w:val="0"/>
          <w:color w:val="000000"/>
          <w:kern w:val="0"/>
          <w:sz w:val="24"/>
          <w:szCs w:val="24"/>
          <w:u w:val="none"/>
          <w:lang w:val="en-US" w:eastAsia="zh-CN" w:bidi="ar"/>
        </w:rPr>
        <w:t>企业生产实力</w:t>
      </w:r>
      <w:r>
        <w:rPr>
          <w:rFonts w:hint="eastAsia" w:cs="宋体"/>
          <w:highlight w:val="none"/>
          <w:lang w:val="en-US" w:eastAsia="zh-CN"/>
        </w:rPr>
        <w:t>；</w:t>
      </w:r>
    </w:p>
    <w:p w14:paraId="64452545">
      <w:pPr>
        <w:numPr>
          <w:ilvl w:val="0"/>
          <w:numId w:val="0"/>
        </w:numPr>
        <w:spacing w:line="480" w:lineRule="auto"/>
        <w:ind w:firstLine="240" w:firstLineChars="100"/>
        <w:rPr>
          <w:rFonts w:hint="eastAsia" w:cs="宋体"/>
        </w:rPr>
      </w:pPr>
      <w:r>
        <w:rPr>
          <w:rFonts w:hint="eastAsia" w:cs="宋体"/>
          <w:highlight w:val="none"/>
          <w:lang w:val="en-US" w:eastAsia="zh-CN"/>
        </w:rPr>
        <w:t>9.</w:t>
      </w:r>
      <w:r>
        <w:rPr>
          <w:rFonts w:hint="eastAsia" w:cs="宋体"/>
          <w:highlight w:val="none"/>
        </w:rPr>
        <w:t>其它本招标文件评分表要求提供的材料或投标人认为需要</w:t>
      </w:r>
      <w:r>
        <w:rPr>
          <w:rFonts w:hint="eastAsia" w:cs="宋体"/>
          <w:highlight w:val="none"/>
          <w:lang w:eastAsia="zh-CN"/>
        </w:rPr>
        <w:t>补充</w:t>
      </w:r>
      <w:r>
        <w:rPr>
          <w:rFonts w:hint="eastAsia" w:cs="宋体"/>
          <w:highlight w:val="none"/>
        </w:rPr>
        <w:t>的其他资料或说明。</w:t>
      </w:r>
    </w:p>
    <w:p w14:paraId="054AC504">
      <w:pPr>
        <w:pStyle w:val="79"/>
        <w:rPr>
          <w:rFonts w:hint="eastAsia" w:ascii="宋体" w:hAnsi="宋体" w:eastAsia="宋体" w:cs="宋体"/>
          <w:color w:val="auto"/>
        </w:rPr>
      </w:pPr>
    </w:p>
    <w:p w14:paraId="1C0CBB33">
      <w:pPr>
        <w:ind w:firstLine="480"/>
        <w:rPr>
          <w:rFonts w:hint="eastAsia" w:ascii="宋体" w:hAnsi="宋体" w:eastAsia="宋体" w:cs="宋体"/>
          <w:iCs/>
        </w:rPr>
      </w:pPr>
      <w:r>
        <w:rPr>
          <w:rFonts w:hint="eastAsia" w:ascii="宋体" w:hAnsi="宋体" w:eastAsia="宋体" w:cs="宋体"/>
          <w:iCs/>
        </w:rPr>
        <w:br w:type="page"/>
      </w:r>
    </w:p>
    <w:p w14:paraId="233FF2DA">
      <w:pPr>
        <w:pStyle w:val="16"/>
        <w:numPr>
          <w:ilvl w:val="0"/>
          <w:numId w:val="0"/>
        </w:numPr>
        <w:spacing w:line="240" w:lineRule="auto"/>
        <w:rPr>
          <w:rFonts w:hint="eastAsia" w:hAnsi="宋体" w:cs="宋体"/>
          <w:b/>
          <w:bCs/>
          <w:color w:val="auto"/>
          <w:lang w:val="en-US" w:eastAsia="zh-CN"/>
        </w:rPr>
      </w:pPr>
      <w:r>
        <w:rPr>
          <w:rFonts w:hint="eastAsia" w:hAnsi="宋体" w:cs="宋体"/>
          <w:b/>
          <w:bCs/>
          <w:color w:val="auto"/>
          <w:lang w:val="en-US" w:eastAsia="zh-CN"/>
        </w:rPr>
        <w:t>附件七</w:t>
      </w:r>
    </w:p>
    <w:p w14:paraId="45195884">
      <w:pPr>
        <w:ind w:left="0" w:leftChars="0" w:firstLine="0" w:firstLineChars="0"/>
        <w:jc w:val="center"/>
        <w:rPr>
          <w:rFonts w:hint="eastAsia" w:ascii="宋体" w:hAnsi="宋体" w:eastAsia="宋体" w:cs="宋体"/>
          <w:b/>
          <w:spacing w:val="-6"/>
          <w:sz w:val="28"/>
          <w:szCs w:val="28"/>
          <w:lang w:eastAsia="zh-CN"/>
        </w:rPr>
      </w:pPr>
      <w:r>
        <w:rPr>
          <w:rFonts w:hint="eastAsia" w:cs="宋体"/>
          <w:b/>
          <w:spacing w:val="-6"/>
          <w:sz w:val="28"/>
          <w:szCs w:val="28"/>
          <w:lang w:eastAsia="zh-CN"/>
        </w:rPr>
        <w:t>评分索引表</w:t>
      </w:r>
    </w:p>
    <w:tbl>
      <w:tblPr>
        <w:tblStyle w:val="45"/>
        <w:tblW w:w="96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9"/>
        <w:gridCol w:w="1705"/>
        <w:gridCol w:w="5039"/>
        <w:gridCol w:w="1125"/>
        <w:gridCol w:w="975"/>
      </w:tblGrid>
      <w:tr w14:paraId="7AC00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trPr>
        <w:tc>
          <w:tcPr>
            <w:tcW w:w="789" w:type="dxa"/>
            <w:vAlign w:val="top"/>
          </w:tcPr>
          <w:p w14:paraId="1F1F0FC3">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序号</w:t>
            </w:r>
          </w:p>
        </w:tc>
        <w:tc>
          <w:tcPr>
            <w:tcW w:w="1705" w:type="dxa"/>
            <w:vAlign w:val="top"/>
          </w:tcPr>
          <w:p w14:paraId="3E925079">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评审因素</w:t>
            </w:r>
          </w:p>
        </w:tc>
        <w:tc>
          <w:tcPr>
            <w:tcW w:w="5039" w:type="dxa"/>
            <w:vAlign w:val="top"/>
          </w:tcPr>
          <w:p w14:paraId="1219BC35">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评分标准</w:t>
            </w:r>
          </w:p>
        </w:tc>
        <w:tc>
          <w:tcPr>
            <w:tcW w:w="1125" w:type="dxa"/>
            <w:vAlign w:val="top"/>
          </w:tcPr>
          <w:p w14:paraId="31BC976C">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center"/>
              <w:textAlignment w:val="auto"/>
              <w:rPr>
                <w:rFonts w:hint="eastAsia" w:ascii="宋体" w:hAnsi="宋体" w:eastAsia="宋体" w:cs="宋体"/>
                <w:b/>
                <w:kern w:val="0"/>
                <w:vertAlign w:val="baseline"/>
                <w:lang w:eastAsia="zh-CN"/>
              </w:rPr>
            </w:pPr>
            <w:r>
              <w:rPr>
                <w:rFonts w:hint="eastAsia" w:cs="宋体"/>
                <w:b w:val="0"/>
                <w:bCs/>
                <w:kern w:val="0"/>
                <w:vertAlign w:val="baseline"/>
                <w:lang w:eastAsia="zh-CN"/>
              </w:rPr>
              <w:t>自评分</w:t>
            </w:r>
          </w:p>
        </w:tc>
        <w:tc>
          <w:tcPr>
            <w:tcW w:w="975" w:type="dxa"/>
            <w:vAlign w:val="top"/>
          </w:tcPr>
          <w:p w14:paraId="4B0C9CAD">
            <w:pPr>
              <w:spacing w:line="240" w:lineRule="auto"/>
              <w:ind w:left="0" w:leftChars="0" w:firstLine="0" w:firstLineChars="0"/>
              <w:jc w:val="center"/>
              <w:rPr>
                <w:rFonts w:hint="eastAsia" w:ascii="宋体" w:hAnsi="宋体" w:eastAsia="宋体" w:cs="宋体"/>
                <w:b/>
                <w:kern w:val="0"/>
                <w:vertAlign w:val="baseline"/>
                <w:lang w:eastAsia="zh-CN"/>
              </w:rPr>
            </w:pPr>
            <w:r>
              <w:rPr>
                <w:rFonts w:hint="eastAsia" w:cs="宋体"/>
                <w:b w:val="0"/>
                <w:bCs/>
                <w:kern w:val="0"/>
                <w:vertAlign w:val="baseline"/>
                <w:lang w:eastAsia="zh-CN"/>
              </w:rPr>
              <w:t>投标文件页码</w:t>
            </w:r>
          </w:p>
        </w:tc>
      </w:tr>
      <w:tr w14:paraId="611C3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restart"/>
            <w:vAlign w:val="top"/>
          </w:tcPr>
          <w:p w14:paraId="0362153E">
            <w:pPr>
              <w:ind w:left="0" w:leftChars="0" w:firstLine="0" w:firstLineChars="0"/>
              <w:jc w:val="center"/>
              <w:rPr>
                <w:rFonts w:hint="eastAsia" w:cs="宋体"/>
                <w:b w:val="0"/>
                <w:bCs/>
                <w:kern w:val="0"/>
                <w:vertAlign w:val="baseline"/>
                <w:lang w:val="en-US" w:eastAsia="zh-CN"/>
              </w:rPr>
            </w:pPr>
          </w:p>
          <w:p w14:paraId="7C0E110F">
            <w:pPr>
              <w:ind w:left="0" w:leftChars="0" w:firstLine="0" w:firstLineChars="0"/>
              <w:jc w:val="center"/>
              <w:rPr>
                <w:rFonts w:hint="default" w:ascii="宋体" w:hAnsi="宋体" w:eastAsia="宋体" w:cs="宋体"/>
                <w:b w:val="0"/>
                <w:bCs/>
                <w:kern w:val="0"/>
                <w:vertAlign w:val="baseline"/>
                <w:lang w:val="en-US" w:eastAsia="zh-CN"/>
              </w:rPr>
            </w:pPr>
            <w:r>
              <w:rPr>
                <w:rFonts w:hint="eastAsia" w:cs="宋体"/>
                <w:b w:val="0"/>
                <w:bCs/>
                <w:kern w:val="0"/>
                <w:vertAlign w:val="baseline"/>
                <w:lang w:val="en-US" w:eastAsia="zh-CN"/>
              </w:rPr>
              <w:t>1</w:t>
            </w:r>
          </w:p>
        </w:tc>
        <w:tc>
          <w:tcPr>
            <w:tcW w:w="1705" w:type="dxa"/>
            <w:vMerge w:val="restart"/>
            <w:vAlign w:val="top"/>
          </w:tcPr>
          <w:p w14:paraId="7F80D7BF">
            <w:pPr>
              <w:rPr>
                <w:rFonts w:hint="eastAsia"/>
              </w:rPr>
            </w:pPr>
          </w:p>
          <w:p w14:paraId="43017EB7">
            <w:pPr>
              <w:pStyle w:val="5"/>
              <w:ind w:left="0" w:leftChars="0" w:firstLine="0" w:firstLineChars="0"/>
              <w:jc w:val="center"/>
              <w:rPr>
                <w:rFonts w:hint="eastAsia" w:cs="宋体"/>
                <w:b w:val="0"/>
                <w:bCs w:val="0"/>
                <w:kern w:val="0"/>
                <w:vertAlign w:val="baseline"/>
                <w:lang w:eastAsia="zh-CN"/>
              </w:rPr>
            </w:pPr>
            <w:r>
              <w:rPr>
                <w:rFonts w:hint="eastAsia" w:cs="宋体"/>
                <w:b w:val="0"/>
                <w:bCs/>
                <w:kern w:val="0"/>
                <w:vertAlign w:val="baseline"/>
                <w:lang w:eastAsia="zh-CN"/>
              </w:rPr>
              <w:t>技术分</w:t>
            </w:r>
          </w:p>
          <w:p w14:paraId="61F0461A">
            <w:pPr>
              <w:pStyle w:val="5"/>
              <w:ind w:left="0" w:leftChars="0" w:firstLine="0" w:firstLineChars="0"/>
              <w:jc w:val="center"/>
              <w:rPr>
                <w:rFonts w:hint="eastAsia" w:eastAsia="宋体"/>
                <w:lang w:eastAsia="zh-CN"/>
              </w:rPr>
            </w:pPr>
          </w:p>
        </w:tc>
        <w:tc>
          <w:tcPr>
            <w:tcW w:w="5039" w:type="dxa"/>
            <w:vAlign w:val="top"/>
          </w:tcPr>
          <w:p w14:paraId="5811820D">
            <w:pPr>
              <w:rPr>
                <w:rFonts w:hint="eastAsia" w:ascii="宋体" w:hAnsi="宋体" w:eastAsia="宋体" w:cs="宋体"/>
                <w:b/>
                <w:kern w:val="0"/>
                <w:vertAlign w:val="baseline"/>
              </w:rPr>
            </w:pPr>
          </w:p>
        </w:tc>
        <w:tc>
          <w:tcPr>
            <w:tcW w:w="1125" w:type="dxa"/>
            <w:vAlign w:val="top"/>
          </w:tcPr>
          <w:p w14:paraId="4E71A462">
            <w:pPr>
              <w:rPr>
                <w:rFonts w:hint="eastAsia" w:ascii="宋体" w:hAnsi="宋体" w:eastAsia="宋体" w:cs="宋体"/>
                <w:b/>
                <w:kern w:val="0"/>
                <w:vertAlign w:val="baseline"/>
              </w:rPr>
            </w:pPr>
          </w:p>
        </w:tc>
        <w:tc>
          <w:tcPr>
            <w:tcW w:w="975" w:type="dxa"/>
            <w:vAlign w:val="top"/>
          </w:tcPr>
          <w:p w14:paraId="18FBC3DB">
            <w:pPr>
              <w:rPr>
                <w:rFonts w:hint="eastAsia" w:ascii="宋体" w:hAnsi="宋体" w:eastAsia="宋体" w:cs="宋体"/>
                <w:b/>
                <w:kern w:val="0"/>
                <w:vertAlign w:val="baseline"/>
              </w:rPr>
            </w:pPr>
          </w:p>
        </w:tc>
      </w:tr>
      <w:tr w14:paraId="08B77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19882E7B">
            <w:pPr>
              <w:rPr>
                <w:rFonts w:hint="eastAsia" w:ascii="宋体" w:hAnsi="宋体" w:eastAsia="宋体" w:cs="宋体"/>
                <w:b/>
                <w:kern w:val="0"/>
                <w:vertAlign w:val="baseline"/>
              </w:rPr>
            </w:pPr>
          </w:p>
        </w:tc>
        <w:tc>
          <w:tcPr>
            <w:tcW w:w="1705" w:type="dxa"/>
            <w:vMerge w:val="continue"/>
            <w:vAlign w:val="top"/>
          </w:tcPr>
          <w:p w14:paraId="599DEE99">
            <w:pPr>
              <w:rPr>
                <w:rFonts w:hint="eastAsia" w:ascii="宋体" w:hAnsi="宋体" w:eastAsia="宋体" w:cs="宋体"/>
                <w:b/>
                <w:kern w:val="0"/>
                <w:vertAlign w:val="baseline"/>
              </w:rPr>
            </w:pPr>
          </w:p>
        </w:tc>
        <w:tc>
          <w:tcPr>
            <w:tcW w:w="5039" w:type="dxa"/>
            <w:vAlign w:val="top"/>
          </w:tcPr>
          <w:p w14:paraId="56741B43">
            <w:pPr>
              <w:rPr>
                <w:rFonts w:hint="eastAsia" w:ascii="宋体" w:hAnsi="宋体" w:eastAsia="宋体" w:cs="宋体"/>
                <w:b/>
                <w:kern w:val="0"/>
                <w:vertAlign w:val="baseline"/>
              </w:rPr>
            </w:pPr>
          </w:p>
        </w:tc>
        <w:tc>
          <w:tcPr>
            <w:tcW w:w="1125" w:type="dxa"/>
            <w:vAlign w:val="top"/>
          </w:tcPr>
          <w:p w14:paraId="78D60E29">
            <w:pPr>
              <w:rPr>
                <w:rFonts w:hint="eastAsia" w:ascii="宋体" w:hAnsi="宋体" w:eastAsia="宋体" w:cs="宋体"/>
                <w:b/>
                <w:kern w:val="0"/>
                <w:vertAlign w:val="baseline"/>
              </w:rPr>
            </w:pPr>
          </w:p>
        </w:tc>
        <w:tc>
          <w:tcPr>
            <w:tcW w:w="975" w:type="dxa"/>
            <w:vAlign w:val="top"/>
          </w:tcPr>
          <w:p w14:paraId="2CC25514">
            <w:pPr>
              <w:rPr>
                <w:rFonts w:hint="eastAsia" w:ascii="宋体" w:hAnsi="宋体" w:eastAsia="宋体" w:cs="宋体"/>
                <w:b/>
                <w:kern w:val="0"/>
                <w:vertAlign w:val="baseline"/>
              </w:rPr>
            </w:pPr>
          </w:p>
        </w:tc>
      </w:tr>
      <w:tr w14:paraId="036ED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7059B550">
            <w:pPr>
              <w:rPr>
                <w:rFonts w:hint="eastAsia" w:ascii="宋体" w:hAnsi="宋体" w:eastAsia="宋体" w:cs="宋体"/>
                <w:b/>
                <w:kern w:val="0"/>
                <w:vertAlign w:val="baseline"/>
              </w:rPr>
            </w:pPr>
          </w:p>
        </w:tc>
        <w:tc>
          <w:tcPr>
            <w:tcW w:w="1705" w:type="dxa"/>
            <w:vMerge w:val="continue"/>
            <w:vAlign w:val="top"/>
          </w:tcPr>
          <w:p w14:paraId="59C786FC">
            <w:pPr>
              <w:rPr>
                <w:rFonts w:hint="eastAsia" w:ascii="宋体" w:hAnsi="宋体" w:eastAsia="宋体" w:cs="宋体"/>
                <w:b/>
                <w:kern w:val="0"/>
                <w:vertAlign w:val="baseline"/>
              </w:rPr>
            </w:pPr>
          </w:p>
        </w:tc>
        <w:tc>
          <w:tcPr>
            <w:tcW w:w="5039" w:type="dxa"/>
            <w:vAlign w:val="top"/>
          </w:tcPr>
          <w:p w14:paraId="2776E812">
            <w:pPr>
              <w:rPr>
                <w:rFonts w:hint="eastAsia" w:ascii="宋体" w:hAnsi="宋体" w:eastAsia="宋体" w:cs="宋体"/>
                <w:b/>
                <w:kern w:val="0"/>
                <w:vertAlign w:val="baseline"/>
              </w:rPr>
            </w:pPr>
          </w:p>
        </w:tc>
        <w:tc>
          <w:tcPr>
            <w:tcW w:w="1125" w:type="dxa"/>
            <w:vAlign w:val="top"/>
          </w:tcPr>
          <w:p w14:paraId="0B9CA88C">
            <w:pPr>
              <w:rPr>
                <w:rFonts w:hint="eastAsia" w:ascii="宋体" w:hAnsi="宋体" w:eastAsia="宋体" w:cs="宋体"/>
                <w:b/>
                <w:kern w:val="0"/>
                <w:vertAlign w:val="baseline"/>
              </w:rPr>
            </w:pPr>
          </w:p>
        </w:tc>
        <w:tc>
          <w:tcPr>
            <w:tcW w:w="975" w:type="dxa"/>
            <w:vAlign w:val="top"/>
          </w:tcPr>
          <w:p w14:paraId="3CF30CEC">
            <w:pPr>
              <w:rPr>
                <w:rFonts w:hint="eastAsia" w:ascii="宋体" w:hAnsi="宋体" w:eastAsia="宋体" w:cs="宋体"/>
                <w:b/>
                <w:kern w:val="0"/>
                <w:vertAlign w:val="baseline"/>
              </w:rPr>
            </w:pPr>
          </w:p>
        </w:tc>
      </w:tr>
      <w:tr w14:paraId="3CA9D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trPr>
        <w:tc>
          <w:tcPr>
            <w:tcW w:w="789" w:type="dxa"/>
            <w:vMerge w:val="restart"/>
            <w:vAlign w:val="top"/>
          </w:tcPr>
          <w:p w14:paraId="1F620495">
            <w:pPr>
              <w:ind w:left="0" w:leftChars="0" w:firstLine="0" w:firstLineChars="0"/>
              <w:jc w:val="center"/>
              <w:rPr>
                <w:rFonts w:hint="eastAsia" w:cs="宋体"/>
                <w:b/>
                <w:kern w:val="0"/>
                <w:vertAlign w:val="baseline"/>
                <w:lang w:val="en-US" w:eastAsia="zh-CN"/>
              </w:rPr>
            </w:pPr>
          </w:p>
          <w:p w14:paraId="53D58732">
            <w:pPr>
              <w:ind w:left="0" w:leftChars="0" w:firstLine="0" w:firstLineChars="0"/>
              <w:jc w:val="center"/>
              <w:rPr>
                <w:rFonts w:hint="eastAsia" w:cs="宋体"/>
                <w:b/>
                <w:kern w:val="0"/>
                <w:vertAlign w:val="baseline"/>
                <w:lang w:val="en-US" w:eastAsia="zh-CN"/>
              </w:rPr>
            </w:pPr>
          </w:p>
          <w:p w14:paraId="25F1C679">
            <w:pPr>
              <w:ind w:left="0" w:leftChars="0" w:firstLine="0" w:firstLineChars="0"/>
              <w:jc w:val="center"/>
              <w:rPr>
                <w:rFonts w:hint="eastAsia" w:ascii="宋体" w:hAnsi="宋体" w:eastAsia="宋体" w:cs="宋体"/>
                <w:b/>
                <w:kern w:val="0"/>
                <w:vertAlign w:val="baseline"/>
                <w:lang w:val="en-US" w:eastAsia="zh-CN"/>
              </w:rPr>
            </w:pPr>
            <w:r>
              <w:rPr>
                <w:rFonts w:hint="eastAsia" w:cs="宋体"/>
                <w:b w:val="0"/>
                <w:bCs/>
                <w:kern w:val="0"/>
                <w:vertAlign w:val="baseline"/>
                <w:lang w:val="en-US" w:eastAsia="zh-CN"/>
              </w:rPr>
              <w:t>2</w:t>
            </w:r>
          </w:p>
        </w:tc>
        <w:tc>
          <w:tcPr>
            <w:tcW w:w="1705" w:type="dxa"/>
            <w:vMerge w:val="restart"/>
            <w:vAlign w:val="top"/>
          </w:tcPr>
          <w:p w14:paraId="3130A9B7">
            <w:pPr>
              <w:ind w:left="0" w:leftChars="0" w:firstLine="0" w:firstLineChars="0"/>
              <w:rPr>
                <w:rFonts w:hint="eastAsia" w:cs="宋体"/>
                <w:b w:val="0"/>
                <w:bCs/>
                <w:kern w:val="0"/>
                <w:vertAlign w:val="baseline"/>
                <w:lang w:eastAsia="zh-CN"/>
              </w:rPr>
            </w:pPr>
          </w:p>
          <w:p w14:paraId="1CEF9C8F">
            <w:pPr>
              <w:ind w:left="0" w:leftChars="0" w:firstLine="0" w:firstLineChars="0"/>
              <w:rPr>
                <w:rFonts w:hint="eastAsia" w:cs="宋体"/>
                <w:b w:val="0"/>
                <w:bCs/>
                <w:kern w:val="0"/>
                <w:vertAlign w:val="baseline"/>
                <w:lang w:eastAsia="zh-CN"/>
              </w:rPr>
            </w:pPr>
          </w:p>
          <w:p w14:paraId="0A1471E5">
            <w:pPr>
              <w:ind w:left="0" w:leftChars="0" w:firstLine="0" w:firstLineChars="0"/>
              <w:jc w:val="center"/>
              <w:rPr>
                <w:rFonts w:hint="eastAsia" w:cs="宋体"/>
                <w:b w:val="0"/>
                <w:bCs/>
                <w:kern w:val="0"/>
                <w:vertAlign w:val="baseline"/>
                <w:lang w:eastAsia="zh-CN"/>
              </w:rPr>
            </w:pPr>
            <w:r>
              <w:rPr>
                <w:rFonts w:hint="eastAsia" w:ascii="宋体" w:hAnsi="宋体" w:eastAsia="宋体" w:cs="宋体"/>
                <w:b w:val="0"/>
                <w:bCs/>
                <w:sz w:val="24"/>
                <w:szCs w:val="24"/>
                <w:highlight w:val="none"/>
              </w:rPr>
              <w:t>商务、资信及其他分</w:t>
            </w:r>
          </w:p>
          <w:p w14:paraId="4ED08F06">
            <w:pPr>
              <w:ind w:left="0" w:leftChars="0" w:firstLine="0" w:firstLineChars="0"/>
              <w:jc w:val="center"/>
              <w:rPr>
                <w:rFonts w:hint="eastAsia" w:ascii="宋体" w:hAnsi="宋体" w:eastAsia="宋体" w:cs="宋体"/>
                <w:b w:val="0"/>
                <w:bCs/>
                <w:kern w:val="0"/>
                <w:vertAlign w:val="baseline"/>
                <w:lang w:eastAsia="zh-CN"/>
              </w:rPr>
            </w:pPr>
          </w:p>
        </w:tc>
        <w:tc>
          <w:tcPr>
            <w:tcW w:w="5039" w:type="dxa"/>
            <w:vAlign w:val="top"/>
          </w:tcPr>
          <w:p w14:paraId="0D279F0B">
            <w:pPr>
              <w:rPr>
                <w:rFonts w:hint="eastAsia" w:ascii="宋体" w:hAnsi="宋体" w:eastAsia="宋体" w:cs="宋体"/>
                <w:b/>
                <w:kern w:val="0"/>
                <w:vertAlign w:val="baseline"/>
              </w:rPr>
            </w:pPr>
          </w:p>
        </w:tc>
        <w:tc>
          <w:tcPr>
            <w:tcW w:w="1125" w:type="dxa"/>
            <w:vAlign w:val="top"/>
          </w:tcPr>
          <w:p w14:paraId="195B4553">
            <w:pPr>
              <w:ind w:left="0" w:leftChars="0" w:firstLine="0" w:firstLineChars="0"/>
              <w:jc w:val="both"/>
              <w:rPr>
                <w:rFonts w:hint="eastAsia" w:ascii="宋体" w:hAnsi="宋体" w:eastAsia="宋体" w:cs="宋体"/>
                <w:b w:val="0"/>
                <w:bCs/>
                <w:kern w:val="0"/>
                <w:vertAlign w:val="baseline"/>
                <w:lang w:eastAsia="zh-CN"/>
              </w:rPr>
            </w:pPr>
          </w:p>
        </w:tc>
        <w:tc>
          <w:tcPr>
            <w:tcW w:w="975" w:type="dxa"/>
            <w:vAlign w:val="top"/>
          </w:tcPr>
          <w:p w14:paraId="52415BEA">
            <w:pPr>
              <w:rPr>
                <w:rFonts w:hint="eastAsia" w:ascii="宋体" w:hAnsi="宋体" w:eastAsia="宋体" w:cs="宋体"/>
                <w:b/>
                <w:kern w:val="0"/>
                <w:vertAlign w:val="baseline"/>
              </w:rPr>
            </w:pPr>
          </w:p>
        </w:tc>
      </w:tr>
      <w:tr w14:paraId="77302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099D2303">
            <w:pPr>
              <w:rPr>
                <w:rFonts w:hint="eastAsia" w:ascii="宋体" w:hAnsi="宋体" w:eastAsia="宋体" w:cs="宋体"/>
                <w:b/>
                <w:kern w:val="0"/>
                <w:vertAlign w:val="baseline"/>
              </w:rPr>
            </w:pPr>
          </w:p>
        </w:tc>
        <w:tc>
          <w:tcPr>
            <w:tcW w:w="1705" w:type="dxa"/>
            <w:vMerge w:val="continue"/>
            <w:vAlign w:val="top"/>
          </w:tcPr>
          <w:p w14:paraId="3CEEF4AB">
            <w:pPr>
              <w:rPr>
                <w:rFonts w:hint="eastAsia" w:ascii="宋体" w:hAnsi="宋体" w:eastAsia="宋体" w:cs="宋体"/>
                <w:b/>
                <w:kern w:val="0"/>
                <w:vertAlign w:val="baseline"/>
              </w:rPr>
            </w:pPr>
          </w:p>
        </w:tc>
        <w:tc>
          <w:tcPr>
            <w:tcW w:w="5039" w:type="dxa"/>
            <w:vAlign w:val="top"/>
          </w:tcPr>
          <w:p w14:paraId="140EBDE4">
            <w:pPr>
              <w:rPr>
                <w:rFonts w:hint="eastAsia" w:ascii="宋体" w:hAnsi="宋体" w:eastAsia="宋体" w:cs="宋体"/>
                <w:b/>
                <w:kern w:val="0"/>
                <w:vertAlign w:val="baseline"/>
              </w:rPr>
            </w:pPr>
          </w:p>
        </w:tc>
        <w:tc>
          <w:tcPr>
            <w:tcW w:w="1125" w:type="dxa"/>
            <w:vAlign w:val="top"/>
          </w:tcPr>
          <w:p w14:paraId="0CC85075">
            <w:pPr>
              <w:rPr>
                <w:rFonts w:hint="eastAsia" w:ascii="宋体" w:hAnsi="宋体" w:eastAsia="宋体" w:cs="宋体"/>
                <w:b/>
                <w:kern w:val="0"/>
                <w:vertAlign w:val="baseline"/>
              </w:rPr>
            </w:pPr>
          </w:p>
        </w:tc>
        <w:tc>
          <w:tcPr>
            <w:tcW w:w="975" w:type="dxa"/>
            <w:vAlign w:val="top"/>
          </w:tcPr>
          <w:p w14:paraId="5DA93848">
            <w:pPr>
              <w:rPr>
                <w:rFonts w:hint="eastAsia" w:ascii="宋体" w:hAnsi="宋体" w:eastAsia="宋体" w:cs="宋体"/>
                <w:b/>
                <w:kern w:val="0"/>
                <w:vertAlign w:val="baseline"/>
              </w:rPr>
            </w:pPr>
          </w:p>
        </w:tc>
      </w:tr>
      <w:tr w14:paraId="747D7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9" w:type="dxa"/>
            <w:vMerge w:val="continue"/>
            <w:vAlign w:val="top"/>
          </w:tcPr>
          <w:p w14:paraId="37785FB5">
            <w:pPr>
              <w:rPr>
                <w:rFonts w:hint="eastAsia" w:ascii="宋体" w:hAnsi="宋体" w:eastAsia="宋体" w:cs="宋体"/>
                <w:b/>
                <w:kern w:val="0"/>
                <w:vertAlign w:val="baseline"/>
              </w:rPr>
            </w:pPr>
          </w:p>
        </w:tc>
        <w:tc>
          <w:tcPr>
            <w:tcW w:w="1705" w:type="dxa"/>
            <w:vMerge w:val="continue"/>
            <w:vAlign w:val="top"/>
          </w:tcPr>
          <w:p w14:paraId="6C0BD41D">
            <w:pPr>
              <w:rPr>
                <w:rFonts w:hint="eastAsia" w:ascii="宋体" w:hAnsi="宋体" w:eastAsia="宋体" w:cs="宋体"/>
                <w:b/>
                <w:kern w:val="0"/>
                <w:vertAlign w:val="baseline"/>
              </w:rPr>
            </w:pPr>
          </w:p>
        </w:tc>
        <w:tc>
          <w:tcPr>
            <w:tcW w:w="5039" w:type="dxa"/>
            <w:vAlign w:val="top"/>
          </w:tcPr>
          <w:p w14:paraId="11442581">
            <w:pPr>
              <w:rPr>
                <w:rFonts w:hint="eastAsia" w:ascii="宋体" w:hAnsi="宋体" w:eastAsia="宋体" w:cs="宋体"/>
                <w:b/>
                <w:kern w:val="0"/>
                <w:vertAlign w:val="baseline"/>
              </w:rPr>
            </w:pPr>
          </w:p>
        </w:tc>
        <w:tc>
          <w:tcPr>
            <w:tcW w:w="1125" w:type="dxa"/>
            <w:vAlign w:val="top"/>
          </w:tcPr>
          <w:p w14:paraId="3EA4D686">
            <w:pPr>
              <w:rPr>
                <w:rFonts w:hint="eastAsia" w:ascii="宋体" w:hAnsi="宋体" w:eastAsia="宋体" w:cs="宋体"/>
                <w:b/>
                <w:kern w:val="0"/>
                <w:vertAlign w:val="baseline"/>
              </w:rPr>
            </w:pPr>
          </w:p>
        </w:tc>
        <w:tc>
          <w:tcPr>
            <w:tcW w:w="975" w:type="dxa"/>
            <w:vAlign w:val="top"/>
          </w:tcPr>
          <w:p w14:paraId="50D9178C">
            <w:pPr>
              <w:rPr>
                <w:rFonts w:hint="eastAsia" w:ascii="宋体" w:hAnsi="宋体" w:eastAsia="宋体" w:cs="宋体"/>
                <w:b/>
                <w:kern w:val="0"/>
                <w:vertAlign w:val="baseline"/>
              </w:rPr>
            </w:pPr>
          </w:p>
        </w:tc>
      </w:tr>
      <w:tr w14:paraId="3BFD9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9" w:type="dxa"/>
            <w:vMerge w:val="continue"/>
            <w:vAlign w:val="top"/>
          </w:tcPr>
          <w:p w14:paraId="1FAABEAD">
            <w:pPr>
              <w:rPr>
                <w:rFonts w:hint="eastAsia" w:ascii="宋体" w:hAnsi="宋体" w:eastAsia="宋体" w:cs="宋体"/>
                <w:b/>
                <w:kern w:val="0"/>
                <w:vertAlign w:val="baseline"/>
              </w:rPr>
            </w:pPr>
          </w:p>
        </w:tc>
        <w:tc>
          <w:tcPr>
            <w:tcW w:w="1705" w:type="dxa"/>
            <w:vMerge w:val="continue"/>
            <w:vAlign w:val="top"/>
          </w:tcPr>
          <w:p w14:paraId="4AF71835">
            <w:pPr>
              <w:rPr>
                <w:rFonts w:hint="eastAsia" w:ascii="宋体" w:hAnsi="宋体" w:eastAsia="宋体" w:cs="宋体"/>
                <w:b/>
                <w:kern w:val="0"/>
                <w:vertAlign w:val="baseline"/>
              </w:rPr>
            </w:pPr>
          </w:p>
        </w:tc>
        <w:tc>
          <w:tcPr>
            <w:tcW w:w="5039" w:type="dxa"/>
            <w:vAlign w:val="top"/>
          </w:tcPr>
          <w:p w14:paraId="73B66D32">
            <w:pPr>
              <w:rPr>
                <w:rFonts w:hint="eastAsia" w:ascii="宋体" w:hAnsi="宋体" w:eastAsia="宋体" w:cs="宋体"/>
                <w:b/>
                <w:kern w:val="0"/>
                <w:vertAlign w:val="baseline"/>
              </w:rPr>
            </w:pPr>
          </w:p>
        </w:tc>
        <w:tc>
          <w:tcPr>
            <w:tcW w:w="1125" w:type="dxa"/>
            <w:vAlign w:val="top"/>
          </w:tcPr>
          <w:p w14:paraId="4516F18F">
            <w:pPr>
              <w:rPr>
                <w:rFonts w:hint="eastAsia" w:ascii="宋体" w:hAnsi="宋体" w:eastAsia="宋体" w:cs="宋体"/>
                <w:b/>
                <w:kern w:val="0"/>
                <w:vertAlign w:val="baseline"/>
              </w:rPr>
            </w:pPr>
          </w:p>
        </w:tc>
        <w:tc>
          <w:tcPr>
            <w:tcW w:w="975" w:type="dxa"/>
            <w:vAlign w:val="top"/>
          </w:tcPr>
          <w:p w14:paraId="642E95F2">
            <w:pPr>
              <w:rPr>
                <w:rFonts w:hint="eastAsia" w:ascii="宋体" w:hAnsi="宋体" w:eastAsia="宋体" w:cs="宋体"/>
                <w:b/>
                <w:kern w:val="0"/>
                <w:vertAlign w:val="baseline"/>
              </w:rPr>
            </w:pPr>
          </w:p>
        </w:tc>
      </w:tr>
      <w:tr w14:paraId="6996B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89" w:type="dxa"/>
            <w:vMerge w:val="continue"/>
            <w:vAlign w:val="top"/>
          </w:tcPr>
          <w:p w14:paraId="2C834D61">
            <w:pPr>
              <w:rPr>
                <w:rFonts w:hint="eastAsia" w:ascii="宋体" w:hAnsi="宋体" w:eastAsia="宋体" w:cs="宋体"/>
                <w:b/>
                <w:kern w:val="0"/>
                <w:vertAlign w:val="baseline"/>
              </w:rPr>
            </w:pPr>
          </w:p>
        </w:tc>
        <w:tc>
          <w:tcPr>
            <w:tcW w:w="1705" w:type="dxa"/>
            <w:vMerge w:val="continue"/>
            <w:vAlign w:val="top"/>
          </w:tcPr>
          <w:p w14:paraId="29A247C5">
            <w:pPr>
              <w:rPr>
                <w:rFonts w:hint="eastAsia" w:ascii="宋体" w:hAnsi="宋体" w:eastAsia="宋体" w:cs="宋体"/>
                <w:b/>
                <w:kern w:val="0"/>
                <w:vertAlign w:val="baseline"/>
              </w:rPr>
            </w:pPr>
          </w:p>
        </w:tc>
        <w:tc>
          <w:tcPr>
            <w:tcW w:w="5039" w:type="dxa"/>
            <w:vAlign w:val="top"/>
          </w:tcPr>
          <w:p w14:paraId="04C8C8E6">
            <w:pPr>
              <w:rPr>
                <w:rFonts w:hint="eastAsia" w:ascii="宋体" w:hAnsi="宋体" w:eastAsia="宋体" w:cs="宋体"/>
                <w:b/>
                <w:kern w:val="0"/>
                <w:vertAlign w:val="baseline"/>
              </w:rPr>
            </w:pPr>
          </w:p>
        </w:tc>
        <w:tc>
          <w:tcPr>
            <w:tcW w:w="1125" w:type="dxa"/>
            <w:vAlign w:val="top"/>
          </w:tcPr>
          <w:p w14:paraId="2E46AE7F">
            <w:pPr>
              <w:rPr>
                <w:rFonts w:hint="eastAsia" w:ascii="宋体" w:hAnsi="宋体" w:eastAsia="宋体" w:cs="宋体"/>
                <w:b/>
                <w:kern w:val="0"/>
                <w:vertAlign w:val="baseline"/>
              </w:rPr>
            </w:pPr>
          </w:p>
        </w:tc>
        <w:tc>
          <w:tcPr>
            <w:tcW w:w="975" w:type="dxa"/>
            <w:vAlign w:val="top"/>
          </w:tcPr>
          <w:p w14:paraId="69F7C8DE">
            <w:pPr>
              <w:rPr>
                <w:rFonts w:hint="eastAsia" w:ascii="宋体" w:hAnsi="宋体" w:eastAsia="宋体" w:cs="宋体"/>
                <w:b/>
                <w:kern w:val="0"/>
                <w:vertAlign w:val="baseline"/>
              </w:rPr>
            </w:pPr>
          </w:p>
        </w:tc>
      </w:tr>
    </w:tbl>
    <w:p w14:paraId="65B73537">
      <w:pPr>
        <w:ind w:left="0" w:leftChars="0" w:firstLine="0" w:firstLineChars="0"/>
        <w:jc w:val="both"/>
        <w:rPr>
          <w:rFonts w:hint="eastAsia" w:ascii="宋体" w:hAnsi="宋体" w:eastAsia="宋体" w:cs="宋体"/>
          <w:b/>
          <w:kern w:val="0"/>
          <w:sz w:val="10"/>
          <w:szCs w:val="10"/>
        </w:rPr>
      </w:pPr>
    </w:p>
    <w:p w14:paraId="6CD53817">
      <w:pPr>
        <w:ind w:left="0" w:leftChars="0" w:firstLine="0" w:firstLineChars="0"/>
        <w:jc w:val="both"/>
        <w:rPr>
          <w:rFonts w:hint="eastAsia" w:ascii="宋体" w:hAnsi="宋体" w:eastAsia="宋体" w:cs="宋体"/>
          <w:b/>
          <w:spacing w:val="-6"/>
          <w:sz w:val="28"/>
          <w:szCs w:val="28"/>
        </w:rPr>
      </w:pPr>
      <w:r>
        <w:rPr>
          <w:rFonts w:hint="eastAsia" w:ascii="宋体" w:hAnsi="宋体" w:eastAsia="宋体" w:cs="宋体"/>
          <w:b/>
          <w:kern w:val="0"/>
          <w:lang w:eastAsia="zh-CN"/>
        </w:rPr>
        <w:t>投标人</w:t>
      </w:r>
      <w:r>
        <w:rPr>
          <w:rFonts w:hint="eastAsia" w:ascii="宋体" w:hAnsi="宋体" w:eastAsia="宋体" w:cs="宋体"/>
          <w:b/>
          <w:kern w:val="0"/>
        </w:rPr>
        <w:t>根据评分标准自行调整。</w:t>
      </w:r>
    </w:p>
    <w:p w14:paraId="1F521E94">
      <w:pPr>
        <w:pStyle w:val="2"/>
        <w:jc w:val="both"/>
        <w:rPr>
          <w:rFonts w:hint="eastAsia"/>
        </w:rPr>
      </w:pPr>
    </w:p>
    <w:p w14:paraId="2A9C5813">
      <w:pPr>
        <w:ind w:firstLine="456"/>
        <w:rPr>
          <w:rFonts w:hint="eastAsia" w:ascii="宋体" w:hAnsi="宋体" w:eastAsia="宋体" w:cs="宋体"/>
          <w:bCs/>
          <w:spacing w:val="-6"/>
        </w:rPr>
      </w:pPr>
    </w:p>
    <w:p w14:paraId="29D92429">
      <w:pPr>
        <w:ind w:firstLine="456"/>
        <w:rPr>
          <w:rFonts w:hint="eastAsia" w:ascii="宋体" w:hAnsi="宋体" w:eastAsia="宋体" w:cs="宋体"/>
          <w:bCs/>
          <w:spacing w:val="-6"/>
        </w:rPr>
      </w:pPr>
    </w:p>
    <w:p w14:paraId="48B2FD72">
      <w:pPr>
        <w:ind w:right="456" w:firstLine="458"/>
        <w:rPr>
          <w:rFonts w:hint="eastAsia" w:ascii="宋体" w:hAnsi="宋体" w:eastAsia="宋体" w:cs="宋体"/>
          <w:b/>
          <w:bCs/>
          <w:spacing w:val="-6"/>
        </w:rPr>
      </w:pPr>
    </w:p>
    <w:p w14:paraId="739D58FA">
      <w:pPr>
        <w:ind w:right="456" w:firstLine="458"/>
        <w:rPr>
          <w:rFonts w:hint="eastAsia" w:ascii="宋体" w:hAnsi="宋体" w:eastAsia="宋体" w:cs="宋体"/>
          <w:b/>
          <w:bCs/>
          <w:spacing w:val="-6"/>
        </w:rPr>
      </w:pPr>
    </w:p>
    <w:p w14:paraId="085F04E9">
      <w:pPr>
        <w:ind w:right="456" w:firstLine="458"/>
        <w:rPr>
          <w:rFonts w:hint="eastAsia" w:ascii="宋体" w:hAnsi="宋体" w:eastAsia="宋体" w:cs="宋体"/>
          <w:b/>
          <w:bCs/>
          <w:spacing w:val="-6"/>
        </w:rPr>
      </w:pPr>
    </w:p>
    <w:p w14:paraId="371D4F33">
      <w:pPr>
        <w:pStyle w:val="79"/>
        <w:rPr>
          <w:rFonts w:hint="eastAsia" w:ascii="宋体" w:hAnsi="宋体" w:eastAsia="宋体" w:cs="宋体"/>
          <w:color w:val="auto"/>
        </w:rPr>
      </w:pPr>
    </w:p>
    <w:p w14:paraId="0B7107FE">
      <w:pPr>
        <w:pStyle w:val="79"/>
        <w:rPr>
          <w:rFonts w:hint="eastAsia" w:ascii="宋体" w:hAnsi="宋体" w:eastAsia="宋体" w:cs="宋体"/>
          <w:color w:val="auto"/>
        </w:rPr>
      </w:pPr>
      <w:r>
        <w:rPr>
          <w:rFonts w:hint="eastAsia" w:ascii="宋体" w:hAnsi="宋体" w:eastAsia="宋体" w:cs="宋体"/>
          <w:color w:val="auto"/>
        </w:rPr>
        <w:br w:type="page"/>
      </w:r>
    </w:p>
    <w:p w14:paraId="75F422EA">
      <w:pPr>
        <w:ind w:firstLine="228" w:firstLineChars="95"/>
        <w:jc w:val="left"/>
        <w:rPr>
          <w:rFonts w:hint="eastAsia" w:ascii="宋体" w:hAnsi="宋体" w:eastAsia="宋体" w:cs="宋体"/>
        </w:rPr>
        <w:sectPr>
          <w:pgSz w:w="11907" w:h="16840"/>
          <w:pgMar w:top="1247" w:right="1304" w:bottom="1021" w:left="1304" w:header="720" w:footer="720" w:gutter="0"/>
          <w:pgNumType w:fmt="decimal"/>
          <w:cols w:space="720" w:num="1"/>
          <w:docGrid w:linePitch="286" w:charSpace="0"/>
        </w:sectPr>
      </w:pPr>
    </w:p>
    <w:p w14:paraId="7ACC0A52">
      <w:pPr>
        <w:pStyle w:val="4"/>
        <w:rPr>
          <w:rFonts w:hint="eastAsia" w:ascii="宋体" w:hAnsi="宋体" w:eastAsia="宋体" w:cs="宋体"/>
          <w:szCs w:val="24"/>
        </w:rPr>
      </w:pPr>
      <w:r>
        <w:rPr>
          <w:rFonts w:hint="eastAsia" w:ascii="宋体" w:hAnsi="宋体" w:eastAsia="宋体" w:cs="宋体"/>
          <w:szCs w:val="24"/>
        </w:rPr>
        <w:t>附件</w:t>
      </w:r>
      <w:r>
        <w:rPr>
          <w:rFonts w:hint="eastAsia" w:cs="宋体"/>
          <w:szCs w:val="24"/>
          <w:lang w:eastAsia="zh-CN"/>
        </w:rPr>
        <w:t>八</w:t>
      </w:r>
      <w:r>
        <w:rPr>
          <w:rFonts w:hint="eastAsia" w:ascii="宋体" w:hAnsi="宋体" w:eastAsia="宋体" w:cs="宋体"/>
          <w:szCs w:val="24"/>
        </w:rPr>
        <w:t xml:space="preserve"> </w:t>
      </w:r>
    </w:p>
    <w:p w14:paraId="6CE10DFC">
      <w:pPr>
        <w:snapToGrid w:val="0"/>
        <w:spacing w:before="50" w:after="120" w:afterLines="50" w:line="360" w:lineRule="auto"/>
        <w:ind w:left="0" w:leftChars="0" w:firstLine="0" w:firstLineChars="0"/>
        <w:jc w:val="center"/>
        <w:rPr>
          <w:rFonts w:hint="eastAsia" w:ascii="宋体" w:hAnsi="宋体" w:eastAsia="宋体" w:cs="宋体"/>
          <w:b/>
          <w:sz w:val="24"/>
          <w:szCs w:val="24"/>
          <w:highlight w:val="none"/>
        </w:rPr>
      </w:pPr>
      <w:r>
        <w:rPr>
          <w:rFonts w:hint="eastAsia" w:ascii="宋体" w:hAnsi="宋体" w:eastAsia="宋体" w:cs="宋体"/>
          <w:b/>
          <w:sz w:val="28"/>
          <w:szCs w:val="28"/>
          <w:highlight w:val="none"/>
        </w:rPr>
        <w:t>产品配置清单（不含报价信息）</w:t>
      </w:r>
    </w:p>
    <w:p w14:paraId="71DC1065">
      <w:pPr>
        <w:snapToGrid w:val="0"/>
        <w:spacing w:before="50" w:after="120" w:afterLines="50" w:line="240" w:lineRule="auto"/>
        <w:ind w:firstLine="240" w:firstLineChars="100"/>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项目名称：                             </w:t>
      </w:r>
    </w:p>
    <w:p w14:paraId="1BA7A946">
      <w:pPr>
        <w:snapToGrid w:val="0"/>
        <w:spacing w:before="50" w:after="120" w:afterLines="50" w:line="240" w:lineRule="auto"/>
        <w:ind w:firstLine="240" w:firstLineChars="100"/>
        <w:jc w:val="left"/>
        <w:rPr>
          <w:rFonts w:hint="eastAsia" w:ascii="宋体" w:hAnsi="宋体" w:eastAsia="宋体" w:cs="宋体"/>
          <w:b/>
          <w:sz w:val="24"/>
          <w:szCs w:val="24"/>
          <w:highlight w:val="none"/>
        </w:rPr>
      </w:pPr>
      <w:r>
        <w:rPr>
          <w:rFonts w:hint="eastAsia" w:ascii="宋体" w:hAnsi="宋体" w:eastAsia="宋体" w:cs="宋体"/>
          <w:sz w:val="24"/>
          <w:szCs w:val="24"/>
          <w:highlight w:val="none"/>
        </w:rPr>
        <w:t>项目编号：</w:t>
      </w:r>
    </w:p>
    <w:tbl>
      <w:tblPr>
        <w:tblStyle w:val="44"/>
        <w:tblW w:w="93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1282"/>
        <w:gridCol w:w="1282"/>
        <w:gridCol w:w="1431"/>
        <w:gridCol w:w="1427"/>
        <w:gridCol w:w="1777"/>
        <w:gridCol w:w="1226"/>
      </w:tblGrid>
      <w:tr w14:paraId="458C1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887" w:type="dxa"/>
            <w:noWrap w:val="0"/>
            <w:vAlign w:val="top"/>
          </w:tcPr>
          <w:p w14:paraId="3632DB09">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1282" w:type="dxa"/>
            <w:noWrap w:val="0"/>
            <w:vAlign w:val="top"/>
          </w:tcPr>
          <w:p w14:paraId="5011E537">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产品名称</w:t>
            </w:r>
          </w:p>
        </w:tc>
        <w:tc>
          <w:tcPr>
            <w:tcW w:w="1282" w:type="dxa"/>
            <w:noWrap w:val="0"/>
            <w:vAlign w:val="top"/>
          </w:tcPr>
          <w:p w14:paraId="01C1295D">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品牌</w:t>
            </w:r>
          </w:p>
        </w:tc>
        <w:tc>
          <w:tcPr>
            <w:tcW w:w="1431" w:type="dxa"/>
            <w:noWrap w:val="0"/>
            <w:vAlign w:val="top"/>
          </w:tcPr>
          <w:p w14:paraId="3362E034">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规格型号</w:t>
            </w:r>
          </w:p>
        </w:tc>
        <w:tc>
          <w:tcPr>
            <w:tcW w:w="1427" w:type="dxa"/>
            <w:noWrap w:val="0"/>
            <w:vAlign w:val="top"/>
          </w:tcPr>
          <w:p w14:paraId="6AA827AB">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单位及数量</w:t>
            </w:r>
          </w:p>
        </w:tc>
        <w:tc>
          <w:tcPr>
            <w:tcW w:w="1777" w:type="dxa"/>
            <w:noWrap w:val="0"/>
            <w:vAlign w:val="top"/>
          </w:tcPr>
          <w:p w14:paraId="4848C142">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性能及指标</w:t>
            </w:r>
          </w:p>
        </w:tc>
        <w:tc>
          <w:tcPr>
            <w:tcW w:w="1226" w:type="dxa"/>
            <w:noWrap w:val="0"/>
            <w:vAlign w:val="top"/>
          </w:tcPr>
          <w:p w14:paraId="2E3DB5FA">
            <w:pPr>
              <w:snapToGrid w:val="0"/>
              <w:spacing w:before="120" w:beforeLines="50" w:line="36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产地</w:t>
            </w:r>
          </w:p>
        </w:tc>
      </w:tr>
      <w:tr w14:paraId="132ED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7F8E168C">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61098E04">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8DE81FC">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53E6ACBC">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5EEE285E">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39557D84">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4CCD883">
            <w:pPr>
              <w:snapToGrid w:val="0"/>
              <w:spacing w:before="120" w:beforeLines="50" w:line="360" w:lineRule="auto"/>
              <w:rPr>
                <w:rFonts w:hint="eastAsia" w:ascii="宋体" w:hAnsi="宋体" w:eastAsia="宋体" w:cs="宋体"/>
                <w:sz w:val="24"/>
                <w:szCs w:val="24"/>
                <w:highlight w:val="none"/>
              </w:rPr>
            </w:pPr>
          </w:p>
        </w:tc>
      </w:tr>
      <w:tr w14:paraId="79C62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1574B5FE">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79AD48F7">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5C9B65D2">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3930B40">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54C368E8">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44F48C8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708BB15">
            <w:pPr>
              <w:snapToGrid w:val="0"/>
              <w:spacing w:before="120" w:beforeLines="50" w:line="360" w:lineRule="auto"/>
              <w:rPr>
                <w:rFonts w:hint="eastAsia" w:ascii="宋体" w:hAnsi="宋体" w:eastAsia="宋体" w:cs="宋体"/>
                <w:sz w:val="24"/>
                <w:szCs w:val="24"/>
                <w:highlight w:val="none"/>
              </w:rPr>
            </w:pPr>
          </w:p>
        </w:tc>
      </w:tr>
      <w:tr w14:paraId="2D20E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3545CBF5">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68D67FB1">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7D26419B">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73872208">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0DD8270B">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78A9EB9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592FCF7C">
            <w:pPr>
              <w:snapToGrid w:val="0"/>
              <w:spacing w:before="120" w:beforeLines="50" w:line="360" w:lineRule="auto"/>
              <w:rPr>
                <w:rFonts w:hint="eastAsia" w:ascii="宋体" w:hAnsi="宋体" w:eastAsia="宋体" w:cs="宋体"/>
                <w:sz w:val="24"/>
                <w:szCs w:val="24"/>
                <w:highlight w:val="none"/>
              </w:rPr>
            </w:pPr>
          </w:p>
        </w:tc>
      </w:tr>
      <w:tr w14:paraId="53D25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446F5482">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DBCDC08">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35688BF8">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E0CC719">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3B338E0A">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2E23F3B8">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C7BF18E">
            <w:pPr>
              <w:snapToGrid w:val="0"/>
              <w:spacing w:before="120" w:beforeLines="50" w:line="360" w:lineRule="auto"/>
              <w:rPr>
                <w:rFonts w:hint="eastAsia" w:ascii="宋体" w:hAnsi="宋体" w:eastAsia="宋体" w:cs="宋体"/>
                <w:sz w:val="24"/>
                <w:szCs w:val="24"/>
                <w:highlight w:val="none"/>
              </w:rPr>
            </w:pPr>
          </w:p>
        </w:tc>
      </w:tr>
      <w:tr w14:paraId="29F54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4D325DBD">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3DEAE325">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D4DA9D0">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6AA8EBDD">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0DF11ECC">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67347D79">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2764AA87">
            <w:pPr>
              <w:snapToGrid w:val="0"/>
              <w:spacing w:before="120" w:beforeLines="50" w:line="360" w:lineRule="auto"/>
              <w:rPr>
                <w:rFonts w:hint="eastAsia" w:ascii="宋体" w:hAnsi="宋体" w:eastAsia="宋体" w:cs="宋体"/>
                <w:sz w:val="24"/>
                <w:szCs w:val="24"/>
                <w:highlight w:val="none"/>
              </w:rPr>
            </w:pPr>
          </w:p>
        </w:tc>
      </w:tr>
      <w:tr w14:paraId="4C853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0958AD84">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698FA9A">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AFEAF57">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04C7C981">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69C4215A">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3BDB96AC">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18643EC0">
            <w:pPr>
              <w:snapToGrid w:val="0"/>
              <w:spacing w:before="120" w:beforeLines="50" w:line="360" w:lineRule="auto"/>
              <w:rPr>
                <w:rFonts w:hint="eastAsia" w:ascii="宋体" w:hAnsi="宋体" w:eastAsia="宋体" w:cs="宋体"/>
                <w:sz w:val="24"/>
                <w:szCs w:val="24"/>
                <w:highlight w:val="none"/>
              </w:rPr>
            </w:pPr>
          </w:p>
        </w:tc>
      </w:tr>
      <w:tr w14:paraId="6D94C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3A50AB8A">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4503777F">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19D77F6C">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71CA9B73">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3BE24EF4">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0636FEEA">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46C246ED">
            <w:pPr>
              <w:snapToGrid w:val="0"/>
              <w:spacing w:before="120" w:beforeLines="50" w:line="360" w:lineRule="auto"/>
              <w:rPr>
                <w:rFonts w:hint="eastAsia" w:ascii="宋体" w:hAnsi="宋体" w:eastAsia="宋体" w:cs="宋体"/>
                <w:sz w:val="24"/>
                <w:szCs w:val="24"/>
                <w:highlight w:val="none"/>
              </w:rPr>
            </w:pPr>
          </w:p>
        </w:tc>
      </w:tr>
      <w:tr w14:paraId="1FE89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887" w:type="dxa"/>
            <w:noWrap w:val="0"/>
            <w:vAlign w:val="top"/>
          </w:tcPr>
          <w:p w14:paraId="7456EFC1">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D6831C0">
            <w:pPr>
              <w:snapToGrid w:val="0"/>
              <w:spacing w:before="120" w:beforeLines="50" w:line="360" w:lineRule="auto"/>
              <w:rPr>
                <w:rFonts w:hint="eastAsia" w:ascii="宋体" w:hAnsi="宋体" w:eastAsia="宋体" w:cs="宋体"/>
                <w:sz w:val="24"/>
                <w:szCs w:val="24"/>
                <w:highlight w:val="none"/>
              </w:rPr>
            </w:pPr>
          </w:p>
        </w:tc>
        <w:tc>
          <w:tcPr>
            <w:tcW w:w="1282" w:type="dxa"/>
            <w:noWrap w:val="0"/>
            <w:vAlign w:val="top"/>
          </w:tcPr>
          <w:p w14:paraId="00016631">
            <w:pPr>
              <w:snapToGrid w:val="0"/>
              <w:spacing w:before="120" w:beforeLines="50" w:line="360" w:lineRule="auto"/>
              <w:rPr>
                <w:rFonts w:hint="eastAsia" w:ascii="宋体" w:hAnsi="宋体" w:eastAsia="宋体" w:cs="宋体"/>
                <w:sz w:val="24"/>
                <w:szCs w:val="24"/>
                <w:highlight w:val="none"/>
              </w:rPr>
            </w:pPr>
          </w:p>
        </w:tc>
        <w:tc>
          <w:tcPr>
            <w:tcW w:w="1431" w:type="dxa"/>
            <w:noWrap w:val="0"/>
            <w:vAlign w:val="top"/>
          </w:tcPr>
          <w:p w14:paraId="1C90EDA5">
            <w:pPr>
              <w:snapToGrid w:val="0"/>
              <w:spacing w:before="120" w:beforeLines="50" w:line="360" w:lineRule="auto"/>
              <w:rPr>
                <w:rFonts w:hint="eastAsia" w:ascii="宋体" w:hAnsi="宋体" w:eastAsia="宋体" w:cs="宋体"/>
                <w:sz w:val="24"/>
                <w:szCs w:val="24"/>
                <w:highlight w:val="none"/>
              </w:rPr>
            </w:pPr>
          </w:p>
        </w:tc>
        <w:tc>
          <w:tcPr>
            <w:tcW w:w="1427" w:type="dxa"/>
            <w:noWrap w:val="0"/>
            <w:vAlign w:val="top"/>
          </w:tcPr>
          <w:p w14:paraId="1128129D">
            <w:pPr>
              <w:snapToGrid w:val="0"/>
              <w:spacing w:before="120" w:beforeLines="50" w:line="360" w:lineRule="auto"/>
              <w:rPr>
                <w:rFonts w:hint="eastAsia" w:ascii="宋体" w:hAnsi="宋体" w:eastAsia="宋体" w:cs="宋体"/>
                <w:sz w:val="24"/>
                <w:szCs w:val="24"/>
                <w:highlight w:val="none"/>
              </w:rPr>
            </w:pPr>
          </w:p>
        </w:tc>
        <w:tc>
          <w:tcPr>
            <w:tcW w:w="1777" w:type="dxa"/>
            <w:noWrap w:val="0"/>
            <w:vAlign w:val="top"/>
          </w:tcPr>
          <w:p w14:paraId="4C10CD2B">
            <w:pPr>
              <w:snapToGrid w:val="0"/>
              <w:spacing w:before="120" w:beforeLines="50" w:line="360" w:lineRule="auto"/>
              <w:rPr>
                <w:rFonts w:hint="eastAsia" w:ascii="宋体" w:hAnsi="宋体" w:eastAsia="宋体" w:cs="宋体"/>
                <w:sz w:val="24"/>
                <w:szCs w:val="24"/>
                <w:highlight w:val="none"/>
              </w:rPr>
            </w:pPr>
          </w:p>
        </w:tc>
        <w:tc>
          <w:tcPr>
            <w:tcW w:w="1226" w:type="dxa"/>
            <w:noWrap w:val="0"/>
            <w:vAlign w:val="top"/>
          </w:tcPr>
          <w:p w14:paraId="0B40CB9B">
            <w:pPr>
              <w:snapToGrid w:val="0"/>
              <w:spacing w:before="120" w:beforeLines="50" w:line="360" w:lineRule="auto"/>
              <w:rPr>
                <w:rFonts w:hint="eastAsia" w:ascii="宋体" w:hAnsi="宋体" w:eastAsia="宋体" w:cs="宋体"/>
                <w:sz w:val="24"/>
                <w:szCs w:val="24"/>
                <w:highlight w:val="none"/>
              </w:rPr>
            </w:pPr>
          </w:p>
        </w:tc>
      </w:tr>
    </w:tbl>
    <w:p w14:paraId="6CB88BAD">
      <w:pPr>
        <w:snapToGrid w:val="0"/>
        <w:spacing w:before="50" w:after="50" w:line="360" w:lineRule="auto"/>
        <w:ind w:left="0" w:leftChars="0" w:firstLine="0" w:firstLineChars="0"/>
        <w:rPr>
          <w:rFonts w:hint="eastAsia" w:ascii="宋体" w:hAnsi="宋体" w:eastAsia="宋体" w:cs="宋体"/>
          <w:sz w:val="10"/>
          <w:szCs w:val="10"/>
          <w:highlight w:val="none"/>
        </w:rPr>
      </w:pPr>
    </w:p>
    <w:p w14:paraId="70D1AAC2">
      <w:pPr>
        <w:snapToGrid w:val="0"/>
        <w:spacing w:before="50" w:after="50" w:line="360" w:lineRule="auto"/>
        <w:ind w:left="0" w:leftChars="0" w:firstLine="0" w:firstLineChars="0"/>
        <w:rPr>
          <w:rFonts w:hint="eastAsia" w:ascii="宋体" w:hAnsi="宋体" w:eastAsia="宋体" w:cs="宋体"/>
          <w:spacing w:val="20"/>
          <w:sz w:val="24"/>
          <w:szCs w:val="24"/>
          <w:highlight w:val="none"/>
        </w:rPr>
      </w:pPr>
      <w:r>
        <w:rPr>
          <w:rFonts w:hint="eastAsia" w:ascii="宋体" w:hAnsi="宋体" w:eastAsia="宋体" w:cs="宋体"/>
          <w:sz w:val="24"/>
          <w:szCs w:val="24"/>
          <w:highlight w:val="none"/>
        </w:rPr>
        <w:t>注：</w:t>
      </w:r>
      <w:r>
        <w:rPr>
          <w:rFonts w:hint="eastAsia" w:ascii="宋体" w:hAnsi="宋体" w:eastAsia="宋体" w:cs="宋体"/>
          <w:spacing w:val="20"/>
          <w:sz w:val="24"/>
          <w:szCs w:val="24"/>
          <w:highlight w:val="none"/>
        </w:rPr>
        <w:t>1</w:t>
      </w:r>
      <w:r>
        <w:rPr>
          <w:rFonts w:hint="eastAsia" w:ascii="宋体" w:hAnsi="宋体" w:eastAsia="宋体" w:cs="宋体"/>
          <w:spacing w:val="20"/>
          <w:sz w:val="24"/>
          <w:szCs w:val="24"/>
          <w:highlight w:val="none"/>
          <w:lang w:val="en-US" w:eastAsia="zh-CN"/>
        </w:rPr>
        <w:t>.</w:t>
      </w:r>
      <w:r>
        <w:rPr>
          <w:rFonts w:hint="eastAsia" w:ascii="宋体" w:hAnsi="宋体" w:eastAsia="宋体" w:cs="宋体"/>
          <w:spacing w:val="20"/>
          <w:sz w:val="24"/>
          <w:szCs w:val="24"/>
          <w:highlight w:val="none"/>
        </w:rPr>
        <w:t>本表所列项目应根据实际情况填写；</w:t>
      </w:r>
    </w:p>
    <w:p w14:paraId="02D0A92E">
      <w:pPr>
        <w:ind w:firstLine="480" w:firstLineChars="200"/>
        <w:rPr>
          <w:rFonts w:hint="eastAsia" w:ascii="宋体" w:hAnsi="宋体" w:eastAsia="宋体" w:cs="宋体"/>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此表仅提供了表格形式，投标人应根据需要准备足够数量的表格来填写。</w:t>
      </w:r>
    </w:p>
    <w:p w14:paraId="746F7494">
      <w:pPr>
        <w:pStyle w:val="79"/>
        <w:rPr>
          <w:rFonts w:hint="eastAsia" w:ascii="宋体" w:hAnsi="宋体" w:eastAsia="宋体" w:cs="宋体"/>
          <w:color w:val="auto"/>
        </w:rPr>
      </w:pPr>
    </w:p>
    <w:p w14:paraId="2CBC67A6">
      <w:pPr>
        <w:pStyle w:val="80"/>
        <w:rPr>
          <w:rFonts w:hint="eastAsia" w:ascii="宋体" w:hAnsi="宋体" w:eastAsia="宋体" w:cs="宋体"/>
          <w:color w:val="auto"/>
        </w:rPr>
      </w:pPr>
    </w:p>
    <w:p w14:paraId="7C4EE781">
      <w:pPr>
        <w:rPr>
          <w:rFonts w:hint="eastAsia"/>
        </w:rPr>
      </w:pPr>
    </w:p>
    <w:p w14:paraId="6338E917">
      <w:pPr>
        <w:pStyle w:val="79"/>
        <w:rPr>
          <w:rFonts w:hint="eastAsia" w:ascii="宋体" w:hAnsi="宋体" w:eastAsia="宋体" w:cs="宋体"/>
          <w:color w:val="auto"/>
        </w:rPr>
      </w:pPr>
    </w:p>
    <w:p w14:paraId="4C919F90">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7FC81D2C">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16CB248F">
      <w:pPr>
        <w:spacing w:line="480" w:lineRule="auto"/>
        <w:ind w:left="0" w:leftChars="0" w:firstLine="0" w:firstLineChars="0"/>
        <w:rPr>
          <w:rFonts w:hint="eastAsia" w:ascii="宋体" w:hAnsi="宋体" w:eastAsia="宋体" w:cs="宋体"/>
        </w:rPr>
      </w:pPr>
      <w:r>
        <w:rPr>
          <w:rFonts w:hint="eastAsia" w:ascii="宋体" w:hAnsi="宋体" w:eastAsia="宋体" w:cs="宋体"/>
        </w:rPr>
        <w:t>日期：  年   月   日</w:t>
      </w:r>
    </w:p>
    <w:p w14:paraId="2D433B90">
      <w:pPr>
        <w:spacing w:line="500" w:lineRule="exact"/>
        <w:ind w:firstLine="480"/>
        <w:rPr>
          <w:rFonts w:hint="eastAsia" w:ascii="宋体" w:hAnsi="宋体" w:eastAsia="宋体" w:cs="宋体"/>
        </w:rPr>
      </w:pPr>
    </w:p>
    <w:p w14:paraId="48CA85E9">
      <w:pPr>
        <w:ind w:firstLine="480"/>
        <w:rPr>
          <w:rFonts w:hint="eastAsia" w:ascii="宋体" w:hAnsi="宋体" w:eastAsia="宋体" w:cs="宋体"/>
        </w:rPr>
      </w:pPr>
    </w:p>
    <w:p w14:paraId="5DF5BB3D">
      <w:pPr>
        <w:ind w:firstLine="0" w:firstLineChars="0"/>
        <w:rPr>
          <w:rFonts w:hint="eastAsia" w:ascii="宋体" w:hAnsi="宋体" w:eastAsia="宋体" w:cs="宋体"/>
        </w:rPr>
        <w:sectPr>
          <w:pgSz w:w="11907" w:h="16840"/>
          <w:pgMar w:top="1247" w:right="1304" w:bottom="1021" w:left="1304" w:header="720" w:footer="720" w:gutter="0"/>
          <w:pgNumType w:fmt="decimal"/>
          <w:cols w:space="720" w:num="1"/>
          <w:docGrid w:linePitch="286" w:charSpace="0"/>
        </w:sectPr>
      </w:pPr>
    </w:p>
    <w:p w14:paraId="153E0C07">
      <w:pPr>
        <w:numPr>
          <w:ilvl w:val="0"/>
          <w:numId w:val="0"/>
        </w:numPr>
        <w:spacing w:line="360" w:lineRule="auto"/>
        <w:jc w:val="both"/>
        <w:rPr>
          <w:rFonts w:hint="eastAsia" w:cs="宋体"/>
          <w:b/>
          <w:bCs/>
          <w:highlight w:val="none"/>
          <w:lang w:val="en-US" w:eastAsia="zh-CN"/>
        </w:rPr>
      </w:pPr>
      <w:r>
        <w:rPr>
          <w:rFonts w:hint="eastAsia" w:cs="宋体"/>
          <w:b/>
          <w:bCs/>
          <w:highlight w:val="none"/>
          <w:lang w:val="en-US" w:eastAsia="zh-CN"/>
        </w:rPr>
        <w:t>附件九</w:t>
      </w:r>
    </w:p>
    <w:p w14:paraId="67FE5A51">
      <w:pPr>
        <w:bidi w:val="0"/>
        <w:ind w:left="0" w:leftChars="0" w:firstLine="0" w:firstLineChars="0"/>
        <w:jc w:val="center"/>
        <w:rPr>
          <w:rFonts w:hint="eastAsia" w:cs="Times New Roman"/>
          <w:b/>
          <w:bCs/>
          <w:kern w:val="2"/>
          <w:sz w:val="28"/>
          <w:szCs w:val="28"/>
          <w:lang w:val="en-US" w:eastAsia="zh-CN" w:bidi="ar-SA"/>
        </w:rPr>
      </w:pPr>
      <w:r>
        <w:rPr>
          <w:rFonts w:hint="eastAsia" w:cs="Times New Roman"/>
          <w:b/>
          <w:bCs/>
          <w:kern w:val="2"/>
          <w:sz w:val="28"/>
          <w:szCs w:val="28"/>
          <w:lang w:val="en-US" w:eastAsia="zh-CN" w:bidi="ar-SA"/>
        </w:rPr>
        <w:t>技术规范偏离表</w:t>
      </w:r>
    </w:p>
    <w:p w14:paraId="018E5C0B">
      <w:pPr>
        <w:bidi w:val="0"/>
        <w:ind w:left="0" w:leftChars="0" w:firstLine="0" w:firstLineChars="0"/>
        <w:rPr>
          <w:rFonts w:hint="eastAsia" w:cs="Times New Roman"/>
          <w:kern w:val="2"/>
          <w:sz w:val="24"/>
          <w:szCs w:val="24"/>
          <w:lang w:val="en-US" w:eastAsia="zh-CN" w:bidi="ar-SA"/>
        </w:rPr>
      </w:pPr>
      <w:r>
        <w:rPr>
          <w:rFonts w:hint="eastAsia" w:cs="Times New Roman"/>
          <w:kern w:val="2"/>
          <w:sz w:val="24"/>
          <w:szCs w:val="24"/>
          <w:lang w:val="en-US" w:eastAsia="zh-CN" w:bidi="ar-SA"/>
        </w:rPr>
        <w:t>项目名称：</w:t>
      </w:r>
    </w:p>
    <w:p w14:paraId="58DB886C">
      <w:pPr>
        <w:bidi w:val="0"/>
        <w:ind w:left="0" w:leftChars="0" w:firstLine="0" w:firstLineChars="0"/>
        <w:rPr>
          <w:rFonts w:hint="eastAsia"/>
          <w:lang w:val="en-US" w:eastAsia="zh-CN"/>
        </w:rPr>
      </w:pPr>
      <w:r>
        <w:rPr>
          <w:rFonts w:hint="eastAsia"/>
          <w:lang w:val="en-US" w:eastAsia="zh-CN"/>
        </w:rPr>
        <w:t>项目编号：</w:t>
      </w:r>
    </w:p>
    <w:tbl>
      <w:tblPr>
        <w:tblStyle w:val="44"/>
        <w:tblW w:w="94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1308"/>
        <w:gridCol w:w="1980"/>
        <w:gridCol w:w="1957"/>
        <w:gridCol w:w="1680"/>
        <w:gridCol w:w="1797"/>
      </w:tblGrid>
      <w:tr w14:paraId="51998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60" w:type="dxa"/>
            <w:vAlign w:val="center"/>
          </w:tcPr>
          <w:p w14:paraId="69C4E496">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序号</w:t>
            </w:r>
          </w:p>
        </w:tc>
        <w:tc>
          <w:tcPr>
            <w:tcW w:w="1308" w:type="dxa"/>
            <w:vAlign w:val="center"/>
          </w:tcPr>
          <w:p w14:paraId="4E686477">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产品名称</w:t>
            </w:r>
          </w:p>
        </w:tc>
        <w:tc>
          <w:tcPr>
            <w:tcW w:w="1980" w:type="dxa"/>
            <w:vAlign w:val="center"/>
          </w:tcPr>
          <w:p w14:paraId="2A7B51DA">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lang w:eastAsia="zh-CN"/>
              </w:rPr>
              <w:t>技术参数</w:t>
            </w:r>
            <w:r>
              <w:rPr>
                <w:rFonts w:hint="eastAsia" w:ascii="宋体" w:hAnsi="宋体" w:eastAsia="宋体" w:cs="宋体"/>
                <w:b/>
                <w:bCs/>
              </w:rPr>
              <w:t>要求</w:t>
            </w:r>
          </w:p>
        </w:tc>
        <w:tc>
          <w:tcPr>
            <w:tcW w:w="1957" w:type="dxa"/>
            <w:vAlign w:val="center"/>
          </w:tcPr>
          <w:p w14:paraId="14BE4CB8">
            <w:pPr>
              <w:keepNext w:val="0"/>
              <w:keepLines w:val="0"/>
              <w:pageBreakBefore w:val="0"/>
              <w:widowControl w:val="0"/>
              <w:kinsoku/>
              <w:wordWrap/>
              <w:overflowPunct/>
              <w:topLinePunct w:val="0"/>
              <w:autoSpaceDE/>
              <w:autoSpaceDN/>
              <w:bidi w:val="0"/>
              <w:adjustRightInd/>
              <w:snapToGrid/>
              <w:spacing w:line="320" w:lineRule="exact"/>
              <w:ind w:left="102" w:firstLine="0" w:firstLineChars="0"/>
              <w:jc w:val="center"/>
              <w:textAlignment w:val="auto"/>
              <w:rPr>
                <w:rFonts w:hint="eastAsia" w:ascii="宋体" w:hAnsi="宋体" w:eastAsia="宋体" w:cs="宋体"/>
                <w:b/>
                <w:bCs/>
                <w:lang w:eastAsia="zh-CN"/>
              </w:rPr>
            </w:pPr>
            <w:r>
              <w:rPr>
                <w:rFonts w:hint="eastAsia" w:ascii="宋体" w:hAnsi="宋体" w:eastAsia="宋体" w:cs="宋体"/>
                <w:b/>
                <w:bCs/>
              </w:rPr>
              <w:t>投标响应</w:t>
            </w:r>
            <w:r>
              <w:rPr>
                <w:rFonts w:hint="eastAsia" w:cs="宋体"/>
                <w:b/>
                <w:bCs/>
                <w:lang w:eastAsia="zh-CN"/>
              </w:rPr>
              <w:t>情况</w:t>
            </w:r>
          </w:p>
        </w:tc>
        <w:tc>
          <w:tcPr>
            <w:tcW w:w="1680" w:type="dxa"/>
            <w:vAlign w:val="center"/>
          </w:tcPr>
          <w:p w14:paraId="1B74826E">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偏离情况</w:t>
            </w:r>
          </w:p>
        </w:tc>
        <w:tc>
          <w:tcPr>
            <w:tcW w:w="1797" w:type="dxa"/>
            <w:vAlign w:val="center"/>
          </w:tcPr>
          <w:p w14:paraId="26D7F7AD">
            <w:pPr>
              <w:keepNext w:val="0"/>
              <w:keepLines w:val="0"/>
              <w:pageBreakBefore w:val="0"/>
              <w:widowControl w:val="0"/>
              <w:kinsoku/>
              <w:wordWrap/>
              <w:overflowPunct/>
              <w:topLinePunct w:val="0"/>
              <w:autoSpaceDE/>
              <w:autoSpaceDN/>
              <w:bidi w:val="0"/>
              <w:adjustRightInd/>
              <w:snapToGrid/>
              <w:spacing w:line="320" w:lineRule="exact"/>
              <w:ind w:firstLine="0" w:firstLineChars="0"/>
              <w:jc w:val="center"/>
              <w:textAlignment w:val="auto"/>
              <w:rPr>
                <w:rFonts w:hint="eastAsia" w:ascii="宋体" w:hAnsi="宋体" w:eastAsia="宋体" w:cs="宋体"/>
                <w:b/>
                <w:bCs/>
              </w:rPr>
            </w:pPr>
            <w:r>
              <w:rPr>
                <w:rFonts w:hint="eastAsia" w:ascii="宋体" w:hAnsi="宋体" w:eastAsia="宋体" w:cs="宋体"/>
                <w:b/>
                <w:bCs/>
              </w:rPr>
              <w:t>技术支持资料（</w:t>
            </w:r>
            <w:r>
              <w:rPr>
                <w:rFonts w:hint="eastAsia" w:cs="宋体"/>
                <w:b/>
                <w:bCs/>
                <w:lang w:eastAsia="zh-CN"/>
              </w:rPr>
              <w:t>如有</w:t>
            </w:r>
            <w:r>
              <w:rPr>
                <w:rFonts w:hint="eastAsia" w:ascii="宋体" w:hAnsi="宋体" w:eastAsia="宋体" w:cs="宋体"/>
                <w:b/>
                <w:bCs/>
              </w:rPr>
              <w:t>）</w:t>
            </w:r>
          </w:p>
        </w:tc>
      </w:tr>
      <w:tr w14:paraId="6AC96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6B449CE3">
            <w:pPr>
              <w:ind w:firstLine="0" w:firstLineChars="0"/>
              <w:rPr>
                <w:rFonts w:hint="eastAsia" w:ascii="宋体" w:hAnsi="宋体" w:eastAsia="宋体" w:cs="宋体"/>
              </w:rPr>
            </w:pPr>
          </w:p>
        </w:tc>
        <w:tc>
          <w:tcPr>
            <w:tcW w:w="1308" w:type="dxa"/>
            <w:vAlign w:val="top"/>
          </w:tcPr>
          <w:p w14:paraId="7821019A">
            <w:pPr>
              <w:ind w:firstLine="0" w:firstLineChars="0"/>
              <w:rPr>
                <w:rFonts w:hint="eastAsia" w:ascii="宋体" w:hAnsi="宋体" w:eastAsia="宋体" w:cs="宋体"/>
              </w:rPr>
            </w:pPr>
          </w:p>
        </w:tc>
        <w:tc>
          <w:tcPr>
            <w:tcW w:w="1980" w:type="dxa"/>
            <w:vAlign w:val="top"/>
          </w:tcPr>
          <w:p w14:paraId="5D357B98">
            <w:pPr>
              <w:ind w:firstLine="0" w:firstLineChars="0"/>
              <w:rPr>
                <w:rFonts w:hint="eastAsia" w:ascii="宋体" w:hAnsi="宋体" w:eastAsia="宋体" w:cs="宋体"/>
              </w:rPr>
            </w:pPr>
          </w:p>
        </w:tc>
        <w:tc>
          <w:tcPr>
            <w:tcW w:w="1957" w:type="dxa"/>
            <w:vAlign w:val="top"/>
          </w:tcPr>
          <w:p w14:paraId="6E3CA152">
            <w:pPr>
              <w:ind w:firstLine="0" w:firstLineChars="0"/>
              <w:rPr>
                <w:rFonts w:hint="eastAsia" w:ascii="宋体" w:hAnsi="宋体" w:eastAsia="宋体" w:cs="宋体"/>
              </w:rPr>
            </w:pPr>
          </w:p>
        </w:tc>
        <w:tc>
          <w:tcPr>
            <w:tcW w:w="1680" w:type="dxa"/>
            <w:vAlign w:val="top"/>
          </w:tcPr>
          <w:p w14:paraId="2890AAAA">
            <w:pPr>
              <w:ind w:firstLine="0" w:firstLineChars="0"/>
              <w:rPr>
                <w:rFonts w:hint="eastAsia" w:ascii="宋体" w:hAnsi="宋体" w:eastAsia="宋体" w:cs="宋体"/>
              </w:rPr>
            </w:pPr>
          </w:p>
        </w:tc>
        <w:tc>
          <w:tcPr>
            <w:tcW w:w="1797" w:type="dxa"/>
            <w:vAlign w:val="top"/>
          </w:tcPr>
          <w:p w14:paraId="1FC240DF">
            <w:pPr>
              <w:ind w:firstLine="0" w:firstLineChars="0"/>
              <w:rPr>
                <w:rFonts w:hint="eastAsia" w:ascii="宋体" w:hAnsi="宋体" w:eastAsia="宋体" w:cs="宋体"/>
              </w:rPr>
            </w:pPr>
          </w:p>
        </w:tc>
      </w:tr>
      <w:tr w14:paraId="071C6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2FCEE4A2">
            <w:pPr>
              <w:ind w:firstLine="0" w:firstLineChars="0"/>
              <w:rPr>
                <w:rFonts w:hint="eastAsia" w:ascii="宋体" w:hAnsi="宋体" w:eastAsia="宋体" w:cs="宋体"/>
              </w:rPr>
            </w:pPr>
          </w:p>
        </w:tc>
        <w:tc>
          <w:tcPr>
            <w:tcW w:w="1308" w:type="dxa"/>
            <w:vAlign w:val="top"/>
          </w:tcPr>
          <w:p w14:paraId="313D3AE4">
            <w:pPr>
              <w:ind w:firstLine="0" w:firstLineChars="0"/>
              <w:rPr>
                <w:rFonts w:hint="eastAsia" w:ascii="宋体" w:hAnsi="宋体" w:eastAsia="宋体" w:cs="宋体"/>
              </w:rPr>
            </w:pPr>
          </w:p>
        </w:tc>
        <w:tc>
          <w:tcPr>
            <w:tcW w:w="1980" w:type="dxa"/>
            <w:vAlign w:val="top"/>
          </w:tcPr>
          <w:p w14:paraId="1968A598">
            <w:pPr>
              <w:ind w:firstLine="0" w:firstLineChars="0"/>
              <w:rPr>
                <w:rFonts w:hint="eastAsia" w:ascii="宋体" w:hAnsi="宋体" w:eastAsia="宋体" w:cs="宋体"/>
              </w:rPr>
            </w:pPr>
          </w:p>
        </w:tc>
        <w:tc>
          <w:tcPr>
            <w:tcW w:w="1957" w:type="dxa"/>
            <w:vAlign w:val="top"/>
          </w:tcPr>
          <w:p w14:paraId="10201938">
            <w:pPr>
              <w:ind w:firstLine="0" w:firstLineChars="0"/>
              <w:rPr>
                <w:rFonts w:hint="eastAsia" w:ascii="宋体" w:hAnsi="宋体" w:eastAsia="宋体" w:cs="宋体"/>
              </w:rPr>
            </w:pPr>
          </w:p>
        </w:tc>
        <w:tc>
          <w:tcPr>
            <w:tcW w:w="1680" w:type="dxa"/>
            <w:vAlign w:val="top"/>
          </w:tcPr>
          <w:p w14:paraId="7AE75F9B">
            <w:pPr>
              <w:ind w:firstLine="0" w:firstLineChars="0"/>
              <w:rPr>
                <w:rFonts w:hint="eastAsia" w:ascii="宋体" w:hAnsi="宋体" w:eastAsia="宋体" w:cs="宋体"/>
              </w:rPr>
            </w:pPr>
          </w:p>
        </w:tc>
        <w:tc>
          <w:tcPr>
            <w:tcW w:w="1797" w:type="dxa"/>
            <w:vAlign w:val="top"/>
          </w:tcPr>
          <w:p w14:paraId="39418492">
            <w:pPr>
              <w:ind w:firstLine="0" w:firstLineChars="0"/>
              <w:rPr>
                <w:rFonts w:hint="eastAsia" w:ascii="宋体" w:hAnsi="宋体" w:eastAsia="宋体" w:cs="宋体"/>
              </w:rPr>
            </w:pPr>
          </w:p>
        </w:tc>
      </w:tr>
      <w:tr w14:paraId="799B9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484072C4">
            <w:pPr>
              <w:ind w:firstLine="0" w:firstLineChars="0"/>
              <w:rPr>
                <w:rFonts w:hint="eastAsia" w:ascii="宋体" w:hAnsi="宋体" w:eastAsia="宋体" w:cs="宋体"/>
              </w:rPr>
            </w:pPr>
          </w:p>
        </w:tc>
        <w:tc>
          <w:tcPr>
            <w:tcW w:w="1308" w:type="dxa"/>
            <w:vAlign w:val="top"/>
          </w:tcPr>
          <w:p w14:paraId="5F2E9420">
            <w:pPr>
              <w:ind w:firstLine="0" w:firstLineChars="0"/>
              <w:rPr>
                <w:rFonts w:hint="eastAsia" w:ascii="宋体" w:hAnsi="宋体" w:eastAsia="宋体" w:cs="宋体"/>
              </w:rPr>
            </w:pPr>
          </w:p>
        </w:tc>
        <w:tc>
          <w:tcPr>
            <w:tcW w:w="1980" w:type="dxa"/>
            <w:vAlign w:val="top"/>
          </w:tcPr>
          <w:p w14:paraId="138C92EB">
            <w:pPr>
              <w:ind w:firstLine="0" w:firstLineChars="0"/>
              <w:rPr>
                <w:rFonts w:hint="eastAsia" w:ascii="宋体" w:hAnsi="宋体" w:eastAsia="宋体" w:cs="宋体"/>
              </w:rPr>
            </w:pPr>
          </w:p>
        </w:tc>
        <w:tc>
          <w:tcPr>
            <w:tcW w:w="1957" w:type="dxa"/>
            <w:vAlign w:val="top"/>
          </w:tcPr>
          <w:p w14:paraId="102DBC17">
            <w:pPr>
              <w:ind w:firstLine="0" w:firstLineChars="0"/>
              <w:rPr>
                <w:rFonts w:hint="eastAsia" w:ascii="宋体" w:hAnsi="宋体" w:eastAsia="宋体" w:cs="宋体"/>
              </w:rPr>
            </w:pPr>
          </w:p>
        </w:tc>
        <w:tc>
          <w:tcPr>
            <w:tcW w:w="1680" w:type="dxa"/>
            <w:vAlign w:val="top"/>
          </w:tcPr>
          <w:p w14:paraId="15CF17FB">
            <w:pPr>
              <w:ind w:firstLine="0" w:firstLineChars="0"/>
              <w:rPr>
                <w:rFonts w:hint="eastAsia" w:ascii="宋体" w:hAnsi="宋体" w:eastAsia="宋体" w:cs="宋体"/>
              </w:rPr>
            </w:pPr>
          </w:p>
        </w:tc>
        <w:tc>
          <w:tcPr>
            <w:tcW w:w="1797" w:type="dxa"/>
            <w:vAlign w:val="top"/>
          </w:tcPr>
          <w:p w14:paraId="37F8909C">
            <w:pPr>
              <w:ind w:firstLine="0" w:firstLineChars="0"/>
              <w:rPr>
                <w:rFonts w:hint="eastAsia" w:ascii="宋体" w:hAnsi="宋体" w:eastAsia="宋体" w:cs="宋体"/>
              </w:rPr>
            </w:pPr>
          </w:p>
        </w:tc>
      </w:tr>
      <w:tr w14:paraId="3718C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5576E191">
            <w:pPr>
              <w:ind w:firstLine="0" w:firstLineChars="0"/>
              <w:rPr>
                <w:rFonts w:hint="eastAsia" w:ascii="宋体" w:hAnsi="宋体" w:eastAsia="宋体" w:cs="宋体"/>
              </w:rPr>
            </w:pPr>
          </w:p>
        </w:tc>
        <w:tc>
          <w:tcPr>
            <w:tcW w:w="1308" w:type="dxa"/>
            <w:vAlign w:val="top"/>
          </w:tcPr>
          <w:p w14:paraId="1DD85DA9">
            <w:pPr>
              <w:ind w:firstLine="0" w:firstLineChars="0"/>
              <w:rPr>
                <w:rFonts w:hint="eastAsia" w:ascii="宋体" w:hAnsi="宋体" w:eastAsia="宋体" w:cs="宋体"/>
              </w:rPr>
            </w:pPr>
          </w:p>
        </w:tc>
        <w:tc>
          <w:tcPr>
            <w:tcW w:w="1980" w:type="dxa"/>
            <w:vAlign w:val="top"/>
          </w:tcPr>
          <w:p w14:paraId="3F0EFD68">
            <w:pPr>
              <w:ind w:firstLine="0" w:firstLineChars="0"/>
              <w:rPr>
                <w:rFonts w:hint="eastAsia" w:ascii="宋体" w:hAnsi="宋体" w:eastAsia="宋体" w:cs="宋体"/>
              </w:rPr>
            </w:pPr>
          </w:p>
        </w:tc>
        <w:tc>
          <w:tcPr>
            <w:tcW w:w="1957" w:type="dxa"/>
            <w:vAlign w:val="top"/>
          </w:tcPr>
          <w:p w14:paraId="3DB8E95E">
            <w:pPr>
              <w:ind w:firstLine="0" w:firstLineChars="0"/>
              <w:rPr>
                <w:rFonts w:hint="eastAsia" w:ascii="宋体" w:hAnsi="宋体" w:eastAsia="宋体" w:cs="宋体"/>
              </w:rPr>
            </w:pPr>
          </w:p>
        </w:tc>
        <w:tc>
          <w:tcPr>
            <w:tcW w:w="1680" w:type="dxa"/>
            <w:vAlign w:val="top"/>
          </w:tcPr>
          <w:p w14:paraId="6373D218">
            <w:pPr>
              <w:ind w:firstLine="0" w:firstLineChars="0"/>
              <w:rPr>
                <w:rFonts w:hint="eastAsia" w:ascii="宋体" w:hAnsi="宋体" w:eastAsia="宋体" w:cs="宋体"/>
              </w:rPr>
            </w:pPr>
          </w:p>
        </w:tc>
        <w:tc>
          <w:tcPr>
            <w:tcW w:w="1797" w:type="dxa"/>
            <w:vAlign w:val="top"/>
          </w:tcPr>
          <w:p w14:paraId="759B686A">
            <w:pPr>
              <w:ind w:firstLine="0" w:firstLineChars="0"/>
              <w:rPr>
                <w:rFonts w:hint="eastAsia" w:ascii="宋体" w:hAnsi="宋体" w:eastAsia="宋体" w:cs="宋体"/>
              </w:rPr>
            </w:pPr>
          </w:p>
        </w:tc>
      </w:tr>
      <w:tr w14:paraId="5ECC3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488B55E4">
            <w:pPr>
              <w:ind w:firstLine="0" w:firstLineChars="0"/>
              <w:rPr>
                <w:rFonts w:hint="eastAsia" w:ascii="宋体" w:hAnsi="宋体" w:eastAsia="宋体" w:cs="宋体"/>
              </w:rPr>
            </w:pPr>
          </w:p>
        </w:tc>
        <w:tc>
          <w:tcPr>
            <w:tcW w:w="1308" w:type="dxa"/>
            <w:vAlign w:val="top"/>
          </w:tcPr>
          <w:p w14:paraId="5C34039C">
            <w:pPr>
              <w:ind w:firstLine="0" w:firstLineChars="0"/>
              <w:rPr>
                <w:rFonts w:hint="eastAsia" w:ascii="宋体" w:hAnsi="宋体" w:eastAsia="宋体" w:cs="宋体"/>
              </w:rPr>
            </w:pPr>
          </w:p>
        </w:tc>
        <w:tc>
          <w:tcPr>
            <w:tcW w:w="1980" w:type="dxa"/>
            <w:vAlign w:val="top"/>
          </w:tcPr>
          <w:p w14:paraId="7C4D2382">
            <w:pPr>
              <w:ind w:firstLine="0" w:firstLineChars="0"/>
              <w:rPr>
                <w:rFonts w:hint="eastAsia" w:ascii="宋体" w:hAnsi="宋体" w:eastAsia="宋体" w:cs="宋体"/>
              </w:rPr>
            </w:pPr>
          </w:p>
        </w:tc>
        <w:tc>
          <w:tcPr>
            <w:tcW w:w="1957" w:type="dxa"/>
            <w:vAlign w:val="top"/>
          </w:tcPr>
          <w:p w14:paraId="6F1660E0">
            <w:pPr>
              <w:ind w:firstLine="0" w:firstLineChars="0"/>
              <w:rPr>
                <w:rFonts w:hint="eastAsia" w:ascii="宋体" w:hAnsi="宋体" w:eastAsia="宋体" w:cs="宋体"/>
              </w:rPr>
            </w:pPr>
          </w:p>
        </w:tc>
        <w:tc>
          <w:tcPr>
            <w:tcW w:w="1680" w:type="dxa"/>
            <w:vAlign w:val="top"/>
          </w:tcPr>
          <w:p w14:paraId="5DDEF51E">
            <w:pPr>
              <w:ind w:firstLine="0" w:firstLineChars="0"/>
              <w:rPr>
                <w:rFonts w:hint="eastAsia" w:ascii="宋体" w:hAnsi="宋体" w:eastAsia="宋体" w:cs="宋体"/>
              </w:rPr>
            </w:pPr>
          </w:p>
        </w:tc>
        <w:tc>
          <w:tcPr>
            <w:tcW w:w="1797" w:type="dxa"/>
            <w:vAlign w:val="top"/>
          </w:tcPr>
          <w:p w14:paraId="2F0E8384">
            <w:pPr>
              <w:ind w:firstLine="0" w:firstLineChars="0"/>
              <w:rPr>
                <w:rFonts w:hint="eastAsia" w:ascii="宋体" w:hAnsi="宋体" w:eastAsia="宋体" w:cs="宋体"/>
              </w:rPr>
            </w:pPr>
          </w:p>
        </w:tc>
      </w:tr>
      <w:tr w14:paraId="1A431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31A5379F">
            <w:pPr>
              <w:ind w:firstLine="0" w:firstLineChars="0"/>
              <w:rPr>
                <w:rFonts w:hint="eastAsia" w:ascii="宋体" w:hAnsi="宋体" w:eastAsia="宋体" w:cs="宋体"/>
              </w:rPr>
            </w:pPr>
          </w:p>
        </w:tc>
        <w:tc>
          <w:tcPr>
            <w:tcW w:w="1308" w:type="dxa"/>
            <w:vAlign w:val="top"/>
          </w:tcPr>
          <w:p w14:paraId="370948B8">
            <w:pPr>
              <w:ind w:firstLine="0" w:firstLineChars="0"/>
              <w:rPr>
                <w:rFonts w:hint="eastAsia" w:ascii="宋体" w:hAnsi="宋体" w:eastAsia="宋体" w:cs="宋体"/>
              </w:rPr>
            </w:pPr>
          </w:p>
        </w:tc>
        <w:tc>
          <w:tcPr>
            <w:tcW w:w="1980" w:type="dxa"/>
            <w:vAlign w:val="top"/>
          </w:tcPr>
          <w:p w14:paraId="079CE3F9">
            <w:pPr>
              <w:ind w:firstLine="0" w:firstLineChars="0"/>
              <w:rPr>
                <w:rFonts w:hint="eastAsia" w:ascii="宋体" w:hAnsi="宋体" w:eastAsia="宋体" w:cs="宋体"/>
              </w:rPr>
            </w:pPr>
          </w:p>
        </w:tc>
        <w:tc>
          <w:tcPr>
            <w:tcW w:w="1957" w:type="dxa"/>
            <w:vAlign w:val="top"/>
          </w:tcPr>
          <w:p w14:paraId="032C2475">
            <w:pPr>
              <w:ind w:firstLine="0" w:firstLineChars="0"/>
              <w:rPr>
                <w:rFonts w:hint="eastAsia" w:ascii="宋体" w:hAnsi="宋体" w:eastAsia="宋体" w:cs="宋体"/>
              </w:rPr>
            </w:pPr>
          </w:p>
        </w:tc>
        <w:tc>
          <w:tcPr>
            <w:tcW w:w="1680" w:type="dxa"/>
            <w:vAlign w:val="top"/>
          </w:tcPr>
          <w:p w14:paraId="7D6A9E29">
            <w:pPr>
              <w:ind w:firstLine="0" w:firstLineChars="0"/>
              <w:rPr>
                <w:rFonts w:hint="eastAsia" w:ascii="宋体" w:hAnsi="宋体" w:eastAsia="宋体" w:cs="宋体"/>
              </w:rPr>
            </w:pPr>
          </w:p>
        </w:tc>
        <w:tc>
          <w:tcPr>
            <w:tcW w:w="1797" w:type="dxa"/>
            <w:vAlign w:val="top"/>
          </w:tcPr>
          <w:p w14:paraId="47D5F412">
            <w:pPr>
              <w:ind w:firstLine="0" w:firstLineChars="0"/>
              <w:rPr>
                <w:rFonts w:hint="eastAsia" w:ascii="宋体" w:hAnsi="宋体" w:eastAsia="宋体" w:cs="宋体"/>
              </w:rPr>
            </w:pPr>
          </w:p>
        </w:tc>
      </w:tr>
      <w:tr w14:paraId="739E60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68C1586E">
            <w:pPr>
              <w:ind w:firstLine="0" w:firstLineChars="0"/>
              <w:rPr>
                <w:rFonts w:hint="eastAsia" w:ascii="宋体" w:hAnsi="宋体" w:eastAsia="宋体" w:cs="宋体"/>
              </w:rPr>
            </w:pPr>
          </w:p>
        </w:tc>
        <w:tc>
          <w:tcPr>
            <w:tcW w:w="1308" w:type="dxa"/>
            <w:vAlign w:val="top"/>
          </w:tcPr>
          <w:p w14:paraId="06F37CFF">
            <w:pPr>
              <w:ind w:firstLine="0" w:firstLineChars="0"/>
              <w:rPr>
                <w:rFonts w:hint="eastAsia" w:ascii="宋体" w:hAnsi="宋体" w:eastAsia="宋体" w:cs="宋体"/>
              </w:rPr>
            </w:pPr>
          </w:p>
        </w:tc>
        <w:tc>
          <w:tcPr>
            <w:tcW w:w="1980" w:type="dxa"/>
            <w:vAlign w:val="top"/>
          </w:tcPr>
          <w:p w14:paraId="23835422">
            <w:pPr>
              <w:ind w:firstLine="0" w:firstLineChars="0"/>
              <w:rPr>
                <w:rFonts w:hint="eastAsia" w:ascii="宋体" w:hAnsi="宋体" w:eastAsia="宋体" w:cs="宋体"/>
              </w:rPr>
            </w:pPr>
          </w:p>
        </w:tc>
        <w:tc>
          <w:tcPr>
            <w:tcW w:w="1957" w:type="dxa"/>
            <w:vAlign w:val="top"/>
          </w:tcPr>
          <w:p w14:paraId="0AAA107C">
            <w:pPr>
              <w:ind w:firstLine="0" w:firstLineChars="0"/>
              <w:rPr>
                <w:rFonts w:hint="eastAsia" w:ascii="宋体" w:hAnsi="宋体" w:eastAsia="宋体" w:cs="宋体"/>
              </w:rPr>
            </w:pPr>
          </w:p>
        </w:tc>
        <w:tc>
          <w:tcPr>
            <w:tcW w:w="1680" w:type="dxa"/>
            <w:vAlign w:val="top"/>
          </w:tcPr>
          <w:p w14:paraId="05F35BC2">
            <w:pPr>
              <w:ind w:firstLine="0" w:firstLineChars="0"/>
              <w:rPr>
                <w:rFonts w:hint="eastAsia" w:ascii="宋体" w:hAnsi="宋体" w:eastAsia="宋体" w:cs="宋体"/>
              </w:rPr>
            </w:pPr>
          </w:p>
        </w:tc>
        <w:tc>
          <w:tcPr>
            <w:tcW w:w="1797" w:type="dxa"/>
            <w:vAlign w:val="top"/>
          </w:tcPr>
          <w:p w14:paraId="1524C036">
            <w:pPr>
              <w:ind w:firstLine="0" w:firstLineChars="0"/>
              <w:rPr>
                <w:rFonts w:hint="eastAsia" w:ascii="宋体" w:hAnsi="宋体" w:eastAsia="宋体" w:cs="宋体"/>
              </w:rPr>
            </w:pPr>
          </w:p>
        </w:tc>
      </w:tr>
      <w:tr w14:paraId="70406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208BDDD9">
            <w:pPr>
              <w:ind w:firstLine="0" w:firstLineChars="0"/>
              <w:rPr>
                <w:rFonts w:hint="eastAsia" w:ascii="宋体" w:hAnsi="宋体" w:eastAsia="宋体" w:cs="宋体"/>
              </w:rPr>
            </w:pPr>
          </w:p>
        </w:tc>
        <w:tc>
          <w:tcPr>
            <w:tcW w:w="1308" w:type="dxa"/>
            <w:vAlign w:val="top"/>
          </w:tcPr>
          <w:p w14:paraId="1BA2D711">
            <w:pPr>
              <w:ind w:firstLine="0" w:firstLineChars="0"/>
              <w:rPr>
                <w:rFonts w:hint="eastAsia" w:ascii="宋体" w:hAnsi="宋体" w:eastAsia="宋体" w:cs="宋体"/>
              </w:rPr>
            </w:pPr>
          </w:p>
        </w:tc>
        <w:tc>
          <w:tcPr>
            <w:tcW w:w="1980" w:type="dxa"/>
            <w:vAlign w:val="top"/>
          </w:tcPr>
          <w:p w14:paraId="438DC583">
            <w:pPr>
              <w:ind w:firstLine="0" w:firstLineChars="0"/>
              <w:rPr>
                <w:rFonts w:hint="eastAsia" w:ascii="宋体" w:hAnsi="宋体" w:eastAsia="宋体" w:cs="宋体"/>
              </w:rPr>
            </w:pPr>
          </w:p>
        </w:tc>
        <w:tc>
          <w:tcPr>
            <w:tcW w:w="1957" w:type="dxa"/>
            <w:vAlign w:val="top"/>
          </w:tcPr>
          <w:p w14:paraId="6D31934D">
            <w:pPr>
              <w:ind w:firstLine="0" w:firstLineChars="0"/>
              <w:rPr>
                <w:rFonts w:hint="eastAsia" w:ascii="宋体" w:hAnsi="宋体" w:eastAsia="宋体" w:cs="宋体"/>
              </w:rPr>
            </w:pPr>
          </w:p>
        </w:tc>
        <w:tc>
          <w:tcPr>
            <w:tcW w:w="1680" w:type="dxa"/>
            <w:vAlign w:val="top"/>
          </w:tcPr>
          <w:p w14:paraId="507A10B3">
            <w:pPr>
              <w:ind w:firstLine="0" w:firstLineChars="0"/>
              <w:rPr>
                <w:rFonts w:hint="eastAsia" w:ascii="宋体" w:hAnsi="宋体" w:eastAsia="宋体" w:cs="宋体"/>
              </w:rPr>
            </w:pPr>
          </w:p>
        </w:tc>
        <w:tc>
          <w:tcPr>
            <w:tcW w:w="1797" w:type="dxa"/>
            <w:vAlign w:val="top"/>
          </w:tcPr>
          <w:p w14:paraId="65DB8A41">
            <w:pPr>
              <w:ind w:firstLine="0" w:firstLineChars="0"/>
              <w:rPr>
                <w:rFonts w:hint="eastAsia" w:ascii="宋体" w:hAnsi="宋体" w:eastAsia="宋体" w:cs="宋体"/>
              </w:rPr>
            </w:pPr>
          </w:p>
        </w:tc>
      </w:tr>
      <w:tr w14:paraId="56BA2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02500C91">
            <w:pPr>
              <w:ind w:firstLine="0" w:firstLineChars="0"/>
              <w:rPr>
                <w:rFonts w:hint="eastAsia" w:ascii="宋体" w:hAnsi="宋体" w:eastAsia="宋体" w:cs="宋体"/>
              </w:rPr>
            </w:pPr>
          </w:p>
        </w:tc>
        <w:tc>
          <w:tcPr>
            <w:tcW w:w="1308" w:type="dxa"/>
            <w:vAlign w:val="top"/>
          </w:tcPr>
          <w:p w14:paraId="66CA95F0">
            <w:pPr>
              <w:ind w:firstLine="0" w:firstLineChars="0"/>
              <w:rPr>
                <w:rFonts w:hint="eastAsia" w:ascii="宋体" w:hAnsi="宋体" w:eastAsia="宋体" w:cs="宋体"/>
              </w:rPr>
            </w:pPr>
          </w:p>
        </w:tc>
        <w:tc>
          <w:tcPr>
            <w:tcW w:w="1980" w:type="dxa"/>
            <w:vAlign w:val="top"/>
          </w:tcPr>
          <w:p w14:paraId="1D91DB2D">
            <w:pPr>
              <w:ind w:firstLine="0" w:firstLineChars="0"/>
              <w:rPr>
                <w:rFonts w:hint="eastAsia" w:ascii="宋体" w:hAnsi="宋体" w:eastAsia="宋体" w:cs="宋体"/>
              </w:rPr>
            </w:pPr>
          </w:p>
        </w:tc>
        <w:tc>
          <w:tcPr>
            <w:tcW w:w="1957" w:type="dxa"/>
            <w:vAlign w:val="top"/>
          </w:tcPr>
          <w:p w14:paraId="27C15639">
            <w:pPr>
              <w:ind w:firstLine="0" w:firstLineChars="0"/>
              <w:rPr>
                <w:rFonts w:hint="eastAsia" w:ascii="宋体" w:hAnsi="宋体" w:eastAsia="宋体" w:cs="宋体"/>
              </w:rPr>
            </w:pPr>
          </w:p>
        </w:tc>
        <w:tc>
          <w:tcPr>
            <w:tcW w:w="1680" w:type="dxa"/>
            <w:vAlign w:val="top"/>
          </w:tcPr>
          <w:p w14:paraId="46BF5A4D">
            <w:pPr>
              <w:ind w:firstLine="0" w:firstLineChars="0"/>
              <w:rPr>
                <w:rFonts w:hint="eastAsia" w:ascii="宋体" w:hAnsi="宋体" w:eastAsia="宋体" w:cs="宋体"/>
              </w:rPr>
            </w:pPr>
          </w:p>
        </w:tc>
        <w:tc>
          <w:tcPr>
            <w:tcW w:w="1797" w:type="dxa"/>
            <w:vAlign w:val="top"/>
          </w:tcPr>
          <w:p w14:paraId="596924A5">
            <w:pPr>
              <w:ind w:firstLine="0" w:firstLineChars="0"/>
              <w:rPr>
                <w:rFonts w:hint="eastAsia" w:ascii="宋体" w:hAnsi="宋体" w:eastAsia="宋体" w:cs="宋体"/>
              </w:rPr>
            </w:pPr>
          </w:p>
        </w:tc>
      </w:tr>
      <w:tr w14:paraId="4E990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vAlign w:val="top"/>
          </w:tcPr>
          <w:p w14:paraId="7A4F144A">
            <w:pPr>
              <w:ind w:firstLine="0" w:firstLineChars="0"/>
              <w:rPr>
                <w:rFonts w:hint="eastAsia" w:ascii="宋体" w:hAnsi="宋体" w:eastAsia="宋体" w:cs="宋体"/>
              </w:rPr>
            </w:pPr>
          </w:p>
        </w:tc>
        <w:tc>
          <w:tcPr>
            <w:tcW w:w="1308" w:type="dxa"/>
            <w:vAlign w:val="top"/>
          </w:tcPr>
          <w:p w14:paraId="72B113C5">
            <w:pPr>
              <w:ind w:firstLine="0" w:firstLineChars="0"/>
              <w:rPr>
                <w:rFonts w:hint="eastAsia" w:ascii="宋体" w:hAnsi="宋体" w:eastAsia="宋体" w:cs="宋体"/>
              </w:rPr>
            </w:pPr>
          </w:p>
        </w:tc>
        <w:tc>
          <w:tcPr>
            <w:tcW w:w="1980" w:type="dxa"/>
            <w:vAlign w:val="top"/>
          </w:tcPr>
          <w:p w14:paraId="19C89B74">
            <w:pPr>
              <w:ind w:firstLine="0" w:firstLineChars="0"/>
              <w:rPr>
                <w:rFonts w:hint="eastAsia" w:ascii="宋体" w:hAnsi="宋体" w:eastAsia="宋体" w:cs="宋体"/>
              </w:rPr>
            </w:pPr>
          </w:p>
        </w:tc>
        <w:tc>
          <w:tcPr>
            <w:tcW w:w="1957" w:type="dxa"/>
            <w:vAlign w:val="top"/>
          </w:tcPr>
          <w:p w14:paraId="0445D7AF">
            <w:pPr>
              <w:ind w:firstLine="0" w:firstLineChars="0"/>
              <w:rPr>
                <w:rFonts w:hint="eastAsia" w:ascii="宋体" w:hAnsi="宋体" w:eastAsia="宋体" w:cs="宋体"/>
              </w:rPr>
            </w:pPr>
          </w:p>
        </w:tc>
        <w:tc>
          <w:tcPr>
            <w:tcW w:w="1680" w:type="dxa"/>
            <w:vAlign w:val="top"/>
          </w:tcPr>
          <w:p w14:paraId="6FF7B1CD">
            <w:pPr>
              <w:ind w:firstLine="0" w:firstLineChars="0"/>
              <w:rPr>
                <w:rFonts w:hint="eastAsia" w:ascii="宋体" w:hAnsi="宋体" w:eastAsia="宋体" w:cs="宋体"/>
              </w:rPr>
            </w:pPr>
          </w:p>
        </w:tc>
        <w:tc>
          <w:tcPr>
            <w:tcW w:w="1797" w:type="dxa"/>
            <w:vAlign w:val="top"/>
          </w:tcPr>
          <w:p w14:paraId="4DB9387A">
            <w:pPr>
              <w:ind w:firstLine="0" w:firstLineChars="0"/>
              <w:rPr>
                <w:rFonts w:hint="eastAsia" w:ascii="宋体" w:hAnsi="宋体" w:eastAsia="宋体" w:cs="宋体"/>
              </w:rPr>
            </w:pPr>
          </w:p>
        </w:tc>
      </w:tr>
    </w:tbl>
    <w:p w14:paraId="4539C578">
      <w:pPr>
        <w:bidi w:val="0"/>
        <w:jc w:val="left"/>
        <w:rPr>
          <w:rFonts w:hint="eastAsia"/>
          <w:sz w:val="13"/>
          <w:szCs w:val="13"/>
          <w:lang w:val="en-US" w:eastAsia="zh-CN"/>
        </w:rPr>
      </w:pPr>
    </w:p>
    <w:p w14:paraId="71C3793A">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rPr>
      </w:pPr>
      <w:r>
        <w:rPr>
          <w:rFonts w:hint="eastAsia" w:ascii="宋体" w:hAnsi="宋体" w:eastAsia="宋体" w:cs="宋体"/>
        </w:rPr>
        <w:t>注：1.逐项按照招标文件要求填写响应规格；</w:t>
      </w:r>
    </w:p>
    <w:p w14:paraId="2C5D18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rPr>
      </w:pPr>
      <w:r>
        <w:rPr>
          <w:rFonts w:hint="eastAsia" w:ascii="宋体" w:hAnsi="宋体" w:eastAsia="宋体" w:cs="宋体"/>
        </w:rPr>
        <w:t>2.表后需提供</w:t>
      </w:r>
      <w:r>
        <w:rPr>
          <w:rFonts w:hint="eastAsia" w:ascii="宋体" w:hAnsi="宋体" w:eastAsia="宋体" w:cs="宋体"/>
          <w:b w:val="0"/>
          <w:bCs w:val="0"/>
        </w:rPr>
        <w:t>技术支持资料</w:t>
      </w:r>
      <w:r>
        <w:rPr>
          <w:rFonts w:hint="eastAsia" w:ascii="宋体" w:hAnsi="宋体" w:eastAsia="宋体" w:cs="宋体"/>
        </w:rPr>
        <w:t>以证明其对技术指标的应答。若对技术指标的应答无技术支持资料证明，评标委员会可不予承认，并可认为该应答不符合招标文件要求，将作出不利于投标人的技术评审，其后果将由投标人自行承担；</w:t>
      </w:r>
    </w:p>
    <w:p w14:paraId="2707031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rPr>
      </w:pPr>
      <w:r>
        <w:rPr>
          <w:rFonts w:hint="eastAsia" w:ascii="宋体" w:hAnsi="宋体" w:eastAsia="宋体" w:cs="宋体"/>
        </w:rPr>
        <w:t>3.投标人可提供同等于或优于招标文件要求的设备和服务。</w:t>
      </w:r>
    </w:p>
    <w:p w14:paraId="240F4202">
      <w:pPr>
        <w:tabs>
          <w:tab w:val="left" w:pos="1247"/>
        </w:tabs>
        <w:bidi w:val="0"/>
        <w:jc w:val="left"/>
        <w:rPr>
          <w:rFonts w:hint="eastAsia" w:ascii="宋体" w:hAnsi="宋体" w:eastAsia="宋体" w:cs="Times New Roman"/>
          <w:kern w:val="2"/>
          <w:sz w:val="24"/>
          <w:szCs w:val="24"/>
          <w:lang w:val="en-US" w:eastAsia="zh-CN" w:bidi="ar-SA"/>
        </w:rPr>
      </w:pPr>
    </w:p>
    <w:p w14:paraId="664D01C8">
      <w:pPr>
        <w:bidi w:val="0"/>
        <w:rPr>
          <w:rFonts w:hint="eastAsia" w:ascii="宋体" w:hAnsi="宋体" w:eastAsia="宋体" w:cs="Times New Roman"/>
          <w:kern w:val="2"/>
          <w:sz w:val="24"/>
          <w:szCs w:val="24"/>
          <w:lang w:val="en-US" w:eastAsia="zh-CN" w:bidi="ar-SA"/>
        </w:rPr>
      </w:pPr>
    </w:p>
    <w:p w14:paraId="0A301663">
      <w:pPr>
        <w:bidi w:val="0"/>
        <w:rPr>
          <w:rFonts w:hint="eastAsia"/>
          <w:lang w:val="en-US" w:eastAsia="zh-CN"/>
        </w:rPr>
      </w:pPr>
    </w:p>
    <w:p w14:paraId="7510F5A7">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49324A5A">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4A800337">
      <w:pPr>
        <w:tabs>
          <w:tab w:val="left" w:pos="429"/>
        </w:tabs>
        <w:bidi w:val="0"/>
        <w:ind w:left="0" w:leftChars="0" w:firstLine="0" w:firstLineChars="0"/>
        <w:jc w:val="left"/>
        <w:rPr>
          <w:rFonts w:hint="eastAsia"/>
          <w:lang w:val="en-US" w:eastAsia="zh-CN"/>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rPr>
        <w:t>日期：  年   月   日</w:t>
      </w:r>
    </w:p>
    <w:p w14:paraId="56DEDDEC">
      <w:pPr>
        <w:pStyle w:val="4"/>
        <w:rPr>
          <w:rFonts w:hint="eastAsia" w:ascii="宋体" w:hAnsi="宋体" w:eastAsia="宋体" w:cs="宋体"/>
          <w:szCs w:val="24"/>
          <w:lang w:eastAsia="zh-CN"/>
        </w:rPr>
      </w:pPr>
      <w:r>
        <w:rPr>
          <w:rFonts w:hint="eastAsia" w:ascii="宋体" w:hAnsi="宋体" w:eastAsia="宋体" w:cs="宋体"/>
          <w:szCs w:val="24"/>
        </w:rPr>
        <w:t>附件</w:t>
      </w:r>
      <w:r>
        <w:rPr>
          <w:rFonts w:hint="eastAsia" w:cs="宋体"/>
          <w:szCs w:val="24"/>
          <w:lang w:eastAsia="zh-CN"/>
        </w:rPr>
        <w:t>十、类似业绩</w:t>
      </w:r>
    </w:p>
    <w:p w14:paraId="795612C4">
      <w:pPr>
        <w:ind w:left="0" w:leftChars="0" w:firstLine="0" w:firstLineChars="0"/>
        <w:jc w:val="center"/>
        <w:rPr>
          <w:rFonts w:hint="eastAsia" w:ascii="宋体" w:hAnsi="宋体" w:eastAsia="宋体" w:cs="宋体"/>
          <w:b/>
          <w:bCs/>
          <w:sz w:val="28"/>
          <w:szCs w:val="28"/>
        </w:rPr>
      </w:pPr>
      <w:r>
        <w:rPr>
          <w:rFonts w:hint="eastAsia" w:cs="宋体"/>
          <w:b/>
          <w:bCs/>
          <w:sz w:val="28"/>
          <w:szCs w:val="28"/>
        </w:rPr>
        <w:t>同类项目实施情况一览表</w:t>
      </w:r>
    </w:p>
    <w:p w14:paraId="0E965071">
      <w:pPr>
        <w:ind w:firstLine="0" w:firstLineChars="0"/>
        <w:rPr>
          <w:rFonts w:hint="eastAsia" w:ascii="宋体" w:hAnsi="宋体" w:eastAsia="宋体" w:cs="宋体"/>
        </w:rPr>
      </w:pPr>
      <w:r>
        <w:rPr>
          <w:rFonts w:hint="eastAsia" w:ascii="宋体" w:hAnsi="宋体" w:eastAsia="宋体" w:cs="宋体"/>
        </w:rPr>
        <w:t xml:space="preserve">项目名称：            </w:t>
      </w:r>
    </w:p>
    <w:p w14:paraId="2BBCE006">
      <w:pPr>
        <w:ind w:firstLine="0" w:firstLineChars="0"/>
        <w:rPr>
          <w:rFonts w:hint="eastAsia" w:ascii="宋体" w:hAnsi="宋体" w:eastAsia="宋体" w:cs="宋体"/>
        </w:rPr>
      </w:pPr>
      <w:r>
        <w:rPr>
          <w:rFonts w:hint="eastAsia" w:ascii="宋体" w:hAnsi="宋体" w:eastAsia="宋体" w:cs="宋体"/>
        </w:rPr>
        <w:t xml:space="preserve">项目编号：               </w:t>
      </w:r>
    </w:p>
    <w:tbl>
      <w:tblPr>
        <w:tblStyle w:val="44"/>
        <w:tblW w:w="93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1997"/>
        <w:gridCol w:w="1603"/>
        <w:gridCol w:w="2340"/>
        <w:gridCol w:w="1676"/>
        <w:gridCol w:w="1024"/>
      </w:tblGrid>
      <w:tr w14:paraId="7B6E18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14:paraId="19AD1596">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序号</w:t>
            </w:r>
          </w:p>
        </w:tc>
        <w:tc>
          <w:tcPr>
            <w:tcW w:w="1997" w:type="dxa"/>
            <w:tcBorders>
              <w:top w:val="single" w:color="auto" w:sz="4" w:space="0"/>
              <w:left w:val="single" w:color="auto" w:sz="4" w:space="0"/>
              <w:bottom w:val="single" w:color="auto" w:sz="4" w:space="0"/>
              <w:right w:val="single" w:color="auto" w:sz="4" w:space="0"/>
            </w:tcBorders>
            <w:vAlign w:val="center"/>
          </w:tcPr>
          <w:p w14:paraId="0AE32B8C">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项目名称</w:t>
            </w:r>
          </w:p>
        </w:tc>
        <w:tc>
          <w:tcPr>
            <w:tcW w:w="1603" w:type="dxa"/>
            <w:tcBorders>
              <w:top w:val="single" w:color="auto" w:sz="4" w:space="0"/>
              <w:left w:val="single" w:color="auto" w:sz="4" w:space="0"/>
              <w:bottom w:val="single" w:color="auto" w:sz="4" w:space="0"/>
              <w:right w:val="single" w:color="auto" w:sz="4" w:space="0"/>
            </w:tcBorders>
            <w:vAlign w:val="center"/>
          </w:tcPr>
          <w:p w14:paraId="58EB814C">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项目时间</w:t>
            </w:r>
          </w:p>
          <w:p w14:paraId="0A3A7101">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年/月</w:t>
            </w:r>
          </w:p>
        </w:tc>
        <w:tc>
          <w:tcPr>
            <w:tcW w:w="2340" w:type="dxa"/>
            <w:tcBorders>
              <w:top w:val="single" w:color="auto" w:sz="4" w:space="0"/>
              <w:left w:val="single" w:color="auto" w:sz="4" w:space="0"/>
              <w:bottom w:val="single" w:color="auto" w:sz="4" w:space="0"/>
              <w:right w:val="single" w:color="auto" w:sz="4" w:space="0"/>
            </w:tcBorders>
            <w:vAlign w:val="center"/>
          </w:tcPr>
          <w:p w14:paraId="57892041">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采购单位名称及</w:t>
            </w:r>
          </w:p>
          <w:p w14:paraId="04048477">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联系方式</w:t>
            </w:r>
          </w:p>
        </w:tc>
        <w:tc>
          <w:tcPr>
            <w:tcW w:w="1676" w:type="dxa"/>
            <w:tcBorders>
              <w:top w:val="single" w:color="auto" w:sz="4" w:space="0"/>
              <w:left w:val="single" w:color="auto" w:sz="4" w:space="0"/>
              <w:bottom w:val="single" w:color="auto" w:sz="4" w:space="0"/>
              <w:right w:val="single" w:color="auto" w:sz="4" w:space="0"/>
            </w:tcBorders>
            <w:vAlign w:val="center"/>
          </w:tcPr>
          <w:p w14:paraId="02730D48">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项目合同金额（单位：万元）</w:t>
            </w:r>
          </w:p>
        </w:tc>
        <w:tc>
          <w:tcPr>
            <w:tcW w:w="1024" w:type="dxa"/>
            <w:tcBorders>
              <w:top w:val="single" w:color="auto" w:sz="4" w:space="0"/>
              <w:left w:val="single" w:color="auto" w:sz="4" w:space="0"/>
              <w:bottom w:val="single" w:color="auto" w:sz="4" w:space="0"/>
              <w:right w:val="single" w:color="auto" w:sz="4" w:space="0"/>
            </w:tcBorders>
            <w:vAlign w:val="center"/>
          </w:tcPr>
          <w:p w14:paraId="1CAB5264">
            <w:pPr>
              <w:keepNext w:val="0"/>
              <w:keepLines w:val="0"/>
              <w:pageBreakBefore w:val="0"/>
              <w:widowControl w:val="0"/>
              <w:kinsoku/>
              <w:wordWrap/>
              <w:overflowPunct/>
              <w:topLinePunct w:val="0"/>
              <w:autoSpaceDE/>
              <w:autoSpaceDN/>
              <w:bidi w:val="0"/>
              <w:adjustRightInd/>
              <w:snapToGrid/>
              <w:spacing w:line="3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lang w:val="zh-CN"/>
              </w:rPr>
              <w:t>备 注</w:t>
            </w:r>
          </w:p>
        </w:tc>
      </w:tr>
      <w:tr w14:paraId="53F586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5E24B3E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997" w:type="dxa"/>
            <w:tcBorders>
              <w:top w:val="single" w:color="auto" w:sz="4" w:space="0"/>
              <w:left w:val="single" w:color="auto" w:sz="4" w:space="0"/>
              <w:bottom w:val="single" w:color="auto" w:sz="4" w:space="0"/>
              <w:right w:val="single" w:color="auto" w:sz="4" w:space="0"/>
            </w:tcBorders>
          </w:tcPr>
          <w:p w14:paraId="5B45831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4EFA04E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2779F9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753F4956">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C54D4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10308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56F1804A">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997" w:type="dxa"/>
            <w:tcBorders>
              <w:top w:val="single" w:color="auto" w:sz="4" w:space="0"/>
              <w:left w:val="single" w:color="auto" w:sz="4" w:space="0"/>
              <w:bottom w:val="single" w:color="auto" w:sz="4" w:space="0"/>
              <w:right w:val="single" w:color="auto" w:sz="4" w:space="0"/>
            </w:tcBorders>
          </w:tcPr>
          <w:p w14:paraId="2554B79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0C5A8614">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09913E0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3192519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164BD79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434FE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1721705B">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1997" w:type="dxa"/>
            <w:tcBorders>
              <w:top w:val="single" w:color="auto" w:sz="4" w:space="0"/>
              <w:left w:val="single" w:color="auto" w:sz="4" w:space="0"/>
              <w:bottom w:val="single" w:color="auto" w:sz="4" w:space="0"/>
              <w:right w:val="single" w:color="auto" w:sz="4" w:space="0"/>
            </w:tcBorders>
          </w:tcPr>
          <w:p w14:paraId="54E733F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7E8F78D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425A1EF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0424A40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DF819C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6840B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47FB3237">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1997" w:type="dxa"/>
            <w:tcBorders>
              <w:top w:val="single" w:color="auto" w:sz="4" w:space="0"/>
              <w:left w:val="single" w:color="auto" w:sz="4" w:space="0"/>
              <w:bottom w:val="single" w:color="auto" w:sz="4" w:space="0"/>
              <w:right w:val="single" w:color="auto" w:sz="4" w:space="0"/>
            </w:tcBorders>
          </w:tcPr>
          <w:p w14:paraId="5D0D121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B0B75D8">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5DDFB70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5494FDB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E6D24D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3A6FD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0D227FFE">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5</w:t>
            </w:r>
          </w:p>
        </w:tc>
        <w:tc>
          <w:tcPr>
            <w:tcW w:w="1997" w:type="dxa"/>
            <w:tcBorders>
              <w:top w:val="single" w:color="auto" w:sz="4" w:space="0"/>
              <w:left w:val="single" w:color="auto" w:sz="4" w:space="0"/>
              <w:bottom w:val="single" w:color="auto" w:sz="4" w:space="0"/>
              <w:right w:val="single" w:color="auto" w:sz="4" w:space="0"/>
            </w:tcBorders>
          </w:tcPr>
          <w:p w14:paraId="07DE118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9A3071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18AA901">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49B420E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7122BFF">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60FE9C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4B3CCF1F">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6</w:t>
            </w:r>
          </w:p>
        </w:tc>
        <w:tc>
          <w:tcPr>
            <w:tcW w:w="1997" w:type="dxa"/>
            <w:tcBorders>
              <w:top w:val="single" w:color="auto" w:sz="4" w:space="0"/>
              <w:left w:val="single" w:color="auto" w:sz="4" w:space="0"/>
              <w:bottom w:val="single" w:color="auto" w:sz="4" w:space="0"/>
              <w:right w:val="single" w:color="auto" w:sz="4" w:space="0"/>
            </w:tcBorders>
          </w:tcPr>
          <w:p w14:paraId="7D3163C3">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20E953D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410B7D7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56E576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30A602C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7517C2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3ED366D9">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7</w:t>
            </w:r>
          </w:p>
        </w:tc>
        <w:tc>
          <w:tcPr>
            <w:tcW w:w="1997" w:type="dxa"/>
            <w:tcBorders>
              <w:top w:val="single" w:color="auto" w:sz="4" w:space="0"/>
              <w:left w:val="single" w:color="auto" w:sz="4" w:space="0"/>
              <w:bottom w:val="single" w:color="auto" w:sz="4" w:space="0"/>
              <w:right w:val="single" w:color="auto" w:sz="4" w:space="0"/>
            </w:tcBorders>
          </w:tcPr>
          <w:p w14:paraId="48CF837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471729EF">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663D27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1CEA9E0D">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6E8A7FF2">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7BFEC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6E4F4B8C">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8</w:t>
            </w:r>
          </w:p>
        </w:tc>
        <w:tc>
          <w:tcPr>
            <w:tcW w:w="1997" w:type="dxa"/>
            <w:tcBorders>
              <w:top w:val="single" w:color="auto" w:sz="4" w:space="0"/>
              <w:left w:val="single" w:color="auto" w:sz="4" w:space="0"/>
              <w:bottom w:val="single" w:color="auto" w:sz="4" w:space="0"/>
              <w:right w:val="single" w:color="auto" w:sz="4" w:space="0"/>
            </w:tcBorders>
          </w:tcPr>
          <w:p w14:paraId="2120F307">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D118A9C">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0D793BF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7FECDDF3">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473E4AA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r w14:paraId="41BEA3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14:paraId="606EECA5">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w:t>
            </w:r>
          </w:p>
        </w:tc>
        <w:tc>
          <w:tcPr>
            <w:tcW w:w="1997" w:type="dxa"/>
            <w:tcBorders>
              <w:top w:val="single" w:color="auto" w:sz="4" w:space="0"/>
              <w:left w:val="single" w:color="auto" w:sz="4" w:space="0"/>
              <w:bottom w:val="single" w:color="auto" w:sz="4" w:space="0"/>
              <w:right w:val="single" w:color="auto" w:sz="4" w:space="0"/>
            </w:tcBorders>
          </w:tcPr>
          <w:p w14:paraId="1A94BCB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03" w:type="dxa"/>
            <w:tcBorders>
              <w:top w:val="single" w:color="auto" w:sz="4" w:space="0"/>
              <w:left w:val="single" w:color="auto" w:sz="4" w:space="0"/>
              <w:bottom w:val="single" w:color="auto" w:sz="4" w:space="0"/>
              <w:right w:val="single" w:color="auto" w:sz="4" w:space="0"/>
            </w:tcBorders>
          </w:tcPr>
          <w:p w14:paraId="17D80BBE">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2340" w:type="dxa"/>
            <w:tcBorders>
              <w:top w:val="single" w:color="auto" w:sz="4" w:space="0"/>
              <w:left w:val="single" w:color="auto" w:sz="4" w:space="0"/>
              <w:bottom w:val="single" w:color="auto" w:sz="4" w:space="0"/>
              <w:right w:val="single" w:color="auto" w:sz="4" w:space="0"/>
            </w:tcBorders>
          </w:tcPr>
          <w:p w14:paraId="2153F7DB">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676" w:type="dxa"/>
            <w:tcBorders>
              <w:top w:val="single" w:color="auto" w:sz="4" w:space="0"/>
              <w:left w:val="single" w:color="auto" w:sz="4" w:space="0"/>
              <w:bottom w:val="single" w:color="auto" w:sz="4" w:space="0"/>
              <w:right w:val="single" w:color="auto" w:sz="4" w:space="0"/>
            </w:tcBorders>
          </w:tcPr>
          <w:p w14:paraId="0E477CE5">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c>
          <w:tcPr>
            <w:tcW w:w="1024" w:type="dxa"/>
            <w:tcBorders>
              <w:top w:val="single" w:color="auto" w:sz="4" w:space="0"/>
              <w:left w:val="single" w:color="auto" w:sz="4" w:space="0"/>
              <w:bottom w:val="single" w:color="auto" w:sz="4" w:space="0"/>
              <w:right w:val="single" w:color="auto" w:sz="4" w:space="0"/>
            </w:tcBorders>
          </w:tcPr>
          <w:p w14:paraId="2EE2B750">
            <w:pPr>
              <w:keepNext w:val="0"/>
              <w:keepLines w:val="0"/>
              <w:pageBreakBefore w:val="0"/>
              <w:widowControl w:val="0"/>
              <w:kinsoku/>
              <w:wordWrap/>
              <w:overflowPunct/>
              <w:topLinePunct w:val="0"/>
              <w:autoSpaceDE/>
              <w:autoSpaceDN/>
              <w:bidi w:val="0"/>
              <w:adjustRightInd/>
              <w:snapToGrid/>
              <w:spacing w:line="440" w:lineRule="exact"/>
              <w:ind w:firstLine="0" w:firstLineChars="0"/>
              <w:textAlignment w:val="auto"/>
              <w:rPr>
                <w:rFonts w:hint="eastAsia" w:ascii="宋体" w:hAnsi="宋体" w:eastAsia="宋体" w:cs="宋体"/>
                <w:sz w:val="24"/>
                <w:szCs w:val="24"/>
              </w:rPr>
            </w:pPr>
          </w:p>
        </w:tc>
      </w:tr>
    </w:tbl>
    <w:p w14:paraId="2C5BB784">
      <w:pPr>
        <w:ind w:firstLine="0" w:firstLineChars="0"/>
        <w:rPr>
          <w:rFonts w:hint="eastAsia" w:ascii="宋体" w:hAnsi="宋体" w:eastAsia="宋体" w:cs="宋体"/>
          <w:sz w:val="10"/>
          <w:szCs w:val="10"/>
        </w:rPr>
      </w:pPr>
    </w:p>
    <w:p w14:paraId="4DE64212">
      <w:pPr>
        <w:spacing w:line="360" w:lineRule="auto"/>
        <w:ind w:left="0" w:leftChars="0" w:firstLine="0" w:firstLineChars="0"/>
        <w:rPr>
          <w:rFonts w:hint="eastAsia" w:ascii="宋体" w:hAnsi="宋体" w:eastAsia="宋体" w:cs="宋体"/>
          <w:b/>
          <w:spacing w:val="-6"/>
          <w:sz w:val="24"/>
          <w:szCs w:val="24"/>
        </w:rPr>
      </w:pPr>
      <w:r>
        <w:rPr>
          <w:rFonts w:hint="eastAsia" w:ascii="宋体" w:hAnsi="宋体" w:eastAsia="宋体" w:cs="宋体"/>
          <w:b/>
          <w:spacing w:val="-6"/>
          <w:sz w:val="24"/>
          <w:szCs w:val="24"/>
          <w:lang w:eastAsia="zh-CN"/>
        </w:rPr>
        <w:t>注</w:t>
      </w:r>
      <w:r>
        <w:rPr>
          <w:rFonts w:hint="eastAsia" w:ascii="宋体" w:hAnsi="宋体" w:eastAsia="宋体" w:cs="宋体"/>
          <w:b/>
          <w:spacing w:val="-6"/>
          <w:sz w:val="24"/>
          <w:szCs w:val="24"/>
        </w:rPr>
        <w:t>：1</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投标人须按照评分标准要求提交相应证明材料；</w:t>
      </w:r>
    </w:p>
    <w:p w14:paraId="7C861F59">
      <w:pPr>
        <w:spacing w:line="360" w:lineRule="auto"/>
        <w:ind w:firstLine="458"/>
        <w:rPr>
          <w:rFonts w:hint="eastAsia" w:ascii="宋体" w:hAnsi="宋体" w:eastAsia="宋体" w:cs="宋体"/>
          <w:b/>
          <w:spacing w:val="-6"/>
          <w:sz w:val="24"/>
          <w:szCs w:val="24"/>
        </w:rPr>
      </w:pPr>
      <w:r>
        <w:rPr>
          <w:rFonts w:hint="eastAsia" w:ascii="宋体" w:hAnsi="宋体" w:eastAsia="宋体" w:cs="宋体"/>
          <w:b/>
          <w:spacing w:val="-6"/>
          <w:sz w:val="24"/>
          <w:szCs w:val="24"/>
        </w:rPr>
        <w:t>2</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所有证明材料复印件应清晰，应能体现签订时间、双方签字盖章等内容；</w:t>
      </w:r>
    </w:p>
    <w:p w14:paraId="128D7AA2">
      <w:pPr>
        <w:pStyle w:val="79"/>
        <w:ind w:firstLine="458" w:firstLineChars="200"/>
        <w:rPr>
          <w:rFonts w:hint="eastAsia" w:ascii="宋体" w:hAnsi="宋体" w:eastAsia="宋体" w:cs="宋体"/>
          <w:color w:val="auto"/>
        </w:rPr>
      </w:pPr>
      <w:r>
        <w:rPr>
          <w:rFonts w:hint="eastAsia" w:ascii="宋体" w:hAnsi="宋体" w:eastAsia="宋体" w:cs="宋体"/>
          <w:b/>
          <w:spacing w:val="-6"/>
          <w:sz w:val="24"/>
          <w:szCs w:val="24"/>
        </w:rPr>
        <w:t>3</w:t>
      </w:r>
      <w:r>
        <w:rPr>
          <w:rFonts w:hint="eastAsia" w:ascii="宋体" w:hAnsi="宋体" w:eastAsia="宋体" w:cs="宋体"/>
          <w:b/>
          <w:spacing w:val="-6"/>
          <w:sz w:val="24"/>
          <w:szCs w:val="24"/>
          <w:lang w:val="en-US" w:eastAsia="zh-CN"/>
        </w:rPr>
        <w:t>.</w:t>
      </w:r>
      <w:r>
        <w:rPr>
          <w:rFonts w:hint="eastAsia" w:ascii="宋体" w:hAnsi="宋体" w:eastAsia="宋体" w:cs="宋体"/>
          <w:b/>
          <w:spacing w:val="-6"/>
          <w:sz w:val="24"/>
          <w:szCs w:val="24"/>
        </w:rPr>
        <w:t>投标人应在不涉及商业秘密的前提下尽可能提供详细的复印件内容。</w:t>
      </w:r>
    </w:p>
    <w:p w14:paraId="740BD771">
      <w:pPr>
        <w:pStyle w:val="79"/>
        <w:rPr>
          <w:rFonts w:hint="eastAsia" w:ascii="宋体" w:hAnsi="宋体" w:eastAsia="宋体" w:cs="宋体"/>
          <w:color w:val="auto"/>
        </w:rPr>
      </w:pPr>
    </w:p>
    <w:p w14:paraId="716B33DF">
      <w:pPr>
        <w:pStyle w:val="79"/>
        <w:rPr>
          <w:rFonts w:hint="eastAsia" w:ascii="宋体" w:hAnsi="宋体" w:eastAsia="宋体" w:cs="宋体"/>
          <w:color w:val="auto"/>
        </w:rPr>
      </w:pPr>
    </w:p>
    <w:p w14:paraId="189BC65E">
      <w:pPr>
        <w:spacing w:line="480" w:lineRule="auto"/>
        <w:ind w:left="0" w:leftChars="0" w:firstLine="0" w:firstLineChars="0"/>
        <w:rPr>
          <w:rFonts w:hint="eastAsia" w:ascii="宋体" w:hAnsi="宋体" w:eastAsia="宋体" w:cs="宋体"/>
        </w:rPr>
      </w:pPr>
    </w:p>
    <w:p w14:paraId="34024B12">
      <w:pPr>
        <w:spacing w:line="480" w:lineRule="auto"/>
        <w:ind w:left="0" w:leftChars="0" w:firstLine="0" w:firstLineChars="0"/>
        <w:rPr>
          <w:rFonts w:hint="eastAsia" w:ascii="宋体" w:hAnsi="宋体" w:eastAsia="宋体" w:cs="宋体"/>
        </w:rPr>
      </w:pPr>
      <w:r>
        <w:rPr>
          <w:rFonts w:hint="eastAsia" w:ascii="宋体" w:hAnsi="宋体" w:eastAsia="宋体" w:cs="宋体"/>
        </w:rPr>
        <w:t>投标人名称（公章）：</w:t>
      </w:r>
    </w:p>
    <w:p w14:paraId="2E53C156">
      <w:pPr>
        <w:spacing w:line="480" w:lineRule="auto"/>
        <w:ind w:left="0" w:leftChars="0" w:firstLine="0" w:firstLineChars="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387181FA">
      <w:pPr>
        <w:keepNext w:val="0"/>
        <w:keepLines w:val="0"/>
        <w:pageBreakBefore w:val="0"/>
        <w:widowControl w:val="0"/>
        <w:numPr>
          <w:ilvl w:val="0"/>
          <w:numId w:val="0"/>
        </w:numPr>
        <w:kinsoku/>
        <w:wordWrap/>
        <w:overflowPunct/>
        <w:topLinePunct w:val="0"/>
        <w:autoSpaceDE/>
        <w:autoSpaceDN/>
        <w:bidi w:val="0"/>
        <w:spacing w:line="600" w:lineRule="auto"/>
        <w:jc w:val="both"/>
        <w:textAlignment w:val="auto"/>
        <w:rPr>
          <w:rFonts w:hint="eastAsia" w:cs="宋体"/>
          <w:b/>
          <w:bCs/>
          <w:highlight w:val="none"/>
          <w:lang w:val="en-US" w:eastAsia="zh-CN"/>
        </w:rPr>
        <w:sectPr>
          <w:pgSz w:w="11907" w:h="16840"/>
          <w:pgMar w:top="1247" w:right="1304" w:bottom="1021" w:left="1304" w:header="720" w:footer="720" w:gutter="0"/>
          <w:pgNumType w:fmt="decimal"/>
          <w:cols w:space="720" w:num="1"/>
          <w:docGrid w:linePitch="286" w:charSpace="0"/>
        </w:sectPr>
      </w:pPr>
      <w:r>
        <w:rPr>
          <w:rFonts w:hint="eastAsia" w:ascii="宋体" w:hAnsi="宋体" w:eastAsia="宋体" w:cs="宋体"/>
        </w:rPr>
        <w:t>日期：  年   月   日</w:t>
      </w:r>
    </w:p>
    <w:p w14:paraId="184AAE4D">
      <w:pPr>
        <w:numPr>
          <w:ilvl w:val="0"/>
          <w:numId w:val="0"/>
        </w:numPr>
        <w:spacing w:line="600" w:lineRule="auto"/>
        <w:jc w:val="center"/>
        <w:rPr>
          <w:rFonts w:hint="default" w:eastAsia="宋体" w:cs="宋体"/>
          <w:b/>
          <w:bCs/>
          <w:highlight w:val="none"/>
          <w:lang w:val="en-US" w:eastAsia="zh-CN"/>
        </w:rPr>
      </w:pPr>
      <w:r>
        <w:rPr>
          <w:rFonts w:hint="eastAsia" w:cs="宋体"/>
          <w:b/>
          <w:bCs/>
          <w:highlight w:val="none"/>
          <w:lang w:val="en-US" w:eastAsia="zh-CN"/>
        </w:rPr>
        <w:t>3.</w:t>
      </w:r>
      <w:r>
        <w:rPr>
          <w:rFonts w:hint="eastAsia" w:ascii="宋体" w:hAnsi="宋体" w:eastAsia="宋体" w:cs="宋体"/>
          <w:b/>
          <w:bCs/>
          <w:i w:val="0"/>
          <w:iCs w:val="0"/>
          <w:color w:val="000000"/>
          <w:kern w:val="0"/>
          <w:sz w:val="24"/>
          <w:szCs w:val="24"/>
          <w:u w:val="none"/>
          <w:lang w:val="en-US" w:eastAsia="zh-CN" w:bidi="ar"/>
        </w:rPr>
        <w:t>组织与实施方案</w:t>
      </w:r>
      <w:r>
        <w:rPr>
          <w:rFonts w:hint="eastAsia" w:cs="宋体"/>
          <w:b/>
          <w:bCs/>
          <w:highlight w:val="none"/>
          <w:lang w:val="en-US" w:eastAsia="zh-CN"/>
        </w:rPr>
        <w:t>；</w:t>
      </w:r>
    </w:p>
    <w:p w14:paraId="1B4CBF27">
      <w:pPr>
        <w:numPr>
          <w:ilvl w:val="0"/>
          <w:numId w:val="0"/>
        </w:numPr>
        <w:spacing w:line="600" w:lineRule="auto"/>
        <w:jc w:val="center"/>
        <w:rPr>
          <w:rFonts w:hint="default" w:cs="宋体"/>
          <w:b/>
          <w:bCs/>
          <w:highlight w:val="none"/>
          <w:lang w:val="en-US" w:eastAsia="zh-CN"/>
        </w:rPr>
      </w:pPr>
      <w:r>
        <w:rPr>
          <w:rFonts w:hint="eastAsia" w:cs="宋体"/>
          <w:b/>
          <w:bCs/>
          <w:highlight w:val="none"/>
          <w:lang w:val="en-US" w:eastAsia="zh-CN"/>
        </w:rPr>
        <w:t>4.</w:t>
      </w:r>
      <w:r>
        <w:rPr>
          <w:rFonts w:hint="eastAsia" w:ascii="宋体" w:hAnsi="宋体" w:eastAsia="宋体" w:cs="宋体"/>
          <w:b/>
          <w:bCs/>
          <w:i w:val="0"/>
          <w:iCs w:val="0"/>
          <w:color w:val="000000"/>
          <w:kern w:val="0"/>
          <w:sz w:val="24"/>
          <w:szCs w:val="24"/>
          <w:u w:val="none"/>
          <w:lang w:val="en-US" w:eastAsia="zh-CN" w:bidi="ar"/>
        </w:rPr>
        <w:t>整体深化设计方案</w:t>
      </w:r>
      <w:r>
        <w:rPr>
          <w:rFonts w:hint="eastAsia" w:cs="宋体"/>
          <w:b/>
          <w:bCs/>
          <w:highlight w:val="none"/>
          <w:lang w:val="en-US" w:eastAsia="zh-CN"/>
        </w:rPr>
        <w:t>；</w:t>
      </w:r>
    </w:p>
    <w:p w14:paraId="305179CC">
      <w:pPr>
        <w:keepNext w:val="0"/>
        <w:keepLines w:val="0"/>
        <w:pageBreakBefore w:val="0"/>
        <w:widowControl w:val="0"/>
        <w:kinsoku/>
        <w:wordWrap/>
        <w:overflowPunct/>
        <w:topLinePunct w:val="0"/>
        <w:autoSpaceDE/>
        <w:autoSpaceDN/>
        <w:bidi w:val="0"/>
        <w:adjustRightInd w:val="0"/>
        <w:snapToGrid w:val="0"/>
        <w:spacing w:line="600" w:lineRule="auto"/>
        <w:ind w:left="0" w:leftChars="0" w:firstLine="0" w:firstLineChars="0"/>
        <w:jc w:val="center"/>
        <w:textAlignment w:val="auto"/>
        <w:rPr>
          <w:rFonts w:hint="default" w:cs="宋体"/>
          <w:b/>
          <w:bCs/>
          <w:highlight w:val="none"/>
          <w:lang w:val="en-US" w:eastAsia="zh-CN"/>
        </w:rPr>
      </w:pPr>
      <w:r>
        <w:rPr>
          <w:rFonts w:hint="eastAsia" w:cs="宋体"/>
          <w:b/>
          <w:bCs/>
          <w:highlight w:val="none"/>
          <w:lang w:val="en-US" w:eastAsia="zh-CN"/>
        </w:rPr>
        <w:t>5.</w:t>
      </w:r>
      <w:r>
        <w:rPr>
          <w:rFonts w:hint="eastAsia" w:ascii="宋体" w:hAnsi="宋体" w:eastAsia="宋体" w:cs="宋体"/>
          <w:b/>
          <w:bCs/>
          <w:i w:val="0"/>
          <w:iCs w:val="0"/>
          <w:color w:val="000000"/>
          <w:kern w:val="0"/>
          <w:sz w:val="24"/>
          <w:szCs w:val="24"/>
          <w:u w:val="none"/>
          <w:lang w:val="en-US" w:eastAsia="zh-CN" w:bidi="ar"/>
        </w:rPr>
        <w:t>人员配置</w:t>
      </w:r>
      <w:r>
        <w:rPr>
          <w:rFonts w:hint="eastAsia" w:cs="宋体"/>
          <w:b/>
          <w:bCs/>
          <w:highlight w:val="none"/>
          <w:lang w:val="en-US" w:eastAsia="zh-CN"/>
        </w:rPr>
        <w:t>；</w:t>
      </w:r>
    </w:p>
    <w:p w14:paraId="359FBCAE">
      <w:pPr>
        <w:keepNext w:val="0"/>
        <w:keepLines w:val="0"/>
        <w:pageBreakBefore w:val="0"/>
        <w:widowControl w:val="0"/>
        <w:kinsoku/>
        <w:wordWrap/>
        <w:overflowPunct/>
        <w:topLinePunct w:val="0"/>
        <w:autoSpaceDE/>
        <w:autoSpaceDN/>
        <w:bidi w:val="0"/>
        <w:adjustRightInd w:val="0"/>
        <w:snapToGrid w:val="0"/>
        <w:spacing w:line="600" w:lineRule="auto"/>
        <w:ind w:left="0" w:leftChars="0" w:firstLine="0" w:firstLineChars="0"/>
        <w:jc w:val="center"/>
        <w:textAlignment w:val="auto"/>
        <w:rPr>
          <w:rFonts w:hint="default" w:cs="宋体"/>
          <w:b/>
          <w:bCs/>
          <w:highlight w:val="none"/>
          <w:lang w:val="en-US" w:eastAsia="zh-CN"/>
        </w:rPr>
      </w:pPr>
      <w:r>
        <w:rPr>
          <w:rFonts w:hint="eastAsia" w:cs="宋体"/>
          <w:b/>
          <w:bCs/>
          <w:highlight w:val="none"/>
          <w:lang w:val="en-US" w:eastAsia="zh-CN"/>
        </w:rPr>
        <w:t>6.</w:t>
      </w:r>
      <w:r>
        <w:rPr>
          <w:rFonts w:hint="eastAsia" w:ascii="宋体" w:hAnsi="宋体" w:eastAsia="宋体" w:cs="宋体"/>
          <w:b/>
          <w:bCs/>
          <w:kern w:val="0"/>
          <w:sz w:val="24"/>
          <w:szCs w:val="24"/>
          <w:highlight w:val="none"/>
        </w:rPr>
        <w:t>售后服务方案</w:t>
      </w:r>
      <w:r>
        <w:rPr>
          <w:rFonts w:hint="eastAsia" w:cs="宋体"/>
          <w:b/>
          <w:bCs/>
          <w:highlight w:val="none"/>
          <w:lang w:val="en-US" w:eastAsia="zh-CN"/>
        </w:rPr>
        <w:t>；</w:t>
      </w:r>
    </w:p>
    <w:p w14:paraId="5A22D006">
      <w:pPr>
        <w:numPr>
          <w:ilvl w:val="0"/>
          <w:numId w:val="0"/>
        </w:numPr>
        <w:spacing w:line="600" w:lineRule="auto"/>
        <w:jc w:val="center"/>
        <w:rPr>
          <w:rFonts w:hint="eastAsia" w:cs="宋体"/>
          <w:b/>
          <w:bCs/>
          <w:highlight w:val="none"/>
          <w:lang w:val="en-US" w:eastAsia="zh-CN"/>
        </w:rPr>
      </w:pPr>
      <w:r>
        <w:rPr>
          <w:rFonts w:hint="eastAsia" w:cs="宋体"/>
          <w:b/>
          <w:bCs/>
          <w:highlight w:val="none"/>
          <w:lang w:val="en-US" w:eastAsia="zh-CN"/>
        </w:rPr>
        <w:t>8.</w:t>
      </w:r>
      <w:r>
        <w:rPr>
          <w:rFonts w:hint="eastAsia" w:ascii="宋体" w:hAnsi="宋体" w:eastAsia="宋体" w:cs="宋体"/>
          <w:b/>
          <w:bCs/>
          <w:i w:val="0"/>
          <w:iCs w:val="0"/>
          <w:color w:val="000000"/>
          <w:kern w:val="0"/>
          <w:sz w:val="24"/>
          <w:szCs w:val="24"/>
          <w:u w:val="none"/>
          <w:lang w:val="en-US" w:eastAsia="zh-CN" w:bidi="ar"/>
        </w:rPr>
        <w:t>企业生产实力</w:t>
      </w:r>
      <w:r>
        <w:rPr>
          <w:rFonts w:hint="eastAsia" w:cs="宋体"/>
          <w:b/>
          <w:bCs/>
          <w:highlight w:val="none"/>
          <w:lang w:val="en-US" w:eastAsia="zh-CN"/>
        </w:rPr>
        <w:t>；</w:t>
      </w:r>
    </w:p>
    <w:p w14:paraId="4A432543">
      <w:pPr>
        <w:spacing w:line="600" w:lineRule="auto"/>
        <w:ind w:left="-720" w:right="-965" w:firstLine="723" w:firstLineChars="300"/>
        <w:jc w:val="center"/>
        <w:rPr>
          <w:rFonts w:hint="eastAsia" w:ascii="宋体" w:hAnsi="宋体" w:eastAsia="宋体" w:cs="宋体"/>
          <w:b/>
          <w:bCs/>
          <w:spacing w:val="30"/>
        </w:rPr>
      </w:pPr>
      <w:r>
        <w:rPr>
          <w:rFonts w:hint="eastAsia" w:cs="宋体"/>
          <w:b/>
          <w:bCs/>
          <w:highlight w:val="none"/>
          <w:lang w:val="en-US" w:eastAsia="zh-CN"/>
        </w:rPr>
        <w:t>9.</w:t>
      </w:r>
      <w:r>
        <w:rPr>
          <w:rFonts w:hint="eastAsia" w:cs="宋体"/>
          <w:b/>
          <w:bCs/>
          <w:highlight w:val="none"/>
        </w:rPr>
        <w:t>其它本招标文件评分表要求提供的材料或投标人认为需要</w:t>
      </w:r>
      <w:r>
        <w:rPr>
          <w:rFonts w:hint="eastAsia" w:cs="宋体"/>
          <w:b/>
          <w:bCs/>
          <w:highlight w:val="none"/>
          <w:lang w:eastAsia="zh-CN"/>
        </w:rPr>
        <w:t>补充</w:t>
      </w:r>
      <w:r>
        <w:rPr>
          <w:rFonts w:hint="eastAsia" w:cs="宋体"/>
          <w:b/>
          <w:bCs/>
          <w:highlight w:val="none"/>
        </w:rPr>
        <w:t>的其他资料或说明。</w:t>
      </w:r>
    </w:p>
    <w:p w14:paraId="7517083A">
      <w:pPr>
        <w:ind w:left="-720" w:right="-965" w:firstLine="0" w:firstLineChars="0"/>
        <w:jc w:val="center"/>
        <w:rPr>
          <w:rFonts w:hint="eastAsia" w:ascii="宋体" w:hAnsi="宋体" w:eastAsia="宋体" w:cs="宋体"/>
          <w:b/>
          <w:bCs/>
          <w:spacing w:val="30"/>
          <w:sz w:val="28"/>
          <w:szCs w:val="28"/>
        </w:rPr>
      </w:pPr>
    </w:p>
    <w:p w14:paraId="37EC72F7">
      <w:pPr>
        <w:ind w:firstLine="0" w:firstLineChars="0"/>
        <w:rPr>
          <w:rFonts w:hint="eastAsia" w:ascii="宋体" w:hAnsi="宋体" w:eastAsia="宋体" w:cs="宋体"/>
        </w:rPr>
      </w:pPr>
    </w:p>
    <w:p w14:paraId="6DABF154">
      <w:pPr>
        <w:ind w:firstLine="0" w:firstLineChars="0"/>
        <w:rPr>
          <w:rFonts w:hint="eastAsia" w:ascii="宋体" w:hAnsi="宋体" w:eastAsia="宋体" w:cs="宋体"/>
        </w:rPr>
      </w:pPr>
      <w:r>
        <w:rPr>
          <w:rFonts w:hint="eastAsia" w:ascii="宋体" w:hAnsi="宋体" w:eastAsia="宋体" w:cs="宋体"/>
        </w:rPr>
        <w:t xml:space="preserve">              </w:t>
      </w:r>
    </w:p>
    <w:p w14:paraId="3D4723F7">
      <w:pPr>
        <w:ind w:left="0" w:leftChars="0" w:firstLine="0" w:firstLineChars="0"/>
        <w:rPr>
          <w:rFonts w:hint="eastAsia" w:ascii="宋体" w:hAnsi="宋体" w:eastAsia="宋体" w:cs="宋体"/>
        </w:rPr>
      </w:pPr>
    </w:p>
    <w:p w14:paraId="6FF7D26F">
      <w:pPr>
        <w:pStyle w:val="79"/>
        <w:rPr>
          <w:rFonts w:hint="eastAsia" w:ascii="宋体" w:hAnsi="宋体" w:eastAsia="宋体" w:cs="宋体"/>
          <w:color w:val="auto"/>
        </w:rPr>
      </w:pPr>
    </w:p>
    <w:p w14:paraId="16628E69">
      <w:pPr>
        <w:ind w:left="-720" w:right="-958" w:firstLine="0" w:firstLineChars="0"/>
        <w:rPr>
          <w:rFonts w:hint="eastAsia" w:ascii="宋体" w:hAnsi="宋体" w:eastAsia="宋体" w:cs="宋体"/>
        </w:rPr>
      </w:pPr>
      <w:r>
        <w:rPr>
          <w:rFonts w:hint="eastAsia" w:ascii="宋体" w:hAnsi="宋体" w:eastAsia="宋体" w:cs="宋体"/>
        </w:rPr>
        <w:t xml:space="preserve"> </w:t>
      </w:r>
    </w:p>
    <w:p w14:paraId="72F5FAA1">
      <w:pPr>
        <w:pStyle w:val="4"/>
        <w:rPr>
          <w:rFonts w:hint="eastAsia" w:ascii="宋体" w:hAnsi="宋体" w:eastAsia="宋体" w:cs="宋体"/>
          <w:szCs w:val="24"/>
        </w:rPr>
        <w:sectPr>
          <w:pgSz w:w="11907" w:h="16840"/>
          <w:pgMar w:top="1247" w:right="1304" w:bottom="1021" w:left="1304" w:header="720" w:footer="720" w:gutter="0"/>
          <w:pgNumType w:fmt="decimal"/>
          <w:cols w:space="720" w:num="1"/>
          <w:docGrid w:linePitch="286" w:charSpace="0"/>
        </w:sectPr>
      </w:pPr>
    </w:p>
    <w:p w14:paraId="35EA0266">
      <w:pPr>
        <w:pStyle w:val="4"/>
        <w:spacing w:line="240" w:lineRule="auto"/>
        <w:rPr>
          <w:rFonts w:hint="default" w:ascii="宋体" w:hAnsi="宋体" w:eastAsia="宋体" w:cs="宋体"/>
          <w:szCs w:val="24"/>
          <w:lang w:val="en-US" w:eastAsia="zh-CN"/>
        </w:rPr>
      </w:pPr>
      <w:r>
        <w:rPr>
          <w:rFonts w:hint="eastAsia" w:ascii="宋体" w:hAnsi="宋体" w:eastAsia="宋体" w:cs="宋体"/>
          <w:szCs w:val="24"/>
        </w:rPr>
        <w:t>报价文件封面</w:t>
      </w:r>
      <w:r>
        <w:rPr>
          <w:rFonts w:hint="eastAsia" w:ascii="宋体" w:hAnsi="宋体" w:eastAsia="宋体" w:cs="宋体"/>
          <w:szCs w:val="24"/>
          <w:lang w:val="en-US" w:eastAsia="zh-CN"/>
        </w:rPr>
        <w:t xml:space="preserve">                                                    正本（副本）</w:t>
      </w:r>
    </w:p>
    <w:p w14:paraId="3123D5E2">
      <w:pPr>
        <w:ind w:firstLine="482"/>
        <w:jc w:val="center"/>
        <w:rPr>
          <w:rFonts w:hint="eastAsia" w:ascii="宋体" w:hAnsi="宋体" w:eastAsia="宋体" w:cs="宋体"/>
        </w:rPr>
      </w:pPr>
      <w:r>
        <w:rPr>
          <w:rFonts w:hint="eastAsia" w:ascii="宋体" w:hAnsi="宋体" w:eastAsia="宋体" w:cs="宋体"/>
          <w:b/>
          <w:bCs/>
        </w:rPr>
        <w:t xml:space="preserve"> </w:t>
      </w:r>
    </w:p>
    <w:p w14:paraId="6EDE22E3">
      <w:pPr>
        <w:ind w:firstLine="480"/>
        <w:rPr>
          <w:rFonts w:hint="eastAsia" w:ascii="宋体" w:hAnsi="宋体" w:eastAsia="宋体" w:cs="宋体"/>
        </w:rPr>
      </w:pPr>
    </w:p>
    <w:p w14:paraId="06E92DF5">
      <w:pPr>
        <w:ind w:left="0" w:leftChars="0" w:firstLine="0" w:firstLineChars="0"/>
        <w:jc w:val="center"/>
        <w:rPr>
          <w:rFonts w:hint="eastAsia" w:ascii="宋体" w:hAnsi="宋体" w:eastAsia="宋体" w:cs="宋体"/>
          <w:b/>
          <w:bCs/>
          <w:sz w:val="24"/>
          <w:szCs w:val="24"/>
        </w:rPr>
      </w:pPr>
      <w:r>
        <w:rPr>
          <w:rFonts w:hint="eastAsia" w:ascii="宋体" w:hAnsi="宋体" w:eastAsia="宋体" w:cs="宋体"/>
          <w:b/>
          <w:bCs/>
          <w:sz w:val="32"/>
          <w:szCs w:val="32"/>
        </w:rPr>
        <w:t>报价文件</w:t>
      </w:r>
    </w:p>
    <w:p w14:paraId="3FCA196F">
      <w:pPr>
        <w:pStyle w:val="16"/>
        <w:rPr>
          <w:rFonts w:hint="eastAsia" w:ascii="宋体" w:hAnsi="宋体" w:eastAsia="宋体" w:cs="宋体"/>
          <w:b/>
          <w:bCs/>
          <w:sz w:val="24"/>
          <w:szCs w:val="24"/>
        </w:rPr>
      </w:pPr>
    </w:p>
    <w:p w14:paraId="54BC4D5B">
      <w:pPr>
        <w:ind w:firstLine="480"/>
        <w:rPr>
          <w:rFonts w:hint="eastAsia" w:ascii="宋体" w:hAnsi="宋体" w:eastAsia="宋体" w:cs="宋体"/>
        </w:rPr>
      </w:pPr>
    </w:p>
    <w:p w14:paraId="2BF603FB">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招 标 人：</w:t>
      </w:r>
    </w:p>
    <w:p w14:paraId="4DA351C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项目名称：</w:t>
      </w:r>
    </w:p>
    <w:p w14:paraId="590082C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项目编号：</w:t>
      </w:r>
    </w:p>
    <w:p w14:paraId="49BBF787">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投标人名称（盖章）：</w:t>
      </w:r>
    </w:p>
    <w:p w14:paraId="2D990B1F">
      <w:pPr>
        <w:spacing w:line="600" w:lineRule="auto"/>
        <w:ind w:firstLine="456"/>
        <w:rPr>
          <w:rFonts w:hint="eastAsia" w:ascii="宋体" w:hAnsi="宋体" w:eastAsia="宋体" w:cs="宋体"/>
          <w:bCs/>
          <w:spacing w:val="-6"/>
          <w:sz w:val="30"/>
          <w:szCs w:val="30"/>
        </w:rPr>
      </w:pPr>
      <w:r>
        <w:rPr>
          <w:rFonts w:hint="eastAsia" w:ascii="宋体" w:hAnsi="宋体" w:eastAsia="宋体" w:cs="宋体"/>
          <w:bCs/>
          <w:spacing w:val="-6"/>
          <w:sz w:val="30"/>
          <w:szCs w:val="30"/>
        </w:rPr>
        <w:t>投标人地址：</w:t>
      </w:r>
    </w:p>
    <w:p w14:paraId="3A04F58B">
      <w:pPr>
        <w:ind w:firstLine="456"/>
        <w:rPr>
          <w:rFonts w:hint="eastAsia" w:ascii="宋体" w:hAnsi="宋体" w:eastAsia="宋体" w:cs="宋体"/>
          <w:bCs/>
          <w:spacing w:val="-6"/>
          <w:sz w:val="30"/>
          <w:szCs w:val="30"/>
        </w:rPr>
      </w:pPr>
    </w:p>
    <w:p w14:paraId="3137F0BD">
      <w:pPr>
        <w:spacing w:line="600" w:lineRule="auto"/>
        <w:ind w:firstLine="456"/>
        <w:rPr>
          <w:rFonts w:hint="eastAsia" w:ascii="宋体" w:hAnsi="宋体" w:eastAsia="宋体" w:cs="宋体"/>
          <w:bCs/>
          <w:spacing w:val="-6"/>
          <w:sz w:val="30"/>
          <w:szCs w:val="30"/>
        </w:rPr>
      </w:pPr>
      <w:r>
        <w:rPr>
          <w:rFonts w:hint="eastAsia" w:cs="宋体"/>
          <w:spacing w:val="-6"/>
          <w:sz w:val="30"/>
          <w:szCs w:val="30"/>
          <w:lang w:eastAsia="zh-CN"/>
        </w:rPr>
        <w:t>法定代表人或其授权代表（</w:t>
      </w:r>
      <w:r>
        <w:rPr>
          <w:rFonts w:hint="eastAsia" w:ascii="宋体" w:hAnsi="宋体" w:eastAsia="宋体" w:cs="宋体"/>
          <w:spacing w:val="-6"/>
          <w:sz w:val="30"/>
          <w:szCs w:val="30"/>
        </w:rPr>
        <w:t>签字</w:t>
      </w:r>
      <w:r>
        <w:rPr>
          <w:rFonts w:hint="eastAsia" w:cs="宋体"/>
          <w:spacing w:val="-6"/>
          <w:sz w:val="30"/>
          <w:szCs w:val="30"/>
          <w:lang w:eastAsia="zh-CN"/>
        </w:rPr>
        <w:t>）</w:t>
      </w:r>
      <w:r>
        <w:rPr>
          <w:rFonts w:hint="eastAsia" w:ascii="宋体" w:hAnsi="宋体" w:eastAsia="宋体" w:cs="宋体"/>
          <w:bCs/>
          <w:spacing w:val="-6"/>
          <w:sz w:val="30"/>
          <w:szCs w:val="30"/>
        </w:rPr>
        <w:t>：</w:t>
      </w:r>
    </w:p>
    <w:p w14:paraId="529F5952">
      <w:pPr>
        <w:pStyle w:val="80"/>
        <w:spacing w:line="600" w:lineRule="auto"/>
        <w:ind w:left="0" w:leftChars="0" w:firstLine="576" w:firstLineChars="200"/>
        <w:rPr>
          <w:rFonts w:hint="eastAsia"/>
        </w:rPr>
      </w:pPr>
      <w:r>
        <w:rPr>
          <w:rFonts w:hint="eastAsia" w:ascii="宋体" w:hAnsi="宋体" w:eastAsia="宋体" w:cs="宋体"/>
          <w:bCs/>
          <w:spacing w:val="-6"/>
          <w:sz w:val="30"/>
          <w:szCs w:val="30"/>
        </w:rPr>
        <w:t>日期：    年  月  日</w:t>
      </w:r>
    </w:p>
    <w:p w14:paraId="3489369E">
      <w:pPr>
        <w:pStyle w:val="79"/>
        <w:rPr>
          <w:rFonts w:hint="eastAsia" w:ascii="宋体" w:hAnsi="宋体" w:eastAsia="宋体" w:cs="宋体"/>
          <w:color w:val="auto"/>
        </w:rPr>
      </w:pPr>
    </w:p>
    <w:p w14:paraId="29F33EDB">
      <w:pPr>
        <w:pStyle w:val="4"/>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44E5E174">
      <w:pPr>
        <w:bidi w:val="0"/>
        <w:spacing w:line="600" w:lineRule="auto"/>
        <w:jc w:val="center"/>
        <w:rPr>
          <w:rFonts w:hint="eastAsia" w:ascii="宋体" w:hAnsi="宋体" w:eastAsia="宋体" w:cs="宋体"/>
          <w:b/>
          <w:kern w:val="0"/>
          <w:szCs w:val="28"/>
        </w:rPr>
      </w:pPr>
      <w:r>
        <w:rPr>
          <w:rFonts w:hint="eastAsia"/>
          <w:b/>
          <w:bCs/>
          <w:sz w:val="32"/>
          <w:szCs w:val="32"/>
        </w:rPr>
        <w:t>报价文件目录</w:t>
      </w:r>
    </w:p>
    <w:p w14:paraId="4B151FE7">
      <w:pPr>
        <w:numPr>
          <w:ilvl w:val="0"/>
          <w:numId w:val="0"/>
        </w:numPr>
        <w:spacing w:line="480" w:lineRule="auto"/>
        <w:ind w:firstLine="480" w:firstLineChars="200"/>
        <w:rPr>
          <w:rFonts w:hint="eastAsia" w:ascii="宋体" w:hAnsi="宋体" w:eastAsia="宋体" w:cs="宋体"/>
        </w:rPr>
      </w:pPr>
      <w:r>
        <w:rPr>
          <w:rFonts w:hint="eastAsia" w:cs="宋体"/>
          <w:lang w:val="en-US" w:eastAsia="zh-CN"/>
        </w:rPr>
        <w:t>1.</w:t>
      </w:r>
      <w:r>
        <w:rPr>
          <w:rFonts w:hint="eastAsia" w:ascii="宋体" w:hAnsi="宋体" w:eastAsia="宋体" w:cs="宋体"/>
        </w:rPr>
        <w:t>投标响应函；（附件</w:t>
      </w:r>
      <w:r>
        <w:rPr>
          <w:rFonts w:hint="eastAsia" w:cs="宋体"/>
          <w:lang w:eastAsia="zh-CN"/>
        </w:rPr>
        <w:t>十一</w:t>
      </w:r>
      <w:r>
        <w:rPr>
          <w:rFonts w:hint="eastAsia" w:ascii="宋体" w:hAnsi="宋体" w:eastAsia="宋体" w:cs="宋体"/>
        </w:rPr>
        <w:t>）</w:t>
      </w:r>
    </w:p>
    <w:p w14:paraId="70B7FB0B">
      <w:pPr>
        <w:numPr>
          <w:ilvl w:val="0"/>
          <w:numId w:val="0"/>
        </w:numPr>
        <w:spacing w:line="480" w:lineRule="auto"/>
        <w:ind w:firstLine="480" w:firstLineChars="200"/>
        <w:jc w:val="left"/>
        <w:rPr>
          <w:rFonts w:hint="eastAsia" w:ascii="宋体" w:hAnsi="宋体" w:eastAsia="宋体" w:cs="宋体"/>
        </w:rPr>
      </w:pPr>
      <w:r>
        <w:rPr>
          <w:rFonts w:hint="eastAsia" w:cs="宋体"/>
          <w:lang w:val="en-US" w:eastAsia="zh-CN"/>
        </w:rPr>
        <w:t>2.</w:t>
      </w:r>
      <w:r>
        <w:rPr>
          <w:rFonts w:hint="eastAsia" w:ascii="宋体" w:hAnsi="宋体" w:eastAsia="宋体" w:cs="宋体"/>
        </w:rPr>
        <w:t>开标一览表；（附件</w:t>
      </w:r>
      <w:r>
        <w:rPr>
          <w:rFonts w:hint="eastAsia" w:cs="宋体"/>
          <w:lang w:eastAsia="zh-CN"/>
        </w:rPr>
        <w:t>十二</w:t>
      </w:r>
      <w:r>
        <w:rPr>
          <w:rFonts w:hint="eastAsia" w:ascii="宋体" w:hAnsi="宋体" w:eastAsia="宋体" w:cs="宋体"/>
        </w:rPr>
        <w:t>）</w:t>
      </w:r>
    </w:p>
    <w:p w14:paraId="30D676E6">
      <w:pPr>
        <w:bidi w:val="0"/>
        <w:spacing w:line="480" w:lineRule="auto"/>
        <w:rPr>
          <w:rFonts w:hint="default" w:cs="宋体"/>
          <w:b w:val="0"/>
          <w:bCs w:val="0"/>
          <w:sz w:val="24"/>
          <w:szCs w:val="24"/>
          <w:lang w:val="en-US" w:eastAsia="zh-CN"/>
        </w:rPr>
      </w:pPr>
      <w:r>
        <w:rPr>
          <w:rFonts w:hint="eastAsia" w:cs="宋体"/>
          <w:b w:val="0"/>
          <w:bCs w:val="0"/>
          <w:sz w:val="24"/>
          <w:szCs w:val="24"/>
          <w:lang w:val="en-US" w:eastAsia="zh-CN"/>
        </w:rPr>
        <w:t>3.报价明细表；（附件十三）</w:t>
      </w:r>
    </w:p>
    <w:p w14:paraId="17A72364">
      <w:pPr>
        <w:bidi w:val="0"/>
        <w:spacing w:line="480" w:lineRule="auto"/>
        <w:rPr>
          <w:rFonts w:hint="eastAsia" w:eastAsia="宋体" w:cs="宋体"/>
          <w:b w:val="0"/>
          <w:bCs w:val="0"/>
          <w:sz w:val="24"/>
          <w:szCs w:val="24"/>
          <w:lang w:val="en-US" w:eastAsia="zh-CN"/>
        </w:rPr>
      </w:pPr>
      <w:r>
        <w:rPr>
          <w:rFonts w:hint="eastAsia" w:cs="宋体"/>
          <w:b w:val="0"/>
          <w:bCs w:val="0"/>
          <w:sz w:val="24"/>
          <w:szCs w:val="24"/>
          <w:lang w:val="en-US" w:eastAsia="zh-CN"/>
        </w:rPr>
        <w:t>4.</w:t>
      </w:r>
      <w:r>
        <w:rPr>
          <w:rFonts w:hint="eastAsia" w:ascii="宋体" w:hAnsi="宋体"/>
          <w:sz w:val="24"/>
          <w:lang w:val="en-US" w:eastAsia="zh-CN"/>
        </w:rPr>
        <w:t>缴纳采购</w:t>
      </w:r>
      <w:r>
        <w:rPr>
          <w:rFonts w:hint="eastAsia" w:ascii="宋体" w:hAnsi="宋体"/>
          <w:sz w:val="24"/>
        </w:rPr>
        <w:t>代理</w:t>
      </w:r>
      <w:r>
        <w:rPr>
          <w:rFonts w:hint="eastAsia" w:ascii="宋体" w:hAnsi="宋体"/>
          <w:sz w:val="24"/>
          <w:lang w:eastAsia="zh-CN"/>
        </w:rPr>
        <w:t>服务</w:t>
      </w:r>
      <w:r>
        <w:rPr>
          <w:rFonts w:hint="eastAsia" w:ascii="宋体" w:hAnsi="宋体"/>
          <w:sz w:val="24"/>
        </w:rPr>
        <w:t>费承诺函</w:t>
      </w:r>
      <w:r>
        <w:rPr>
          <w:rFonts w:hint="eastAsia" w:ascii="宋体" w:hAnsi="宋体"/>
          <w:sz w:val="24"/>
          <w:lang w:eastAsia="zh-CN"/>
        </w:rPr>
        <w:t>；（附件十</w:t>
      </w:r>
      <w:r>
        <w:rPr>
          <w:rFonts w:hint="eastAsia"/>
          <w:sz w:val="24"/>
          <w:lang w:eastAsia="zh-CN"/>
        </w:rPr>
        <w:t>四</w:t>
      </w:r>
      <w:r>
        <w:rPr>
          <w:rFonts w:hint="eastAsia" w:ascii="宋体" w:hAnsi="宋体"/>
          <w:sz w:val="24"/>
          <w:lang w:eastAsia="zh-CN"/>
        </w:rPr>
        <w:t>）</w:t>
      </w:r>
    </w:p>
    <w:p w14:paraId="527F051F">
      <w:pPr>
        <w:tabs>
          <w:tab w:val="left" w:pos="504"/>
        </w:tabs>
        <w:bidi w:val="0"/>
        <w:spacing w:line="480" w:lineRule="auto"/>
        <w:jc w:val="left"/>
        <w:rPr>
          <w:rFonts w:hint="default"/>
          <w:lang w:val="en-US" w:eastAsia="zh-CN"/>
        </w:rPr>
        <w:sectPr>
          <w:pgSz w:w="11906" w:h="16838"/>
          <w:pgMar w:top="1440" w:right="1304" w:bottom="1020" w:left="1304" w:header="851" w:footer="992" w:gutter="0"/>
          <w:pgNumType w:fmt="decimal"/>
          <w:cols w:space="720" w:num="1"/>
          <w:docGrid w:type="lines" w:linePitch="312" w:charSpace="0"/>
        </w:sectPr>
      </w:pPr>
      <w:r>
        <w:rPr>
          <w:rFonts w:hint="eastAsia" w:cs="宋体"/>
          <w:b w:val="0"/>
          <w:bCs w:val="0"/>
          <w:sz w:val="24"/>
          <w:szCs w:val="24"/>
          <w:lang w:val="en-US" w:eastAsia="zh-CN"/>
        </w:rPr>
        <w:t>5.</w:t>
      </w:r>
      <w:r>
        <w:rPr>
          <w:rFonts w:hint="eastAsia" w:ascii="宋体" w:hAnsi="宋体" w:eastAsia="宋体" w:cs="宋体"/>
          <w:bCs/>
          <w:color w:val="auto"/>
          <w:highlight w:val="none"/>
          <w:lang w:eastAsia="zh-CN"/>
        </w:rPr>
        <w:t>投标人</w:t>
      </w:r>
      <w:r>
        <w:rPr>
          <w:rFonts w:hint="eastAsia" w:ascii="宋体" w:hAnsi="宋体" w:eastAsia="宋体" w:cs="宋体"/>
          <w:bCs/>
          <w:color w:val="auto"/>
          <w:highlight w:val="none"/>
        </w:rPr>
        <w:t>针对</w:t>
      </w:r>
      <w:r>
        <w:rPr>
          <w:rFonts w:hint="eastAsia" w:cs="宋体"/>
          <w:bCs/>
          <w:color w:val="auto"/>
          <w:highlight w:val="none"/>
          <w:lang w:eastAsia="zh-CN"/>
        </w:rPr>
        <w:t>投标</w:t>
      </w:r>
      <w:r>
        <w:rPr>
          <w:rFonts w:hint="eastAsia" w:ascii="宋体" w:hAnsi="宋体" w:eastAsia="宋体" w:cs="宋体"/>
          <w:bCs/>
          <w:color w:val="auto"/>
          <w:highlight w:val="none"/>
        </w:rPr>
        <w:t>报价需要</w:t>
      </w:r>
      <w:r>
        <w:rPr>
          <w:rFonts w:hint="eastAsia" w:cs="宋体"/>
          <w:bCs/>
          <w:color w:val="auto"/>
          <w:highlight w:val="none"/>
          <w:lang w:eastAsia="zh-CN"/>
        </w:rPr>
        <w:t>补充</w:t>
      </w:r>
      <w:r>
        <w:rPr>
          <w:rFonts w:hint="eastAsia" w:ascii="宋体" w:hAnsi="宋体" w:eastAsia="宋体" w:cs="宋体"/>
          <w:bCs/>
          <w:color w:val="auto"/>
          <w:highlight w:val="none"/>
        </w:rPr>
        <w:t>的其他文件和说明</w:t>
      </w:r>
      <w:r>
        <w:rPr>
          <w:rFonts w:hint="eastAsia" w:ascii="宋体" w:hAnsi="宋体"/>
          <w:sz w:val="24"/>
          <w:lang w:eastAsia="zh-CN"/>
        </w:rPr>
        <w:t>。</w:t>
      </w:r>
    </w:p>
    <w:p w14:paraId="5EB157D0">
      <w:pPr>
        <w:pStyle w:val="4"/>
        <w:spacing w:line="240" w:lineRule="auto"/>
        <w:rPr>
          <w:rFonts w:hint="eastAsia" w:ascii="宋体" w:hAnsi="宋体" w:eastAsia="宋体" w:cs="宋体"/>
          <w:szCs w:val="24"/>
        </w:rPr>
      </w:pPr>
      <w:r>
        <w:rPr>
          <w:rFonts w:hint="eastAsia" w:ascii="宋体" w:hAnsi="宋体" w:eastAsia="宋体" w:cs="宋体"/>
          <w:szCs w:val="24"/>
        </w:rPr>
        <w:t>附件</w:t>
      </w:r>
      <w:r>
        <w:rPr>
          <w:rFonts w:hint="eastAsia" w:ascii="宋体" w:hAnsi="宋体" w:eastAsia="宋体" w:cs="宋体"/>
          <w:szCs w:val="24"/>
          <w:lang w:eastAsia="zh-CN"/>
        </w:rPr>
        <w:t>十</w:t>
      </w:r>
      <w:r>
        <w:rPr>
          <w:rFonts w:hint="eastAsia" w:cs="宋体"/>
          <w:szCs w:val="24"/>
          <w:lang w:eastAsia="zh-CN"/>
        </w:rPr>
        <w:t>一</w:t>
      </w:r>
      <w:r>
        <w:rPr>
          <w:rFonts w:hint="eastAsia" w:ascii="宋体" w:hAnsi="宋体" w:eastAsia="宋体" w:cs="宋体"/>
          <w:szCs w:val="24"/>
        </w:rPr>
        <w:t xml:space="preserve">    </w:t>
      </w:r>
    </w:p>
    <w:p w14:paraId="4A95EE8B">
      <w:pPr>
        <w:snapToGrid w:val="0"/>
        <w:ind w:firstLine="3935" w:firstLineChars="1400"/>
        <w:jc w:val="both"/>
        <w:rPr>
          <w:rFonts w:hint="eastAsia" w:ascii="宋体" w:hAnsi="宋体" w:eastAsia="宋体" w:cs="宋体"/>
          <w:sz w:val="28"/>
          <w:szCs w:val="28"/>
        </w:rPr>
      </w:pPr>
      <w:r>
        <w:rPr>
          <w:rFonts w:hint="eastAsia" w:ascii="宋体" w:hAnsi="宋体" w:eastAsia="宋体" w:cs="宋体"/>
          <w:b/>
          <w:kern w:val="0"/>
          <w:sz w:val="28"/>
          <w:szCs w:val="28"/>
        </w:rPr>
        <w:t>投标响应</w:t>
      </w:r>
      <w:r>
        <w:rPr>
          <w:rFonts w:hint="eastAsia" w:ascii="宋体" w:hAnsi="宋体" w:eastAsia="宋体" w:cs="宋体"/>
          <w:b/>
          <w:sz w:val="28"/>
          <w:szCs w:val="28"/>
        </w:rPr>
        <w:t>函</w:t>
      </w:r>
    </w:p>
    <w:p w14:paraId="4C4D2112">
      <w:pPr>
        <w:ind w:firstLine="0" w:firstLineChars="0"/>
        <w:rPr>
          <w:rFonts w:hint="eastAsia" w:ascii="宋体" w:hAnsi="宋体" w:eastAsia="宋体" w:cs="宋体"/>
        </w:rPr>
      </w:pPr>
      <w:r>
        <w:rPr>
          <w:rFonts w:hint="eastAsia" w:ascii="宋体" w:hAnsi="宋体" w:eastAsia="宋体" w:cs="宋体"/>
        </w:rPr>
        <w:t>致：</w:t>
      </w:r>
      <w:r>
        <w:rPr>
          <w:rFonts w:hint="eastAsia" w:cs="宋体"/>
          <w:u w:val="single"/>
          <w:lang w:eastAsia="zh-CN"/>
        </w:rPr>
        <w:t>（招标人）（代理机构）</w:t>
      </w:r>
      <w:r>
        <w:rPr>
          <w:rFonts w:hint="eastAsia" w:ascii="宋体" w:hAnsi="宋体" w:eastAsia="宋体" w:cs="宋体"/>
        </w:rPr>
        <w:t xml:space="preserve"> </w:t>
      </w:r>
    </w:p>
    <w:p w14:paraId="13A7C9A4">
      <w:pPr>
        <w:snapToGrid w:val="0"/>
        <w:ind w:firstLine="480"/>
        <w:rPr>
          <w:rFonts w:hint="eastAsia" w:ascii="宋体" w:hAnsi="宋体" w:eastAsia="宋体" w:cs="宋体"/>
        </w:rPr>
      </w:pPr>
      <w:r>
        <w:rPr>
          <w:rFonts w:hint="eastAsia" w:ascii="宋体" w:hAnsi="宋体" w:eastAsia="宋体" w:cs="宋体"/>
          <w:kern w:val="0"/>
          <w:u w:val="single"/>
          <w:lang w:val="zh-CN"/>
        </w:rPr>
        <w:t xml:space="preserve">                         </w:t>
      </w:r>
      <w:r>
        <w:rPr>
          <w:rFonts w:hint="eastAsia" w:ascii="宋体" w:hAnsi="宋体" w:eastAsia="宋体" w:cs="宋体"/>
        </w:rPr>
        <w:t>(投标人全称)授权</w:t>
      </w:r>
      <w:r>
        <w:rPr>
          <w:rFonts w:hint="eastAsia" w:ascii="宋体" w:hAnsi="宋体" w:eastAsia="宋体" w:cs="宋体"/>
          <w:kern w:val="0"/>
          <w:u w:val="single"/>
          <w:lang w:val="zh-CN"/>
        </w:rPr>
        <w:t xml:space="preserve">                    </w:t>
      </w:r>
      <w:r>
        <w:rPr>
          <w:rFonts w:hint="eastAsia" w:ascii="宋体" w:hAnsi="宋体" w:eastAsia="宋体" w:cs="宋体"/>
        </w:rPr>
        <w:t>(</w:t>
      </w:r>
      <w:r>
        <w:rPr>
          <w:rFonts w:hint="eastAsia" w:cs="宋体"/>
          <w:lang w:eastAsia="zh-CN"/>
        </w:rPr>
        <w:t>授权代表</w:t>
      </w:r>
      <w:r>
        <w:rPr>
          <w:rFonts w:hint="eastAsia" w:ascii="宋体" w:hAnsi="宋体" w:eastAsia="宋体" w:cs="宋体"/>
        </w:rPr>
        <w:t>姓名)</w:t>
      </w:r>
      <w:r>
        <w:rPr>
          <w:rFonts w:hint="eastAsia" w:ascii="宋体" w:hAnsi="宋体" w:eastAsia="宋体" w:cs="宋体"/>
          <w:kern w:val="0"/>
          <w:u w:val="single"/>
          <w:lang w:val="zh-CN"/>
        </w:rPr>
        <w:t xml:space="preserve">              </w:t>
      </w:r>
      <w:r>
        <w:rPr>
          <w:rFonts w:hint="eastAsia" w:ascii="宋体" w:hAnsi="宋体" w:eastAsia="宋体" w:cs="宋体"/>
        </w:rPr>
        <w:t>(职务、职称)为</w:t>
      </w:r>
      <w:r>
        <w:rPr>
          <w:rFonts w:hint="eastAsia" w:cs="宋体"/>
          <w:lang w:eastAsia="zh-CN"/>
        </w:rPr>
        <w:t>授权代表</w:t>
      </w:r>
      <w:r>
        <w:rPr>
          <w:rFonts w:hint="eastAsia" w:ascii="宋体" w:hAnsi="宋体" w:eastAsia="宋体" w:cs="宋体"/>
        </w:rPr>
        <w:t>，参加贵方组织的</w:t>
      </w:r>
      <w:r>
        <w:rPr>
          <w:rFonts w:hint="eastAsia" w:ascii="宋体" w:hAnsi="宋体" w:eastAsia="宋体" w:cs="宋体"/>
          <w:u w:val="single"/>
        </w:rPr>
        <w:t>（项目名称）（项目编号）</w:t>
      </w:r>
      <w:r>
        <w:rPr>
          <w:rFonts w:hint="eastAsia" w:ascii="宋体" w:hAnsi="宋体" w:eastAsia="宋体" w:cs="宋体"/>
        </w:rPr>
        <w:t>招标的有关活动，并对此项目进行投标。为此：</w:t>
      </w:r>
    </w:p>
    <w:p w14:paraId="5B7B2E24">
      <w:pPr>
        <w:snapToGrid w:val="0"/>
        <w:ind w:firstLine="480"/>
        <w:rPr>
          <w:rFonts w:hint="eastAsia" w:ascii="宋体" w:hAnsi="宋体" w:eastAsia="宋体" w:cs="宋体"/>
        </w:rPr>
      </w:pPr>
      <w:r>
        <w:rPr>
          <w:rFonts w:hint="eastAsia" w:ascii="宋体" w:hAnsi="宋体" w:eastAsia="宋体" w:cs="宋体"/>
        </w:rPr>
        <w:t>1</w:t>
      </w:r>
      <w:r>
        <w:rPr>
          <w:rFonts w:hint="eastAsia" w:cs="宋体"/>
          <w:lang w:eastAsia="zh-CN"/>
        </w:rPr>
        <w:t>.</w:t>
      </w:r>
      <w:r>
        <w:rPr>
          <w:rFonts w:hint="eastAsia" w:ascii="宋体" w:hAnsi="宋体" w:eastAsia="宋体" w:cs="宋体"/>
        </w:rPr>
        <w:t>我方同意在投标人</w:t>
      </w:r>
      <w:r>
        <w:rPr>
          <w:rFonts w:hint="eastAsia" w:ascii="宋体" w:hAnsi="宋体" w:eastAsia="宋体" w:cs="宋体"/>
          <w:kern w:val="44"/>
        </w:rPr>
        <w:t>编制和提交</w:t>
      </w:r>
      <w:r>
        <w:rPr>
          <w:rFonts w:hint="eastAsia" w:ascii="宋体" w:hAnsi="宋体" w:eastAsia="宋体" w:cs="宋体"/>
        </w:rPr>
        <w:t>招标</w:t>
      </w:r>
      <w:r>
        <w:rPr>
          <w:rFonts w:hint="eastAsia" w:ascii="宋体" w:hAnsi="宋体" w:eastAsia="宋体" w:cs="宋体"/>
          <w:kern w:val="44"/>
        </w:rPr>
        <w:t>投标文件须知</w:t>
      </w:r>
      <w:r>
        <w:rPr>
          <w:rFonts w:hint="eastAsia" w:ascii="宋体" w:hAnsi="宋体" w:eastAsia="宋体" w:cs="宋体"/>
        </w:rPr>
        <w:t>规定的开标日期起遵守本投标文件中的承诺且在投标有效期满之前均具有约束力。</w:t>
      </w:r>
    </w:p>
    <w:p w14:paraId="164FD1DF">
      <w:pPr>
        <w:snapToGrid w:val="0"/>
        <w:ind w:firstLine="480"/>
        <w:rPr>
          <w:rFonts w:hint="eastAsia" w:ascii="宋体" w:hAnsi="宋体" w:eastAsia="宋体" w:cs="宋体"/>
        </w:rPr>
      </w:pPr>
      <w:r>
        <w:rPr>
          <w:rFonts w:hint="eastAsia" w:ascii="宋体" w:hAnsi="宋体" w:eastAsia="宋体" w:cs="宋体"/>
        </w:rPr>
        <w:t>2</w:t>
      </w:r>
      <w:r>
        <w:rPr>
          <w:rFonts w:hint="eastAsia" w:cs="宋体"/>
          <w:lang w:eastAsia="zh-CN"/>
        </w:rPr>
        <w:t>.</w:t>
      </w:r>
      <w:r>
        <w:rPr>
          <w:rFonts w:hint="eastAsia" w:ascii="宋体" w:hAnsi="宋体" w:eastAsia="宋体" w:cs="宋体"/>
        </w:rPr>
        <w:t>我方承诺已经具备相关法律规定的参加招标活动的投标人应当具备的条件：</w:t>
      </w:r>
    </w:p>
    <w:p w14:paraId="4EF1C1E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1</w:t>
      </w:r>
      <w:r>
        <w:rPr>
          <w:rFonts w:hint="eastAsia" w:cs="宋体"/>
          <w:lang w:eastAsia="zh-CN"/>
        </w:rPr>
        <w:t>）</w:t>
      </w:r>
      <w:r>
        <w:rPr>
          <w:rFonts w:hint="eastAsia" w:ascii="宋体" w:hAnsi="宋体" w:eastAsia="宋体" w:cs="宋体"/>
        </w:rPr>
        <w:t>具有独立承担民事责任的能力；</w:t>
      </w:r>
    </w:p>
    <w:p w14:paraId="223EC46A">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2</w:t>
      </w:r>
      <w:r>
        <w:rPr>
          <w:rFonts w:hint="eastAsia" w:cs="宋体"/>
          <w:lang w:eastAsia="zh-CN"/>
        </w:rPr>
        <w:t>）</w:t>
      </w:r>
      <w:r>
        <w:rPr>
          <w:rFonts w:hint="eastAsia" w:ascii="宋体" w:hAnsi="宋体" w:eastAsia="宋体" w:cs="宋体"/>
        </w:rPr>
        <w:t>遵守国家法律、行政法规，具有良好的信誉和商业道德；</w:t>
      </w:r>
    </w:p>
    <w:p w14:paraId="078C830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3</w:t>
      </w:r>
      <w:r>
        <w:rPr>
          <w:rFonts w:hint="eastAsia" w:cs="宋体"/>
          <w:lang w:eastAsia="zh-CN"/>
        </w:rPr>
        <w:t>）</w:t>
      </w:r>
      <w:r>
        <w:rPr>
          <w:rFonts w:hint="eastAsia" w:ascii="宋体" w:hAnsi="宋体" w:eastAsia="宋体" w:cs="宋体"/>
        </w:rPr>
        <w:t>具有履行合同的能力和良好的履行合同记录；</w:t>
      </w:r>
    </w:p>
    <w:p w14:paraId="61540CD1">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4</w:t>
      </w:r>
      <w:r>
        <w:rPr>
          <w:rFonts w:hint="eastAsia" w:cs="宋体"/>
          <w:lang w:eastAsia="zh-CN"/>
        </w:rPr>
        <w:t>）</w:t>
      </w:r>
      <w:r>
        <w:rPr>
          <w:rFonts w:hint="eastAsia" w:ascii="宋体" w:hAnsi="宋体" w:eastAsia="宋体" w:cs="宋体"/>
        </w:rPr>
        <w:t>良好的资金、财务状况；</w:t>
      </w:r>
    </w:p>
    <w:p w14:paraId="3CAAA43E">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5</w:t>
      </w:r>
      <w:r>
        <w:rPr>
          <w:rFonts w:hint="eastAsia" w:cs="宋体"/>
          <w:lang w:eastAsia="zh-CN"/>
        </w:rPr>
        <w:t>）</w:t>
      </w:r>
      <w:r>
        <w:rPr>
          <w:rFonts w:hint="eastAsia" w:ascii="宋体" w:hAnsi="宋体" w:eastAsia="宋体" w:cs="宋体"/>
        </w:rPr>
        <w:t>产品及生产所需装备符合中国规定的相应技术标准和环保标准；</w:t>
      </w:r>
    </w:p>
    <w:p w14:paraId="462E6076">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6</w:t>
      </w:r>
      <w:r>
        <w:rPr>
          <w:rFonts w:hint="eastAsia" w:cs="宋体"/>
          <w:lang w:eastAsia="zh-CN"/>
        </w:rPr>
        <w:t>）</w:t>
      </w:r>
      <w:r>
        <w:rPr>
          <w:rFonts w:hint="eastAsia" w:ascii="宋体" w:hAnsi="宋体" w:eastAsia="宋体" w:cs="宋体"/>
        </w:rPr>
        <w:t>没有违反招标法规、政策的记录；</w:t>
      </w:r>
    </w:p>
    <w:p w14:paraId="640C3CA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7</w:t>
      </w:r>
      <w:r>
        <w:rPr>
          <w:rFonts w:hint="eastAsia" w:cs="宋体"/>
          <w:lang w:eastAsia="zh-CN"/>
        </w:rPr>
        <w:t>）</w:t>
      </w:r>
      <w:r>
        <w:rPr>
          <w:rFonts w:hint="eastAsia" w:ascii="宋体" w:hAnsi="宋体" w:eastAsia="宋体" w:cs="宋体"/>
        </w:rPr>
        <w:t>没有发生重大经济纠纷和走私犯罪记录。</w:t>
      </w:r>
    </w:p>
    <w:p w14:paraId="0391F0B7">
      <w:pPr>
        <w:pStyle w:val="22"/>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w:t>
      </w:r>
      <w:r>
        <w:rPr>
          <w:rFonts w:hint="eastAsia" w:hAnsi="宋体" w:cs="宋体"/>
          <w:sz w:val="24"/>
          <w:szCs w:val="24"/>
          <w:lang w:eastAsia="zh-CN"/>
        </w:rPr>
        <w:t>.</w:t>
      </w:r>
      <w:r>
        <w:rPr>
          <w:rFonts w:hint="eastAsia" w:ascii="宋体" w:hAnsi="宋体" w:eastAsia="宋体" w:cs="宋体"/>
          <w:sz w:val="24"/>
          <w:szCs w:val="24"/>
        </w:rPr>
        <w:t>提供</w:t>
      </w:r>
      <w:r>
        <w:rPr>
          <w:rFonts w:hint="eastAsia" w:ascii="宋体" w:hAnsi="宋体" w:eastAsia="宋体" w:cs="宋体"/>
          <w:kern w:val="44"/>
          <w:sz w:val="24"/>
          <w:szCs w:val="24"/>
        </w:rPr>
        <w:t>编制和提交</w:t>
      </w:r>
      <w:r>
        <w:rPr>
          <w:rFonts w:hint="eastAsia" w:ascii="宋体" w:hAnsi="宋体" w:eastAsia="宋体" w:cs="宋体"/>
          <w:sz w:val="24"/>
          <w:szCs w:val="24"/>
        </w:rPr>
        <w:t>招标</w:t>
      </w:r>
      <w:r>
        <w:rPr>
          <w:rFonts w:hint="eastAsia" w:ascii="宋体" w:hAnsi="宋体" w:eastAsia="宋体" w:cs="宋体"/>
          <w:kern w:val="44"/>
          <w:sz w:val="24"/>
          <w:szCs w:val="24"/>
        </w:rPr>
        <w:t>投标文件须知</w:t>
      </w:r>
      <w:r>
        <w:rPr>
          <w:rFonts w:hint="eastAsia" w:ascii="宋体" w:hAnsi="宋体" w:eastAsia="宋体" w:cs="宋体"/>
          <w:sz w:val="24"/>
          <w:szCs w:val="24"/>
        </w:rPr>
        <w:t>规定的全部投标文件，包括</w:t>
      </w:r>
      <w:r>
        <w:rPr>
          <w:rFonts w:hint="eastAsia" w:hAnsi="宋体" w:cs="宋体"/>
          <w:b/>
          <w:bCs/>
          <w:sz w:val="24"/>
          <w:szCs w:val="24"/>
          <w:lang w:eastAsia="zh-CN"/>
        </w:rPr>
        <w:t>《</w:t>
      </w:r>
      <w:r>
        <w:rPr>
          <w:rFonts w:hint="eastAsia" w:ascii="宋体" w:hAnsi="宋体" w:eastAsia="宋体" w:cs="宋体"/>
          <w:b/>
          <w:bCs/>
          <w:sz w:val="24"/>
          <w:szCs w:val="24"/>
        </w:rPr>
        <w:t>资格文件</w:t>
      </w:r>
      <w:r>
        <w:rPr>
          <w:rFonts w:hint="eastAsia" w:hAnsi="宋体" w:cs="宋体"/>
          <w:b/>
          <w:bCs/>
          <w:sz w:val="24"/>
          <w:szCs w:val="24"/>
          <w:lang w:eastAsia="zh-CN"/>
        </w:rPr>
        <w:t>》、《</w:t>
      </w:r>
      <w:r>
        <w:rPr>
          <w:rFonts w:hint="eastAsia" w:ascii="宋体" w:hAnsi="宋体" w:eastAsia="宋体" w:cs="宋体"/>
          <w:b/>
          <w:sz w:val="24"/>
          <w:szCs w:val="24"/>
        </w:rPr>
        <w:t>报价文件</w:t>
      </w:r>
      <w:r>
        <w:rPr>
          <w:rFonts w:hint="eastAsia" w:hAnsi="宋体" w:cs="宋体"/>
          <w:b/>
          <w:bCs/>
          <w:sz w:val="24"/>
          <w:szCs w:val="24"/>
          <w:lang w:eastAsia="zh-CN"/>
        </w:rPr>
        <w:t>》、《</w:t>
      </w:r>
      <w:r>
        <w:rPr>
          <w:rFonts w:hint="eastAsia" w:hAnsi="宋体" w:cs="宋体"/>
          <w:b/>
          <w:sz w:val="24"/>
          <w:szCs w:val="24"/>
          <w:lang w:eastAsia="zh-CN"/>
        </w:rPr>
        <w:t>商务</w:t>
      </w:r>
      <w:r>
        <w:rPr>
          <w:rFonts w:hint="eastAsia" w:ascii="宋体" w:hAnsi="宋体" w:eastAsia="宋体" w:cs="宋体"/>
          <w:b/>
          <w:sz w:val="24"/>
          <w:szCs w:val="24"/>
        </w:rPr>
        <w:t>技术文件</w:t>
      </w:r>
      <w:r>
        <w:rPr>
          <w:rFonts w:hint="eastAsia" w:hAnsi="宋体" w:cs="宋体"/>
          <w:b/>
          <w:bCs/>
          <w:sz w:val="24"/>
          <w:szCs w:val="24"/>
          <w:lang w:eastAsia="zh-CN"/>
        </w:rPr>
        <w:t>》</w:t>
      </w:r>
      <w:r>
        <w:rPr>
          <w:rFonts w:hint="eastAsia" w:ascii="宋体" w:hAnsi="宋体" w:eastAsia="宋体" w:cs="宋体"/>
          <w:b/>
          <w:sz w:val="24"/>
          <w:szCs w:val="24"/>
        </w:rPr>
        <w:t>。</w:t>
      </w:r>
      <w:r>
        <w:rPr>
          <w:rFonts w:hint="eastAsia" w:ascii="宋体" w:hAnsi="宋体" w:eastAsia="宋体" w:cs="宋体"/>
          <w:sz w:val="24"/>
          <w:szCs w:val="24"/>
        </w:rPr>
        <w:t>具体内容为：</w:t>
      </w:r>
    </w:p>
    <w:p w14:paraId="382910C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1</w:t>
      </w:r>
      <w:r>
        <w:rPr>
          <w:rFonts w:hint="eastAsia" w:cs="宋体"/>
          <w:lang w:eastAsia="zh-CN"/>
        </w:rPr>
        <w:t>）</w:t>
      </w:r>
      <w:r>
        <w:rPr>
          <w:rFonts w:hint="eastAsia" w:ascii="宋体" w:hAnsi="宋体" w:eastAsia="宋体" w:cs="宋体"/>
        </w:rPr>
        <w:t>开标一览表及投标报价明细清单；</w:t>
      </w:r>
    </w:p>
    <w:p w14:paraId="55634202">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2</w:t>
      </w:r>
      <w:r>
        <w:rPr>
          <w:rFonts w:hint="eastAsia" w:cs="宋体"/>
          <w:lang w:eastAsia="zh-CN"/>
        </w:rPr>
        <w:t>）</w:t>
      </w:r>
      <w:r>
        <w:rPr>
          <w:rFonts w:hint="eastAsia" w:ascii="宋体" w:hAnsi="宋体" w:eastAsia="宋体" w:cs="宋体"/>
        </w:rPr>
        <w:t>投标</w:t>
      </w:r>
      <w:r>
        <w:rPr>
          <w:rFonts w:hint="eastAsia" w:cs="宋体"/>
          <w:lang w:eastAsia="zh-CN"/>
        </w:rPr>
        <w:t>商务</w:t>
      </w:r>
      <w:r>
        <w:rPr>
          <w:rFonts w:hint="eastAsia" w:ascii="宋体" w:hAnsi="宋体" w:eastAsia="宋体" w:cs="宋体"/>
        </w:rPr>
        <w:t>技术</w:t>
      </w:r>
      <w:r>
        <w:rPr>
          <w:rFonts w:hint="eastAsia" w:ascii="宋体" w:hAnsi="宋体" w:eastAsia="宋体" w:cs="宋体"/>
          <w:kern w:val="0"/>
          <w:lang w:val="zh-CN"/>
        </w:rPr>
        <w:t>文件和</w:t>
      </w:r>
      <w:r>
        <w:rPr>
          <w:rFonts w:hint="eastAsia" w:ascii="宋体" w:hAnsi="宋体" w:eastAsia="宋体" w:cs="宋体"/>
          <w:lang w:val="zh-CN"/>
        </w:rPr>
        <w:t>资格</w:t>
      </w:r>
      <w:r>
        <w:rPr>
          <w:rFonts w:hint="eastAsia" w:ascii="宋体" w:hAnsi="宋体" w:eastAsia="宋体" w:cs="宋体"/>
        </w:rPr>
        <w:t>证明</w:t>
      </w:r>
      <w:r>
        <w:rPr>
          <w:rFonts w:hint="eastAsia" w:ascii="宋体" w:hAnsi="宋体" w:eastAsia="宋体" w:cs="宋体"/>
          <w:lang w:val="zh-CN"/>
        </w:rPr>
        <w:t>文件</w:t>
      </w:r>
      <w:r>
        <w:rPr>
          <w:rFonts w:hint="eastAsia" w:ascii="宋体" w:hAnsi="宋体" w:eastAsia="宋体" w:cs="宋体"/>
        </w:rPr>
        <w:t>；</w:t>
      </w:r>
    </w:p>
    <w:p w14:paraId="59CF7F1F">
      <w:pPr>
        <w:snapToGrid w:val="0"/>
        <w:ind w:left="0" w:leftChars="0" w:firstLine="480" w:firstLineChars="200"/>
        <w:rPr>
          <w:rFonts w:hint="eastAsia" w:ascii="宋体" w:hAnsi="宋体" w:eastAsia="宋体" w:cs="宋体"/>
        </w:rPr>
      </w:pPr>
      <w:r>
        <w:rPr>
          <w:rFonts w:hint="eastAsia" w:cs="宋体"/>
          <w:kern w:val="44"/>
          <w:lang w:eastAsia="zh-CN"/>
        </w:rPr>
        <w:t>（</w:t>
      </w:r>
      <w:r>
        <w:rPr>
          <w:rFonts w:hint="eastAsia" w:cs="宋体"/>
          <w:kern w:val="44"/>
          <w:lang w:val="en-US" w:eastAsia="zh-CN"/>
        </w:rPr>
        <w:t>3</w:t>
      </w:r>
      <w:r>
        <w:rPr>
          <w:rFonts w:hint="eastAsia" w:cs="宋体"/>
          <w:kern w:val="44"/>
          <w:lang w:eastAsia="zh-CN"/>
        </w:rPr>
        <w:t>）</w:t>
      </w:r>
      <w:r>
        <w:rPr>
          <w:rFonts w:hint="eastAsia" w:ascii="宋体" w:hAnsi="宋体" w:eastAsia="宋体" w:cs="宋体"/>
          <w:kern w:val="44"/>
        </w:rPr>
        <w:t>编制和提交</w:t>
      </w:r>
      <w:r>
        <w:rPr>
          <w:rFonts w:hint="eastAsia" w:ascii="宋体" w:hAnsi="宋体" w:eastAsia="宋体" w:cs="宋体"/>
        </w:rPr>
        <w:t>招标</w:t>
      </w:r>
      <w:r>
        <w:rPr>
          <w:rFonts w:hint="eastAsia" w:ascii="宋体" w:hAnsi="宋体" w:eastAsia="宋体" w:cs="宋体"/>
          <w:kern w:val="44"/>
        </w:rPr>
        <w:t>投标文件须知</w:t>
      </w:r>
      <w:r>
        <w:rPr>
          <w:rFonts w:hint="eastAsia" w:ascii="宋体" w:hAnsi="宋体" w:eastAsia="宋体" w:cs="宋体"/>
        </w:rPr>
        <w:t>要求投标人提交的全部文件；</w:t>
      </w:r>
    </w:p>
    <w:p w14:paraId="043377C3">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4</w:t>
      </w:r>
      <w:r>
        <w:rPr>
          <w:rFonts w:hint="eastAsia" w:cs="宋体"/>
          <w:lang w:eastAsia="zh-CN"/>
        </w:rPr>
        <w:t>）</w:t>
      </w:r>
      <w:r>
        <w:rPr>
          <w:rFonts w:hint="eastAsia" w:ascii="宋体" w:hAnsi="宋体" w:eastAsia="宋体" w:cs="宋体"/>
        </w:rPr>
        <w:t>按招标文件要求提供和交付的货物和服务的投标报价详见投标(开标)一览表；</w:t>
      </w:r>
    </w:p>
    <w:p w14:paraId="26F8A7E9">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5</w:t>
      </w:r>
      <w:r>
        <w:rPr>
          <w:rFonts w:hint="eastAsia" w:cs="宋体"/>
          <w:lang w:eastAsia="zh-CN"/>
        </w:rPr>
        <w:t>）</w:t>
      </w:r>
      <w:r>
        <w:rPr>
          <w:rFonts w:hint="eastAsia" w:ascii="宋体" w:hAnsi="宋体" w:eastAsia="宋体" w:cs="宋体"/>
        </w:rPr>
        <w:t>保证忠实地执行双方所签订的合同，并承担合同规定的责任和义务；</w:t>
      </w:r>
    </w:p>
    <w:p w14:paraId="635154EF">
      <w:pPr>
        <w:snapToGrid w:val="0"/>
        <w:ind w:left="0" w:leftChars="0" w:firstLine="480" w:firstLineChars="200"/>
        <w:rPr>
          <w:rFonts w:hint="eastAsia" w:ascii="宋体" w:hAnsi="宋体" w:eastAsia="宋体" w:cs="宋体"/>
        </w:rPr>
      </w:pPr>
      <w:r>
        <w:rPr>
          <w:rFonts w:hint="eastAsia" w:cs="宋体"/>
          <w:lang w:eastAsia="zh-CN"/>
        </w:rPr>
        <w:t>（</w:t>
      </w:r>
      <w:r>
        <w:rPr>
          <w:rFonts w:hint="eastAsia" w:cs="宋体"/>
          <w:lang w:val="en-US" w:eastAsia="zh-CN"/>
        </w:rPr>
        <w:t>6</w:t>
      </w:r>
      <w:r>
        <w:rPr>
          <w:rFonts w:hint="eastAsia" w:cs="宋体"/>
          <w:lang w:eastAsia="zh-CN"/>
        </w:rPr>
        <w:t>）</w:t>
      </w:r>
      <w:r>
        <w:rPr>
          <w:rFonts w:hint="eastAsia" w:ascii="宋体" w:hAnsi="宋体" w:eastAsia="宋体" w:cs="宋体"/>
        </w:rPr>
        <w:t>保证遵守招标文件中的其他有关规定。</w:t>
      </w:r>
    </w:p>
    <w:p w14:paraId="45022D5E">
      <w:pPr>
        <w:snapToGrid w:val="0"/>
        <w:ind w:firstLine="480"/>
        <w:rPr>
          <w:rFonts w:hint="eastAsia" w:ascii="宋体" w:hAnsi="宋体" w:eastAsia="宋体" w:cs="宋体"/>
        </w:rPr>
      </w:pPr>
      <w:r>
        <w:rPr>
          <w:rFonts w:hint="eastAsia" w:ascii="宋体" w:hAnsi="宋体" w:eastAsia="宋体" w:cs="宋体"/>
        </w:rPr>
        <w:t>4</w:t>
      </w:r>
      <w:r>
        <w:rPr>
          <w:rFonts w:hint="eastAsia" w:cs="宋体"/>
          <w:lang w:eastAsia="zh-CN"/>
        </w:rPr>
        <w:t>.</w:t>
      </w:r>
      <w:r>
        <w:rPr>
          <w:rFonts w:hint="eastAsia" w:ascii="宋体" w:hAnsi="宋体" w:eastAsia="宋体" w:cs="宋体"/>
        </w:rPr>
        <w:t>我方承诺投标有效期从提交投标文件的截止之日起</w:t>
      </w:r>
      <w:r>
        <w:rPr>
          <w:rFonts w:hint="eastAsia" w:ascii="宋体" w:hAnsi="宋体" w:eastAsia="宋体" w:cs="宋体"/>
          <w:u w:val="single"/>
        </w:rPr>
        <w:t xml:space="preserve"> 90</w:t>
      </w:r>
      <w:r>
        <w:rPr>
          <w:rFonts w:hint="eastAsia" w:ascii="宋体" w:hAnsi="宋体" w:eastAsia="宋体" w:cs="宋体"/>
        </w:rPr>
        <w:t>天，不少于招标文件中载明的投标有效期（从提交投标文件的截止之日起90天）。</w:t>
      </w:r>
    </w:p>
    <w:p w14:paraId="3985491F">
      <w:pPr>
        <w:snapToGrid w:val="0"/>
        <w:ind w:firstLine="480"/>
        <w:rPr>
          <w:rFonts w:hint="eastAsia" w:ascii="宋体" w:hAnsi="宋体" w:eastAsia="宋体" w:cs="宋体"/>
        </w:rPr>
      </w:pPr>
      <w:r>
        <w:rPr>
          <w:rFonts w:hint="eastAsia" w:ascii="宋体" w:hAnsi="宋体" w:eastAsia="宋体" w:cs="宋体"/>
        </w:rPr>
        <w:t>5</w:t>
      </w:r>
      <w:r>
        <w:rPr>
          <w:rFonts w:hint="eastAsia" w:cs="宋体"/>
          <w:lang w:eastAsia="zh-CN"/>
        </w:rPr>
        <w:t>.</w:t>
      </w:r>
      <w:r>
        <w:rPr>
          <w:rFonts w:hint="eastAsia" w:ascii="宋体" w:hAnsi="宋体" w:eastAsia="宋体" w:cs="宋体"/>
        </w:rPr>
        <w:t>我方完全理解贵方不一定要接受最低价的投标。</w:t>
      </w:r>
    </w:p>
    <w:p w14:paraId="2D5F8B49">
      <w:pPr>
        <w:snapToGrid w:val="0"/>
        <w:ind w:firstLine="480"/>
        <w:rPr>
          <w:rFonts w:hint="eastAsia" w:ascii="宋体" w:hAnsi="宋体" w:eastAsia="宋体" w:cs="宋体"/>
        </w:rPr>
      </w:pPr>
      <w:r>
        <w:rPr>
          <w:rFonts w:hint="eastAsia" w:ascii="宋体" w:hAnsi="宋体" w:eastAsia="宋体" w:cs="宋体"/>
        </w:rPr>
        <w:t>6</w:t>
      </w:r>
      <w:r>
        <w:rPr>
          <w:rFonts w:hint="eastAsia" w:cs="宋体"/>
          <w:lang w:eastAsia="zh-CN"/>
        </w:rPr>
        <w:t>.</w:t>
      </w:r>
      <w:r>
        <w:rPr>
          <w:rFonts w:hint="eastAsia" w:ascii="宋体" w:hAnsi="宋体" w:eastAsia="宋体" w:cs="宋体"/>
        </w:rPr>
        <w:t>我方愿意向贵方提供任何与该项投标有关的数据、情况和技术资料。若贵方需要，我方愿意提供我方作出的一切承诺的证明材料。</w:t>
      </w:r>
    </w:p>
    <w:p w14:paraId="25A4AC6B">
      <w:pPr>
        <w:snapToGrid w:val="0"/>
        <w:ind w:firstLine="480"/>
        <w:rPr>
          <w:rFonts w:hint="eastAsia" w:ascii="宋体" w:hAnsi="宋体" w:eastAsia="宋体" w:cs="宋体"/>
        </w:rPr>
      </w:pPr>
      <w:r>
        <w:rPr>
          <w:rFonts w:hint="eastAsia" w:ascii="宋体" w:hAnsi="宋体" w:eastAsia="宋体" w:cs="宋体"/>
        </w:rPr>
        <w:t>7</w:t>
      </w:r>
      <w:r>
        <w:rPr>
          <w:rFonts w:hint="eastAsia" w:cs="宋体"/>
          <w:lang w:eastAsia="zh-CN"/>
        </w:rPr>
        <w:t>.</w:t>
      </w:r>
      <w:r>
        <w:rPr>
          <w:rFonts w:hint="eastAsia" w:ascii="宋体" w:hAnsi="宋体" w:eastAsia="宋体" w:cs="宋体"/>
        </w:rPr>
        <w:t>我方已详细审核全部招标文件，包括招标文件修改书(如果有)、参考资料及有关附件，确认无误。</w:t>
      </w:r>
    </w:p>
    <w:p w14:paraId="4AF7D7F9">
      <w:pPr>
        <w:snapToGrid w:val="0"/>
        <w:ind w:firstLine="480"/>
        <w:rPr>
          <w:rFonts w:hint="eastAsia" w:ascii="宋体" w:hAnsi="宋体" w:eastAsia="宋体" w:cs="宋体"/>
        </w:rPr>
      </w:pPr>
      <w:r>
        <w:rPr>
          <w:rFonts w:hint="eastAsia" w:ascii="宋体" w:hAnsi="宋体" w:eastAsia="宋体" w:cs="宋体"/>
        </w:rPr>
        <w:t>8</w:t>
      </w:r>
      <w:r>
        <w:rPr>
          <w:rFonts w:hint="eastAsia" w:cs="宋体"/>
          <w:lang w:eastAsia="zh-CN"/>
        </w:rPr>
        <w:t>.</w:t>
      </w:r>
      <w:r>
        <w:rPr>
          <w:rFonts w:hint="eastAsia" w:ascii="宋体" w:hAnsi="宋体" w:eastAsia="宋体" w:cs="宋体"/>
        </w:rPr>
        <w:t>我方将严格遵守相关法律规定，投标人有下列情形之一的，处以招标金额5‰以上10‰以下的罚款，列入不良行为记录名单，在一至三年内禁止参加招标活动；有违法所得的，并处没收违法所得；情节严重的，由工商行政管理机关吊销营业执照；构成犯罪的，依法追究刑事责任：</w:t>
      </w:r>
    </w:p>
    <w:p w14:paraId="41911D6D">
      <w:pPr>
        <w:snapToGrid w:val="0"/>
        <w:ind w:firstLine="480"/>
        <w:rPr>
          <w:rFonts w:hint="eastAsia" w:ascii="宋体" w:hAnsi="宋体" w:eastAsia="宋体" w:cs="宋体"/>
        </w:rPr>
      </w:pPr>
      <w:r>
        <w:rPr>
          <w:rFonts w:hint="eastAsia" w:cs="宋体"/>
          <w:lang w:val="en-US" w:eastAsia="zh-CN"/>
        </w:rPr>
        <w:t>a）</w:t>
      </w:r>
      <w:r>
        <w:rPr>
          <w:rFonts w:hint="eastAsia" w:ascii="宋体" w:hAnsi="宋体" w:eastAsia="宋体" w:cs="宋体"/>
        </w:rPr>
        <w:t>提供虚假材料谋取中标、成交的；</w:t>
      </w:r>
    </w:p>
    <w:p w14:paraId="049CB251">
      <w:pPr>
        <w:snapToGrid w:val="0"/>
        <w:ind w:firstLine="480"/>
        <w:rPr>
          <w:rFonts w:hint="eastAsia" w:ascii="宋体" w:hAnsi="宋体" w:eastAsia="宋体" w:cs="宋体"/>
        </w:rPr>
      </w:pPr>
      <w:r>
        <w:rPr>
          <w:rFonts w:hint="eastAsia" w:cs="宋体"/>
          <w:lang w:val="en-US" w:eastAsia="zh-CN"/>
        </w:rPr>
        <w:t>b）</w:t>
      </w:r>
      <w:r>
        <w:rPr>
          <w:rFonts w:hint="eastAsia" w:ascii="宋体" w:hAnsi="宋体" w:eastAsia="宋体" w:cs="宋体"/>
        </w:rPr>
        <w:t>采取不正当手段诋毁、排挤其他投标人的；</w:t>
      </w:r>
    </w:p>
    <w:p w14:paraId="1EA2930A">
      <w:pPr>
        <w:snapToGrid w:val="0"/>
        <w:ind w:firstLine="480"/>
        <w:rPr>
          <w:rFonts w:hint="eastAsia" w:ascii="宋体" w:hAnsi="宋体" w:eastAsia="宋体" w:cs="宋体"/>
        </w:rPr>
      </w:pPr>
      <w:r>
        <w:rPr>
          <w:rFonts w:hint="eastAsia" w:cs="宋体"/>
          <w:lang w:val="en-US" w:eastAsia="zh-CN"/>
        </w:rPr>
        <w:t>c）</w:t>
      </w:r>
      <w:r>
        <w:rPr>
          <w:rFonts w:hint="eastAsia" w:ascii="宋体" w:hAnsi="宋体" w:eastAsia="宋体" w:cs="宋体"/>
        </w:rPr>
        <w:t>与招标人、其它投标人或者招标代理机构恶意串通的；</w:t>
      </w:r>
    </w:p>
    <w:p w14:paraId="23D2B8B3">
      <w:pPr>
        <w:snapToGrid w:val="0"/>
        <w:ind w:firstLine="480"/>
        <w:rPr>
          <w:rFonts w:hint="eastAsia" w:ascii="宋体" w:hAnsi="宋体" w:eastAsia="宋体" w:cs="宋体"/>
        </w:rPr>
      </w:pPr>
      <w:r>
        <w:rPr>
          <w:rFonts w:hint="eastAsia" w:cs="宋体"/>
          <w:lang w:val="en-US" w:eastAsia="zh-CN"/>
        </w:rPr>
        <w:t>d）</w:t>
      </w:r>
      <w:r>
        <w:rPr>
          <w:rFonts w:hint="eastAsia" w:ascii="宋体" w:hAnsi="宋体" w:eastAsia="宋体" w:cs="宋体"/>
        </w:rPr>
        <w:t>向招标人、招标代理机构行贿或者提供其他不正当利益的；</w:t>
      </w:r>
    </w:p>
    <w:p w14:paraId="0704777C">
      <w:pPr>
        <w:snapToGrid w:val="0"/>
        <w:ind w:firstLine="480"/>
        <w:rPr>
          <w:rFonts w:hint="eastAsia" w:ascii="宋体" w:hAnsi="宋体" w:eastAsia="宋体" w:cs="宋体"/>
        </w:rPr>
      </w:pPr>
      <w:r>
        <w:rPr>
          <w:rFonts w:hint="eastAsia" w:cs="宋体"/>
          <w:lang w:val="en-US" w:eastAsia="zh-CN"/>
        </w:rPr>
        <w:t>e）</w:t>
      </w:r>
      <w:r>
        <w:rPr>
          <w:rFonts w:hint="eastAsia" w:ascii="宋体" w:hAnsi="宋体" w:eastAsia="宋体" w:cs="宋体"/>
        </w:rPr>
        <w:t>在招标过程中与招标人进行协商谈判的；</w:t>
      </w:r>
    </w:p>
    <w:p w14:paraId="4021D649">
      <w:pPr>
        <w:snapToGrid w:val="0"/>
        <w:ind w:firstLine="480"/>
        <w:rPr>
          <w:rFonts w:hint="eastAsia" w:ascii="宋体" w:hAnsi="宋体" w:eastAsia="宋体" w:cs="宋体"/>
        </w:rPr>
      </w:pPr>
      <w:r>
        <w:rPr>
          <w:rFonts w:hint="eastAsia" w:cs="宋体"/>
          <w:lang w:val="en-US" w:eastAsia="zh-CN"/>
        </w:rPr>
        <w:t>f）</w:t>
      </w:r>
      <w:r>
        <w:rPr>
          <w:rFonts w:hint="eastAsia" w:ascii="宋体" w:hAnsi="宋体" w:eastAsia="宋体" w:cs="宋体"/>
        </w:rPr>
        <w:t>拒绝有关部门监督检查或提供虚假情况的。</w:t>
      </w:r>
    </w:p>
    <w:p w14:paraId="29DF336E">
      <w:pPr>
        <w:snapToGrid w:val="0"/>
        <w:ind w:firstLine="480"/>
        <w:rPr>
          <w:rFonts w:hint="eastAsia" w:ascii="宋体" w:hAnsi="宋体" w:eastAsia="宋体" w:cs="宋体"/>
        </w:rPr>
      </w:pPr>
      <w:r>
        <w:rPr>
          <w:rFonts w:hint="eastAsia" w:ascii="宋体" w:hAnsi="宋体" w:eastAsia="宋体" w:cs="宋体"/>
        </w:rPr>
        <w:t>投标人有前款第a</w:t>
      </w:r>
      <w:r>
        <w:rPr>
          <w:rFonts w:hint="eastAsia" w:cs="宋体"/>
          <w:lang w:eastAsia="zh-CN"/>
        </w:rPr>
        <w:t>）</w:t>
      </w:r>
      <w:r>
        <w:rPr>
          <w:rFonts w:hint="eastAsia" w:ascii="宋体" w:hAnsi="宋体" w:eastAsia="宋体" w:cs="宋体"/>
        </w:rPr>
        <w:t>至</w:t>
      </w:r>
      <w:r>
        <w:rPr>
          <w:rFonts w:hint="eastAsia" w:cs="宋体"/>
          <w:lang w:val="en-US" w:eastAsia="zh-CN"/>
        </w:rPr>
        <w:t>f</w:t>
      </w:r>
      <w:r>
        <w:rPr>
          <w:rFonts w:hint="eastAsia" w:cs="宋体"/>
          <w:lang w:eastAsia="zh-CN"/>
        </w:rPr>
        <w:t>）</w:t>
      </w:r>
      <w:r>
        <w:rPr>
          <w:rFonts w:hint="eastAsia" w:ascii="宋体" w:hAnsi="宋体" w:eastAsia="宋体" w:cs="宋体"/>
        </w:rPr>
        <w:t>项情形之一的，中标、成交无效。</w:t>
      </w:r>
    </w:p>
    <w:p w14:paraId="1ABD48AC">
      <w:pPr>
        <w:ind w:firstLine="3600" w:firstLineChars="1500"/>
        <w:rPr>
          <w:rFonts w:hint="eastAsia" w:ascii="宋体" w:hAnsi="宋体" w:eastAsia="宋体" w:cs="宋体"/>
        </w:rPr>
      </w:pPr>
    </w:p>
    <w:p w14:paraId="58F2FD17">
      <w:pPr>
        <w:pStyle w:val="79"/>
        <w:rPr>
          <w:rFonts w:hint="eastAsia" w:ascii="宋体" w:hAnsi="宋体" w:eastAsia="宋体" w:cs="宋体"/>
          <w:color w:val="auto"/>
        </w:rPr>
      </w:pPr>
    </w:p>
    <w:p w14:paraId="272E75F0">
      <w:pPr>
        <w:spacing w:line="480" w:lineRule="auto"/>
        <w:ind w:firstLine="480"/>
        <w:rPr>
          <w:rFonts w:hint="eastAsia" w:ascii="宋体" w:hAnsi="宋体" w:eastAsia="宋体" w:cs="宋体"/>
        </w:rPr>
      </w:pPr>
      <w:r>
        <w:rPr>
          <w:rFonts w:hint="eastAsia" w:ascii="宋体" w:hAnsi="宋体" w:eastAsia="宋体" w:cs="宋体"/>
        </w:rPr>
        <w:t>投标人名称（公章）：</w:t>
      </w:r>
    </w:p>
    <w:p w14:paraId="06FAFBAF">
      <w:pPr>
        <w:spacing w:line="48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（签字或盖章）：</w:t>
      </w:r>
    </w:p>
    <w:p w14:paraId="496A4FEA">
      <w:pPr>
        <w:spacing w:line="480" w:lineRule="auto"/>
        <w:ind w:firstLine="480"/>
        <w:rPr>
          <w:rFonts w:hint="eastAsia" w:ascii="宋体" w:hAnsi="宋体" w:eastAsia="宋体" w:cs="宋体"/>
        </w:rPr>
      </w:pPr>
      <w:r>
        <w:rPr>
          <w:rFonts w:hint="eastAsia" w:ascii="宋体" w:hAnsi="宋体" w:eastAsia="宋体" w:cs="宋体"/>
        </w:rPr>
        <w:t>日期：  年   月   日</w:t>
      </w:r>
    </w:p>
    <w:p w14:paraId="33708DAE">
      <w:pPr>
        <w:pStyle w:val="4"/>
        <w:rPr>
          <w:rFonts w:hint="eastAsia" w:ascii="宋体" w:hAnsi="宋体" w:eastAsia="宋体" w:cs="宋体"/>
          <w:szCs w:val="24"/>
        </w:rPr>
      </w:pPr>
    </w:p>
    <w:p w14:paraId="552C0252">
      <w:pPr>
        <w:bidi w:val="0"/>
        <w:rPr>
          <w:rFonts w:hint="eastAsia"/>
        </w:rPr>
      </w:pPr>
    </w:p>
    <w:p w14:paraId="68777C65">
      <w:pPr>
        <w:bidi w:val="0"/>
        <w:rPr>
          <w:rFonts w:hint="eastAsia"/>
        </w:rPr>
      </w:pPr>
    </w:p>
    <w:p w14:paraId="1CCE3D78">
      <w:pPr>
        <w:bidi w:val="0"/>
        <w:rPr>
          <w:rFonts w:hint="eastAsia"/>
        </w:rPr>
      </w:pPr>
      <w:r>
        <w:rPr>
          <w:rFonts w:hint="eastAsia" w:ascii="宋体" w:hAnsi="宋体" w:eastAsia="宋体" w:cs="宋体"/>
          <w:b/>
          <w:bCs/>
          <w:lang w:val="zh-CN"/>
        </w:rPr>
        <w:t>注：未按照本投标响应函要求填报的将被视为非实质性响应投标，从而可能导致该投标被拒绝。</w:t>
      </w:r>
    </w:p>
    <w:p w14:paraId="7FB54404">
      <w:pPr>
        <w:tabs>
          <w:tab w:val="left" w:pos="545"/>
        </w:tabs>
        <w:bidi w:val="0"/>
        <w:jc w:val="left"/>
        <w:rPr>
          <w:rFonts w:hint="eastAsia" w:eastAsia="宋体"/>
          <w:lang w:eastAsia="zh-CN"/>
        </w:rPr>
        <w:sectPr>
          <w:pgSz w:w="11906" w:h="16838"/>
          <w:pgMar w:top="1440" w:right="1304" w:bottom="1020" w:left="1304" w:header="851" w:footer="992" w:gutter="0"/>
          <w:pgNumType w:fmt="decimal"/>
          <w:cols w:space="720" w:num="1"/>
          <w:docGrid w:type="lines" w:linePitch="312" w:charSpace="0"/>
        </w:sectPr>
      </w:pPr>
      <w:r>
        <w:rPr>
          <w:rFonts w:hint="eastAsia"/>
          <w:lang w:eastAsia="zh-CN"/>
        </w:rPr>
        <w:tab/>
      </w:r>
    </w:p>
    <w:p w14:paraId="60570567">
      <w:pPr>
        <w:pStyle w:val="4"/>
        <w:spacing w:line="240" w:lineRule="auto"/>
        <w:rPr>
          <w:rFonts w:hint="eastAsia" w:ascii="宋体" w:hAnsi="宋体" w:eastAsia="宋体" w:cs="宋体"/>
          <w:szCs w:val="24"/>
          <w:lang w:eastAsia="zh-CN"/>
        </w:rPr>
      </w:pPr>
      <w:r>
        <w:rPr>
          <w:rFonts w:hint="eastAsia" w:ascii="宋体" w:hAnsi="宋体" w:eastAsia="宋体" w:cs="宋体"/>
          <w:szCs w:val="24"/>
        </w:rPr>
        <w:t>附件</w:t>
      </w:r>
      <w:r>
        <w:rPr>
          <w:rFonts w:hint="eastAsia" w:ascii="宋体" w:hAnsi="宋体" w:eastAsia="宋体" w:cs="宋体"/>
          <w:szCs w:val="24"/>
          <w:lang w:eastAsia="zh-CN"/>
        </w:rPr>
        <w:t>十</w:t>
      </w:r>
      <w:r>
        <w:rPr>
          <w:rFonts w:hint="eastAsia" w:cs="宋体"/>
          <w:szCs w:val="24"/>
          <w:lang w:eastAsia="zh-CN"/>
        </w:rPr>
        <w:t>二</w:t>
      </w:r>
    </w:p>
    <w:p w14:paraId="54278F7D">
      <w:pPr>
        <w:pStyle w:val="180"/>
        <w:keepNext w:val="0"/>
        <w:pageBreakBefore w:val="0"/>
        <w:tabs>
          <w:tab w:val="clear" w:pos="720"/>
        </w:tabs>
        <w:spacing w:line="460" w:lineRule="exact"/>
        <w:ind w:firstLine="3935" w:firstLineChars="1400"/>
        <w:jc w:val="both"/>
        <w:outlineLvl w:val="9"/>
        <w:rPr>
          <w:rFonts w:hint="eastAsia" w:ascii="宋体" w:hAnsi="宋体" w:eastAsia="宋体" w:cs="宋体"/>
          <w:bCs/>
          <w:kern w:val="2"/>
          <w:sz w:val="28"/>
          <w:szCs w:val="28"/>
        </w:rPr>
      </w:pPr>
      <w:r>
        <w:rPr>
          <w:rFonts w:hint="eastAsia" w:ascii="宋体" w:hAnsi="宋体" w:eastAsia="宋体" w:cs="宋体"/>
          <w:bCs/>
          <w:kern w:val="2"/>
          <w:sz w:val="28"/>
          <w:szCs w:val="28"/>
        </w:rPr>
        <w:t>开标一览表</w:t>
      </w:r>
    </w:p>
    <w:p w14:paraId="47556521">
      <w:pPr>
        <w:spacing w:line="360" w:lineRule="auto"/>
        <w:ind w:firstLine="0" w:firstLineChars="0"/>
        <w:rPr>
          <w:rFonts w:hint="eastAsia" w:ascii="宋体" w:hAnsi="宋体" w:eastAsia="宋体" w:cs="宋体"/>
        </w:rPr>
      </w:pPr>
      <w:r>
        <w:rPr>
          <w:rFonts w:hint="eastAsia" w:ascii="宋体" w:hAnsi="宋体" w:eastAsia="宋体" w:cs="宋体"/>
        </w:rPr>
        <w:t>致：</w:t>
      </w:r>
      <w:r>
        <w:rPr>
          <w:rFonts w:hint="eastAsia" w:cs="宋体"/>
          <w:u w:val="single"/>
          <w:lang w:eastAsia="zh-CN"/>
        </w:rPr>
        <w:t>（招标人）（代理机构）</w:t>
      </w:r>
      <w:r>
        <w:rPr>
          <w:rFonts w:hint="eastAsia" w:ascii="宋体" w:hAnsi="宋体" w:eastAsia="宋体" w:cs="宋体"/>
        </w:rPr>
        <w:t xml:space="preserve"> </w:t>
      </w:r>
    </w:p>
    <w:p w14:paraId="1189602E">
      <w:pPr>
        <w:pStyle w:val="180"/>
        <w:keepNext w:val="0"/>
        <w:pageBreakBefore w:val="0"/>
        <w:tabs>
          <w:tab w:val="clear" w:pos="720"/>
        </w:tabs>
        <w:spacing w:line="360" w:lineRule="auto"/>
        <w:ind w:firstLine="480"/>
        <w:jc w:val="both"/>
        <w:outlineLvl w:val="9"/>
        <w:rPr>
          <w:rFonts w:hint="eastAsia" w:ascii="宋体" w:hAnsi="宋体" w:eastAsia="宋体" w:cs="宋体"/>
          <w:b w:val="0"/>
          <w:kern w:val="0"/>
          <w:sz w:val="24"/>
          <w:lang w:val="zh-CN"/>
        </w:rPr>
      </w:pPr>
      <w:r>
        <w:rPr>
          <w:rFonts w:hint="eastAsia" w:ascii="宋体" w:hAnsi="宋体" w:eastAsia="宋体" w:cs="宋体"/>
          <w:b w:val="0"/>
          <w:kern w:val="0"/>
          <w:sz w:val="24"/>
          <w:lang w:val="zh-CN"/>
        </w:rPr>
        <w:t>按招标文件要求，我方（</w:t>
      </w:r>
      <w:r>
        <w:rPr>
          <w:rFonts w:hint="eastAsia" w:ascii="宋体" w:hAnsi="宋体" w:eastAsia="宋体" w:cs="宋体"/>
          <w:b w:val="0"/>
          <w:kern w:val="0"/>
          <w:sz w:val="24"/>
        </w:rPr>
        <w:t>投标人</w:t>
      </w:r>
      <w:r>
        <w:rPr>
          <w:rFonts w:hint="eastAsia" w:ascii="宋体" w:hAnsi="宋体" w:eastAsia="宋体" w:cs="宋体"/>
          <w:b w:val="0"/>
          <w:kern w:val="0"/>
          <w:sz w:val="24"/>
          <w:lang w:val="zh-CN"/>
        </w:rPr>
        <w:t>）承诺按照如下开标一览表的价格完成[</w:t>
      </w:r>
      <w:r>
        <w:rPr>
          <w:rFonts w:hint="eastAsia" w:ascii="宋体" w:hAnsi="宋体" w:eastAsia="宋体" w:cs="宋体"/>
          <w:b w:val="0"/>
          <w:kern w:val="0"/>
          <w:sz w:val="24"/>
        </w:rPr>
        <w:t>项目</w:t>
      </w:r>
      <w:r>
        <w:rPr>
          <w:rFonts w:hint="eastAsia" w:ascii="宋体" w:hAnsi="宋体" w:eastAsia="宋体" w:cs="宋体"/>
          <w:b w:val="0"/>
          <w:kern w:val="0"/>
          <w:sz w:val="24"/>
          <w:lang w:val="zh-CN"/>
        </w:rPr>
        <w:t>编号：</w:t>
      </w:r>
      <w:r>
        <w:rPr>
          <w:rFonts w:hint="eastAsia" w:ascii="宋体" w:hAnsi="宋体" w:eastAsia="宋体" w:cs="宋体"/>
          <w:b w:val="0"/>
          <w:kern w:val="0"/>
          <w:sz w:val="24"/>
          <w:u w:val="single"/>
        </w:rPr>
        <w:t xml:space="preserve">       </w:t>
      </w:r>
      <w:r>
        <w:rPr>
          <w:rFonts w:hint="eastAsia" w:ascii="宋体" w:hAnsi="宋体" w:eastAsia="宋体" w:cs="宋体"/>
          <w:b w:val="0"/>
          <w:kern w:val="0"/>
          <w:sz w:val="24"/>
          <w:lang w:val="zh-CN"/>
        </w:rPr>
        <w:t>][项目名称：</w:t>
      </w:r>
      <w:r>
        <w:rPr>
          <w:rFonts w:hint="eastAsia" w:ascii="宋体" w:hAnsi="宋体" w:eastAsia="宋体" w:cs="宋体"/>
          <w:b w:val="0"/>
          <w:sz w:val="24"/>
          <w:u w:val="single"/>
        </w:rPr>
        <w:t xml:space="preserve">      </w:t>
      </w:r>
      <w:r>
        <w:rPr>
          <w:rFonts w:hint="eastAsia" w:ascii="宋体" w:hAnsi="宋体" w:eastAsia="宋体" w:cs="宋体"/>
          <w:b w:val="0"/>
          <w:kern w:val="0"/>
          <w:sz w:val="24"/>
          <w:lang w:val="zh-CN"/>
        </w:rPr>
        <w:t>]的</w:t>
      </w:r>
      <w:r>
        <w:rPr>
          <w:rFonts w:hint="eastAsia" w:ascii="宋体" w:hAnsi="宋体" w:eastAsia="宋体" w:cs="宋体"/>
          <w:b w:val="0"/>
          <w:kern w:val="0"/>
          <w:sz w:val="24"/>
        </w:rPr>
        <w:t>内容</w:t>
      </w:r>
      <w:r>
        <w:rPr>
          <w:rFonts w:hint="eastAsia" w:ascii="宋体" w:hAnsi="宋体" w:eastAsia="宋体" w:cs="宋体"/>
          <w:b w:val="0"/>
          <w:kern w:val="0"/>
          <w:sz w:val="24"/>
          <w:lang w:val="zh-CN"/>
        </w:rPr>
        <w:t>实施。</w:t>
      </w:r>
    </w:p>
    <w:p w14:paraId="51A99E47">
      <w:pPr>
        <w:pStyle w:val="180"/>
        <w:keepNext w:val="0"/>
        <w:pageBreakBefore w:val="0"/>
        <w:tabs>
          <w:tab w:val="clear" w:pos="720"/>
        </w:tabs>
        <w:spacing w:line="360" w:lineRule="auto"/>
        <w:ind w:firstLine="480"/>
        <w:jc w:val="both"/>
        <w:outlineLvl w:val="9"/>
        <w:rPr>
          <w:rFonts w:hint="eastAsia" w:ascii="宋体" w:hAnsi="宋体" w:eastAsia="宋体" w:cs="宋体"/>
          <w:b w:val="0"/>
          <w:kern w:val="0"/>
          <w:sz w:val="24"/>
          <w:lang w:val="zh-CN"/>
        </w:rPr>
      </w:pPr>
    </w:p>
    <w:tbl>
      <w:tblPr>
        <w:tblStyle w:val="44"/>
        <w:tblW w:w="9640" w:type="dxa"/>
        <w:tblInd w:w="-3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486"/>
        <w:gridCol w:w="5154"/>
      </w:tblGrid>
      <w:tr w14:paraId="2FC3EE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78" w:hRule="atLeast"/>
        </w:trPr>
        <w:tc>
          <w:tcPr>
            <w:tcW w:w="4486" w:type="dxa"/>
            <w:tcBorders>
              <w:top w:val="single" w:color="auto" w:sz="4" w:space="0"/>
              <w:left w:val="single" w:color="auto" w:sz="4" w:space="0"/>
              <w:bottom w:val="single" w:color="auto" w:sz="4" w:space="0"/>
              <w:right w:val="single" w:color="auto" w:sz="4" w:space="0"/>
            </w:tcBorders>
            <w:vAlign w:val="center"/>
          </w:tcPr>
          <w:p w14:paraId="59955AE0">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auto"/>
              <w:rPr>
                <w:rFonts w:hint="eastAsia" w:ascii="宋体" w:hAnsi="宋体" w:eastAsia="宋体" w:cs="宋体"/>
                <w:b/>
                <w:bCs/>
                <w:spacing w:val="-6"/>
                <w:u w:val="single"/>
                <w:lang w:eastAsia="zh-CN"/>
              </w:rPr>
            </w:pPr>
            <w:r>
              <w:rPr>
                <w:rFonts w:hint="eastAsia" w:cs="宋体"/>
                <w:b/>
                <w:bCs/>
                <w:spacing w:val="-6"/>
                <w:u w:val="none"/>
                <w:lang w:eastAsia="zh-CN"/>
              </w:rPr>
              <w:t>项目名称</w:t>
            </w:r>
          </w:p>
        </w:tc>
        <w:tc>
          <w:tcPr>
            <w:tcW w:w="5154" w:type="dxa"/>
            <w:tcBorders>
              <w:top w:val="single" w:color="auto" w:sz="4" w:space="0"/>
              <w:left w:val="single" w:color="auto" w:sz="4" w:space="0"/>
              <w:bottom w:val="single" w:color="auto" w:sz="4" w:space="0"/>
              <w:right w:val="single" w:color="auto" w:sz="4" w:space="0"/>
            </w:tcBorders>
            <w:vAlign w:val="center"/>
          </w:tcPr>
          <w:p w14:paraId="0E3B5A45">
            <w:pPr>
              <w:keepNext w:val="0"/>
              <w:keepLines w:val="0"/>
              <w:pageBreakBefore w:val="0"/>
              <w:widowControl w:val="0"/>
              <w:kinsoku/>
              <w:wordWrap/>
              <w:overflowPunct/>
              <w:topLinePunct w:val="0"/>
              <w:autoSpaceDE/>
              <w:autoSpaceDN/>
              <w:bidi w:val="0"/>
              <w:adjustRightInd w:val="0"/>
              <w:snapToGrid w:val="0"/>
              <w:spacing w:line="480" w:lineRule="exact"/>
              <w:ind w:left="0" w:leftChars="0" w:firstLine="0" w:firstLineChars="0"/>
              <w:jc w:val="center"/>
              <w:textAlignment w:val="auto"/>
              <w:rPr>
                <w:rFonts w:hint="eastAsia" w:ascii="宋体" w:hAnsi="宋体" w:eastAsia="宋体" w:cs="宋体"/>
                <w:b/>
                <w:bCs/>
                <w:spacing w:val="-6"/>
                <w:u w:val="single"/>
                <w:lang w:eastAsia="zh-CN"/>
              </w:rPr>
            </w:pPr>
            <w:r>
              <w:rPr>
                <w:rFonts w:hint="eastAsia" w:cs="宋体"/>
                <w:b/>
                <w:bCs/>
                <w:spacing w:val="-6"/>
                <w:u w:val="none"/>
                <w:lang w:eastAsia="zh-CN"/>
              </w:rPr>
              <w:t>投标总报价</w:t>
            </w:r>
          </w:p>
        </w:tc>
      </w:tr>
      <w:tr w14:paraId="231CF4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2" w:hRule="atLeast"/>
        </w:trPr>
        <w:tc>
          <w:tcPr>
            <w:tcW w:w="4486" w:type="dxa"/>
            <w:tcBorders>
              <w:top w:val="single" w:color="auto" w:sz="4" w:space="0"/>
              <w:left w:val="single" w:color="auto" w:sz="4" w:space="0"/>
              <w:bottom w:val="single" w:color="auto" w:sz="4" w:space="0"/>
              <w:right w:val="single" w:color="auto" w:sz="4" w:space="0"/>
            </w:tcBorders>
            <w:vAlign w:val="center"/>
          </w:tcPr>
          <w:p w14:paraId="5C97B068">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0" w:firstLineChars="0"/>
              <w:jc w:val="center"/>
              <w:textAlignment w:val="auto"/>
              <w:rPr>
                <w:rFonts w:hint="eastAsia" w:cs="宋体"/>
                <w:sz w:val="24"/>
                <w:szCs w:val="24"/>
                <w:u w:val="none"/>
                <w:lang w:eastAsia="zh-CN"/>
              </w:rPr>
            </w:pPr>
            <w:r>
              <w:rPr>
                <w:rFonts w:hint="eastAsia" w:cs="宋体"/>
                <w:sz w:val="24"/>
                <w:szCs w:val="24"/>
                <w:u w:val="none"/>
                <w:lang w:val="en-US" w:eastAsia="zh-CN"/>
              </w:rPr>
              <w:t>2025年</w:t>
            </w:r>
            <w:r>
              <w:rPr>
                <w:rFonts w:hint="eastAsia" w:cs="宋体"/>
                <w:sz w:val="24"/>
                <w:szCs w:val="24"/>
                <w:u w:val="none"/>
                <w:lang w:eastAsia="zh-CN"/>
              </w:rPr>
              <w:t>长兴县实验小学画溪校区</w:t>
            </w:r>
          </w:p>
          <w:p w14:paraId="21981AA1">
            <w:pPr>
              <w:keepNext w:val="0"/>
              <w:keepLines w:val="0"/>
              <w:pageBreakBefore w:val="0"/>
              <w:widowControl w:val="0"/>
              <w:kinsoku/>
              <w:wordWrap/>
              <w:overflowPunct/>
              <w:topLinePunct w:val="0"/>
              <w:autoSpaceDE/>
              <w:autoSpaceDN/>
              <w:bidi w:val="0"/>
              <w:adjustRightInd w:val="0"/>
              <w:snapToGrid w:val="0"/>
              <w:spacing w:line="500" w:lineRule="exact"/>
              <w:ind w:left="0" w:leftChars="0" w:firstLine="0" w:firstLineChars="0"/>
              <w:jc w:val="center"/>
              <w:textAlignment w:val="auto"/>
              <w:rPr>
                <w:rFonts w:hint="eastAsia" w:ascii="宋体" w:hAnsi="宋体" w:eastAsia="宋体" w:cs="宋体"/>
                <w:b/>
                <w:spacing w:val="-6"/>
              </w:rPr>
            </w:pPr>
            <w:r>
              <w:rPr>
                <w:rFonts w:hint="eastAsia" w:cs="宋体"/>
                <w:sz w:val="24"/>
                <w:szCs w:val="24"/>
                <w:u w:val="none"/>
                <w:lang w:eastAsia="zh-CN"/>
              </w:rPr>
              <w:t>新建工程厨房设备采购</w:t>
            </w:r>
            <w:r>
              <w:rPr>
                <w:rFonts w:hint="eastAsia" w:ascii="宋体" w:hAnsi="宋体" w:eastAsia="宋体" w:cs="宋体"/>
                <w:sz w:val="24"/>
                <w:szCs w:val="24"/>
                <w:u w:val="none"/>
              </w:rPr>
              <w:t>项目</w:t>
            </w:r>
          </w:p>
        </w:tc>
        <w:tc>
          <w:tcPr>
            <w:tcW w:w="5154" w:type="dxa"/>
            <w:tcBorders>
              <w:top w:val="single" w:color="auto" w:sz="4" w:space="0"/>
              <w:left w:val="single" w:color="auto" w:sz="4" w:space="0"/>
              <w:bottom w:val="single" w:color="auto" w:sz="4" w:space="0"/>
              <w:right w:val="single" w:color="auto" w:sz="4" w:space="0"/>
            </w:tcBorders>
            <w:vAlign w:val="center"/>
          </w:tcPr>
          <w:p w14:paraId="4BBF85F2">
            <w:pPr>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eastAsia="宋体"/>
                <w:lang w:val="en-US" w:eastAsia="zh-CN"/>
              </w:rPr>
            </w:pPr>
            <w:r>
              <w:rPr>
                <w:rFonts w:hint="eastAsia"/>
                <w:lang w:val="en-US" w:eastAsia="zh-CN"/>
              </w:rPr>
              <w:t>金额（小写）：</w:t>
            </w:r>
          </w:p>
          <w:p w14:paraId="44414880">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lang w:val="en-US" w:eastAsia="zh-CN"/>
              </w:rPr>
            </w:pPr>
            <w:r>
              <w:rPr>
                <w:rFonts w:hint="eastAsia"/>
                <w:lang w:val="en-US" w:eastAsia="zh-CN"/>
              </w:rPr>
              <w:t>（大写）：</w:t>
            </w:r>
          </w:p>
        </w:tc>
      </w:tr>
      <w:tr w14:paraId="6A25EC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9640" w:type="dxa"/>
            <w:gridSpan w:val="2"/>
            <w:tcBorders>
              <w:top w:val="single" w:color="auto" w:sz="4" w:space="0"/>
              <w:left w:val="single" w:color="auto" w:sz="4" w:space="0"/>
              <w:bottom w:val="single" w:color="auto" w:sz="4" w:space="0"/>
              <w:right w:val="single" w:color="auto" w:sz="4" w:space="0"/>
            </w:tcBorders>
            <w:vAlign w:val="center"/>
          </w:tcPr>
          <w:p w14:paraId="0903B0C8">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0" w:firstLineChars="0"/>
              <w:textAlignment w:val="auto"/>
              <w:rPr>
                <w:rFonts w:hint="eastAsia" w:eastAsia="宋体"/>
                <w:lang w:eastAsia="zh-CN"/>
              </w:rPr>
            </w:pPr>
            <w:r>
              <w:rPr>
                <w:rFonts w:hint="eastAsia"/>
                <w:lang w:eastAsia="zh-CN"/>
              </w:rPr>
              <w:t>交货期限：</w:t>
            </w:r>
          </w:p>
        </w:tc>
      </w:tr>
    </w:tbl>
    <w:p w14:paraId="1500210B">
      <w:pPr>
        <w:keepNext w:val="0"/>
        <w:keepLines w:val="0"/>
        <w:pageBreakBefore w:val="0"/>
        <w:widowControl w:val="0"/>
        <w:kinsoku/>
        <w:wordWrap/>
        <w:overflowPunct/>
        <w:topLinePunct w:val="0"/>
        <w:autoSpaceDE/>
        <w:autoSpaceDN/>
        <w:bidi w:val="0"/>
        <w:adjustRightInd/>
        <w:snapToGrid w:val="0"/>
        <w:spacing w:line="360" w:lineRule="exact"/>
        <w:ind w:firstLine="0" w:firstLineChars="0"/>
        <w:textAlignment w:val="auto"/>
        <w:rPr>
          <w:rFonts w:hint="eastAsia" w:ascii="宋体" w:hAnsi="宋体" w:eastAsia="宋体" w:cs="宋体"/>
          <w:b/>
          <w:sz w:val="24"/>
          <w:szCs w:val="24"/>
        </w:rPr>
      </w:pPr>
    </w:p>
    <w:p w14:paraId="14DE7348">
      <w:pPr>
        <w:keepNext w:val="0"/>
        <w:keepLines w:val="0"/>
        <w:pageBreakBefore w:val="0"/>
        <w:widowControl w:val="0"/>
        <w:kinsoku/>
        <w:wordWrap/>
        <w:overflowPunct/>
        <w:topLinePunct w:val="0"/>
        <w:autoSpaceDE/>
        <w:autoSpaceDN/>
        <w:bidi w:val="0"/>
        <w:adjustRightInd/>
        <w:snapToGrid w:val="0"/>
        <w:spacing w:line="460" w:lineRule="exact"/>
        <w:ind w:firstLine="0" w:firstLineChars="0"/>
        <w:textAlignment w:val="auto"/>
        <w:rPr>
          <w:rFonts w:hint="eastAsia" w:ascii="宋体" w:hAnsi="宋体" w:eastAsia="宋体" w:cs="宋体"/>
          <w:b/>
          <w:kern w:val="0"/>
          <w:lang w:val="zh-CN"/>
        </w:rPr>
      </w:pPr>
      <w:r>
        <w:rPr>
          <w:rFonts w:hint="eastAsia" w:ascii="宋体" w:hAnsi="宋体" w:eastAsia="宋体" w:cs="宋体"/>
          <w:b/>
          <w:sz w:val="24"/>
          <w:szCs w:val="24"/>
        </w:rPr>
        <w:t>▲</w:t>
      </w:r>
      <w:r>
        <w:rPr>
          <w:rFonts w:hint="eastAsia" w:ascii="宋体" w:hAnsi="宋体" w:eastAsia="宋体" w:cs="宋体"/>
          <w:b/>
          <w:kern w:val="0"/>
          <w:lang w:val="zh-CN"/>
        </w:rPr>
        <w:t>报价要求：</w:t>
      </w:r>
    </w:p>
    <w:p w14:paraId="4716DB6D">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en-US" w:eastAsia="zh-CN"/>
        </w:rPr>
      </w:pPr>
      <w:r>
        <w:rPr>
          <w:rFonts w:hint="eastAsia"/>
          <w:lang w:val="zh-CN"/>
        </w:rPr>
        <w:t>1</w:t>
      </w:r>
      <w:r>
        <w:rPr>
          <w:rFonts w:hint="eastAsia"/>
          <w:lang w:val="en-US" w:eastAsia="zh-CN"/>
        </w:rPr>
        <w:t>.本项目以人民币进行报价；投标总报价不得超过最高限价，否则按无效报价处理。</w:t>
      </w:r>
    </w:p>
    <w:p w14:paraId="5BF13B06">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zh-CN"/>
        </w:rPr>
      </w:pPr>
      <w:r>
        <w:rPr>
          <w:rFonts w:hint="eastAsia"/>
          <w:lang w:val="en-US" w:eastAsia="zh-CN"/>
        </w:rPr>
        <w:t>2.</w:t>
      </w:r>
      <w:r>
        <w:rPr>
          <w:rFonts w:hint="eastAsia"/>
          <w:lang w:val="zh-CN"/>
        </w:rPr>
        <w:t>投标人需按本表格式填写，不得自行更改。</w:t>
      </w:r>
    </w:p>
    <w:p w14:paraId="6E87BF16">
      <w:pPr>
        <w:keepNext w:val="0"/>
        <w:keepLines w:val="0"/>
        <w:pageBreakBefore w:val="0"/>
        <w:widowControl w:val="0"/>
        <w:kinsoku/>
        <w:wordWrap/>
        <w:overflowPunct/>
        <w:topLinePunct w:val="0"/>
        <w:autoSpaceDE/>
        <w:autoSpaceDN/>
        <w:bidi w:val="0"/>
        <w:adjustRightInd/>
        <w:spacing w:line="460" w:lineRule="exact"/>
        <w:textAlignment w:val="auto"/>
        <w:rPr>
          <w:rFonts w:hint="eastAsia"/>
          <w:lang w:val="en-US" w:eastAsia="zh-CN"/>
        </w:rPr>
      </w:pPr>
      <w:r>
        <w:rPr>
          <w:rFonts w:hint="eastAsia"/>
          <w:lang w:val="en-US" w:eastAsia="zh-CN"/>
        </w:rPr>
        <w:t>3.</w:t>
      </w:r>
      <w:r>
        <w:rPr>
          <w:rFonts w:hint="eastAsia"/>
          <w:lang w:val="zh-CN"/>
        </w:rPr>
        <w:t>有关本项目实施所涉及的一切费用（详见前附表）均计入报价。</w:t>
      </w:r>
    </w:p>
    <w:p w14:paraId="4A9A079F">
      <w:pPr>
        <w:keepNext w:val="0"/>
        <w:keepLines w:val="0"/>
        <w:pageBreakBefore w:val="0"/>
        <w:widowControl w:val="0"/>
        <w:kinsoku/>
        <w:wordWrap/>
        <w:overflowPunct/>
        <w:topLinePunct w:val="0"/>
        <w:autoSpaceDE/>
        <w:autoSpaceDN/>
        <w:bidi w:val="0"/>
        <w:adjustRightInd/>
        <w:spacing w:line="460" w:lineRule="exact"/>
        <w:textAlignment w:val="auto"/>
        <w:rPr>
          <w:rFonts w:hint="default"/>
          <w:lang w:val="en-US" w:eastAsia="zh-CN"/>
        </w:rPr>
      </w:pPr>
      <w:r>
        <w:rPr>
          <w:rFonts w:hint="eastAsia"/>
          <w:lang w:val="en-US" w:eastAsia="zh-CN"/>
        </w:rPr>
        <w:t>4.投标人</w:t>
      </w:r>
      <w:r>
        <w:rPr>
          <w:rFonts w:hint="eastAsia"/>
        </w:rPr>
        <w:t>只有一次报价的机会。</w:t>
      </w:r>
      <w:r>
        <w:rPr>
          <w:rFonts w:hint="eastAsia"/>
          <w:lang w:eastAsia="zh-CN"/>
        </w:rPr>
        <w:t>投标</w:t>
      </w:r>
      <w:r>
        <w:rPr>
          <w:rFonts w:hint="eastAsia"/>
        </w:rPr>
        <w:t>报价不得有选择性报价和附有条件的报价。</w:t>
      </w:r>
    </w:p>
    <w:p w14:paraId="7A8A323E">
      <w:pPr>
        <w:spacing w:line="360" w:lineRule="auto"/>
        <w:ind w:firstLine="480"/>
        <w:rPr>
          <w:rFonts w:hint="eastAsia" w:ascii="宋体" w:hAnsi="宋体" w:eastAsia="宋体" w:cs="宋体"/>
        </w:rPr>
      </w:pPr>
    </w:p>
    <w:p w14:paraId="67613BEC">
      <w:pPr>
        <w:spacing w:line="360" w:lineRule="auto"/>
        <w:ind w:firstLine="480"/>
        <w:rPr>
          <w:rFonts w:hint="eastAsia" w:ascii="宋体" w:hAnsi="宋体" w:eastAsia="宋体" w:cs="宋体"/>
        </w:rPr>
      </w:pPr>
    </w:p>
    <w:p w14:paraId="283F78BC">
      <w:pPr>
        <w:spacing w:line="360" w:lineRule="auto"/>
        <w:ind w:firstLine="480"/>
        <w:rPr>
          <w:rFonts w:hint="eastAsia" w:ascii="宋体" w:hAnsi="宋体" w:eastAsia="宋体" w:cs="宋体"/>
        </w:rPr>
      </w:pPr>
      <w:r>
        <w:rPr>
          <w:rFonts w:hint="eastAsia" w:ascii="宋体" w:hAnsi="宋体" w:eastAsia="宋体" w:cs="宋体"/>
        </w:rPr>
        <w:t>投标人名称（公章）：</w:t>
      </w:r>
    </w:p>
    <w:p w14:paraId="6F9420D1">
      <w:pPr>
        <w:spacing w:line="360" w:lineRule="auto"/>
        <w:ind w:firstLine="480"/>
        <w:rPr>
          <w:rFonts w:hint="eastAsia" w:ascii="宋体" w:hAnsi="宋体" w:eastAsia="宋体" w:cs="宋体"/>
        </w:rPr>
      </w:pPr>
      <w:r>
        <w:rPr>
          <w:rFonts w:hint="eastAsia" w:ascii="宋体" w:hAnsi="宋体" w:eastAsia="宋体" w:cs="宋体"/>
        </w:rPr>
        <w:t>法定代表人或其</w:t>
      </w:r>
      <w:r>
        <w:rPr>
          <w:rFonts w:hint="eastAsia" w:cs="宋体"/>
          <w:lang w:eastAsia="zh-CN"/>
        </w:rPr>
        <w:t>授权代表</w:t>
      </w:r>
      <w:r>
        <w:rPr>
          <w:rFonts w:hint="eastAsia" w:ascii="宋体" w:hAnsi="宋体" w:eastAsia="宋体" w:cs="宋体"/>
        </w:rPr>
        <w:t>（签字）：</w:t>
      </w:r>
    </w:p>
    <w:p w14:paraId="258DE564">
      <w:pPr>
        <w:spacing w:line="360" w:lineRule="auto"/>
        <w:ind w:firstLine="480"/>
        <w:rPr>
          <w:rFonts w:hint="eastAsia" w:ascii="宋体" w:hAnsi="宋体" w:eastAsia="宋体" w:cs="宋体"/>
        </w:rPr>
      </w:pPr>
      <w:r>
        <w:rPr>
          <w:rFonts w:hint="eastAsia" w:ascii="宋体" w:hAnsi="宋体" w:eastAsia="宋体" w:cs="宋体"/>
        </w:rPr>
        <w:t>日期：  年   月   日</w:t>
      </w:r>
    </w:p>
    <w:p w14:paraId="5C658DBA">
      <w:pPr>
        <w:pStyle w:val="4"/>
        <w:rPr>
          <w:rFonts w:hint="eastAsia" w:ascii="宋体" w:hAnsi="宋体" w:eastAsia="宋体" w:cs="宋体"/>
          <w:szCs w:val="24"/>
        </w:rPr>
        <w:sectPr>
          <w:pgSz w:w="11906" w:h="16838"/>
          <w:pgMar w:top="1440" w:right="1247" w:bottom="1020" w:left="1247" w:header="851" w:footer="992" w:gutter="0"/>
          <w:pgNumType w:fmt="decimal"/>
          <w:cols w:space="720" w:num="1"/>
          <w:docGrid w:type="lines" w:linePitch="312" w:charSpace="0"/>
        </w:sectPr>
      </w:pPr>
    </w:p>
    <w:bookmarkEnd w:id="40"/>
    <w:bookmarkEnd w:id="41"/>
    <w:bookmarkEnd w:id="42"/>
    <w:bookmarkEnd w:id="43"/>
    <w:bookmarkEnd w:id="44"/>
    <w:bookmarkEnd w:id="45"/>
    <w:bookmarkEnd w:id="46"/>
    <w:bookmarkEnd w:id="47"/>
    <w:p w14:paraId="60119832">
      <w:pPr>
        <w:bidi w:val="0"/>
        <w:spacing w:line="240" w:lineRule="auto"/>
        <w:ind w:left="0" w:leftChars="0" w:firstLine="0" w:firstLineChars="0"/>
        <w:jc w:val="left"/>
        <w:rPr>
          <w:rFonts w:hint="eastAsia" w:cs="宋体"/>
          <w:b/>
          <w:bCs/>
          <w:szCs w:val="24"/>
          <w:lang w:eastAsia="zh-CN"/>
        </w:rPr>
      </w:pPr>
      <w:r>
        <w:rPr>
          <w:rFonts w:hint="eastAsia" w:cs="宋体"/>
          <w:b/>
          <w:bCs/>
          <w:szCs w:val="24"/>
          <w:lang w:eastAsia="zh-CN"/>
        </w:rPr>
        <w:t>附件十三</w:t>
      </w:r>
    </w:p>
    <w:p w14:paraId="1218C786">
      <w:pPr>
        <w:tabs>
          <w:tab w:val="left" w:pos="1206"/>
        </w:tabs>
        <w:bidi w:val="0"/>
        <w:spacing w:line="480" w:lineRule="auto"/>
        <w:ind w:left="0" w:leftChars="0" w:firstLine="0" w:firstLineChars="0"/>
        <w:jc w:val="center"/>
        <w:rPr>
          <w:rFonts w:hint="eastAsia"/>
          <w:b/>
          <w:bCs/>
          <w:sz w:val="28"/>
          <w:szCs w:val="28"/>
          <w:lang w:val="en-US" w:eastAsia="zh-CN"/>
        </w:rPr>
      </w:pPr>
      <w:r>
        <w:rPr>
          <w:rFonts w:hint="eastAsia"/>
          <w:b/>
          <w:bCs/>
          <w:sz w:val="28"/>
          <w:szCs w:val="28"/>
          <w:lang w:val="en-US" w:eastAsia="zh-CN"/>
        </w:rPr>
        <w:t>报价明细表</w:t>
      </w:r>
    </w:p>
    <w:tbl>
      <w:tblPr>
        <w:tblStyle w:val="44"/>
        <w:tblW w:w="94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530"/>
        <w:gridCol w:w="1416"/>
        <w:gridCol w:w="3218"/>
        <w:gridCol w:w="1295"/>
        <w:gridCol w:w="1268"/>
      </w:tblGrid>
      <w:tr w14:paraId="4517A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722" w:type="dxa"/>
            <w:noWrap w:val="0"/>
            <w:vAlign w:val="center"/>
          </w:tcPr>
          <w:p w14:paraId="279F7056">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color w:val="auto"/>
                <w:sz w:val="24"/>
                <w:szCs w:val="24"/>
              </w:rPr>
              <w:t>序号</w:t>
            </w:r>
          </w:p>
        </w:tc>
        <w:tc>
          <w:tcPr>
            <w:tcW w:w="1530" w:type="dxa"/>
            <w:noWrap w:val="0"/>
            <w:vAlign w:val="center"/>
          </w:tcPr>
          <w:p w14:paraId="3B4E7E46">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cs="宋体"/>
                <w:bCs/>
                <w:color w:val="auto"/>
                <w:sz w:val="24"/>
                <w:szCs w:val="24"/>
                <w:lang w:eastAsia="zh-CN"/>
              </w:rPr>
              <w:t>设备</w:t>
            </w:r>
            <w:r>
              <w:rPr>
                <w:rFonts w:hint="eastAsia" w:ascii="宋体" w:hAnsi="宋体" w:eastAsia="宋体" w:cs="宋体"/>
                <w:bCs/>
                <w:color w:val="auto"/>
                <w:sz w:val="24"/>
                <w:szCs w:val="24"/>
              </w:rPr>
              <w:t>名称</w:t>
            </w:r>
          </w:p>
        </w:tc>
        <w:tc>
          <w:tcPr>
            <w:tcW w:w="1416" w:type="dxa"/>
            <w:noWrap w:val="0"/>
            <w:vAlign w:val="center"/>
          </w:tcPr>
          <w:p w14:paraId="7358B212">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default" w:ascii="宋体" w:hAnsi="宋体" w:eastAsia="宋体" w:cs="宋体"/>
                <w:bCs/>
                <w:color w:val="auto"/>
                <w:sz w:val="24"/>
                <w:szCs w:val="24"/>
                <w:lang w:val="en-US" w:eastAsia="zh-CN"/>
              </w:rPr>
            </w:pPr>
            <w:r>
              <w:rPr>
                <w:rFonts w:hint="eastAsia" w:cs="宋体"/>
                <w:bCs/>
                <w:color w:val="auto"/>
                <w:sz w:val="24"/>
                <w:szCs w:val="24"/>
                <w:lang w:eastAsia="zh-CN"/>
              </w:rPr>
              <w:t>数量</w:t>
            </w:r>
            <w:r>
              <w:rPr>
                <w:rFonts w:hint="eastAsia" w:cs="宋体"/>
                <w:bCs/>
                <w:color w:val="auto"/>
                <w:sz w:val="24"/>
                <w:szCs w:val="24"/>
                <w:lang w:val="en-US" w:eastAsia="zh-CN"/>
              </w:rPr>
              <w:t>/单位</w:t>
            </w:r>
          </w:p>
        </w:tc>
        <w:tc>
          <w:tcPr>
            <w:tcW w:w="3218" w:type="dxa"/>
            <w:noWrap w:val="0"/>
            <w:vAlign w:val="center"/>
          </w:tcPr>
          <w:p w14:paraId="3374DD41">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lang w:val="en-US" w:eastAsia="zh-CN"/>
              </w:rPr>
            </w:pPr>
            <w:r>
              <w:rPr>
                <w:rFonts w:hint="eastAsia" w:cs="宋体"/>
                <w:bCs/>
                <w:color w:val="auto"/>
                <w:sz w:val="24"/>
                <w:szCs w:val="24"/>
                <w:lang w:eastAsia="zh-CN"/>
              </w:rPr>
              <w:t>品牌、规格型号</w:t>
            </w:r>
          </w:p>
        </w:tc>
        <w:tc>
          <w:tcPr>
            <w:tcW w:w="1295" w:type="dxa"/>
            <w:noWrap w:val="0"/>
            <w:vAlign w:val="center"/>
          </w:tcPr>
          <w:p w14:paraId="49A4F077">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单价（元）</w:t>
            </w:r>
          </w:p>
        </w:tc>
        <w:tc>
          <w:tcPr>
            <w:tcW w:w="1268" w:type="dxa"/>
            <w:noWrap w:val="0"/>
            <w:vAlign w:val="center"/>
          </w:tcPr>
          <w:p w14:paraId="05ABEC66">
            <w:pPr>
              <w:keepNext w:val="0"/>
              <w:keepLines w:val="0"/>
              <w:pageBreakBefore w:val="0"/>
              <w:widowControl w:val="0"/>
              <w:kinsoku/>
              <w:wordWrap/>
              <w:overflowPunct/>
              <w:topLinePunct w:val="0"/>
              <w:autoSpaceDE/>
              <w:autoSpaceDN/>
              <w:bidi w:val="0"/>
              <w:adjustRightInd/>
              <w:snapToGrid/>
              <w:spacing w:line="340" w:lineRule="exact"/>
              <w:ind w:left="0" w:leftChars="0" w:firstLine="0" w:firstLineChars="0"/>
              <w:jc w:val="center"/>
              <w:textAlignment w:val="auto"/>
              <w:rPr>
                <w:rFonts w:hint="eastAsia" w:ascii="宋体" w:hAnsi="宋体" w:eastAsia="宋体" w:cs="宋体"/>
                <w:bCs/>
                <w:color w:val="auto"/>
                <w:sz w:val="24"/>
                <w:szCs w:val="24"/>
              </w:rPr>
            </w:pPr>
            <w:r>
              <w:rPr>
                <w:rFonts w:hint="eastAsia" w:cs="宋体"/>
                <w:bCs/>
                <w:color w:val="auto"/>
                <w:sz w:val="24"/>
                <w:szCs w:val="24"/>
                <w:lang w:eastAsia="zh-CN"/>
              </w:rPr>
              <w:t>合计</w:t>
            </w:r>
            <w:r>
              <w:rPr>
                <w:rFonts w:hint="eastAsia" w:ascii="宋体" w:hAnsi="宋体" w:eastAsia="宋体" w:cs="宋体"/>
                <w:bCs/>
                <w:color w:val="auto"/>
                <w:sz w:val="24"/>
                <w:szCs w:val="24"/>
                <w:lang w:eastAsia="zh-CN"/>
              </w:rPr>
              <w:t>（</w:t>
            </w:r>
            <w:r>
              <w:rPr>
                <w:rFonts w:hint="eastAsia" w:ascii="宋体" w:hAnsi="宋体" w:eastAsia="宋体" w:cs="宋体"/>
                <w:bCs/>
                <w:color w:val="auto"/>
                <w:sz w:val="24"/>
                <w:szCs w:val="24"/>
              </w:rPr>
              <w:t>元）</w:t>
            </w:r>
          </w:p>
        </w:tc>
      </w:tr>
      <w:tr w14:paraId="6B1C6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8" w:hRule="atLeast"/>
          <w:jc w:val="center"/>
        </w:trPr>
        <w:tc>
          <w:tcPr>
            <w:tcW w:w="722" w:type="dxa"/>
            <w:noWrap w:val="0"/>
            <w:vAlign w:val="center"/>
          </w:tcPr>
          <w:p w14:paraId="13860888">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1</w:t>
            </w:r>
          </w:p>
        </w:tc>
        <w:tc>
          <w:tcPr>
            <w:tcW w:w="1530" w:type="dxa"/>
            <w:noWrap w:val="0"/>
            <w:vAlign w:val="center"/>
          </w:tcPr>
          <w:p w14:paraId="78DD5584">
            <w:pPr>
              <w:widowControl/>
              <w:spacing w:line="440" w:lineRule="exact"/>
              <w:jc w:val="center"/>
              <w:rPr>
                <w:rFonts w:hint="eastAsia" w:ascii="宋体" w:hAnsi="宋体" w:eastAsia="宋体" w:cs="宋体"/>
                <w:color w:val="auto"/>
                <w:kern w:val="0"/>
                <w:sz w:val="24"/>
                <w:szCs w:val="24"/>
              </w:rPr>
            </w:pPr>
          </w:p>
        </w:tc>
        <w:tc>
          <w:tcPr>
            <w:tcW w:w="1416" w:type="dxa"/>
            <w:noWrap w:val="0"/>
            <w:vAlign w:val="center"/>
          </w:tcPr>
          <w:p w14:paraId="25046BCE">
            <w:pPr>
              <w:spacing w:line="440" w:lineRule="exact"/>
              <w:jc w:val="center"/>
              <w:rPr>
                <w:rFonts w:hint="eastAsia" w:ascii="宋体" w:hAnsi="宋体" w:eastAsia="宋体" w:cs="宋体"/>
                <w:bCs/>
                <w:color w:val="auto"/>
                <w:sz w:val="24"/>
                <w:szCs w:val="24"/>
              </w:rPr>
            </w:pPr>
          </w:p>
        </w:tc>
        <w:tc>
          <w:tcPr>
            <w:tcW w:w="3218" w:type="dxa"/>
            <w:noWrap w:val="0"/>
            <w:vAlign w:val="center"/>
          </w:tcPr>
          <w:p w14:paraId="58525C36">
            <w:pPr>
              <w:spacing w:line="440" w:lineRule="exact"/>
              <w:jc w:val="center"/>
              <w:rPr>
                <w:rFonts w:hint="eastAsia" w:ascii="宋体" w:hAnsi="宋体" w:eastAsia="宋体" w:cs="宋体"/>
                <w:bCs/>
                <w:color w:val="auto"/>
                <w:sz w:val="24"/>
                <w:szCs w:val="24"/>
              </w:rPr>
            </w:pPr>
          </w:p>
        </w:tc>
        <w:tc>
          <w:tcPr>
            <w:tcW w:w="1295" w:type="dxa"/>
            <w:noWrap w:val="0"/>
            <w:vAlign w:val="center"/>
          </w:tcPr>
          <w:p w14:paraId="525E650F">
            <w:pPr>
              <w:spacing w:line="440" w:lineRule="exact"/>
              <w:jc w:val="center"/>
              <w:rPr>
                <w:rFonts w:hint="eastAsia" w:ascii="宋体" w:hAnsi="宋体" w:eastAsia="宋体" w:cs="宋体"/>
                <w:bCs/>
                <w:color w:val="auto"/>
                <w:sz w:val="24"/>
                <w:szCs w:val="24"/>
              </w:rPr>
            </w:pPr>
          </w:p>
        </w:tc>
        <w:tc>
          <w:tcPr>
            <w:tcW w:w="1268" w:type="dxa"/>
            <w:noWrap w:val="0"/>
            <w:vAlign w:val="center"/>
          </w:tcPr>
          <w:p w14:paraId="57661DB1">
            <w:pPr>
              <w:spacing w:line="440" w:lineRule="exact"/>
              <w:jc w:val="center"/>
              <w:rPr>
                <w:rFonts w:hint="eastAsia" w:ascii="宋体" w:hAnsi="宋体" w:eastAsia="宋体" w:cs="宋体"/>
                <w:bCs/>
                <w:color w:val="auto"/>
                <w:sz w:val="24"/>
                <w:szCs w:val="24"/>
              </w:rPr>
            </w:pPr>
          </w:p>
        </w:tc>
      </w:tr>
      <w:tr w14:paraId="42D51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 w:hRule="atLeast"/>
          <w:jc w:val="center"/>
        </w:trPr>
        <w:tc>
          <w:tcPr>
            <w:tcW w:w="722" w:type="dxa"/>
            <w:noWrap w:val="0"/>
            <w:vAlign w:val="center"/>
          </w:tcPr>
          <w:p w14:paraId="454EC4B5">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2</w:t>
            </w:r>
          </w:p>
        </w:tc>
        <w:tc>
          <w:tcPr>
            <w:tcW w:w="1530" w:type="dxa"/>
            <w:noWrap w:val="0"/>
            <w:vAlign w:val="center"/>
          </w:tcPr>
          <w:p w14:paraId="6F602FA1">
            <w:pPr>
              <w:widowControl/>
              <w:spacing w:line="440" w:lineRule="exact"/>
              <w:jc w:val="center"/>
              <w:rPr>
                <w:rFonts w:hint="eastAsia" w:ascii="宋体" w:hAnsi="宋体" w:eastAsia="宋体" w:cs="宋体"/>
                <w:color w:val="auto"/>
                <w:kern w:val="0"/>
                <w:sz w:val="24"/>
                <w:szCs w:val="24"/>
              </w:rPr>
            </w:pPr>
          </w:p>
        </w:tc>
        <w:tc>
          <w:tcPr>
            <w:tcW w:w="1416" w:type="dxa"/>
            <w:noWrap w:val="0"/>
            <w:vAlign w:val="center"/>
          </w:tcPr>
          <w:p w14:paraId="60AF0A9D">
            <w:pPr>
              <w:spacing w:line="440" w:lineRule="exact"/>
              <w:jc w:val="center"/>
              <w:rPr>
                <w:rFonts w:hint="eastAsia" w:ascii="宋体" w:hAnsi="宋体" w:eastAsia="宋体" w:cs="宋体"/>
                <w:bCs/>
                <w:color w:val="auto"/>
                <w:sz w:val="24"/>
                <w:szCs w:val="24"/>
              </w:rPr>
            </w:pPr>
          </w:p>
        </w:tc>
        <w:tc>
          <w:tcPr>
            <w:tcW w:w="3218" w:type="dxa"/>
            <w:noWrap w:val="0"/>
            <w:vAlign w:val="center"/>
          </w:tcPr>
          <w:p w14:paraId="12E9A070">
            <w:pPr>
              <w:spacing w:line="440" w:lineRule="exact"/>
              <w:jc w:val="center"/>
              <w:rPr>
                <w:rFonts w:hint="eastAsia" w:ascii="宋体" w:hAnsi="宋体" w:eastAsia="宋体" w:cs="宋体"/>
                <w:bCs/>
                <w:color w:val="auto"/>
                <w:sz w:val="24"/>
                <w:szCs w:val="24"/>
              </w:rPr>
            </w:pPr>
          </w:p>
        </w:tc>
        <w:tc>
          <w:tcPr>
            <w:tcW w:w="1295" w:type="dxa"/>
            <w:noWrap w:val="0"/>
            <w:vAlign w:val="center"/>
          </w:tcPr>
          <w:p w14:paraId="47DB045D">
            <w:pPr>
              <w:spacing w:line="440" w:lineRule="exact"/>
              <w:jc w:val="center"/>
              <w:rPr>
                <w:rFonts w:hint="eastAsia" w:ascii="宋体" w:hAnsi="宋体" w:eastAsia="宋体" w:cs="宋体"/>
                <w:bCs/>
                <w:color w:val="auto"/>
                <w:sz w:val="24"/>
                <w:szCs w:val="24"/>
              </w:rPr>
            </w:pPr>
          </w:p>
        </w:tc>
        <w:tc>
          <w:tcPr>
            <w:tcW w:w="1268" w:type="dxa"/>
            <w:noWrap w:val="0"/>
            <w:vAlign w:val="center"/>
          </w:tcPr>
          <w:p w14:paraId="2F34C6DB">
            <w:pPr>
              <w:spacing w:line="440" w:lineRule="exact"/>
              <w:jc w:val="center"/>
              <w:rPr>
                <w:rFonts w:hint="eastAsia" w:ascii="宋体" w:hAnsi="宋体" w:eastAsia="宋体" w:cs="宋体"/>
                <w:bCs/>
                <w:color w:val="auto"/>
                <w:sz w:val="24"/>
                <w:szCs w:val="24"/>
              </w:rPr>
            </w:pPr>
          </w:p>
        </w:tc>
      </w:tr>
      <w:tr w14:paraId="07509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722" w:type="dxa"/>
            <w:noWrap w:val="0"/>
            <w:vAlign w:val="center"/>
          </w:tcPr>
          <w:p w14:paraId="791C1C6A">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3</w:t>
            </w:r>
          </w:p>
        </w:tc>
        <w:tc>
          <w:tcPr>
            <w:tcW w:w="1530" w:type="dxa"/>
            <w:noWrap w:val="0"/>
            <w:vAlign w:val="center"/>
          </w:tcPr>
          <w:p w14:paraId="0F170E76">
            <w:pPr>
              <w:spacing w:line="440" w:lineRule="exact"/>
              <w:jc w:val="center"/>
              <w:rPr>
                <w:rFonts w:hint="eastAsia" w:ascii="宋体" w:hAnsi="宋体" w:eastAsia="宋体" w:cs="宋体"/>
                <w:bCs/>
                <w:color w:val="auto"/>
                <w:sz w:val="24"/>
                <w:szCs w:val="24"/>
              </w:rPr>
            </w:pPr>
          </w:p>
        </w:tc>
        <w:tc>
          <w:tcPr>
            <w:tcW w:w="1416" w:type="dxa"/>
            <w:noWrap w:val="0"/>
            <w:vAlign w:val="center"/>
          </w:tcPr>
          <w:p w14:paraId="71C81896">
            <w:pPr>
              <w:spacing w:line="440" w:lineRule="exact"/>
              <w:jc w:val="center"/>
              <w:rPr>
                <w:rFonts w:hint="eastAsia" w:ascii="宋体" w:hAnsi="宋体" w:eastAsia="宋体" w:cs="宋体"/>
                <w:bCs/>
                <w:color w:val="auto"/>
                <w:sz w:val="24"/>
                <w:szCs w:val="24"/>
              </w:rPr>
            </w:pPr>
          </w:p>
        </w:tc>
        <w:tc>
          <w:tcPr>
            <w:tcW w:w="3218" w:type="dxa"/>
            <w:noWrap w:val="0"/>
            <w:vAlign w:val="center"/>
          </w:tcPr>
          <w:p w14:paraId="160D2A9F">
            <w:pPr>
              <w:spacing w:line="440" w:lineRule="exact"/>
              <w:jc w:val="center"/>
              <w:rPr>
                <w:rFonts w:hint="eastAsia" w:ascii="宋体" w:hAnsi="宋体" w:eastAsia="宋体" w:cs="宋体"/>
                <w:bCs/>
                <w:color w:val="auto"/>
                <w:sz w:val="24"/>
                <w:szCs w:val="24"/>
              </w:rPr>
            </w:pPr>
          </w:p>
        </w:tc>
        <w:tc>
          <w:tcPr>
            <w:tcW w:w="1295" w:type="dxa"/>
            <w:noWrap w:val="0"/>
            <w:vAlign w:val="center"/>
          </w:tcPr>
          <w:p w14:paraId="78FEB41F">
            <w:pPr>
              <w:spacing w:line="440" w:lineRule="exact"/>
              <w:jc w:val="center"/>
              <w:rPr>
                <w:rFonts w:hint="eastAsia" w:ascii="宋体" w:hAnsi="宋体" w:eastAsia="宋体" w:cs="宋体"/>
                <w:bCs/>
                <w:color w:val="auto"/>
                <w:sz w:val="24"/>
                <w:szCs w:val="24"/>
              </w:rPr>
            </w:pPr>
          </w:p>
        </w:tc>
        <w:tc>
          <w:tcPr>
            <w:tcW w:w="1268" w:type="dxa"/>
            <w:noWrap w:val="0"/>
            <w:vAlign w:val="center"/>
          </w:tcPr>
          <w:p w14:paraId="78255FDE">
            <w:pPr>
              <w:spacing w:line="440" w:lineRule="exact"/>
              <w:jc w:val="center"/>
              <w:rPr>
                <w:rFonts w:hint="eastAsia" w:ascii="宋体" w:hAnsi="宋体" w:eastAsia="宋体" w:cs="宋体"/>
                <w:bCs/>
                <w:color w:val="auto"/>
                <w:sz w:val="24"/>
                <w:szCs w:val="24"/>
              </w:rPr>
            </w:pPr>
          </w:p>
        </w:tc>
      </w:tr>
      <w:tr w14:paraId="0C745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722" w:type="dxa"/>
            <w:noWrap w:val="0"/>
            <w:vAlign w:val="center"/>
          </w:tcPr>
          <w:p w14:paraId="028D87FE">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4</w:t>
            </w:r>
          </w:p>
        </w:tc>
        <w:tc>
          <w:tcPr>
            <w:tcW w:w="1530" w:type="dxa"/>
            <w:noWrap w:val="0"/>
            <w:vAlign w:val="center"/>
          </w:tcPr>
          <w:p w14:paraId="6F28668F">
            <w:pPr>
              <w:spacing w:line="440" w:lineRule="exact"/>
              <w:jc w:val="center"/>
              <w:rPr>
                <w:rFonts w:hint="eastAsia" w:ascii="宋体" w:hAnsi="宋体" w:eastAsia="宋体" w:cs="宋体"/>
                <w:bCs/>
                <w:color w:val="auto"/>
                <w:sz w:val="24"/>
                <w:szCs w:val="24"/>
              </w:rPr>
            </w:pPr>
          </w:p>
        </w:tc>
        <w:tc>
          <w:tcPr>
            <w:tcW w:w="1416" w:type="dxa"/>
            <w:noWrap w:val="0"/>
            <w:vAlign w:val="center"/>
          </w:tcPr>
          <w:p w14:paraId="68F3A12C">
            <w:pPr>
              <w:spacing w:line="440" w:lineRule="exact"/>
              <w:jc w:val="center"/>
              <w:rPr>
                <w:rFonts w:hint="eastAsia" w:ascii="宋体" w:hAnsi="宋体" w:eastAsia="宋体" w:cs="宋体"/>
                <w:bCs/>
                <w:color w:val="auto"/>
                <w:sz w:val="24"/>
                <w:szCs w:val="24"/>
              </w:rPr>
            </w:pPr>
          </w:p>
        </w:tc>
        <w:tc>
          <w:tcPr>
            <w:tcW w:w="3218" w:type="dxa"/>
            <w:noWrap w:val="0"/>
            <w:vAlign w:val="center"/>
          </w:tcPr>
          <w:p w14:paraId="1348F1BC">
            <w:pPr>
              <w:spacing w:line="440" w:lineRule="exact"/>
              <w:jc w:val="center"/>
              <w:rPr>
                <w:rFonts w:hint="eastAsia" w:ascii="宋体" w:hAnsi="宋体" w:eastAsia="宋体" w:cs="宋体"/>
                <w:bCs/>
                <w:color w:val="auto"/>
                <w:sz w:val="24"/>
                <w:szCs w:val="24"/>
              </w:rPr>
            </w:pPr>
          </w:p>
        </w:tc>
        <w:tc>
          <w:tcPr>
            <w:tcW w:w="1295" w:type="dxa"/>
            <w:noWrap w:val="0"/>
            <w:vAlign w:val="center"/>
          </w:tcPr>
          <w:p w14:paraId="1392C259">
            <w:pPr>
              <w:spacing w:line="440" w:lineRule="exact"/>
              <w:jc w:val="center"/>
              <w:rPr>
                <w:rFonts w:hint="eastAsia" w:ascii="宋体" w:hAnsi="宋体" w:eastAsia="宋体" w:cs="宋体"/>
                <w:bCs/>
                <w:color w:val="auto"/>
                <w:sz w:val="24"/>
                <w:szCs w:val="24"/>
              </w:rPr>
            </w:pPr>
          </w:p>
        </w:tc>
        <w:tc>
          <w:tcPr>
            <w:tcW w:w="1268" w:type="dxa"/>
            <w:noWrap w:val="0"/>
            <w:vAlign w:val="center"/>
          </w:tcPr>
          <w:p w14:paraId="10DA6395">
            <w:pPr>
              <w:spacing w:line="440" w:lineRule="exact"/>
              <w:jc w:val="center"/>
              <w:rPr>
                <w:rFonts w:hint="eastAsia" w:ascii="宋体" w:hAnsi="宋体" w:eastAsia="宋体" w:cs="宋体"/>
                <w:bCs/>
                <w:color w:val="auto"/>
                <w:sz w:val="24"/>
                <w:szCs w:val="24"/>
              </w:rPr>
            </w:pPr>
          </w:p>
        </w:tc>
      </w:tr>
      <w:tr w14:paraId="77BE4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3" w:hRule="atLeast"/>
          <w:jc w:val="center"/>
        </w:trPr>
        <w:tc>
          <w:tcPr>
            <w:tcW w:w="722" w:type="dxa"/>
            <w:noWrap w:val="0"/>
            <w:vAlign w:val="center"/>
          </w:tcPr>
          <w:p w14:paraId="5EEDDB57">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5</w:t>
            </w:r>
          </w:p>
        </w:tc>
        <w:tc>
          <w:tcPr>
            <w:tcW w:w="1530" w:type="dxa"/>
            <w:noWrap w:val="0"/>
            <w:vAlign w:val="center"/>
          </w:tcPr>
          <w:p w14:paraId="6E44EE6C">
            <w:pPr>
              <w:spacing w:line="440" w:lineRule="exact"/>
              <w:jc w:val="center"/>
              <w:rPr>
                <w:rFonts w:hint="eastAsia" w:ascii="宋体" w:hAnsi="宋体" w:eastAsia="宋体" w:cs="宋体"/>
                <w:bCs/>
                <w:color w:val="auto"/>
                <w:sz w:val="24"/>
                <w:szCs w:val="24"/>
              </w:rPr>
            </w:pPr>
          </w:p>
        </w:tc>
        <w:tc>
          <w:tcPr>
            <w:tcW w:w="1416" w:type="dxa"/>
            <w:noWrap w:val="0"/>
            <w:vAlign w:val="center"/>
          </w:tcPr>
          <w:p w14:paraId="2B95C29C">
            <w:pPr>
              <w:spacing w:line="440" w:lineRule="exact"/>
              <w:jc w:val="center"/>
              <w:rPr>
                <w:rFonts w:hint="eastAsia" w:ascii="宋体" w:hAnsi="宋体" w:eastAsia="宋体" w:cs="宋体"/>
                <w:bCs/>
                <w:color w:val="auto"/>
                <w:sz w:val="24"/>
                <w:szCs w:val="24"/>
              </w:rPr>
            </w:pPr>
          </w:p>
        </w:tc>
        <w:tc>
          <w:tcPr>
            <w:tcW w:w="3218" w:type="dxa"/>
            <w:noWrap w:val="0"/>
            <w:vAlign w:val="center"/>
          </w:tcPr>
          <w:p w14:paraId="42439845">
            <w:pPr>
              <w:spacing w:line="440" w:lineRule="exact"/>
              <w:jc w:val="center"/>
              <w:rPr>
                <w:rFonts w:hint="eastAsia" w:ascii="宋体" w:hAnsi="宋体" w:eastAsia="宋体" w:cs="宋体"/>
                <w:bCs/>
                <w:color w:val="auto"/>
                <w:sz w:val="24"/>
                <w:szCs w:val="24"/>
              </w:rPr>
            </w:pPr>
          </w:p>
        </w:tc>
        <w:tc>
          <w:tcPr>
            <w:tcW w:w="1295" w:type="dxa"/>
            <w:noWrap w:val="0"/>
            <w:vAlign w:val="center"/>
          </w:tcPr>
          <w:p w14:paraId="54F8D97D">
            <w:pPr>
              <w:spacing w:line="440" w:lineRule="exact"/>
              <w:jc w:val="center"/>
              <w:rPr>
                <w:rFonts w:hint="eastAsia" w:ascii="宋体" w:hAnsi="宋体" w:eastAsia="宋体" w:cs="宋体"/>
                <w:bCs/>
                <w:color w:val="auto"/>
                <w:sz w:val="24"/>
                <w:szCs w:val="24"/>
              </w:rPr>
            </w:pPr>
          </w:p>
        </w:tc>
        <w:tc>
          <w:tcPr>
            <w:tcW w:w="1268" w:type="dxa"/>
            <w:noWrap w:val="0"/>
            <w:vAlign w:val="center"/>
          </w:tcPr>
          <w:p w14:paraId="0CED0AFB">
            <w:pPr>
              <w:spacing w:line="440" w:lineRule="exact"/>
              <w:jc w:val="center"/>
              <w:rPr>
                <w:rFonts w:hint="eastAsia" w:ascii="宋体" w:hAnsi="宋体" w:eastAsia="宋体" w:cs="宋体"/>
                <w:bCs/>
                <w:color w:val="auto"/>
                <w:sz w:val="24"/>
                <w:szCs w:val="24"/>
              </w:rPr>
            </w:pPr>
          </w:p>
        </w:tc>
      </w:tr>
      <w:tr w14:paraId="01B61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jc w:val="center"/>
        </w:trPr>
        <w:tc>
          <w:tcPr>
            <w:tcW w:w="722" w:type="dxa"/>
            <w:noWrap w:val="0"/>
            <w:vAlign w:val="center"/>
          </w:tcPr>
          <w:p w14:paraId="0AF857C0">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6</w:t>
            </w:r>
          </w:p>
        </w:tc>
        <w:tc>
          <w:tcPr>
            <w:tcW w:w="1530" w:type="dxa"/>
            <w:noWrap w:val="0"/>
            <w:vAlign w:val="center"/>
          </w:tcPr>
          <w:p w14:paraId="7644FCC4">
            <w:pPr>
              <w:spacing w:line="440" w:lineRule="exact"/>
              <w:jc w:val="center"/>
              <w:rPr>
                <w:rFonts w:hint="eastAsia" w:ascii="宋体" w:hAnsi="宋体" w:eastAsia="宋体" w:cs="宋体"/>
                <w:bCs/>
                <w:color w:val="auto"/>
                <w:sz w:val="24"/>
                <w:szCs w:val="24"/>
              </w:rPr>
            </w:pPr>
          </w:p>
        </w:tc>
        <w:tc>
          <w:tcPr>
            <w:tcW w:w="1416" w:type="dxa"/>
            <w:noWrap w:val="0"/>
            <w:vAlign w:val="center"/>
          </w:tcPr>
          <w:p w14:paraId="53334BAF">
            <w:pPr>
              <w:spacing w:line="440" w:lineRule="exact"/>
              <w:jc w:val="center"/>
              <w:rPr>
                <w:rFonts w:hint="eastAsia" w:ascii="宋体" w:hAnsi="宋体" w:eastAsia="宋体" w:cs="宋体"/>
                <w:bCs/>
                <w:color w:val="auto"/>
                <w:sz w:val="24"/>
                <w:szCs w:val="24"/>
              </w:rPr>
            </w:pPr>
          </w:p>
        </w:tc>
        <w:tc>
          <w:tcPr>
            <w:tcW w:w="3218" w:type="dxa"/>
            <w:noWrap w:val="0"/>
            <w:vAlign w:val="center"/>
          </w:tcPr>
          <w:p w14:paraId="1FBC9197">
            <w:pPr>
              <w:spacing w:line="440" w:lineRule="exact"/>
              <w:jc w:val="center"/>
              <w:rPr>
                <w:rFonts w:hint="eastAsia" w:ascii="宋体" w:hAnsi="宋体" w:eastAsia="宋体" w:cs="宋体"/>
                <w:bCs/>
                <w:color w:val="auto"/>
                <w:sz w:val="24"/>
                <w:szCs w:val="24"/>
              </w:rPr>
            </w:pPr>
          </w:p>
        </w:tc>
        <w:tc>
          <w:tcPr>
            <w:tcW w:w="1295" w:type="dxa"/>
            <w:noWrap w:val="0"/>
            <w:vAlign w:val="center"/>
          </w:tcPr>
          <w:p w14:paraId="489F0D38">
            <w:pPr>
              <w:spacing w:line="440" w:lineRule="exact"/>
              <w:jc w:val="center"/>
              <w:rPr>
                <w:rFonts w:hint="eastAsia" w:ascii="宋体" w:hAnsi="宋体" w:eastAsia="宋体" w:cs="宋体"/>
                <w:bCs/>
                <w:color w:val="auto"/>
                <w:sz w:val="24"/>
                <w:szCs w:val="24"/>
              </w:rPr>
            </w:pPr>
          </w:p>
        </w:tc>
        <w:tc>
          <w:tcPr>
            <w:tcW w:w="1268" w:type="dxa"/>
            <w:noWrap w:val="0"/>
            <w:vAlign w:val="center"/>
          </w:tcPr>
          <w:p w14:paraId="6788015F">
            <w:pPr>
              <w:spacing w:line="440" w:lineRule="exact"/>
              <w:jc w:val="center"/>
              <w:rPr>
                <w:rFonts w:hint="eastAsia" w:ascii="宋体" w:hAnsi="宋体" w:eastAsia="宋体" w:cs="宋体"/>
                <w:bCs/>
                <w:color w:val="auto"/>
                <w:sz w:val="24"/>
                <w:szCs w:val="24"/>
              </w:rPr>
            </w:pPr>
          </w:p>
        </w:tc>
      </w:tr>
      <w:tr w14:paraId="6D62B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22" w:type="dxa"/>
            <w:noWrap w:val="0"/>
            <w:vAlign w:val="center"/>
          </w:tcPr>
          <w:p w14:paraId="639727EB">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7</w:t>
            </w:r>
          </w:p>
        </w:tc>
        <w:tc>
          <w:tcPr>
            <w:tcW w:w="1530" w:type="dxa"/>
            <w:noWrap w:val="0"/>
            <w:vAlign w:val="center"/>
          </w:tcPr>
          <w:p w14:paraId="5D5E81B9">
            <w:pPr>
              <w:spacing w:line="440" w:lineRule="exact"/>
              <w:jc w:val="center"/>
              <w:rPr>
                <w:rFonts w:hint="eastAsia" w:ascii="宋体" w:hAnsi="宋体" w:eastAsia="宋体" w:cs="宋体"/>
                <w:bCs/>
                <w:color w:val="auto"/>
                <w:sz w:val="24"/>
                <w:szCs w:val="24"/>
              </w:rPr>
            </w:pPr>
          </w:p>
        </w:tc>
        <w:tc>
          <w:tcPr>
            <w:tcW w:w="1416" w:type="dxa"/>
            <w:noWrap w:val="0"/>
            <w:vAlign w:val="center"/>
          </w:tcPr>
          <w:p w14:paraId="567E77D2">
            <w:pPr>
              <w:spacing w:line="440" w:lineRule="exact"/>
              <w:jc w:val="center"/>
              <w:rPr>
                <w:rFonts w:hint="eastAsia" w:ascii="宋体" w:hAnsi="宋体" w:eastAsia="宋体" w:cs="宋体"/>
                <w:bCs/>
                <w:color w:val="auto"/>
                <w:sz w:val="24"/>
                <w:szCs w:val="24"/>
              </w:rPr>
            </w:pPr>
          </w:p>
        </w:tc>
        <w:tc>
          <w:tcPr>
            <w:tcW w:w="3218" w:type="dxa"/>
            <w:noWrap w:val="0"/>
            <w:vAlign w:val="center"/>
          </w:tcPr>
          <w:p w14:paraId="490082D1">
            <w:pPr>
              <w:spacing w:line="440" w:lineRule="exact"/>
              <w:jc w:val="center"/>
              <w:rPr>
                <w:rFonts w:hint="eastAsia" w:ascii="宋体" w:hAnsi="宋体" w:eastAsia="宋体" w:cs="宋体"/>
                <w:bCs/>
                <w:color w:val="auto"/>
                <w:sz w:val="24"/>
                <w:szCs w:val="24"/>
              </w:rPr>
            </w:pPr>
          </w:p>
        </w:tc>
        <w:tc>
          <w:tcPr>
            <w:tcW w:w="1295" w:type="dxa"/>
            <w:noWrap w:val="0"/>
            <w:vAlign w:val="center"/>
          </w:tcPr>
          <w:p w14:paraId="3C37DE6F">
            <w:pPr>
              <w:spacing w:line="440" w:lineRule="exact"/>
              <w:jc w:val="center"/>
              <w:rPr>
                <w:rFonts w:hint="eastAsia" w:ascii="宋体" w:hAnsi="宋体" w:eastAsia="宋体" w:cs="宋体"/>
                <w:bCs/>
                <w:color w:val="auto"/>
                <w:sz w:val="24"/>
                <w:szCs w:val="24"/>
              </w:rPr>
            </w:pPr>
          </w:p>
        </w:tc>
        <w:tc>
          <w:tcPr>
            <w:tcW w:w="1268" w:type="dxa"/>
            <w:noWrap w:val="0"/>
            <w:vAlign w:val="center"/>
          </w:tcPr>
          <w:p w14:paraId="5AF1F3DC">
            <w:pPr>
              <w:spacing w:line="440" w:lineRule="exact"/>
              <w:jc w:val="center"/>
              <w:rPr>
                <w:rFonts w:hint="eastAsia" w:ascii="宋体" w:hAnsi="宋体" w:eastAsia="宋体" w:cs="宋体"/>
                <w:bCs/>
                <w:color w:val="auto"/>
                <w:sz w:val="24"/>
                <w:szCs w:val="24"/>
              </w:rPr>
            </w:pPr>
          </w:p>
        </w:tc>
      </w:tr>
      <w:tr w14:paraId="6D57A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722" w:type="dxa"/>
            <w:noWrap w:val="0"/>
            <w:vAlign w:val="center"/>
          </w:tcPr>
          <w:p w14:paraId="2FB02C1C">
            <w:pPr>
              <w:spacing w:line="440" w:lineRule="exact"/>
              <w:ind w:left="0" w:leftChars="0" w:firstLine="0" w:firstLineChars="0"/>
              <w:jc w:val="center"/>
              <w:rPr>
                <w:rFonts w:hint="eastAsia" w:ascii="宋体" w:hAnsi="宋体" w:eastAsia="宋体" w:cs="宋体"/>
                <w:bCs/>
                <w:color w:val="auto"/>
                <w:sz w:val="24"/>
                <w:szCs w:val="24"/>
              </w:rPr>
            </w:pPr>
            <w:r>
              <w:rPr>
                <w:rFonts w:hint="eastAsia" w:ascii="宋体" w:hAnsi="宋体" w:eastAsia="宋体" w:cs="宋体"/>
                <w:bCs/>
                <w:color w:val="auto"/>
                <w:sz w:val="24"/>
                <w:szCs w:val="24"/>
              </w:rPr>
              <w:t>……</w:t>
            </w:r>
          </w:p>
        </w:tc>
        <w:tc>
          <w:tcPr>
            <w:tcW w:w="1530" w:type="dxa"/>
            <w:noWrap w:val="0"/>
            <w:vAlign w:val="center"/>
          </w:tcPr>
          <w:p w14:paraId="2CFF575C">
            <w:pPr>
              <w:spacing w:line="440" w:lineRule="exact"/>
              <w:jc w:val="center"/>
              <w:rPr>
                <w:rFonts w:hint="eastAsia" w:ascii="宋体" w:hAnsi="宋体" w:eastAsia="宋体" w:cs="宋体"/>
                <w:bCs/>
                <w:color w:val="auto"/>
                <w:sz w:val="24"/>
                <w:szCs w:val="24"/>
              </w:rPr>
            </w:pPr>
          </w:p>
        </w:tc>
        <w:tc>
          <w:tcPr>
            <w:tcW w:w="1416" w:type="dxa"/>
            <w:noWrap w:val="0"/>
            <w:vAlign w:val="center"/>
          </w:tcPr>
          <w:p w14:paraId="3DDC93E4">
            <w:pPr>
              <w:spacing w:line="440" w:lineRule="exact"/>
              <w:jc w:val="center"/>
              <w:rPr>
                <w:rFonts w:hint="eastAsia" w:ascii="宋体" w:hAnsi="宋体" w:eastAsia="宋体" w:cs="宋体"/>
                <w:bCs/>
                <w:color w:val="auto"/>
                <w:sz w:val="24"/>
                <w:szCs w:val="24"/>
              </w:rPr>
            </w:pPr>
          </w:p>
        </w:tc>
        <w:tc>
          <w:tcPr>
            <w:tcW w:w="3218" w:type="dxa"/>
            <w:noWrap w:val="0"/>
            <w:vAlign w:val="center"/>
          </w:tcPr>
          <w:p w14:paraId="709F2598">
            <w:pPr>
              <w:spacing w:line="440" w:lineRule="exact"/>
              <w:jc w:val="center"/>
              <w:rPr>
                <w:rFonts w:hint="eastAsia" w:ascii="宋体" w:hAnsi="宋体" w:eastAsia="宋体" w:cs="宋体"/>
                <w:bCs/>
                <w:color w:val="auto"/>
                <w:sz w:val="24"/>
                <w:szCs w:val="24"/>
              </w:rPr>
            </w:pPr>
          </w:p>
        </w:tc>
        <w:tc>
          <w:tcPr>
            <w:tcW w:w="1295" w:type="dxa"/>
            <w:noWrap w:val="0"/>
            <w:vAlign w:val="center"/>
          </w:tcPr>
          <w:p w14:paraId="11A54FE6">
            <w:pPr>
              <w:spacing w:line="440" w:lineRule="exact"/>
              <w:jc w:val="center"/>
              <w:rPr>
                <w:rFonts w:hint="eastAsia" w:ascii="宋体" w:hAnsi="宋体" w:eastAsia="宋体" w:cs="宋体"/>
                <w:bCs/>
                <w:color w:val="auto"/>
                <w:sz w:val="24"/>
                <w:szCs w:val="24"/>
              </w:rPr>
            </w:pPr>
          </w:p>
        </w:tc>
        <w:tc>
          <w:tcPr>
            <w:tcW w:w="1268" w:type="dxa"/>
            <w:noWrap w:val="0"/>
            <w:vAlign w:val="center"/>
          </w:tcPr>
          <w:p w14:paraId="42BCC86A">
            <w:pPr>
              <w:spacing w:line="440" w:lineRule="exact"/>
              <w:jc w:val="center"/>
              <w:rPr>
                <w:rFonts w:hint="eastAsia" w:ascii="宋体" w:hAnsi="宋体" w:eastAsia="宋体" w:cs="宋体"/>
                <w:bCs/>
                <w:color w:val="auto"/>
                <w:sz w:val="24"/>
                <w:szCs w:val="24"/>
              </w:rPr>
            </w:pPr>
          </w:p>
        </w:tc>
      </w:tr>
      <w:tr w14:paraId="7917E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4" w:hRule="atLeast"/>
          <w:jc w:val="center"/>
        </w:trPr>
        <w:tc>
          <w:tcPr>
            <w:tcW w:w="9449" w:type="dxa"/>
            <w:gridSpan w:val="6"/>
            <w:noWrap w:val="0"/>
            <w:vAlign w:val="center"/>
          </w:tcPr>
          <w:p w14:paraId="17320967">
            <w:pPr>
              <w:spacing w:line="440" w:lineRule="exact"/>
              <w:ind w:left="0" w:leftChars="0" w:firstLine="0" w:firstLineChars="0"/>
              <w:jc w:val="left"/>
              <w:rPr>
                <w:rFonts w:hint="eastAsia" w:ascii="宋体" w:hAnsi="宋体" w:eastAsia="宋体" w:cs="宋体"/>
                <w:bCs/>
                <w:color w:val="auto"/>
                <w:sz w:val="24"/>
                <w:szCs w:val="24"/>
                <w:lang w:val="en-US" w:eastAsia="zh-CN"/>
              </w:rPr>
            </w:pPr>
            <w:r>
              <w:rPr>
                <w:rFonts w:hint="eastAsia" w:cs="宋体"/>
                <w:bCs/>
                <w:color w:val="auto"/>
                <w:sz w:val="24"/>
                <w:szCs w:val="24"/>
                <w:lang w:val="en-US" w:eastAsia="zh-CN"/>
              </w:rPr>
              <w:t>总报价</w:t>
            </w:r>
            <w:r>
              <w:rPr>
                <w:rFonts w:hint="eastAsia" w:ascii="宋体" w:hAnsi="宋体" w:eastAsia="宋体" w:cs="宋体"/>
                <w:bCs/>
                <w:color w:val="auto"/>
                <w:sz w:val="24"/>
                <w:szCs w:val="24"/>
                <w:lang w:val="en-US" w:eastAsia="zh-CN"/>
              </w:rPr>
              <w:t>：（大写）</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lang w:val="en-US" w:eastAsia="zh-CN"/>
              </w:rPr>
              <w:t>元；（小写）：</w:t>
            </w:r>
            <w:r>
              <w:rPr>
                <w:rFonts w:hint="eastAsia" w:ascii="宋体" w:hAnsi="宋体" w:eastAsia="宋体" w:cs="宋体"/>
                <w:bCs/>
                <w:color w:val="auto"/>
                <w:sz w:val="24"/>
                <w:szCs w:val="24"/>
                <w:u w:val="single"/>
                <w:lang w:val="en-US" w:eastAsia="zh-CN"/>
              </w:rPr>
              <w:t xml:space="preserve">       </w:t>
            </w:r>
            <w:r>
              <w:rPr>
                <w:rFonts w:hint="eastAsia" w:ascii="宋体" w:hAnsi="宋体" w:eastAsia="宋体" w:cs="宋体"/>
                <w:bCs/>
                <w:color w:val="auto"/>
                <w:sz w:val="24"/>
                <w:szCs w:val="24"/>
                <w:lang w:val="en-US" w:eastAsia="zh-CN"/>
              </w:rPr>
              <w:t>元</w:t>
            </w:r>
          </w:p>
        </w:tc>
      </w:tr>
    </w:tbl>
    <w:p w14:paraId="149D9176">
      <w:pPr>
        <w:bidi w:val="0"/>
        <w:jc w:val="left"/>
        <w:rPr>
          <w:rFonts w:hint="eastAsia"/>
          <w:b/>
          <w:bCs/>
          <w:lang w:val="en-US" w:eastAsia="zh-CN"/>
        </w:rPr>
      </w:pPr>
    </w:p>
    <w:p w14:paraId="22870B67">
      <w:pPr>
        <w:spacing w:line="360" w:lineRule="auto"/>
        <w:ind w:left="0" w:leftChars="0" w:firstLine="0" w:firstLineChars="0"/>
        <w:rPr>
          <w:rFonts w:hint="default"/>
          <w:lang w:val="en-US" w:eastAsia="zh-CN"/>
        </w:rPr>
      </w:pPr>
      <w:r>
        <w:rPr>
          <w:rFonts w:hint="eastAsia"/>
          <w:lang w:val="en-US" w:eastAsia="zh-CN"/>
        </w:rPr>
        <w:t>注：1）报价明细表内容须严格按照“第二章-采购需求-</w:t>
      </w:r>
      <w:r>
        <w:rPr>
          <w:rFonts w:hint="eastAsia"/>
          <w:b w:val="0"/>
          <w:bCs w:val="0"/>
          <w:lang w:eastAsia="zh-CN"/>
        </w:rPr>
        <w:t>采购内容清单</w:t>
      </w:r>
      <w:r>
        <w:rPr>
          <w:rFonts w:hint="eastAsia"/>
          <w:lang w:val="en-US" w:eastAsia="zh-CN"/>
        </w:rPr>
        <w:t>”逐一对应填写，不得缺项；</w:t>
      </w:r>
    </w:p>
    <w:p w14:paraId="24C382FB">
      <w:pPr>
        <w:spacing w:line="360" w:lineRule="auto"/>
        <w:ind w:left="0" w:leftChars="0" w:firstLine="480" w:firstLineChars="200"/>
        <w:rPr>
          <w:rFonts w:hint="eastAsia"/>
          <w:lang w:val="en-US" w:eastAsia="zh-CN"/>
        </w:rPr>
      </w:pPr>
      <w:r>
        <w:rPr>
          <w:rFonts w:hint="eastAsia"/>
          <w:lang w:val="en-US" w:eastAsia="zh-CN"/>
        </w:rPr>
        <w:t>2）总报价须与“开标一览表”中的投标总报价保持一致。</w:t>
      </w:r>
    </w:p>
    <w:p w14:paraId="1B4CD490">
      <w:pPr>
        <w:spacing w:line="360" w:lineRule="auto"/>
        <w:ind w:left="0" w:leftChars="0" w:firstLine="0" w:firstLineChars="0"/>
        <w:rPr>
          <w:rFonts w:hint="eastAsia" w:ascii="宋体" w:hAnsi="宋体" w:eastAsia="宋体" w:cs="宋体"/>
        </w:rPr>
      </w:pPr>
    </w:p>
    <w:p w14:paraId="0DF7F7FC">
      <w:pPr>
        <w:spacing w:line="360" w:lineRule="auto"/>
        <w:ind w:left="0" w:leftChars="0" w:firstLine="0" w:firstLineChars="0"/>
        <w:rPr>
          <w:rFonts w:hint="eastAsia" w:ascii="宋体" w:hAnsi="宋体" w:eastAsia="宋体" w:cs="宋体"/>
        </w:rPr>
      </w:pPr>
    </w:p>
    <w:p w14:paraId="2E171AC5">
      <w:pPr>
        <w:spacing w:line="360" w:lineRule="auto"/>
        <w:ind w:left="0" w:leftChars="0" w:firstLine="0" w:firstLineChars="0"/>
        <w:rPr>
          <w:rFonts w:hint="eastAsia" w:ascii="宋体" w:hAnsi="宋体" w:eastAsia="宋体" w:cs="宋体"/>
        </w:rPr>
      </w:pPr>
      <w:r>
        <w:rPr>
          <w:rFonts w:hint="eastAsia" w:ascii="宋体" w:hAnsi="宋体" w:eastAsia="宋体" w:cs="宋体"/>
        </w:rPr>
        <w:t>投标人名称（盖章）：</w:t>
      </w:r>
    </w:p>
    <w:p w14:paraId="0F9F1536">
      <w:pPr>
        <w:spacing w:line="360" w:lineRule="auto"/>
        <w:ind w:left="0" w:leftChars="0" w:firstLine="0" w:firstLineChars="0"/>
        <w:rPr>
          <w:rFonts w:hint="eastAsia" w:ascii="宋体" w:hAnsi="宋体" w:eastAsia="宋体" w:cs="宋体"/>
        </w:rPr>
      </w:pPr>
      <w:r>
        <w:rPr>
          <w:rFonts w:hint="eastAsia" w:ascii="宋体" w:hAnsi="宋体" w:eastAsia="宋体" w:cs="宋体"/>
        </w:rPr>
        <w:t>法定代表人或</w:t>
      </w:r>
      <w:r>
        <w:rPr>
          <w:rFonts w:hint="eastAsia" w:ascii="宋体" w:hAnsi="宋体" w:eastAsia="宋体" w:cs="宋体"/>
          <w:lang w:eastAsia="zh-CN"/>
        </w:rPr>
        <w:t>其</w:t>
      </w:r>
      <w:r>
        <w:rPr>
          <w:rFonts w:hint="eastAsia" w:cs="宋体"/>
          <w:lang w:eastAsia="zh-CN"/>
        </w:rPr>
        <w:t>授权代表</w:t>
      </w:r>
      <w:r>
        <w:rPr>
          <w:rFonts w:hint="eastAsia" w:ascii="宋体" w:hAnsi="宋体" w:eastAsia="宋体" w:cs="宋体"/>
        </w:rPr>
        <w:t>（签字）：</w:t>
      </w:r>
    </w:p>
    <w:p w14:paraId="7CCE170F">
      <w:pPr>
        <w:bidi w:val="0"/>
        <w:spacing w:line="360" w:lineRule="auto"/>
        <w:ind w:left="0" w:leftChars="0" w:firstLine="0" w:firstLineChars="0"/>
        <w:rPr>
          <w:rFonts w:hint="eastAsia" w:cs="宋体"/>
          <w:b/>
          <w:bCs/>
          <w:szCs w:val="24"/>
          <w:lang w:eastAsia="zh-CN"/>
        </w:rPr>
      </w:pPr>
      <w:r>
        <w:rPr>
          <w:rFonts w:hint="eastAsia"/>
        </w:rPr>
        <w:t>日期：    年   月   日</w:t>
      </w:r>
    </w:p>
    <w:p w14:paraId="67DBD68B">
      <w:pPr>
        <w:pStyle w:val="15"/>
        <w:rPr>
          <w:rFonts w:hint="eastAsia" w:cs="宋体"/>
          <w:b/>
          <w:bCs/>
          <w:szCs w:val="24"/>
          <w:lang w:eastAsia="zh-CN"/>
        </w:rPr>
        <w:sectPr>
          <w:pgSz w:w="11906" w:h="16838"/>
          <w:pgMar w:top="1440" w:right="1304" w:bottom="1020" w:left="1304" w:header="851" w:footer="992" w:gutter="0"/>
          <w:pgNumType w:fmt="decimal"/>
          <w:cols w:space="720" w:num="1"/>
          <w:docGrid w:type="lines" w:linePitch="312" w:charSpace="0"/>
        </w:sectPr>
      </w:pPr>
    </w:p>
    <w:p w14:paraId="7DB17B05">
      <w:pPr>
        <w:bidi w:val="0"/>
        <w:spacing w:line="240" w:lineRule="auto"/>
        <w:ind w:left="0" w:leftChars="0" w:firstLine="0" w:firstLineChars="0"/>
        <w:jc w:val="left"/>
        <w:rPr>
          <w:rFonts w:hint="eastAsia" w:ascii="宋体" w:hAnsi="宋体" w:eastAsia="宋体" w:cs="宋体"/>
          <w:b/>
          <w:bCs/>
          <w:szCs w:val="24"/>
          <w:lang w:eastAsia="zh-CN"/>
        </w:rPr>
      </w:pPr>
      <w:r>
        <w:rPr>
          <w:rFonts w:hint="eastAsia" w:cs="宋体"/>
          <w:b/>
          <w:bCs/>
          <w:szCs w:val="24"/>
          <w:lang w:eastAsia="zh-CN"/>
        </w:rPr>
        <w:t>附件十四</w:t>
      </w:r>
    </w:p>
    <w:p w14:paraId="31720B6F">
      <w:pPr>
        <w:bidi w:val="0"/>
        <w:spacing w:line="480" w:lineRule="auto"/>
        <w:ind w:left="0" w:leftChars="0" w:firstLine="0" w:firstLineChars="0"/>
        <w:jc w:val="center"/>
        <w:rPr>
          <w:rFonts w:hint="eastAsia"/>
        </w:rPr>
      </w:pPr>
      <w:r>
        <w:rPr>
          <w:rFonts w:hint="eastAsia"/>
          <w:b/>
          <w:bCs/>
          <w:sz w:val="28"/>
          <w:szCs w:val="28"/>
          <w:lang w:val="en-US" w:eastAsia="zh-CN"/>
        </w:rPr>
        <w:t>缴纳采购</w:t>
      </w:r>
      <w:r>
        <w:rPr>
          <w:rFonts w:hint="eastAsia"/>
          <w:b/>
          <w:bCs/>
          <w:sz w:val="28"/>
          <w:szCs w:val="28"/>
        </w:rPr>
        <w:t>代理</w:t>
      </w:r>
      <w:r>
        <w:rPr>
          <w:rFonts w:hint="eastAsia"/>
          <w:b/>
          <w:bCs/>
          <w:sz w:val="28"/>
          <w:szCs w:val="28"/>
          <w:lang w:eastAsia="zh-CN"/>
        </w:rPr>
        <w:t>服务</w:t>
      </w:r>
      <w:r>
        <w:rPr>
          <w:rFonts w:hint="eastAsia"/>
          <w:b/>
          <w:bCs/>
          <w:sz w:val="28"/>
          <w:szCs w:val="28"/>
        </w:rPr>
        <w:t>费承诺函</w:t>
      </w:r>
    </w:p>
    <w:p w14:paraId="132925F4">
      <w:pPr>
        <w:bidi w:val="0"/>
        <w:spacing w:line="480" w:lineRule="auto"/>
        <w:ind w:left="0" w:leftChars="0" w:firstLine="0" w:firstLineChars="0"/>
        <w:rPr>
          <w:rFonts w:hint="eastAsia"/>
          <w:lang w:eastAsia="zh-CN"/>
        </w:rPr>
      </w:pPr>
      <w:r>
        <w:rPr>
          <w:rFonts w:hint="eastAsia"/>
          <w:u w:val="single"/>
          <w:lang w:eastAsia="zh-CN"/>
        </w:rPr>
        <w:t>浙江致信招标代理有限公司</w:t>
      </w:r>
      <w:r>
        <w:rPr>
          <w:rFonts w:hint="eastAsia"/>
          <w:lang w:eastAsia="zh-CN"/>
        </w:rPr>
        <w:t>：</w:t>
      </w:r>
    </w:p>
    <w:p w14:paraId="4BF4FCC9">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我方在你公司组织的</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项目名称</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u w:val="single"/>
          <w:lang w:val="en-US" w:eastAsia="zh-CN"/>
        </w:rPr>
        <w:t>项目编号</w:t>
      </w:r>
      <w:r>
        <w:rPr>
          <w:rFonts w:hint="eastAsia" w:ascii="宋体" w:hAnsi="宋体" w:eastAsia="宋体" w:cs="宋体"/>
          <w:color w:val="auto"/>
          <w:sz w:val="24"/>
          <w:szCs w:val="24"/>
          <w:u w:val="single"/>
          <w:lang w:eastAsia="zh-CN"/>
        </w:rPr>
        <w:t>）</w:t>
      </w:r>
      <w:r>
        <w:rPr>
          <w:rFonts w:hint="eastAsia" w:ascii="宋体" w:hAnsi="宋体" w:eastAsia="宋体" w:cs="宋体"/>
          <w:color w:val="auto"/>
          <w:sz w:val="24"/>
          <w:szCs w:val="24"/>
        </w:rPr>
        <w:t>的采购活动中若获成交，我方保证</w:t>
      </w:r>
      <w:r>
        <w:rPr>
          <w:rFonts w:hint="eastAsia" w:ascii="宋体" w:hAnsi="宋体" w:eastAsia="宋体" w:cs="宋体"/>
          <w:color w:val="auto"/>
          <w:sz w:val="24"/>
          <w:szCs w:val="24"/>
          <w:lang w:val="en-US" w:eastAsia="zh-CN"/>
        </w:rPr>
        <w:t>于</w:t>
      </w:r>
      <w:r>
        <w:rPr>
          <w:rFonts w:hint="eastAsia" w:ascii="宋体" w:hAnsi="宋体" w:eastAsia="宋体" w:cs="宋体"/>
          <w:color w:val="auto"/>
          <w:sz w:val="24"/>
          <w:szCs w:val="24"/>
        </w:rPr>
        <w:t>中标后，按采购文件</w:t>
      </w:r>
      <w:r>
        <w:rPr>
          <w:rFonts w:hint="eastAsia" w:ascii="宋体" w:hAnsi="宋体" w:eastAsia="宋体" w:cs="宋体"/>
          <w:b/>
          <w:color w:val="auto"/>
          <w:sz w:val="24"/>
          <w:szCs w:val="24"/>
        </w:rPr>
        <w:t>“响应</w:t>
      </w:r>
      <w:r>
        <w:rPr>
          <w:rFonts w:hint="eastAsia" w:ascii="宋体" w:hAnsi="宋体" w:eastAsia="宋体" w:cs="宋体"/>
          <w:b/>
          <w:color w:val="auto"/>
          <w:sz w:val="24"/>
          <w:szCs w:val="24"/>
          <w:lang w:val="en-US" w:eastAsia="zh-CN"/>
        </w:rPr>
        <w:t>/投标</w:t>
      </w:r>
      <w:r>
        <w:rPr>
          <w:rFonts w:hint="eastAsia" w:ascii="宋体" w:hAnsi="宋体" w:eastAsia="宋体" w:cs="宋体"/>
          <w:b/>
          <w:color w:val="auto"/>
          <w:sz w:val="24"/>
          <w:szCs w:val="24"/>
        </w:rPr>
        <w:t>人须知前附表”</w:t>
      </w:r>
      <w:r>
        <w:rPr>
          <w:rFonts w:hint="eastAsia" w:ascii="宋体" w:hAnsi="宋体" w:eastAsia="宋体" w:cs="宋体"/>
          <w:color w:val="auto"/>
          <w:sz w:val="24"/>
          <w:szCs w:val="24"/>
        </w:rPr>
        <w:t>规定</w:t>
      </w:r>
      <w:r>
        <w:rPr>
          <w:rFonts w:hint="eastAsia" w:ascii="宋体" w:hAnsi="宋体" w:eastAsia="宋体" w:cs="宋体"/>
          <w:color w:val="auto"/>
          <w:sz w:val="24"/>
          <w:szCs w:val="24"/>
          <w:lang w:val="en-US" w:eastAsia="zh-CN"/>
        </w:rPr>
        <w:t>的</w:t>
      </w:r>
      <w:r>
        <w:rPr>
          <w:rFonts w:hint="eastAsia" w:ascii="宋体" w:hAnsi="宋体" w:eastAsia="宋体" w:cs="宋体"/>
          <w:sz w:val="24"/>
          <w:szCs w:val="24"/>
          <w:lang w:val="en-US" w:eastAsia="zh-CN"/>
        </w:rPr>
        <w:t>采购代理服务费缴纳标准及方式</w:t>
      </w:r>
      <w:r>
        <w:rPr>
          <w:rFonts w:hint="eastAsia" w:ascii="宋体" w:hAnsi="宋体" w:eastAsia="宋体" w:cs="宋体"/>
          <w:color w:val="auto"/>
          <w:sz w:val="24"/>
          <w:szCs w:val="24"/>
        </w:rPr>
        <w:t>，向你公司支付采购代理服务费。</w:t>
      </w:r>
    </w:p>
    <w:p w14:paraId="72CDFAAC">
      <w:pPr>
        <w:keepNext w:val="0"/>
        <w:keepLines w:val="0"/>
        <w:pageBreakBefore w:val="0"/>
        <w:widowControl w:val="0"/>
        <w:kinsoku/>
        <w:wordWrap/>
        <w:overflowPunct/>
        <w:topLinePunct w:val="0"/>
        <w:autoSpaceDE/>
        <w:autoSpaceDN/>
        <w:bidi w:val="0"/>
        <w:adjustRightInd/>
        <w:snapToGrid/>
        <w:spacing w:line="64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w:t>
      </w:r>
      <w:r>
        <w:rPr>
          <w:rFonts w:hint="eastAsia" w:ascii="宋体" w:hAnsi="宋体" w:eastAsia="宋体" w:cs="宋体"/>
          <w:color w:val="auto"/>
          <w:sz w:val="24"/>
          <w:szCs w:val="24"/>
          <w:lang w:val="en-US" w:eastAsia="zh-CN"/>
        </w:rPr>
        <w:t>理解并承诺，若</w:t>
      </w:r>
      <w:r>
        <w:rPr>
          <w:rFonts w:hint="eastAsia" w:ascii="宋体" w:hAnsi="宋体" w:eastAsia="宋体" w:cs="宋体"/>
          <w:color w:val="auto"/>
          <w:sz w:val="24"/>
          <w:szCs w:val="24"/>
        </w:rPr>
        <w:t>未能按时缴纳采购代理服务费将被视为放弃中标资格，</w:t>
      </w:r>
      <w:r>
        <w:rPr>
          <w:rFonts w:hint="eastAsia" w:ascii="宋体" w:hAnsi="宋体" w:eastAsia="宋体" w:cs="宋体"/>
          <w:color w:val="auto"/>
          <w:sz w:val="24"/>
          <w:szCs w:val="24"/>
          <w:lang w:val="en-US" w:eastAsia="zh-CN"/>
        </w:rPr>
        <w:t>由此产生的</w:t>
      </w:r>
      <w:r>
        <w:rPr>
          <w:rFonts w:hint="eastAsia" w:ascii="宋体" w:hAnsi="宋体" w:eastAsia="宋体" w:cs="宋体"/>
          <w:color w:val="auto"/>
          <w:sz w:val="24"/>
          <w:szCs w:val="24"/>
        </w:rPr>
        <w:t>法律责任</w:t>
      </w:r>
      <w:r>
        <w:rPr>
          <w:rFonts w:hint="eastAsia" w:ascii="宋体" w:hAnsi="宋体" w:eastAsia="宋体" w:cs="宋体"/>
          <w:color w:val="auto"/>
          <w:sz w:val="24"/>
          <w:szCs w:val="24"/>
          <w:lang w:val="en-US" w:eastAsia="zh-CN"/>
        </w:rPr>
        <w:t>我方自行承担。我方承诺，本承诺书一旦签署，即具有法律效力，我方将严格按照承诺书的内容执行</w:t>
      </w:r>
      <w:r>
        <w:rPr>
          <w:rFonts w:hint="eastAsia" w:ascii="宋体" w:hAnsi="宋体" w:eastAsia="宋体" w:cs="宋体"/>
          <w:color w:val="auto"/>
          <w:sz w:val="24"/>
          <w:szCs w:val="24"/>
        </w:rPr>
        <w:t>。</w:t>
      </w:r>
    </w:p>
    <w:p w14:paraId="08979437">
      <w:pPr>
        <w:keepNext w:val="0"/>
        <w:keepLines w:val="0"/>
        <w:pageBreakBefore w:val="0"/>
        <w:widowControl w:val="0"/>
        <w:kinsoku/>
        <w:wordWrap/>
        <w:overflowPunct/>
        <w:topLinePunct w:val="0"/>
        <w:autoSpaceDE/>
        <w:autoSpaceDN/>
        <w:bidi w:val="0"/>
        <w:adjustRightInd/>
        <w:snapToGrid/>
        <w:spacing w:line="640" w:lineRule="exact"/>
        <w:textAlignment w:val="auto"/>
        <w:rPr>
          <w:rFonts w:hint="eastAsia"/>
          <w:lang w:eastAsia="zh-CN"/>
        </w:rPr>
      </w:pPr>
      <w:r>
        <w:rPr>
          <w:rFonts w:hint="eastAsia" w:ascii="宋体" w:hAnsi="宋体" w:eastAsia="宋体" w:cs="宋体"/>
          <w:color w:val="auto"/>
          <w:sz w:val="24"/>
          <w:szCs w:val="24"/>
        </w:rPr>
        <w:t>特此承诺。</w:t>
      </w:r>
    </w:p>
    <w:p w14:paraId="6B9B5451">
      <w:pPr>
        <w:pStyle w:val="22"/>
        <w:snapToGrid w:val="0"/>
        <w:spacing w:beforeLines="0" w:afterLines="0" w:line="360" w:lineRule="auto"/>
      </w:pPr>
    </w:p>
    <w:p w14:paraId="0BA85970">
      <w:pPr>
        <w:spacing w:line="360" w:lineRule="auto"/>
        <w:ind w:firstLine="480" w:firstLineChars="200"/>
        <w:rPr>
          <w:sz w:val="24"/>
        </w:rPr>
      </w:pPr>
    </w:p>
    <w:p w14:paraId="7B7002EB">
      <w:pPr>
        <w:spacing w:line="480" w:lineRule="auto"/>
        <w:ind w:left="0" w:leftChars="0" w:firstLine="0" w:firstLineChars="0"/>
        <w:rPr>
          <w:rFonts w:hint="eastAsia" w:ascii="宋体" w:hAnsi="宋体" w:eastAsia="宋体" w:cs="宋体"/>
          <w:sz w:val="24"/>
          <w:szCs w:val="24"/>
        </w:rPr>
      </w:pPr>
    </w:p>
    <w:p w14:paraId="7C5F5752">
      <w:pPr>
        <w:spacing w:line="48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投标人名称（公章）：</w:t>
      </w:r>
    </w:p>
    <w:p w14:paraId="61A75577">
      <w:pPr>
        <w:spacing w:line="480" w:lineRule="auto"/>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法定代表人或其</w:t>
      </w:r>
      <w:r>
        <w:rPr>
          <w:rFonts w:hint="eastAsia" w:ascii="宋体" w:hAnsi="宋体" w:eastAsia="宋体" w:cs="宋体"/>
          <w:sz w:val="24"/>
          <w:szCs w:val="24"/>
          <w:lang w:eastAsia="zh-CN"/>
        </w:rPr>
        <w:t>授权代表</w:t>
      </w:r>
      <w:r>
        <w:rPr>
          <w:rFonts w:hint="eastAsia" w:ascii="宋体" w:hAnsi="宋体" w:eastAsia="宋体" w:cs="宋体"/>
          <w:sz w:val="24"/>
          <w:szCs w:val="24"/>
        </w:rPr>
        <w:t>（签字）：</w:t>
      </w:r>
    </w:p>
    <w:p w14:paraId="398097FE">
      <w:pPr>
        <w:spacing w:line="480" w:lineRule="auto"/>
        <w:ind w:left="0" w:leftChars="0" w:firstLine="0" w:firstLineChars="0"/>
        <w:rPr>
          <w:sz w:val="24"/>
        </w:rPr>
      </w:pPr>
      <w:r>
        <w:rPr>
          <w:rFonts w:hint="eastAsia" w:ascii="宋体" w:hAnsi="宋体" w:eastAsia="宋体" w:cs="宋体"/>
          <w:sz w:val="24"/>
          <w:szCs w:val="24"/>
        </w:rPr>
        <w:t>日期：  年   月   日</w:t>
      </w:r>
    </w:p>
    <w:p w14:paraId="2D4802F8">
      <w:pPr>
        <w:bidi w:val="0"/>
        <w:ind w:left="0" w:leftChars="0" w:firstLine="0" w:firstLineChars="0"/>
        <w:jc w:val="left"/>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46CCCA4A">
      <w:pPr>
        <w:bidi w:val="0"/>
        <w:ind w:left="0" w:leftChars="0" w:firstLine="0" w:firstLineChars="0"/>
        <w:jc w:val="center"/>
        <w:rPr>
          <w:rFonts w:hint="eastAsia" w:cs="宋体"/>
          <w:b/>
          <w:bCs/>
          <w:sz w:val="24"/>
          <w:szCs w:val="24"/>
          <w:lang w:val="en-US" w:eastAsia="zh-CN"/>
        </w:rPr>
      </w:pPr>
    </w:p>
    <w:p w14:paraId="20D74B4E">
      <w:pPr>
        <w:bidi w:val="0"/>
        <w:ind w:left="0" w:leftChars="0" w:firstLine="0" w:firstLineChars="0"/>
        <w:jc w:val="center"/>
        <w:rPr>
          <w:lang w:val="en-US" w:eastAsia="zh-CN"/>
        </w:rPr>
      </w:pPr>
      <w:r>
        <w:rPr>
          <w:rFonts w:hint="eastAsia" w:cs="宋体"/>
          <w:b/>
          <w:bCs/>
          <w:sz w:val="24"/>
          <w:szCs w:val="24"/>
          <w:lang w:val="en-US" w:eastAsia="zh-CN"/>
        </w:rPr>
        <w:t>5.</w:t>
      </w:r>
      <w:r>
        <w:rPr>
          <w:rFonts w:hint="eastAsia" w:ascii="宋体" w:hAnsi="宋体" w:eastAsia="宋体" w:cs="宋体"/>
          <w:b/>
          <w:bCs/>
          <w:color w:val="auto"/>
          <w:highlight w:val="none"/>
          <w:lang w:eastAsia="zh-CN"/>
        </w:rPr>
        <w:t>投标人</w:t>
      </w:r>
      <w:r>
        <w:rPr>
          <w:rFonts w:hint="eastAsia" w:ascii="宋体" w:hAnsi="宋体" w:eastAsia="宋体" w:cs="宋体"/>
          <w:b/>
          <w:bCs/>
          <w:color w:val="auto"/>
          <w:highlight w:val="none"/>
        </w:rPr>
        <w:t>针对</w:t>
      </w:r>
      <w:r>
        <w:rPr>
          <w:rFonts w:hint="eastAsia" w:cs="宋体"/>
          <w:b/>
          <w:bCs/>
          <w:color w:val="auto"/>
          <w:highlight w:val="none"/>
          <w:lang w:eastAsia="zh-CN"/>
        </w:rPr>
        <w:t>投标</w:t>
      </w:r>
      <w:r>
        <w:rPr>
          <w:rFonts w:hint="eastAsia" w:ascii="宋体" w:hAnsi="宋体" w:eastAsia="宋体" w:cs="宋体"/>
          <w:b/>
          <w:bCs/>
          <w:color w:val="auto"/>
          <w:highlight w:val="none"/>
        </w:rPr>
        <w:t>报价需要</w:t>
      </w:r>
      <w:r>
        <w:rPr>
          <w:rFonts w:hint="eastAsia" w:cs="宋体"/>
          <w:b/>
          <w:bCs/>
          <w:color w:val="auto"/>
          <w:highlight w:val="none"/>
          <w:lang w:eastAsia="zh-CN"/>
        </w:rPr>
        <w:t>补充</w:t>
      </w:r>
      <w:r>
        <w:rPr>
          <w:rFonts w:hint="eastAsia" w:ascii="宋体" w:hAnsi="宋体" w:eastAsia="宋体" w:cs="宋体"/>
          <w:b/>
          <w:bCs/>
          <w:color w:val="auto"/>
          <w:highlight w:val="none"/>
        </w:rPr>
        <w:t>的其他文件和说明</w:t>
      </w:r>
      <w:r>
        <w:rPr>
          <w:rFonts w:hint="eastAsia" w:ascii="宋体" w:hAnsi="宋体"/>
          <w:b/>
          <w:bCs/>
          <w:sz w:val="24"/>
          <w:lang w:eastAsia="zh-CN"/>
        </w:rPr>
        <w:t>。</w:t>
      </w:r>
    </w:p>
    <w:p w14:paraId="16F22C89">
      <w:pPr>
        <w:bidi w:val="0"/>
        <w:spacing w:line="240" w:lineRule="auto"/>
        <w:ind w:left="0" w:leftChars="0" w:firstLine="0" w:firstLineChars="0"/>
        <w:jc w:val="left"/>
        <w:rPr>
          <w:rFonts w:hint="eastAsia" w:ascii="宋体" w:hAnsi="宋体" w:eastAsia="宋体" w:cs="宋体"/>
          <w:b/>
          <w:bCs/>
          <w:szCs w:val="24"/>
        </w:rPr>
        <w:sectPr>
          <w:pgSz w:w="11906" w:h="16838"/>
          <w:pgMar w:top="1440" w:right="1304" w:bottom="1020" w:left="1304" w:header="851" w:footer="992" w:gutter="0"/>
          <w:pgNumType w:fmt="decimal"/>
          <w:cols w:space="720" w:num="1"/>
          <w:docGrid w:type="lines" w:linePitch="312" w:charSpace="0"/>
        </w:sectPr>
      </w:pPr>
    </w:p>
    <w:p w14:paraId="66242E2F">
      <w:pPr>
        <w:bidi w:val="0"/>
        <w:spacing w:line="240" w:lineRule="auto"/>
        <w:ind w:left="0" w:leftChars="0" w:firstLine="0" w:firstLineChars="0"/>
        <w:jc w:val="left"/>
        <w:rPr>
          <w:rFonts w:hint="eastAsia" w:ascii="宋体" w:hAnsi="宋体" w:eastAsia="宋体" w:cs="宋体"/>
          <w:szCs w:val="24"/>
          <w:lang w:eastAsia="zh-CN"/>
        </w:rPr>
      </w:pPr>
      <w:r>
        <w:rPr>
          <w:rFonts w:hint="eastAsia" w:ascii="宋体" w:hAnsi="宋体" w:eastAsia="宋体" w:cs="宋体"/>
          <w:b/>
          <w:bCs/>
          <w:szCs w:val="24"/>
        </w:rPr>
        <w:t>附件十</w:t>
      </w:r>
      <w:r>
        <w:rPr>
          <w:rFonts w:hint="eastAsia" w:cs="宋体"/>
          <w:b/>
          <w:bCs/>
          <w:szCs w:val="24"/>
          <w:lang w:eastAsia="zh-CN"/>
        </w:rPr>
        <w:t>五</w:t>
      </w:r>
    </w:p>
    <w:p w14:paraId="7653297C">
      <w:pPr>
        <w:ind w:firstLine="0" w:firstLineChars="0"/>
        <w:jc w:val="center"/>
        <w:rPr>
          <w:rFonts w:hint="eastAsia" w:ascii="宋体" w:hAnsi="宋体" w:eastAsia="宋体" w:cs="宋体"/>
          <w:b/>
          <w:bCs/>
          <w:sz w:val="28"/>
          <w:szCs w:val="28"/>
        </w:rPr>
      </w:pPr>
      <w:r>
        <w:rPr>
          <w:rFonts w:hint="eastAsia" w:ascii="宋体" w:hAnsi="宋体" w:eastAsia="宋体" w:cs="宋体"/>
          <w:b/>
          <w:bCs/>
          <w:sz w:val="28"/>
          <w:szCs w:val="28"/>
        </w:rPr>
        <w:t>弃标函</w:t>
      </w:r>
    </w:p>
    <w:p w14:paraId="0236E68D">
      <w:pPr>
        <w:ind w:firstLine="480"/>
        <w:rPr>
          <w:rFonts w:hint="eastAsia" w:ascii="宋体" w:hAnsi="宋体" w:eastAsia="宋体" w:cs="宋体"/>
        </w:rPr>
      </w:pPr>
    </w:p>
    <w:p w14:paraId="21E75547">
      <w:pPr>
        <w:ind w:left="0" w:leftChars="0" w:firstLine="0" w:firstLineChars="0"/>
        <w:rPr>
          <w:rFonts w:hint="eastAsia" w:ascii="宋体" w:hAnsi="宋体" w:eastAsia="宋体" w:cs="宋体"/>
          <w:b/>
        </w:rPr>
      </w:pPr>
      <w:r>
        <w:rPr>
          <w:rFonts w:hint="eastAsia" w:cs="宋体"/>
          <w:u w:val="single"/>
          <w:lang w:eastAsia="zh-CN"/>
        </w:rPr>
        <w:t>（代理机构）</w:t>
      </w:r>
      <w:r>
        <w:rPr>
          <w:rFonts w:hint="eastAsia" w:ascii="宋体" w:hAnsi="宋体" w:eastAsia="宋体" w:cs="宋体"/>
        </w:rPr>
        <w:t>：</w:t>
      </w:r>
    </w:p>
    <w:p w14:paraId="560A3ABB">
      <w:pPr>
        <w:ind w:firstLine="480"/>
        <w:rPr>
          <w:rFonts w:hint="eastAsia" w:ascii="宋体" w:hAnsi="宋体" w:eastAsia="宋体" w:cs="宋体"/>
        </w:rPr>
      </w:pPr>
    </w:p>
    <w:p w14:paraId="643CE6B3">
      <w:pPr>
        <w:spacing w:line="480" w:lineRule="auto"/>
        <w:rPr>
          <w:rFonts w:hint="eastAsia"/>
        </w:rPr>
      </w:pPr>
      <w:r>
        <w:rPr>
          <w:rFonts w:hint="eastAsia"/>
        </w:rPr>
        <w:t>我公司</w:t>
      </w:r>
      <w:r>
        <w:rPr>
          <w:rFonts w:hint="eastAsia"/>
          <w:u w:val="single"/>
          <w:lang w:val="en-US" w:eastAsia="zh-CN"/>
        </w:rPr>
        <w:t xml:space="preserve">              </w:t>
      </w:r>
      <w:r>
        <w:rPr>
          <w:rFonts w:hint="eastAsia"/>
        </w:rPr>
        <w:t>，于202</w:t>
      </w:r>
      <w:r>
        <w:rPr>
          <w:rFonts w:hint="eastAsia"/>
          <w:lang w:val="en-US" w:eastAsia="zh-CN"/>
        </w:rPr>
        <w:t>5</w:t>
      </w:r>
      <w:r>
        <w:rPr>
          <w:rFonts w:hint="eastAsia"/>
        </w:rPr>
        <w:t>年</w:t>
      </w:r>
      <w:r>
        <w:rPr>
          <w:rFonts w:hint="eastAsia"/>
          <w:u w:val="single"/>
          <w:lang w:val="en-US" w:eastAsia="zh-CN"/>
        </w:rPr>
        <w:t xml:space="preserve">   </w:t>
      </w:r>
      <w:r>
        <w:rPr>
          <w:rFonts w:hint="eastAsia"/>
        </w:rPr>
        <w:t>月</w:t>
      </w:r>
      <w:r>
        <w:rPr>
          <w:rFonts w:hint="eastAsia"/>
          <w:u w:val="single"/>
          <w:lang w:val="en-US" w:eastAsia="zh-CN"/>
        </w:rPr>
        <w:t xml:space="preserve">   </w:t>
      </w:r>
      <w:r>
        <w:rPr>
          <w:rFonts w:hint="eastAsia"/>
        </w:rPr>
        <w:t>日报名参与</w:t>
      </w:r>
      <w:r>
        <w:rPr>
          <w:rFonts w:hint="eastAsia"/>
          <w:u w:val="single"/>
          <w:lang w:val="en-US" w:eastAsia="zh-CN"/>
        </w:rPr>
        <w:t xml:space="preserve">    </w:t>
      </w:r>
      <w:r>
        <w:rPr>
          <w:rFonts w:hint="eastAsia"/>
          <w:u w:val="single"/>
        </w:rPr>
        <w:t>（项目名称）</w:t>
      </w:r>
      <w:r>
        <w:rPr>
          <w:rFonts w:hint="eastAsia"/>
          <w:u w:val="single"/>
          <w:lang w:val="en-US" w:eastAsia="zh-CN"/>
        </w:rPr>
        <w:t xml:space="preserve">     </w:t>
      </w:r>
      <w:r>
        <w:rPr>
          <w:rFonts w:hint="eastAsia"/>
        </w:rPr>
        <w:t>项目，由于</w:t>
      </w:r>
      <w:r>
        <w:rPr>
          <w:rFonts w:hint="eastAsia"/>
          <w:u w:val="single"/>
          <w:lang w:val="en-US" w:eastAsia="zh-CN"/>
        </w:rPr>
        <w:t xml:space="preserve">                </w:t>
      </w:r>
      <w:r>
        <w:rPr>
          <w:rFonts w:hint="eastAsia"/>
        </w:rPr>
        <w:t>原因，经研究决定放弃投标。特此声明。</w:t>
      </w:r>
    </w:p>
    <w:p w14:paraId="5C2A6DE0">
      <w:pPr>
        <w:ind w:firstLine="480"/>
        <w:rPr>
          <w:rFonts w:hint="eastAsia" w:ascii="宋体" w:hAnsi="宋体" w:eastAsia="宋体" w:cs="宋体"/>
        </w:rPr>
      </w:pPr>
    </w:p>
    <w:p w14:paraId="19E61239">
      <w:pPr>
        <w:ind w:firstLine="480"/>
        <w:rPr>
          <w:rFonts w:hint="eastAsia" w:ascii="宋体" w:hAnsi="宋体" w:eastAsia="宋体" w:cs="宋体"/>
        </w:rPr>
      </w:pPr>
    </w:p>
    <w:p w14:paraId="4E110AEE">
      <w:pPr>
        <w:ind w:firstLine="480"/>
        <w:rPr>
          <w:rFonts w:hint="eastAsia" w:ascii="宋体" w:hAnsi="宋体" w:eastAsia="宋体" w:cs="宋体"/>
        </w:rPr>
      </w:pPr>
    </w:p>
    <w:p w14:paraId="06351A2B">
      <w:pPr>
        <w:ind w:firstLine="480"/>
        <w:rPr>
          <w:rFonts w:hint="eastAsia" w:ascii="宋体" w:hAnsi="宋体" w:eastAsia="宋体" w:cs="宋体"/>
        </w:rPr>
      </w:pPr>
    </w:p>
    <w:p w14:paraId="1CB425E2">
      <w:pPr>
        <w:ind w:firstLine="480"/>
        <w:rPr>
          <w:rFonts w:hint="eastAsia" w:ascii="宋体" w:hAnsi="宋体" w:eastAsia="宋体" w:cs="宋体"/>
        </w:rPr>
      </w:pPr>
    </w:p>
    <w:p w14:paraId="77FEA1FA">
      <w:pPr>
        <w:spacing w:line="480" w:lineRule="auto"/>
        <w:ind w:firstLine="480"/>
        <w:rPr>
          <w:rFonts w:hint="eastAsia" w:ascii="宋体" w:hAnsi="宋体" w:eastAsia="宋体" w:cs="宋体"/>
        </w:rPr>
      </w:pPr>
      <w:r>
        <w:rPr>
          <w:rFonts w:hint="eastAsia" w:ascii="宋体" w:hAnsi="宋体" w:eastAsia="宋体" w:cs="宋体"/>
        </w:rPr>
        <w:t>投标人名称（公章）：</w:t>
      </w:r>
    </w:p>
    <w:p w14:paraId="1C75F676">
      <w:pPr>
        <w:spacing w:line="480" w:lineRule="auto"/>
        <w:ind w:firstLine="480"/>
        <w:rPr>
          <w:rFonts w:hint="eastAsia" w:ascii="宋体" w:hAnsi="宋体" w:eastAsia="宋体" w:cs="宋体"/>
        </w:rPr>
      </w:pPr>
      <w:r>
        <w:rPr>
          <w:rFonts w:hint="eastAsia" w:ascii="宋体" w:hAnsi="宋体" w:eastAsia="宋体" w:cs="宋体"/>
        </w:rPr>
        <w:t>日期：  年   月   日</w:t>
      </w:r>
    </w:p>
    <w:p w14:paraId="2AC7F995">
      <w:pPr>
        <w:ind w:firstLine="480"/>
        <w:rPr>
          <w:rFonts w:hint="eastAsia" w:ascii="宋体" w:hAnsi="宋体" w:eastAsia="宋体" w:cs="宋体"/>
        </w:rPr>
      </w:pPr>
    </w:p>
    <w:p w14:paraId="4477475F">
      <w:pPr>
        <w:ind w:firstLine="480"/>
        <w:rPr>
          <w:rFonts w:hint="eastAsia" w:ascii="宋体" w:hAnsi="宋体" w:eastAsia="宋体" w:cs="宋体"/>
        </w:rPr>
      </w:pPr>
    </w:p>
    <w:p w14:paraId="25077E23">
      <w:pPr>
        <w:ind w:firstLine="480"/>
        <w:rPr>
          <w:rFonts w:hint="default" w:ascii="宋体" w:hAnsi="宋体" w:eastAsia="宋体" w:cs="宋体"/>
          <w:u w:val="single"/>
          <w:lang w:val="en-US" w:eastAsia="zh-CN"/>
        </w:rPr>
      </w:pPr>
      <w:r>
        <w:rPr>
          <w:rFonts w:hint="eastAsia" w:ascii="宋体" w:hAnsi="宋体" w:eastAsia="宋体" w:cs="宋体"/>
        </w:rPr>
        <w:t>注：报名单位若不参与该项目的投标，请于开标截止前3个工作日将弃标函盖章发送至我公司邮箱。</w:t>
      </w:r>
      <w:r>
        <w:rPr>
          <w:rFonts w:hint="eastAsia" w:cs="宋体"/>
          <w:lang w:eastAsia="zh-CN"/>
        </w:rPr>
        <w:t>邮箱地址：</w:t>
      </w:r>
      <w:r>
        <w:rPr>
          <w:rFonts w:hint="eastAsia" w:ascii="宋体" w:hAnsi="宋体" w:eastAsia="宋体" w:cs="宋体"/>
          <w:color w:val="000000" w:themeColor="text1"/>
          <w:kern w:val="0"/>
          <w:sz w:val="24"/>
          <w:szCs w:val="24"/>
          <w:u w:val="single"/>
          <w:lang w:val="en-US" w:eastAsia="zh-CN"/>
          <w14:textFill>
            <w14:solidFill>
              <w14:schemeClr w14:val="tx1"/>
            </w14:solidFill>
          </w14:textFill>
        </w:rPr>
        <w:t>hzzx@zxbidding.cn</w:t>
      </w:r>
      <w:r>
        <w:rPr>
          <w:rFonts w:hint="eastAsia" w:cs="宋体"/>
          <w:u w:val="single"/>
          <w:lang w:val="en-US" w:eastAsia="zh-CN"/>
        </w:rPr>
        <w:t xml:space="preserve">             </w:t>
      </w:r>
    </w:p>
    <w:p w14:paraId="5E9AFD14">
      <w:pPr>
        <w:ind w:firstLine="480"/>
        <w:rPr>
          <w:rStyle w:val="52"/>
          <w:rFonts w:hint="eastAsia" w:ascii="宋体" w:hAnsi="宋体" w:eastAsia="宋体" w:cs="宋体"/>
          <w:color w:val="auto"/>
        </w:rPr>
      </w:pPr>
      <w:r>
        <w:rPr>
          <w:rFonts w:hint="eastAsia" w:ascii="宋体" w:hAnsi="宋体" w:eastAsia="宋体" w:cs="宋体"/>
        </w:rPr>
        <w:fldChar w:fldCharType="begin"/>
      </w:r>
      <w:r>
        <w:rPr>
          <w:rFonts w:hint="eastAsia" w:ascii="宋体" w:hAnsi="宋体" w:eastAsia="宋体" w:cs="宋体"/>
        </w:rPr>
        <w:instrText xml:space="preserve"> HYPERLINK "mailto:2810140286@qq.com。" </w:instrText>
      </w:r>
      <w:r>
        <w:rPr>
          <w:rFonts w:hint="eastAsia" w:ascii="宋体" w:hAnsi="宋体" w:eastAsia="宋体" w:cs="宋体"/>
        </w:rPr>
        <w:fldChar w:fldCharType="separate"/>
      </w:r>
    </w:p>
    <w:p w14:paraId="5DE7874B">
      <w:pPr>
        <w:pStyle w:val="4"/>
        <w:rPr>
          <w:rFonts w:hint="eastAsia" w:ascii="宋体" w:hAnsi="宋体" w:eastAsia="宋体" w:cs="宋体"/>
          <w:szCs w:val="24"/>
        </w:rPr>
        <w:sectPr>
          <w:pgSz w:w="11906" w:h="16838"/>
          <w:pgMar w:top="1440" w:right="1304" w:bottom="1020" w:left="1304" w:header="851" w:footer="992" w:gutter="0"/>
          <w:pgNumType w:fmt="decimal"/>
          <w:cols w:space="720" w:num="1"/>
          <w:docGrid w:type="lines" w:linePitch="312" w:charSpace="0"/>
        </w:sectPr>
      </w:pPr>
    </w:p>
    <w:p w14:paraId="09FB9195">
      <w:pPr>
        <w:ind w:firstLine="0" w:firstLineChars="0"/>
        <w:rPr>
          <w:rFonts w:hint="eastAsia" w:ascii="宋体" w:hAnsi="宋体" w:eastAsia="宋体" w:cs="宋体"/>
          <w:b/>
          <w:bCs/>
        </w:rPr>
      </w:pPr>
      <w:r>
        <w:rPr>
          <w:rFonts w:hint="eastAsia" w:ascii="宋体" w:hAnsi="宋体" w:eastAsia="宋体" w:cs="宋体"/>
        </w:rPr>
        <w:fldChar w:fldCharType="end"/>
      </w:r>
      <w:r>
        <w:rPr>
          <w:rFonts w:hint="eastAsia" w:ascii="宋体" w:hAnsi="宋体" w:eastAsia="宋体" w:cs="宋体"/>
          <w:b/>
          <w:bCs/>
        </w:rPr>
        <w:t>附件十</w:t>
      </w:r>
      <w:r>
        <w:rPr>
          <w:rFonts w:hint="eastAsia" w:cs="宋体"/>
          <w:b/>
          <w:bCs/>
          <w:lang w:eastAsia="zh-CN"/>
        </w:rPr>
        <w:t>六</w:t>
      </w:r>
      <w:r>
        <w:rPr>
          <w:rFonts w:hint="eastAsia" w:ascii="宋体" w:hAnsi="宋体" w:eastAsia="宋体" w:cs="宋体"/>
          <w:b/>
          <w:bCs/>
        </w:rPr>
        <w:t>：质疑函范本及制作说明</w:t>
      </w:r>
    </w:p>
    <w:p w14:paraId="34CCCC6F">
      <w:pPr>
        <w:ind w:firstLine="4103" w:firstLineChars="1400"/>
        <w:jc w:val="both"/>
        <w:rPr>
          <w:rFonts w:hint="eastAsia" w:ascii="宋体" w:hAnsi="宋体" w:eastAsia="宋体" w:cs="宋体"/>
          <w:b/>
          <w:spacing w:val="6"/>
          <w:sz w:val="28"/>
          <w:szCs w:val="28"/>
        </w:rPr>
      </w:pPr>
      <w:r>
        <w:rPr>
          <w:rFonts w:hint="eastAsia" w:ascii="宋体" w:hAnsi="宋体" w:eastAsia="宋体" w:cs="宋体"/>
          <w:b/>
          <w:spacing w:val="6"/>
          <w:sz w:val="28"/>
          <w:szCs w:val="28"/>
        </w:rPr>
        <w:t>质疑函范本</w:t>
      </w:r>
    </w:p>
    <w:p w14:paraId="423EA608">
      <w:pPr>
        <w:snapToGrid w:val="0"/>
        <w:spacing w:before="312" w:beforeLines="100"/>
        <w:ind w:firstLine="480"/>
        <w:rPr>
          <w:rFonts w:hint="eastAsia" w:ascii="宋体" w:hAnsi="宋体" w:eastAsia="宋体" w:cs="宋体"/>
          <w:bCs/>
        </w:rPr>
      </w:pPr>
      <w:r>
        <w:rPr>
          <w:rFonts w:hint="eastAsia" w:ascii="宋体" w:hAnsi="宋体" w:eastAsia="宋体" w:cs="宋体"/>
          <w:bCs/>
        </w:rPr>
        <w:t>一、质疑投标人基本信息</w:t>
      </w:r>
    </w:p>
    <w:p w14:paraId="6D264986">
      <w:pPr>
        <w:snapToGrid w:val="0"/>
        <w:ind w:firstLine="480"/>
        <w:rPr>
          <w:rFonts w:hint="eastAsia" w:ascii="宋体" w:hAnsi="宋体" w:eastAsia="宋体" w:cs="宋体"/>
          <w:u w:val="dotted"/>
        </w:rPr>
      </w:pPr>
      <w:r>
        <w:rPr>
          <w:rFonts w:hint="eastAsia" w:ascii="宋体" w:hAnsi="宋体" w:eastAsia="宋体" w:cs="宋体"/>
        </w:rPr>
        <w:t>质疑投标人：</w:t>
      </w:r>
      <w:r>
        <w:rPr>
          <w:rFonts w:hint="eastAsia" w:ascii="宋体" w:hAnsi="宋体" w:eastAsia="宋体" w:cs="宋体"/>
          <w:u w:val="dotted"/>
        </w:rPr>
        <w:t xml:space="preserve">                                        </w:t>
      </w:r>
    </w:p>
    <w:p w14:paraId="4C5B7B2D">
      <w:pPr>
        <w:snapToGrid w:val="0"/>
        <w:ind w:firstLine="480"/>
        <w:rPr>
          <w:rFonts w:hint="eastAsia" w:ascii="宋体" w:hAnsi="宋体" w:eastAsia="宋体" w:cs="宋体"/>
        </w:rPr>
      </w:pPr>
      <w:r>
        <w:rPr>
          <w:rFonts w:hint="eastAsia" w:ascii="宋体" w:hAnsi="宋体" w:eastAsia="宋体" w:cs="宋体"/>
        </w:rPr>
        <w:t>地址：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29050EB3">
      <w:pPr>
        <w:snapToGrid w:val="0"/>
        <w:ind w:firstLine="480"/>
        <w:rPr>
          <w:rFonts w:hint="eastAsia" w:ascii="宋体" w:hAnsi="宋体" w:eastAsia="宋体" w:cs="宋体"/>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6A6E7E2B">
      <w:pPr>
        <w:snapToGrid w:val="0"/>
        <w:ind w:firstLine="480"/>
        <w:rPr>
          <w:rFonts w:hint="eastAsia" w:ascii="宋体" w:hAnsi="宋体" w:eastAsia="宋体" w:cs="宋体"/>
          <w:u w:val="dotted"/>
        </w:rPr>
      </w:pPr>
      <w:r>
        <w:rPr>
          <w:rFonts w:hint="eastAsia" w:cs="宋体"/>
          <w:lang w:eastAsia="zh-CN"/>
        </w:rPr>
        <w:t>授权代表</w:t>
      </w:r>
      <w:r>
        <w:rPr>
          <w:rFonts w:hint="eastAsia" w:ascii="宋体" w:hAnsi="宋体" w:eastAsia="宋体" w:cs="宋体"/>
        </w:rPr>
        <w:t>：</w:t>
      </w:r>
      <w:r>
        <w:rPr>
          <w:rFonts w:hint="eastAsia" w:ascii="宋体" w:hAnsi="宋体" w:eastAsia="宋体" w:cs="宋体"/>
          <w:u w:val="dotted"/>
        </w:rPr>
        <w:t xml:space="preserve">                                          </w:t>
      </w:r>
    </w:p>
    <w:p w14:paraId="6AC7D7ED">
      <w:pPr>
        <w:snapToGrid w:val="0"/>
        <w:ind w:firstLine="480"/>
        <w:rPr>
          <w:rFonts w:hint="eastAsia" w:ascii="宋体" w:hAnsi="宋体" w:eastAsia="宋体" w:cs="宋体"/>
        </w:rPr>
      </w:pPr>
      <w:r>
        <w:rPr>
          <w:rFonts w:hint="eastAsia" w:ascii="宋体" w:hAnsi="宋体" w:eastAsia="宋体" w:cs="宋体"/>
        </w:rPr>
        <w:t>联系电话：</w:t>
      </w:r>
      <w:r>
        <w:rPr>
          <w:rFonts w:hint="eastAsia" w:ascii="宋体" w:hAnsi="宋体" w:eastAsia="宋体" w:cs="宋体"/>
          <w:u w:val="dotted"/>
        </w:rPr>
        <w:t xml:space="preserve">                                           </w:t>
      </w:r>
      <w:r>
        <w:rPr>
          <w:rFonts w:hint="eastAsia" w:ascii="宋体" w:hAnsi="宋体" w:eastAsia="宋体" w:cs="宋体"/>
        </w:rPr>
        <w:t xml:space="preserve"> </w:t>
      </w:r>
    </w:p>
    <w:p w14:paraId="52D3CB65">
      <w:pPr>
        <w:snapToGrid w:val="0"/>
        <w:ind w:firstLine="480"/>
        <w:rPr>
          <w:rFonts w:hint="eastAsia" w:ascii="宋体" w:hAnsi="宋体" w:eastAsia="宋体" w:cs="宋体"/>
        </w:rPr>
      </w:pPr>
      <w:r>
        <w:rPr>
          <w:rFonts w:hint="eastAsia" w:ascii="宋体" w:hAnsi="宋体" w:eastAsia="宋体" w:cs="宋体"/>
        </w:rPr>
        <w:t xml:space="preserve">地址： </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2C2EA766">
      <w:pPr>
        <w:snapToGrid w:val="0"/>
        <w:ind w:firstLine="480"/>
        <w:rPr>
          <w:rFonts w:hint="eastAsia" w:ascii="宋体" w:hAnsi="宋体" w:eastAsia="宋体" w:cs="宋体"/>
          <w:bCs/>
        </w:rPr>
      </w:pPr>
      <w:r>
        <w:rPr>
          <w:rFonts w:hint="eastAsia" w:ascii="宋体" w:hAnsi="宋体" w:eastAsia="宋体" w:cs="宋体"/>
          <w:bCs/>
        </w:rPr>
        <w:t>二、质疑项目基本情况</w:t>
      </w:r>
    </w:p>
    <w:p w14:paraId="6DC38EA8">
      <w:pPr>
        <w:snapToGrid w:val="0"/>
        <w:ind w:firstLine="480"/>
        <w:rPr>
          <w:rFonts w:hint="eastAsia" w:ascii="宋体" w:hAnsi="宋体" w:eastAsia="宋体" w:cs="宋体"/>
        </w:rPr>
      </w:pPr>
      <w:r>
        <w:rPr>
          <w:rFonts w:hint="eastAsia" w:ascii="宋体" w:hAnsi="宋体" w:eastAsia="宋体" w:cs="宋体"/>
        </w:rPr>
        <w:t>质疑项目的名称：</w:t>
      </w:r>
      <w:r>
        <w:rPr>
          <w:rFonts w:hint="eastAsia" w:ascii="宋体" w:hAnsi="宋体" w:eastAsia="宋体" w:cs="宋体"/>
          <w:u w:val="dotted"/>
        </w:rPr>
        <w:t xml:space="preserve">                                      </w:t>
      </w:r>
    </w:p>
    <w:p w14:paraId="4BFA372A">
      <w:pPr>
        <w:snapToGrid w:val="0"/>
        <w:ind w:firstLine="480"/>
        <w:rPr>
          <w:rFonts w:hint="eastAsia" w:ascii="宋体" w:hAnsi="宋体" w:eastAsia="宋体" w:cs="宋体"/>
        </w:rPr>
      </w:pPr>
      <w:r>
        <w:rPr>
          <w:rFonts w:hint="eastAsia" w:ascii="宋体" w:hAnsi="宋体" w:eastAsia="宋体" w:cs="宋体"/>
        </w:rPr>
        <w:t>质疑项目的编号：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45B7D5F3">
      <w:pPr>
        <w:snapToGrid w:val="0"/>
        <w:ind w:firstLine="480"/>
        <w:rPr>
          <w:rFonts w:hint="eastAsia" w:ascii="宋体" w:hAnsi="宋体" w:eastAsia="宋体" w:cs="宋体"/>
          <w:u w:val="dotted"/>
        </w:rPr>
      </w:pPr>
      <w:r>
        <w:rPr>
          <w:rFonts w:hint="eastAsia" w:ascii="宋体" w:hAnsi="宋体" w:eastAsia="宋体" w:cs="宋体"/>
        </w:rPr>
        <w:t>招标人名称：</w:t>
      </w:r>
      <w:r>
        <w:rPr>
          <w:rFonts w:hint="eastAsia" w:ascii="宋体" w:hAnsi="宋体" w:eastAsia="宋体" w:cs="宋体"/>
          <w:u w:val="dotted"/>
        </w:rPr>
        <w:t xml:space="preserve">                                         </w:t>
      </w:r>
    </w:p>
    <w:p w14:paraId="66AD16EE">
      <w:pPr>
        <w:snapToGrid w:val="0"/>
        <w:ind w:firstLine="480"/>
        <w:rPr>
          <w:rFonts w:hint="eastAsia" w:ascii="宋体" w:hAnsi="宋体" w:eastAsia="宋体" w:cs="宋体"/>
        </w:rPr>
      </w:pPr>
      <w:r>
        <w:rPr>
          <w:rFonts w:hint="eastAsia" w:ascii="宋体" w:hAnsi="宋体" w:eastAsia="宋体" w:cs="宋体"/>
          <w:lang w:val="en-US" w:eastAsia="zh-CN"/>
        </w:rPr>
        <w:t>招标</w:t>
      </w:r>
      <w:r>
        <w:rPr>
          <w:rFonts w:hint="eastAsia" w:ascii="宋体" w:hAnsi="宋体" w:eastAsia="宋体" w:cs="宋体"/>
        </w:rPr>
        <w:t>文件获取日期：</w:t>
      </w:r>
      <w:r>
        <w:rPr>
          <w:rFonts w:hint="eastAsia" w:ascii="宋体" w:hAnsi="宋体" w:eastAsia="宋体" w:cs="宋体"/>
          <w:u w:val="dotted"/>
        </w:rPr>
        <w:t xml:space="preserve">                                    </w:t>
      </w:r>
    </w:p>
    <w:p w14:paraId="23016C88">
      <w:pPr>
        <w:snapToGrid w:val="0"/>
        <w:ind w:firstLine="480"/>
        <w:rPr>
          <w:rFonts w:hint="eastAsia" w:ascii="宋体" w:hAnsi="宋体" w:eastAsia="宋体" w:cs="宋体"/>
          <w:bCs/>
        </w:rPr>
      </w:pPr>
      <w:r>
        <w:rPr>
          <w:rFonts w:hint="eastAsia" w:ascii="宋体" w:hAnsi="宋体" w:eastAsia="宋体" w:cs="宋体"/>
          <w:bCs/>
        </w:rPr>
        <w:t>三、质疑事项具体内容</w:t>
      </w:r>
    </w:p>
    <w:p w14:paraId="584303BD">
      <w:pPr>
        <w:snapToGrid w:val="0"/>
        <w:ind w:firstLine="480"/>
        <w:rPr>
          <w:rFonts w:hint="eastAsia" w:ascii="宋体" w:hAnsi="宋体" w:eastAsia="宋体" w:cs="宋体"/>
          <w:u w:val="dotted"/>
        </w:rPr>
      </w:pPr>
      <w:r>
        <w:rPr>
          <w:rFonts w:hint="eastAsia" w:ascii="宋体" w:hAnsi="宋体" w:eastAsia="宋体" w:cs="宋体"/>
        </w:rPr>
        <w:t>质疑事项1：</w:t>
      </w:r>
      <w:r>
        <w:rPr>
          <w:rFonts w:hint="eastAsia" w:ascii="宋体" w:hAnsi="宋体" w:eastAsia="宋体" w:cs="宋体"/>
          <w:u w:val="dotted"/>
        </w:rPr>
        <w:t xml:space="preserve">                                         </w:t>
      </w:r>
    </w:p>
    <w:p w14:paraId="7B6285E6">
      <w:pPr>
        <w:snapToGrid w:val="0"/>
        <w:ind w:firstLine="480"/>
        <w:rPr>
          <w:rFonts w:hint="eastAsia" w:ascii="宋体" w:hAnsi="宋体" w:eastAsia="宋体" w:cs="宋体"/>
          <w:u w:val="dotted"/>
        </w:rPr>
      </w:pPr>
      <w:r>
        <w:rPr>
          <w:rFonts w:hint="eastAsia" w:ascii="宋体" w:hAnsi="宋体" w:eastAsia="宋体" w:cs="宋体"/>
        </w:rPr>
        <w:t>事实依据：</w:t>
      </w:r>
      <w:r>
        <w:rPr>
          <w:rFonts w:hint="eastAsia" w:ascii="宋体" w:hAnsi="宋体" w:eastAsia="宋体" w:cs="宋体"/>
          <w:u w:val="dotted"/>
        </w:rPr>
        <w:t xml:space="preserve">                                          </w:t>
      </w:r>
    </w:p>
    <w:p w14:paraId="237877CF">
      <w:pPr>
        <w:snapToGrid w:val="0"/>
        <w:ind w:firstLine="480"/>
        <w:rPr>
          <w:rFonts w:hint="eastAsia" w:ascii="宋体" w:hAnsi="宋体" w:eastAsia="宋体" w:cs="宋体"/>
        </w:rPr>
      </w:pPr>
      <w:r>
        <w:rPr>
          <w:rFonts w:hint="eastAsia" w:ascii="宋体" w:hAnsi="宋体" w:eastAsia="宋体" w:cs="宋体"/>
          <w:u w:val="dotted"/>
        </w:rPr>
        <w:t xml:space="preserve">                                                       </w:t>
      </w:r>
    </w:p>
    <w:p w14:paraId="62B9CCE2">
      <w:pPr>
        <w:snapToGrid w:val="0"/>
        <w:ind w:firstLine="480"/>
        <w:rPr>
          <w:rFonts w:hint="eastAsia" w:ascii="宋体" w:hAnsi="宋体" w:eastAsia="宋体" w:cs="宋体"/>
          <w:u w:val="dotted"/>
        </w:rPr>
      </w:pPr>
      <w:r>
        <w:rPr>
          <w:rFonts w:hint="eastAsia" w:ascii="宋体" w:hAnsi="宋体" w:eastAsia="宋体" w:cs="宋体"/>
        </w:rPr>
        <w:t>法律依据：</w:t>
      </w:r>
      <w:r>
        <w:rPr>
          <w:rFonts w:hint="eastAsia" w:ascii="宋体" w:hAnsi="宋体" w:eastAsia="宋体" w:cs="宋体"/>
          <w:u w:val="dotted"/>
        </w:rPr>
        <w:t xml:space="preserve">                                          </w:t>
      </w:r>
    </w:p>
    <w:p w14:paraId="224E614A">
      <w:pPr>
        <w:snapToGrid w:val="0"/>
        <w:ind w:firstLine="480"/>
        <w:rPr>
          <w:rFonts w:hint="eastAsia" w:ascii="宋体" w:hAnsi="宋体" w:eastAsia="宋体" w:cs="宋体"/>
          <w:u w:val="dotted"/>
        </w:rPr>
      </w:pPr>
      <w:r>
        <w:rPr>
          <w:rFonts w:hint="eastAsia" w:ascii="宋体" w:hAnsi="宋体" w:eastAsia="宋体" w:cs="宋体"/>
          <w:u w:val="dotted"/>
        </w:rPr>
        <w:t xml:space="preserve">                                                     </w:t>
      </w:r>
    </w:p>
    <w:p w14:paraId="61D04377">
      <w:pPr>
        <w:snapToGrid w:val="0"/>
        <w:ind w:firstLine="480"/>
        <w:rPr>
          <w:rFonts w:hint="eastAsia" w:ascii="宋体" w:hAnsi="宋体" w:eastAsia="宋体" w:cs="宋体"/>
          <w:u w:val="dotted"/>
        </w:rPr>
      </w:pPr>
      <w:r>
        <w:rPr>
          <w:rFonts w:hint="eastAsia" w:ascii="宋体" w:hAnsi="宋体" w:eastAsia="宋体" w:cs="宋体"/>
        </w:rPr>
        <w:t>质疑事项2</w:t>
      </w:r>
    </w:p>
    <w:p w14:paraId="1C3157FE">
      <w:pPr>
        <w:snapToGrid w:val="0"/>
        <w:ind w:firstLine="480"/>
        <w:rPr>
          <w:rFonts w:hint="eastAsia" w:ascii="宋体" w:hAnsi="宋体" w:eastAsia="宋体" w:cs="宋体"/>
        </w:rPr>
      </w:pPr>
      <w:r>
        <w:rPr>
          <w:rFonts w:hint="eastAsia" w:ascii="宋体" w:hAnsi="宋体" w:eastAsia="宋体" w:cs="宋体"/>
        </w:rPr>
        <w:t>……</w:t>
      </w:r>
    </w:p>
    <w:p w14:paraId="7298D2FF">
      <w:pPr>
        <w:snapToGrid w:val="0"/>
        <w:ind w:firstLine="480"/>
        <w:rPr>
          <w:rFonts w:hint="eastAsia" w:ascii="宋体" w:hAnsi="宋体" w:eastAsia="宋体" w:cs="宋体"/>
          <w:bCs/>
        </w:rPr>
      </w:pPr>
      <w:r>
        <w:rPr>
          <w:rFonts w:hint="eastAsia" w:ascii="宋体" w:hAnsi="宋体" w:eastAsia="宋体" w:cs="宋体"/>
          <w:bCs/>
        </w:rPr>
        <w:t>四、与质疑事项相关的质疑请求</w:t>
      </w:r>
    </w:p>
    <w:p w14:paraId="58A1D88A">
      <w:pPr>
        <w:snapToGrid w:val="0"/>
        <w:ind w:firstLine="480"/>
        <w:rPr>
          <w:rFonts w:hint="eastAsia" w:ascii="宋体" w:hAnsi="宋体" w:eastAsia="宋体" w:cs="宋体"/>
          <w:u w:val="dotted"/>
        </w:rPr>
      </w:pPr>
      <w:r>
        <w:rPr>
          <w:rFonts w:hint="eastAsia" w:ascii="宋体" w:hAnsi="宋体" w:eastAsia="宋体" w:cs="宋体"/>
        </w:rPr>
        <w:t>请求：</w:t>
      </w:r>
      <w:r>
        <w:rPr>
          <w:rFonts w:hint="eastAsia" w:ascii="宋体" w:hAnsi="宋体" w:eastAsia="宋体" w:cs="宋体"/>
          <w:u w:val="dotted"/>
        </w:rPr>
        <w:t xml:space="preserve">                                               </w:t>
      </w:r>
    </w:p>
    <w:p w14:paraId="697AD9A1">
      <w:pPr>
        <w:pStyle w:val="2"/>
        <w:rPr>
          <w:rFonts w:hint="eastAsia"/>
        </w:rPr>
      </w:pPr>
    </w:p>
    <w:p w14:paraId="46CDA12A">
      <w:pPr>
        <w:ind w:firstLine="480"/>
        <w:rPr>
          <w:rFonts w:hint="eastAsia" w:ascii="宋体" w:hAnsi="宋体" w:eastAsia="宋体" w:cs="宋体"/>
        </w:rPr>
      </w:pPr>
      <w:r>
        <w:rPr>
          <w:rFonts w:hint="eastAsia" w:ascii="宋体" w:hAnsi="宋体" w:eastAsia="宋体" w:cs="宋体"/>
        </w:rPr>
        <w:t xml:space="preserve">签字(签章)：                公章：                      </w:t>
      </w:r>
    </w:p>
    <w:p w14:paraId="13D3967F">
      <w:pPr>
        <w:ind w:firstLine="480"/>
        <w:rPr>
          <w:rFonts w:hint="eastAsia" w:ascii="宋体" w:hAnsi="宋体" w:eastAsia="宋体" w:cs="宋体"/>
        </w:rPr>
      </w:pPr>
      <w:r>
        <w:rPr>
          <w:rFonts w:hint="eastAsia" w:ascii="宋体" w:hAnsi="宋体" w:eastAsia="宋体" w:cs="宋体"/>
        </w:rPr>
        <w:t xml:space="preserve">日期：    </w:t>
      </w:r>
    </w:p>
    <w:p w14:paraId="12279233">
      <w:pPr>
        <w:ind w:firstLine="482"/>
        <w:jc w:val="center"/>
        <w:rPr>
          <w:rFonts w:hint="eastAsia" w:ascii="宋体" w:hAnsi="宋体" w:eastAsia="宋体" w:cs="宋体"/>
          <w:b/>
          <w:bCs/>
        </w:rPr>
      </w:pPr>
    </w:p>
    <w:p w14:paraId="683808BA">
      <w:pPr>
        <w:ind w:firstLine="482"/>
        <w:rPr>
          <w:rFonts w:hint="eastAsia" w:ascii="宋体" w:hAnsi="宋体" w:eastAsia="宋体" w:cs="宋体"/>
          <w:b/>
        </w:rPr>
      </w:pPr>
    </w:p>
    <w:p w14:paraId="217478D6">
      <w:pPr>
        <w:ind w:firstLine="482"/>
        <w:rPr>
          <w:rFonts w:hint="eastAsia" w:ascii="宋体" w:hAnsi="宋体" w:eastAsia="宋体" w:cs="宋体"/>
          <w:b/>
        </w:rPr>
      </w:pPr>
      <w:r>
        <w:rPr>
          <w:rFonts w:hint="eastAsia" w:ascii="宋体" w:hAnsi="宋体" w:eastAsia="宋体" w:cs="宋体"/>
          <w:b/>
        </w:rPr>
        <w:t>质疑函制作说明：</w:t>
      </w:r>
    </w:p>
    <w:p w14:paraId="7A9B6D5E">
      <w:pPr>
        <w:widowControl/>
        <w:ind w:firstLine="480"/>
        <w:jc w:val="left"/>
        <w:rPr>
          <w:rFonts w:hint="eastAsia" w:ascii="宋体" w:hAnsi="宋体" w:eastAsia="宋体" w:cs="宋体"/>
        </w:rPr>
      </w:pPr>
      <w:r>
        <w:rPr>
          <w:rFonts w:hint="eastAsia" w:ascii="宋体" w:hAnsi="宋体" w:eastAsia="宋体" w:cs="宋体"/>
        </w:rPr>
        <w:t>1.投标人提出质疑时，应提交质疑函和必要的证明材料。</w:t>
      </w:r>
    </w:p>
    <w:p w14:paraId="1F4DFDFA">
      <w:pPr>
        <w:widowControl/>
        <w:ind w:firstLine="480"/>
        <w:jc w:val="left"/>
        <w:rPr>
          <w:rFonts w:hint="eastAsia" w:ascii="宋体" w:hAnsi="宋体" w:eastAsia="宋体" w:cs="宋体"/>
        </w:rPr>
      </w:pPr>
      <w:r>
        <w:rPr>
          <w:rFonts w:hint="eastAsia" w:ascii="宋体" w:hAnsi="宋体" w:eastAsia="宋体" w:cs="宋体"/>
        </w:rPr>
        <w:t>2.质疑投标人若委托代理人进行质疑的，质疑函应按要求列明“</w:t>
      </w:r>
      <w:r>
        <w:rPr>
          <w:rFonts w:hint="eastAsia" w:cs="宋体"/>
          <w:lang w:eastAsia="zh-CN"/>
        </w:rPr>
        <w:t>授权代表</w:t>
      </w:r>
      <w:r>
        <w:rPr>
          <w:rFonts w:hint="eastAsia" w:ascii="宋体" w:hAnsi="宋体" w:eastAsia="宋体" w:cs="宋体"/>
        </w:rPr>
        <w:t>”的有关内容，并在附件中提交由质疑</w:t>
      </w:r>
      <w:r>
        <w:rPr>
          <w:rFonts w:hint="eastAsia" w:ascii="宋体" w:hAnsi="宋体" w:eastAsia="宋体" w:cs="宋体"/>
          <w:kern w:val="0"/>
        </w:rPr>
        <w:t>投标人签署的授权委托书。授权委托书应载明代理人的姓名或者名称、代理事项、具体权限、期限和相关事项。</w:t>
      </w:r>
    </w:p>
    <w:p w14:paraId="40ED48E8">
      <w:pPr>
        <w:widowControl/>
        <w:ind w:firstLine="480"/>
        <w:jc w:val="left"/>
        <w:rPr>
          <w:rFonts w:hint="eastAsia" w:ascii="宋体" w:hAnsi="宋体" w:eastAsia="宋体" w:cs="宋体"/>
        </w:rPr>
      </w:pPr>
      <w:r>
        <w:rPr>
          <w:rFonts w:hint="eastAsia" w:ascii="宋体" w:hAnsi="宋体" w:eastAsia="宋体" w:cs="宋体"/>
        </w:rPr>
        <w:t>3.质疑函的质疑事项应具体、明确，并有必要的事实依据和法律依据。</w:t>
      </w:r>
    </w:p>
    <w:p w14:paraId="46EDB228">
      <w:pPr>
        <w:widowControl/>
        <w:ind w:firstLine="480"/>
        <w:jc w:val="left"/>
        <w:rPr>
          <w:rFonts w:hint="eastAsia" w:ascii="宋体" w:hAnsi="宋体" w:eastAsia="宋体" w:cs="宋体"/>
        </w:rPr>
      </w:pPr>
      <w:r>
        <w:rPr>
          <w:rFonts w:hint="eastAsia" w:ascii="宋体" w:hAnsi="宋体" w:eastAsia="宋体" w:cs="宋体"/>
        </w:rPr>
        <w:t>4.质疑函的质疑请求应与质疑事项相关。</w:t>
      </w:r>
    </w:p>
    <w:p w14:paraId="26DD1D6E">
      <w:pPr>
        <w:widowControl/>
        <w:ind w:firstLine="480"/>
        <w:jc w:val="left"/>
        <w:rPr>
          <w:rFonts w:hint="eastAsia" w:ascii="宋体" w:hAnsi="宋体" w:eastAsia="宋体" w:cs="宋体"/>
        </w:rPr>
      </w:pPr>
      <w:r>
        <w:rPr>
          <w:rFonts w:hint="eastAsia" w:ascii="宋体" w:hAnsi="宋体" w:eastAsia="宋体" w:cs="宋体"/>
        </w:rPr>
        <w:t>5.质疑投标人为自然人的，质疑函应由本人签字；质疑投标人为法人或者其他组织的，质疑函应由法定代表人、主要负责人，或者其</w:t>
      </w:r>
      <w:r>
        <w:rPr>
          <w:rFonts w:hint="eastAsia" w:cs="宋体"/>
          <w:lang w:eastAsia="zh-CN"/>
        </w:rPr>
        <w:t>授权代表</w:t>
      </w:r>
      <w:r>
        <w:rPr>
          <w:rFonts w:hint="eastAsia" w:ascii="宋体" w:hAnsi="宋体" w:eastAsia="宋体" w:cs="宋体"/>
        </w:rPr>
        <w:t>签字或者盖章，并加盖公章。</w:t>
      </w:r>
    </w:p>
    <w:p w14:paraId="1DAF9202">
      <w:pPr>
        <w:widowControl/>
        <w:ind w:firstLine="600"/>
        <w:jc w:val="left"/>
        <w:rPr>
          <w:rFonts w:hint="eastAsia" w:ascii="宋体" w:hAnsi="宋体" w:eastAsia="宋体" w:cs="宋体"/>
          <w:sz w:val="30"/>
          <w:szCs w:val="30"/>
        </w:rPr>
      </w:pPr>
    </w:p>
    <w:p w14:paraId="204407D5">
      <w:pPr>
        <w:ind w:firstLine="667"/>
        <w:jc w:val="center"/>
        <w:rPr>
          <w:rFonts w:hint="eastAsia" w:ascii="宋体" w:hAnsi="宋体" w:eastAsia="宋体" w:cs="宋体"/>
          <w:b/>
          <w:spacing w:val="6"/>
          <w:sz w:val="32"/>
          <w:szCs w:val="32"/>
        </w:rPr>
      </w:pPr>
    </w:p>
    <w:p w14:paraId="1A4380D2">
      <w:pPr>
        <w:ind w:firstLine="667"/>
        <w:jc w:val="center"/>
        <w:rPr>
          <w:rFonts w:hint="eastAsia" w:ascii="宋体" w:hAnsi="宋体" w:eastAsia="宋体" w:cs="宋体"/>
          <w:b/>
          <w:spacing w:val="6"/>
          <w:sz w:val="32"/>
          <w:szCs w:val="32"/>
        </w:rPr>
      </w:pPr>
    </w:p>
    <w:p w14:paraId="0B70BB64">
      <w:pPr>
        <w:ind w:firstLine="667"/>
        <w:jc w:val="center"/>
        <w:rPr>
          <w:rFonts w:hint="eastAsia" w:ascii="宋体" w:hAnsi="宋体" w:eastAsia="宋体" w:cs="宋体"/>
          <w:b/>
          <w:spacing w:val="6"/>
          <w:sz w:val="32"/>
          <w:szCs w:val="32"/>
        </w:rPr>
      </w:pPr>
    </w:p>
    <w:p w14:paraId="5F908EB3">
      <w:pPr>
        <w:ind w:firstLine="667"/>
        <w:jc w:val="center"/>
        <w:rPr>
          <w:rFonts w:hint="eastAsia" w:ascii="宋体" w:hAnsi="宋体" w:eastAsia="宋体" w:cs="宋体"/>
          <w:b/>
          <w:spacing w:val="6"/>
          <w:sz w:val="32"/>
          <w:szCs w:val="32"/>
        </w:rPr>
      </w:pPr>
    </w:p>
    <w:p w14:paraId="6FCD5802">
      <w:pPr>
        <w:ind w:firstLine="667"/>
        <w:jc w:val="center"/>
        <w:rPr>
          <w:rFonts w:hint="eastAsia" w:ascii="宋体" w:hAnsi="宋体" w:eastAsia="宋体" w:cs="宋体"/>
          <w:b/>
          <w:spacing w:val="6"/>
          <w:sz w:val="32"/>
          <w:szCs w:val="32"/>
        </w:rPr>
      </w:pPr>
    </w:p>
    <w:p w14:paraId="5BA5D7F3">
      <w:pPr>
        <w:ind w:firstLine="667"/>
        <w:jc w:val="center"/>
        <w:rPr>
          <w:rFonts w:hint="eastAsia" w:ascii="宋体" w:hAnsi="宋体" w:eastAsia="宋体" w:cs="宋体"/>
          <w:b/>
          <w:spacing w:val="6"/>
          <w:sz w:val="32"/>
          <w:szCs w:val="32"/>
        </w:rPr>
      </w:pPr>
    </w:p>
    <w:p w14:paraId="7CDE8521">
      <w:pPr>
        <w:ind w:firstLine="667"/>
        <w:jc w:val="center"/>
        <w:rPr>
          <w:rFonts w:hint="eastAsia" w:ascii="宋体" w:hAnsi="宋体" w:eastAsia="宋体" w:cs="宋体"/>
          <w:b/>
          <w:spacing w:val="6"/>
          <w:sz w:val="32"/>
          <w:szCs w:val="32"/>
        </w:rPr>
      </w:pPr>
    </w:p>
    <w:p w14:paraId="4EFD8389">
      <w:pPr>
        <w:ind w:firstLine="667"/>
        <w:jc w:val="center"/>
        <w:rPr>
          <w:rFonts w:hint="eastAsia" w:ascii="宋体" w:hAnsi="宋体" w:eastAsia="宋体" w:cs="宋体"/>
          <w:b/>
          <w:spacing w:val="6"/>
          <w:sz w:val="32"/>
          <w:szCs w:val="32"/>
        </w:rPr>
      </w:pPr>
    </w:p>
    <w:p w14:paraId="02AA34A3">
      <w:pPr>
        <w:ind w:firstLine="667"/>
        <w:jc w:val="center"/>
        <w:rPr>
          <w:rFonts w:hint="eastAsia" w:ascii="宋体" w:hAnsi="宋体" w:eastAsia="宋体" w:cs="宋体"/>
          <w:b/>
          <w:spacing w:val="6"/>
          <w:sz w:val="32"/>
          <w:szCs w:val="32"/>
        </w:rPr>
      </w:pPr>
    </w:p>
    <w:p w14:paraId="65F07579">
      <w:pPr>
        <w:ind w:firstLine="667"/>
        <w:jc w:val="center"/>
        <w:rPr>
          <w:rFonts w:hint="eastAsia" w:ascii="宋体" w:hAnsi="宋体" w:eastAsia="宋体" w:cs="宋体"/>
          <w:b/>
          <w:spacing w:val="6"/>
          <w:sz w:val="32"/>
          <w:szCs w:val="32"/>
        </w:rPr>
      </w:pPr>
    </w:p>
    <w:p w14:paraId="6176B68F">
      <w:pPr>
        <w:ind w:firstLine="0" w:firstLineChars="0"/>
        <w:jc w:val="left"/>
        <w:rPr>
          <w:rFonts w:hint="eastAsia" w:ascii="宋体" w:hAnsi="宋体" w:eastAsia="宋体" w:cs="宋体"/>
          <w:b/>
          <w:spacing w:val="6"/>
          <w:sz w:val="32"/>
          <w:szCs w:val="32"/>
        </w:rPr>
      </w:pPr>
    </w:p>
    <w:p w14:paraId="64EB9784">
      <w:pPr>
        <w:pStyle w:val="16"/>
        <w:rPr>
          <w:rFonts w:hint="eastAsia" w:ascii="宋体" w:hAnsi="宋体" w:eastAsia="宋体" w:cs="宋体"/>
          <w:b/>
          <w:spacing w:val="6"/>
          <w:sz w:val="32"/>
          <w:szCs w:val="32"/>
        </w:rPr>
      </w:pPr>
    </w:p>
    <w:p w14:paraId="560D19D9">
      <w:pPr>
        <w:ind w:firstLine="667"/>
        <w:rPr>
          <w:rFonts w:hint="eastAsia" w:ascii="宋体" w:hAnsi="宋体" w:eastAsia="宋体" w:cs="宋体"/>
          <w:b/>
          <w:spacing w:val="6"/>
          <w:sz w:val="32"/>
          <w:szCs w:val="32"/>
        </w:rPr>
      </w:pPr>
    </w:p>
    <w:p w14:paraId="401571D5">
      <w:pPr>
        <w:pStyle w:val="2"/>
        <w:rPr>
          <w:rFonts w:hint="eastAsia"/>
        </w:rPr>
      </w:pPr>
    </w:p>
    <w:p w14:paraId="37D7367D">
      <w:pPr>
        <w:pStyle w:val="16"/>
        <w:rPr>
          <w:rFonts w:hint="eastAsia" w:ascii="宋体" w:hAnsi="宋体" w:eastAsia="宋体" w:cs="宋体"/>
        </w:rPr>
      </w:pPr>
    </w:p>
    <w:p w14:paraId="297B96CD">
      <w:pPr>
        <w:ind w:left="0" w:leftChars="0" w:firstLine="0" w:firstLineChars="0"/>
        <w:jc w:val="left"/>
        <w:rPr>
          <w:rFonts w:hint="eastAsia" w:ascii="宋体" w:hAnsi="宋体" w:eastAsia="宋体" w:cs="宋体"/>
          <w:b/>
          <w:bCs/>
        </w:rPr>
      </w:pPr>
      <w:r>
        <w:rPr>
          <w:rFonts w:hint="eastAsia" w:ascii="宋体" w:hAnsi="宋体" w:eastAsia="宋体" w:cs="宋体"/>
          <w:b/>
          <w:bCs/>
        </w:rPr>
        <w:t>附件十</w:t>
      </w:r>
      <w:r>
        <w:rPr>
          <w:rFonts w:hint="eastAsia" w:cs="宋体"/>
          <w:b/>
          <w:bCs/>
          <w:lang w:eastAsia="zh-CN"/>
        </w:rPr>
        <w:t>七</w:t>
      </w:r>
      <w:r>
        <w:rPr>
          <w:rFonts w:hint="eastAsia" w:ascii="宋体" w:hAnsi="宋体" w:eastAsia="宋体" w:cs="宋体"/>
          <w:b/>
          <w:bCs/>
        </w:rPr>
        <w:t>：投诉书范本及制作说明</w:t>
      </w:r>
    </w:p>
    <w:p w14:paraId="07EAE281">
      <w:pPr>
        <w:ind w:firstLine="4103" w:firstLineChars="1400"/>
        <w:jc w:val="both"/>
        <w:rPr>
          <w:rFonts w:hint="eastAsia" w:ascii="宋体" w:hAnsi="宋体" w:eastAsia="宋体" w:cs="宋体"/>
          <w:b/>
          <w:spacing w:val="6"/>
          <w:sz w:val="28"/>
          <w:szCs w:val="28"/>
        </w:rPr>
      </w:pPr>
      <w:r>
        <w:rPr>
          <w:rFonts w:hint="eastAsia" w:ascii="宋体" w:hAnsi="宋体" w:eastAsia="宋体" w:cs="宋体"/>
          <w:b/>
          <w:spacing w:val="6"/>
          <w:sz w:val="28"/>
          <w:szCs w:val="28"/>
        </w:rPr>
        <w:t>投诉书范本</w:t>
      </w:r>
    </w:p>
    <w:p w14:paraId="1FDDCB9A">
      <w:pPr>
        <w:ind w:firstLine="480"/>
        <w:rPr>
          <w:rFonts w:hint="eastAsia" w:ascii="宋体" w:hAnsi="宋体" w:eastAsia="宋体" w:cs="宋体"/>
        </w:rPr>
      </w:pPr>
      <w:r>
        <w:rPr>
          <w:rFonts w:hint="eastAsia" w:ascii="宋体" w:hAnsi="宋体" w:eastAsia="宋体" w:cs="宋体"/>
        </w:rPr>
        <w:t>一、投诉相关主体基本情况</w:t>
      </w:r>
    </w:p>
    <w:p w14:paraId="5EBE4577">
      <w:pPr>
        <w:ind w:firstLine="480"/>
        <w:rPr>
          <w:rFonts w:hint="eastAsia" w:ascii="宋体" w:hAnsi="宋体" w:eastAsia="宋体" w:cs="宋体"/>
          <w:u w:val="dotted"/>
        </w:rPr>
      </w:pPr>
      <w:r>
        <w:rPr>
          <w:rFonts w:hint="eastAsia" w:ascii="宋体" w:hAnsi="宋体" w:eastAsia="宋体" w:cs="宋体"/>
        </w:rPr>
        <w:t>投诉人：</w:t>
      </w:r>
      <w:r>
        <w:rPr>
          <w:rFonts w:hint="eastAsia" w:ascii="宋体" w:hAnsi="宋体" w:eastAsia="宋体" w:cs="宋体"/>
          <w:u w:val="dotted"/>
        </w:rPr>
        <w:t xml:space="preserve">                                               </w:t>
      </w:r>
    </w:p>
    <w:p w14:paraId="36B9C709">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080CC10A">
      <w:pPr>
        <w:tabs>
          <w:tab w:val="left" w:pos="6510"/>
        </w:tabs>
        <w:ind w:firstLine="480"/>
        <w:jc w:val="left"/>
        <w:rPr>
          <w:rFonts w:hint="eastAsia" w:ascii="宋体" w:hAnsi="宋体" w:eastAsia="宋体" w:cs="宋体"/>
        </w:rPr>
      </w:pPr>
      <w:r>
        <w:rPr>
          <w:rFonts w:hint="eastAsia" w:ascii="宋体" w:hAnsi="宋体" w:eastAsia="宋体" w:cs="宋体"/>
        </w:rPr>
        <w:t>法定代表人/主要负责人：</w:t>
      </w:r>
      <w:r>
        <w:rPr>
          <w:rFonts w:hint="eastAsia" w:ascii="宋体" w:hAnsi="宋体" w:eastAsia="宋体" w:cs="宋体"/>
          <w:u w:val="dotted"/>
        </w:rPr>
        <w:t xml:space="preserve">                                   </w:t>
      </w:r>
      <w:r>
        <w:rPr>
          <w:rFonts w:hint="eastAsia" w:ascii="宋体" w:hAnsi="宋体" w:eastAsia="宋体" w:cs="宋体"/>
        </w:rPr>
        <w:t xml:space="preserve">  </w:t>
      </w:r>
    </w:p>
    <w:p w14:paraId="1A4C14A5">
      <w:pPr>
        <w:tabs>
          <w:tab w:val="left" w:pos="6510"/>
        </w:tabs>
        <w:ind w:firstLine="480"/>
        <w:rPr>
          <w:rFonts w:hint="eastAsia" w:ascii="宋体" w:hAnsi="宋体" w:eastAsia="宋体" w:cs="宋体"/>
          <w:u w:val="dotted"/>
        </w:rPr>
      </w:pPr>
      <w:r>
        <w:rPr>
          <w:rFonts w:hint="eastAsia" w:ascii="宋体" w:hAnsi="宋体" w:eastAsia="宋体" w:cs="宋体"/>
        </w:rPr>
        <w:t>联系电话：</w:t>
      </w:r>
      <w:r>
        <w:rPr>
          <w:rFonts w:hint="eastAsia" w:ascii="宋体" w:hAnsi="宋体" w:eastAsia="宋体" w:cs="宋体"/>
          <w:u w:val="dotted"/>
        </w:rPr>
        <w:t xml:space="preserve">                                             </w:t>
      </w:r>
    </w:p>
    <w:p w14:paraId="2AB73950">
      <w:pPr>
        <w:ind w:firstLine="480"/>
        <w:rPr>
          <w:rFonts w:hint="eastAsia" w:ascii="宋体" w:hAnsi="宋体" w:eastAsia="宋体" w:cs="宋体"/>
          <w:u w:val="dotted"/>
        </w:rPr>
      </w:pPr>
      <w:r>
        <w:rPr>
          <w:rFonts w:hint="eastAsia" w:cs="宋体"/>
          <w:lang w:eastAsia="zh-CN"/>
        </w:rPr>
        <w:t>授权代表</w:t>
      </w:r>
      <w:r>
        <w:rPr>
          <w:rFonts w:hint="eastAsia" w:ascii="宋体" w:hAnsi="宋体" w:eastAsia="宋体" w:cs="宋体"/>
        </w:rPr>
        <w:t>：</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2AD1E83B">
      <w:pPr>
        <w:ind w:firstLine="480"/>
        <w:rPr>
          <w:rFonts w:hint="eastAsia" w:ascii="宋体" w:hAnsi="宋体" w:eastAsia="宋体" w:cs="宋体"/>
          <w:u w:val="dotted"/>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14DD50E8">
      <w:pPr>
        <w:ind w:firstLine="480"/>
        <w:rPr>
          <w:rFonts w:hint="eastAsia" w:ascii="宋体" w:hAnsi="宋体" w:eastAsia="宋体" w:cs="宋体"/>
          <w:u w:val="single"/>
        </w:rPr>
      </w:pPr>
      <w:r>
        <w:rPr>
          <w:rFonts w:hint="eastAsia" w:ascii="宋体" w:hAnsi="宋体" w:eastAsia="宋体" w:cs="宋体"/>
        </w:rPr>
        <w:t>被投诉人1：</w:t>
      </w:r>
      <w:r>
        <w:rPr>
          <w:rFonts w:hint="eastAsia" w:ascii="宋体" w:hAnsi="宋体" w:eastAsia="宋体" w:cs="宋体"/>
          <w:u w:val="dotted"/>
        </w:rPr>
        <w:t xml:space="preserve">                                           </w:t>
      </w:r>
    </w:p>
    <w:p w14:paraId="0C8E93CA">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35AE3A92">
      <w:pPr>
        <w:ind w:firstLine="480"/>
        <w:rPr>
          <w:rFonts w:hint="eastAsia" w:ascii="宋体" w:hAnsi="宋体" w:eastAsia="宋体" w:cs="宋体"/>
          <w:u w:val="single"/>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69A6D695">
      <w:pPr>
        <w:ind w:firstLine="480"/>
        <w:rPr>
          <w:rFonts w:hint="eastAsia" w:ascii="宋体" w:hAnsi="宋体" w:eastAsia="宋体" w:cs="宋体"/>
        </w:rPr>
      </w:pPr>
      <w:r>
        <w:rPr>
          <w:rFonts w:hint="eastAsia" w:ascii="宋体" w:hAnsi="宋体" w:eastAsia="宋体" w:cs="宋体"/>
        </w:rPr>
        <w:t>被投诉人2</w:t>
      </w:r>
    </w:p>
    <w:p w14:paraId="51052FF5">
      <w:pPr>
        <w:ind w:firstLine="480"/>
        <w:rPr>
          <w:rFonts w:hint="eastAsia" w:ascii="宋体" w:hAnsi="宋体" w:eastAsia="宋体" w:cs="宋体"/>
          <w:u w:val="dotted"/>
        </w:rPr>
      </w:pPr>
      <w:r>
        <w:rPr>
          <w:rFonts w:hint="eastAsia" w:ascii="宋体" w:hAnsi="宋体" w:eastAsia="宋体" w:cs="宋体"/>
        </w:rPr>
        <w:t>……</w:t>
      </w:r>
    </w:p>
    <w:p w14:paraId="39FA0E1C">
      <w:pPr>
        <w:ind w:firstLine="480"/>
        <w:rPr>
          <w:rFonts w:hint="eastAsia" w:ascii="宋体" w:hAnsi="宋体" w:eastAsia="宋体" w:cs="宋体"/>
          <w:u w:val="single"/>
        </w:rPr>
      </w:pPr>
      <w:r>
        <w:rPr>
          <w:rFonts w:hint="eastAsia" w:ascii="宋体" w:hAnsi="宋体" w:eastAsia="宋体" w:cs="宋体"/>
        </w:rPr>
        <w:t>相关投标人：</w:t>
      </w:r>
      <w:r>
        <w:rPr>
          <w:rFonts w:hint="eastAsia" w:ascii="宋体" w:hAnsi="宋体" w:eastAsia="宋体" w:cs="宋体"/>
          <w:u w:val="dotted"/>
        </w:rPr>
        <w:t xml:space="preserve">                                           </w:t>
      </w:r>
    </w:p>
    <w:p w14:paraId="46966CA8">
      <w:pPr>
        <w:ind w:firstLine="480"/>
        <w:rPr>
          <w:rFonts w:hint="eastAsia" w:ascii="宋体" w:hAnsi="宋体" w:eastAsia="宋体" w:cs="宋体"/>
          <w:u w:val="single"/>
        </w:rPr>
      </w:pPr>
      <w:r>
        <w:rPr>
          <w:rFonts w:hint="eastAsia" w:ascii="宋体" w:hAnsi="宋体" w:eastAsia="宋体" w:cs="宋体"/>
        </w:rPr>
        <w:t>地     址：</w:t>
      </w:r>
      <w:r>
        <w:rPr>
          <w:rFonts w:hint="eastAsia" w:ascii="宋体" w:hAnsi="宋体" w:eastAsia="宋体" w:cs="宋体"/>
          <w:u w:val="dotted"/>
        </w:rPr>
        <w:t xml:space="preserve">                             </w:t>
      </w:r>
      <w:r>
        <w:rPr>
          <w:rFonts w:hint="eastAsia" w:ascii="宋体" w:hAnsi="宋体" w:eastAsia="宋体" w:cs="宋体"/>
        </w:rPr>
        <w:t>邮编：</w:t>
      </w:r>
      <w:r>
        <w:rPr>
          <w:rFonts w:hint="eastAsia" w:ascii="宋体" w:hAnsi="宋体" w:eastAsia="宋体" w:cs="宋体"/>
          <w:u w:val="dotted"/>
        </w:rPr>
        <w:t xml:space="preserve">          </w:t>
      </w:r>
    </w:p>
    <w:p w14:paraId="725368B8">
      <w:pPr>
        <w:ind w:firstLine="480"/>
        <w:rPr>
          <w:rFonts w:hint="eastAsia" w:ascii="宋体" w:hAnsi="宋体" w:eastAsia="宋体" w:cs="宋体"/>
          <w:u w:val="single"/>
          <w:lang w:eastAsia="zh-CN"/>
        </w:rPr>
      </w:pPr>
      <w:r>
        <w:rPr>
          <w:rFonts w:hint="eastAsia" w:ascii="宋体" w:hAnsi="宋体" w:eastAsia="宋体" w:cs="宋体"/>
        </w:rPr>
        <w:t>联系人：</w:t>
      </w:r>
      <w:r>
        <w:rPr>
          <w:rFonts w:hint="eastAsia" w:ascii="宋体" w:hAnsi="宋体" w:eastAsia="宋体" w:cs="宋体"/>
          <w:u w:val="dotted"/>
        </w:rPr>
        <w:t xml:space="preserve">               </w:t>
      </w:r>
      <w:r>
        <w:rPr>
          <w:rFonts w:hint="eastAsia" w:ascii="宋体" w:hAnsi="宋体" w:eastAsia="宋体" w:cs="宋体"/>
        </w:rPr>
        <w:t>联系电话：</w:t>
      </w:r>
      <w:r>
        <w:rPr>
          <w:rFonts w:hint="eastAsia" w:ascii="宋体" w:hAnsi="宋体" w:eastAsia="宋体" w:cs="宋体"/>
          <w:u w:val="dotted"/>
        </w:rPr>
        <w:t xml:space="preserve">                      </w:t>
      </w:r>
    </w:p>
    <w:p w14:paraId="58FAA4D7">
      <w:pPr>
        <w:ind w:firstLine="480"/>
        <w:rPr>
          <w:rFonts w:hint="eastAsia" w:ascii="宋体" w:hAnsi="宋体" w:eastAsia="宋体" w:cs="宋体"/>
        </w:rPr>
      </w:pPr>
      <w:r>
        <w:rPr>
          <w:rFonts w:hint="eastAsia" w:ascii="宋体" w:hAnsi="宋体" w:eastAsia="宋体" w:cs="宋体"/>
        </w:rPr>
        <w:t>二、投诉项目基本情况</w:t>
      </w:r>
    </w:p>
    <w:p w14:paraId="38484BFC">
      <w:pPr>
        <w:ind w:firstLine="480"/>
        <w:rPr>
          <w:rFonts w:hint="eastAsia" w:ascii="宋体" w:hAnsi="宋体" w:eastAsia="宋体" w:cs="宋体"/>
          <w:u w:val="dotted"/>
        </w:rPr>
      </w:pPr>
      <w:r>
        <w:rPr>
          <w:rFonts w:hint="eastAsia" w:ascii="宋体" w:hAnsi="宋体" w:eastAsia="宋体" w:cs="宋体"/>
        </w:rPr>
        <w:t>采购项目名称：</w:t>
      </w:r>
      <w:r>
        <w:rPr>
          <w:rFonts w:hint="eastAsia" w:ascii="宋体" w:hAnsi="宋体" w:eastAsia="宋体" w:cs="宋体"/>
          <w:u w:val="dotted"/>
        </w:rPr>
        <w:t xml:space="preserve">                                        </w:t>
      </w:r>
    </w:p>
    <w:p w14:paraId="742248A7">
      <w:pPr>
        <w:ind w:firstLine="480"/>
        <w:rPr>
          <w:rFonts w:hint="eastAsia" w:ascii="宋体" w:hAnsi="宋体" w:eastAsia="宋体" w:cs="宋体"/>
          <w:u w:val="single"/>
        </w:rPr>
      </w:pPr>
      <w:r>
        <w:rPr>
          <w:rFonts w:hint="eastAsia" w:ascii="宋体" w:hAnsi="宋体" w:eastAsia="宋体" w:cs="宋体"/>
        </w:rPr>
        <w:t>采购项目编号：</w:t>
      </w:r>
      <w:r>
        <w:rPr>
          <w:rFonts w:hint="eastAsia" w:ascii="宋体" w:hAnsi="宋体" w:eastAsia="宋体" w:cs="宋体"/>
          <w:u w:val="dotted"/>
        </w:rPr>
        <w:t xml:space="preserve">                 </w:t>
      </w:r>
      <w:r>
        <w:rPr>
          <w:rFonts w:hint="eastAsia" w:ascii="宋体" w:hAnsi="宋体" w:eastAsia="宋体" w:cs="宋体"/>
        </w:rPr>
        <w:t>包号：</w:t>
      </w:r>
      <w:r>
        <w:rPr>
          <w:rFonts w:hint="eastAsia" w:ascii="宋体" w:hAnsi="宋体" w:eastAsia="宋体" w:cs="宋体"/>
          <w:u w:val="dotted"/>
        </w:rPr>
        <w:t xml:space="preserve">              </w:t>
      </w:r>
    </w:p>
    <w:p w14:paraId="690CD088">
      <w:pPr>
        <w:ind w:firstLine="480"/>
        <w:rPr>
          <w:rFonts w:hint="eastAsia" w:ascii="宋体" w:hAnsi="宋体" w:eastAsia="宋体" w:cs="宋体"/>
        </w:rPr>
      </w:pPr>
      <w:r>
        <w:rPr>
          <w:rFonts w:hint="eastAsia" w:ascii="宋体" w:hAnsi="宋体" w:eastAsia="宋体" w:cs="宋体"/>
        </w:rPr>
        <w:t>招标人名称：</w:t>
      </w:r>
      <w:r>
        <w:rPr>
          <w:rFonts w:hint="eastAsia" w:ascii="宋体" w:hAnsi="宋体" w:eastAsia="宋体" w:cs="宋体"/>
          <w:u w:val="dotted"/>
        </w:rPr>
        <w:t xml:space="preserve">                                           </w:t>
      </w:r>
    </w:p>
    <w:p w14:paraId="4604941B">
      <w:pPr>
        <w:ind w:firstLine="480"/>
        <w:rPr>
          <w:rFonts w:hint="eastAsia" w:ascii="宋体" w:hAnsi="宋体" w:eastAsia="宋体" w:cs="宋体"/>
          <w:u w:val="single"/>
        </w:rPr>
      </w:pPr>
      <w:r>
        <w:rPr>
          <w:rFonts w:hint="eastAsia" w:ascii="宋体" w:hAnsi="宋体" w:eastAsia="宋体" w:cs="宋体"/>
        </w:rPr>
        <w:t>招标代理机构名称：</w:t>
      </w:r>
      <w:r>
        <w:rPr>
          <w:rFonts w:hint="eastAsia" w:ascii="宋体" w:hAnsi="宋体" w:eastAsia="宋体" w:cs="宋体"/>
          <w:u w:val="dotted"/>
        </w:rPr>
        <w:t xml:space="preserve">                                         </w:t>
      </w:r>
    </w:p>
    <w:p w14:paraId="5840F729">
      <w:pPr>
        <w:ind w:firstLine="480"/>
        <w:rPr>
          <w:rFonts w:hint="eastAsia" w:ascii="宋体" w:hAnsi="宋体" w:eastAsia="宋体" w:cs="宋体"/>
          <w:u w:val="dotted"/>
        </w:rPr>
      </w:pPr>
      <w:r>
        <w:rPr>
          <w:rFonts w:hint="eastAsia" w:ascii="宋体" w:hAnsi="宋体" w:eastAsia="宋体" w:cs="宋体"/>
          <w:lang w:val="en-US" w:eastAsia="zh-CN"/>
        </w:rPr>
        <w:t>招标</w:t>
      </w:r>
      <w:r>
        <w:rPr>
          <w:rFonts w:hint="eastAsia" w:ascii="宋体" w:hAnsi="宋体" w:eastAsia="宋体" w:cs="宋体"/>
        </w:rPr>
        <w:t>文件公告: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74307A95">
      <w:pPr>
        <w:ind w:firstLine="480"/>
        <w:rPr>
          <w:rFonts w:hint="eastAsia" w:ascii="宋体" w:hAnsi="宋体" w:eastAsia="宋体" w:cs="宋体"/>
          <w:u w:val="single"/>
        </w:rPr>
      </w:pPr>
      <w:r>
        <w:rPr>
          <w:rFonts w:hint="eastAsia" w:ascii="宋体" w:hAnsi="宋体" w:eastAsia="宋体" w:cs="宋体"/>
          <w:lang w:val="en-US" w:eastAsia="zh-CN"/>
        </w:rPr>
        <w:t>招标</w:t>
      </w:r>
      <w:r>
        <w:rPr>
          <w:rFonts w:hint="eastAsia" w:ascii="宋体" w:hAnsi="宋体" w:eastAsia="宋体" w:cs="宋体"/>
        </w:rPr>
        <w:t>结果公告:</w:t>
      </w:r>
      <w:r>
        <w:rPr>
          <w:rFonts w:hint="eastAsia" w:ascii="宋体" w:hAnsi="宋体" w:eastAsia="宋体" w:cs="宋体"/>
          <w:u w:val="dotted"/>
        </w:rPr>
        <w:t xml:space="preserve">是/否 </w:t>
      </w:r>
      <w:r>
        <w:rPr>
          <w:rFonts w:hint="eastAsia" w:ascii="宋体" w:hAnsi="宋体" w:eastAsia="宋体" w:cs="宋体"/>
        </w:rPr>
        <w:t>公告期限：</w:t>
      </w:r>
      <w:r>
        <w:rPr>
          <w:rFonts w:hint="eastAsia" w:ascii="宋体" w:hAnsi="宋体" w:eastAsia="宋体" w:cs="宋体"/>
          <w:u w:val="dotted"/>
        </w:rPr>
        <w:t xml:space="preserve">                        </w:t>
      </w:r>
    </w:p>
    <w:p w14:paraId="57FCAEDB">
      <w:pPr>
        <w:ind w:firstLine="480"/>
        <w:rPr>
          <w:rFonts w:hint="eastAsia" w:ascii="宋体" w:hAnsi="宋体" w:eastAsia="宋体" w:cs="宋体"/>
        </w:rPr>
      </w:pPr>
      <w:r>
        <w:rPr>
          <w:rFonts w:hint="eastAsia" w:ascii="宋体" w:hAnsi="宋体" w:eastAsia="宋体" w:cs="宋体"/>
        </w:rPr>
        <w:t>三、质疑基本情况</w:t>
      </w:r>
    </w:p>
    <w:p w14:paraId="667D253D">
      <w:pPr>
        <w:ind w:firstLine="480"/>
        <w:rPr>
          <w:rFonts w:hint="eastAsia" w:ascii="宋体" w:hAnsi="宋体" w:eastAsia="宋体" w:cs="宋体"/>
          <w:u w:val="dotted"/>
        </w:rPr>
      </w:pPr>
      <w:r>
        <w:rPr>
          <w:rFonts w:hint="eastAsia" w:ascii="宋体" w:hAnsi="宋体" w:eastAsia="宋体" w:cs="宋体"/>
        </w:rPr>
        <w:t>投诉人于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w:t>
      </w:r>
      <w:r>
        <w:rPr>
          <w:rFonts w:hint="eastAsia" w:cs="宋体"/>
          <w:lang w:eastAsia="zh-CN"/>
        </w:rPr>
        <w:t>，</w:t>
      </w:r>
      <w:r>
        <w:rPr>
          <w:rFonts w:hint="eastAsia" w:ascii="宋体" w:hAnsi="宋体" w:eastAsia="宋体" w:cs="宋体"/>
        </w:rPr>
        <w:t>向</w:t>
      </w:r>
      <w:r>
        <w:rPr>
          <w:rFonts w:hint="eastAsia" w:ascii="宋体" w:hAnsi="宋体" w:eastAsia="宋体" w:cs="宋体"/>
          <w:u w:val="dotted"/>
        </w:rPr>
        <w:t xml:space="preserve">                   </w:t>
      </w:r>
      <w:r>
        <w:rPr>
          <w:rFonts w:hint="eastAsia" w:ascii="宋体" w:hAnsi="宋体" w:eastAsia="宋体" w:cs="宋体"/>
        </w:rPr>
        <w:t>提出质疑，质疑事项为：</w:t>
      </w:r>
      <w:r>
        <w:rPr>
          <w:rFonts w:hint="eastAsia" w:ascii="宋体" w:hAnsi="宋体" w:eastAsia="宋体" w:cs="宋体"/>
          <w:u w:val="dotted"/>
        </w:rPr>
        <w:t xml:space="preserve">                                </w:t>
      </w:r>
    </w:p>
    <w:p w14:paraId="0937D44D">
      <w:pPr>
        <w:ind w:firstLine="480"/>
        <w:rPr>
          <w:rFonts w:hint="eastAsia" w:ascii="宋体" w:hAnsi="宋体" w:eastAsia="宋体" w:cs="宋体"/>
          <w:u w:val="dotted"/>
        </w:rPr>
      </w:pPr>
      <w:r>
        <w:rPr>
          <w:rFonts w:hint="eastAsia" w:ascii="宋体" w:hAnsi="宋体" w:eastAsia="宋体" w:cs="宋体"/>
          <w:u w:val="dotted"/>
        </w:rPr>
        <w:t xml:space="preserve">                                                     </w:t>
      </w:r>
      <w:r>
        <w:rPr>
          <w:rFonts w:hint="eastAsia" w:ascii="宋体" w:hAnsi="宋体" w:eastAsia="宋体" w:cs="宋体"/>
        </w:rPr>
        <w:t xml:space="preserve">  </w:t>
      </w:r>
    </w:p>
    <w:p w14:paraId="06471382">
      <w:pPr>
        <w:ind w:firstLine="360" w:firstLineChars="150"/>
        <w:rPr>
          <w:rFonts w:hint="eastAsia" w:ascii="宋体" w:hAnsi="宋体" w:eastAsia="宋体" w:cs="宋体"/>
        </w:rPr>
      </w:pPr>
      <w:r>
        <w:rPr>
          <w:rFonts w:hint="eastAsia" w:ascii="宋体" w:hAnsi="宋体" w:eastAsia="宋体" w:cs="宋体"/>
          <w:u w:val="dotted"/>
        </w:rPr>
        <w:t>招标人/招标代理机构</w:t>
      </w:r>
      <w:r>
        <w:rPr>
          <w:rFonts w:hint="eastAsia" w:ascii="宋体" w:hAnsi="宋体" w:eastAsia="宋体" w:cs="宋体"/>
        </w:rPr>
        <w:t>于</w:t>
      </w:r>
      <w:r>
        <w:rPr>
          <w:rFonts w:hint="eastAsia" w:ascii="宋体" w:hAnsi="宋体" w:eastAsia="宋体" w:cs="宋体"/>
          <w:u w:val="dotted"/>
        </w:rPr>
        <w:t xml:space="preserve">   </w:t>
      </w:r>
      <w:r>
        <w:rPr>
          <w:rFonts w:hint="eastAsia" w:ascii="宋体" w:hAnsi="宋体" w:eastAsia="宋体" w:cs="宋体"/>
        </w:rPr>
        <w:t>年</w:t>
      </w:r>
      <w:r>
        <w:rPr>
          <w:rFonts w:hint="eastAsia" w:ascii="宋体" w:hAnsi="宋体" w:eastAsia="宋体" w:cs="宋体"/>
          <w:u w:val="dotted"/>
        </w:rPr>
        <w:t xml:space="preserve">   </w:t>
      </w:r>
      <w:r>
        <w:rPr>
          <w:rFonts w:hint="eastAsia" w:ascii="宋体" w:hAnsi="宋体" w:eastAsia="宋体" w:cs="宋体"/>
        </w:rPr>
        <w:t>月</w:t>
      </w:r>
      <w:r>
        <w:rPr>
          <w:rFonts w:hint="eastAsia" w:ascii="宋体" w:hAnsi="宋体" w:eastAsia="宋体" w:cs="宋体"/>
          <w:u w:val="dotted"/>
        </w:rPr>
        <w:t xml:space="preserve">   </w:t>
      </w:r>
      <w:r>
        <w:rPr>
          <w:rFonts w:hint="eastAsia" w:ascii="宋体" w:hAnsi="宋体" w:eastAsia="宋体" w:cs="宋体"/>
        </w:rPr>
        <w:t>日,就质疑事项作出了答复/没有在法定期限内作出答复。</w:t>
      </w:r>
    </w:p>
    <w:p w14:paraId="38CE80CB">
      <w:pPr>
        <w:ind w:firstLine="480"/>
        <w:rPr>
          <w:rFonts w:hint="eastAsia" w:ascii="宋体" w:hAnsi="宋体" w:eastAsia="宋体" w:cs="宋体"/>
        </w:rPr>
      </w:pPr>
      <w:r>
        <w:rPr>
          <w:rFonts w:hint="eastAsia" w:ascii="宋体" w:hAnsi="宋体" w:eastAsia="宋体" w:cs="宋体"/>
        </w:rPr>
        <w:t>四、投诉事项具体内容</w:t>
      </w:r>
    </w:p>
    <w:p w14:paraId="195D6B17">
      <w:pPr>
        <w:ind w:firstLine="480"/>
        <w:rPr>
          <w:rFonts w:hint="eastAsia" w:ascii="宋体" w:hAnsi="宋体" w:eastAsia="宋体" w:cs="宋体"/>
          <w:u w:val="single"/>
        </w:rPr>
      </w:pPr>
      <w:r>
        <w:rPr>
          <w:rFonts w:hint="eastAsia" w:ascii="宋体" w:hAnsi="宋体" w:eastAsia="宋体" w:cs="宋体"/>
        </w:rPr>
        <w:t>投诉事项 1：</w:t>
      </w:r>
      <w:r>
        <w:rPr>
          <w:rFonts w:hint="eastAsia" w:ascii="宋体" w:hAnsi="宋体" w:eastAsia="宋体" w:cs="宋体"/>
          <w:u w:val="dotted"/>
        </w:rPr>
        <w:t xml:space="preserve">                                       </w:t>
      </w:r>
    </w:p>
    <w:p w14:paraId="7E9F3A59">
      <w:pPr>
        <w:ind w:firstLine="480"/>
        <w:rPr>
          <w:rFonts w:hint="eastAsia" w:ascii="宋体" w:hAnsi="宋体" w:eastAsia="宋体" w:cs="宋体"/>
        </w:rPr>
      </w:pPr>
      <w:r>
        <w:rPr>
          <w:rFonts w:hint="eastAsia" w:ascii="宋体" w:hAnsi="宋体" w:eastAsia="宋体" w:cs="宋体"/>
        </w:rPr>
        <w:t>事实依据：</w:t>
      </w:r>
      <w:r>
        <w:rPr>
          <w:rFonts w:hint="eastAsia" w:ascii="宋体" w:hAnsi="宋体" w:eastAsia="宋体" w:cs="宋体"/>
          <w:u w:val="dotted"/>
        </w:rPr>
        <w:t xml:space="preserve">                                         </w:t>
      </w:r>
    </w:p>
    <w:p w14:paraId="627DCC8D">
      <w:pPr>
        <w:ind w:firstLine="480"/>
        <w:rPr>
          <w:rFonts w:hint="eastAsia" w:ascii="宋体" w:hAnsi="宋体" w:eastAsia="宋体" w:cs="宋体"/>
          <w:u w:val="dotted"/>
        </w:rPr>
      </w:pPr>
      <w:r>
        <w:rPr>
          <w:rFonts w:hint="eastAsia" w:ascii="宋体" w:hAnsi="宋体" w:eastAsia="宋体" w:cs="宋体"/>
          <w:u w:val="dotted"/>
        </w:rPr>
        <w:t xml:space="preserve">                                                      </w:t>
      </w:r>
    </w:p>
    <w:p w14:paraId="311A0372">
      <w:pPr>
        <w:ind w:firstLine="480"/>
        <w:rPr>
          <w:rFonts w:hint="eastAsia" w:ascii="宋体" w:hAnsi="宋体" w:eastAsia="宋体" w:cs="宋体"/>
          <w:u w:val="single"/>
        </w:rPr>
      </w:pPr>
      <w:r>
        <w:rPr>
          <w:rFonts w:hint="eastAsia" w:ascii="宋体" w:hAnsi="宋体" w:eastAsia="宋体" w:cs="宋体"/>
        </w:rPr>
        <w:t>法律依据：</w:t>
      </w:r>
      <w:r>
        <w:rPr>
          <w:rFonts w:hint="eastAsia" w:ascii="宋体" w:hAnsi="宋体" w:eastAsia="宋体" w:cs="宋体"/>
          <w:u w:val="dotted"/>
        </w:rPr>
        <w:t xml:space="preserve">                                          </w:t>
      </w:r>
    </w:p>
    <w:p w14:paraId="20B20002">
      <w:pPr>
        <w:ind w:firstLine="480"/>
        <w:rPr>
          <w:rFonts w:hint="eastAsia" w:ascii="宋体" w:hAnsi="宋体" w:eastAsia="宋体" w:cs="宋体"/>
          <w:u w:val="dotted"/>
        </w:rPr>
      </w:pPr>
      <w:r>
        <w:rPr>
          <w:rFonts w:hint="eastAsia" w:ascii="宋体" w:hAnsi="宋体" w:eastAsia="宋体" w:cs="宋体"/>
          <w:u w:val="dotted"/>
        </w:rPr>
        <w:t xml:space="preserve">                                                      </w:t>
      </w:r>
    </w:p>
    <w:p w14:paraId="4C50D4BC">
      <w:pPr>
        <w:ind w:firstLine="480"/>
        <w:rPr>
          <w:rFonts w:hint="eastAsia" w:ascii="宋体" w:hAnsi="宋体" w:eastAsia="宋体" w:cs="宋体"/>
        </w:rPr>
      </w:pPr>
      <w:r>
        <w:rPr>
          <w:rFonts w:hint="eastAsia" w:ascii="宋体" w:hAnsi="宋体" w:eastAsia="宋体" w:cs="宋体"/>
        </w:rPr>
        <w:t>投诉事项2</w:t>
      </w:r>
    </w:p>
    <w:p w14:paraId="5CEB8C8E">
      <w:pPr>
        <w:ind w:firstLine="480"/>
        <w:rPr>
          <w:rFonts w:hint="eastAsia" w:ascii="宋体" w:hAnsi="宋体" w:eastAsia="宋体" w:cs="宋体"/>
          <w:u w:val="dotted"/>
        </w:rPr>
      </w:pPr>
      <w:r>
        <w:rPr>
          <w:rFonts w:hint="eastAsia" w:ascii="宋体" w:hAnsi="宋体" w:eastAsia="宋体" w:cs="宋体"/>
        </w:rPr>
        <w:t>……</w:t>
      </w:r>
    </w:p>
    <w:p w14:paraId="3385E611">
      <w:pPr>
        <w:ind w:firstLine="480"/>
        <w:rPr>
          <w:rFonts w:hint="eastAsia" w:ascii="宋体" w:hAnsi="宋体" w:eastAsia="宋体" w:cs="宋体"/>
        </w:rPr>
      </w:pPr>
      <w:r>
        <w:rPr>
          <w:rFonts w:hint="eastAsia" w:ascii="宋体" w:hAnsi="宋体" w:eastAsia="宋体" w:cs="宋体"/>
        </w:rPr>
        <w:t>五、与投诉事项相关的投诉请求</w:t>
      </w:r>
    </w:p>
    <w:p w14:paraId="050F5B9C">
      <w:pPr>
        <w:ind w:firstLine="480"/>
        <w:rPr>
          <w:rFonts w:hint="eastAsia" w:ascii="宋体" w:hAnsi="宋体" w:eastAsia="宋体" w:cs="宋体"/>
        </w:rPr>
      </w:pPr>
      <w:r>
        <w:rPr>
          <w:rFonts w:hint="eastAsia" w:ascii="宋体" w:hAnsi="宋体" w:eastAsia="宋体" w:cs="宋体"/>
        </w:rPr>
        <w:t>请求：</w:t>
      </w:r>
      <w:r>
        <w:rPr>
          <w:rFonts w:hint="eastAsia" w:ascii="宋体" w:hAnsi="宋体" w:eastAsia="宋体" w:cs="宋体"/>
          <w:u w:val="dotted"/>
        </w:rPr>
        <w:t xml:space="preserve">                                              </w:t>
      </w:r>
      <w:r>
        <w:rPr>
          <w:rFonts w:hint="eastAsia" w:ascii="宋体" w:hAnsi="宋体" w:eastAsia="宋体" w:cs="宋体"/>
        </w:rPr>
        <w:t xml:space="preserve"> </w:t>
      </w:r>
    </w:p>
    <w:p w14:paraId="361C1886">
      <w:pPr>
        <w:ind w:firstLine="480"/>
        <w:rPr>
          <w:rFonts w:hint="eastAsia" w:ascii="宋体" w:hAnsi="宋体" w:eastAsia="宋体" w:cs="宋体"/>
          <w:u w:val="single"/>
        </w:rPr>
      </w:pPr>
      <w:r>
        <w:rPr>
          <w:rFonts w:hint="eastAsia" w:ascii="宋体" w:hAnsi="宋体" w:eastAsia="宋体" w:cs="宋体"/>
        </w:rPr>
        <w:t xml:space="preserve">                                                                                                    </w:t>
      </w:r>
    </w:p>
    <w:p w14:paraId="1BA970A3">
      <w:pPr>
        <w:ind w:firstLine="480"/>
        <w:rPr>
          <w:rFonts w:hint="eastAsia" w:ascii="宋体" w:hAnsi="宋体" w:eastAsia="宋体" w:cs="宋体"/>
        </w:rPr>
      </w:pPr>
      <w:r>
        <w:rPr>
          <w:rFonts w:hint="eastAsia" w:ascii="宋体" w:hAnsi="宋体" w:eastAsia="宋体" w:cs="宋体"/>
        </w:rPr>
        <w:t xml:space="preserve">签字(签章)：                   公章：                      </w:t>
      </w:r>
    </w:p>
    <w:p w14:paraId="6DA78DD6">
      <w:pPr>
        <w:ind w:firstLine="480"/>
        <w:rPr>
          <w:rFonts w:hint="eastAsia" w:ascii="宋体" w:hAnsi="宋体" w:eastAsia="宋体" w:cs="宋体"/>
        </w:rPr>
      </w:pPr>
      <w:r>
        <w:rPr>
          <w:rFonts w:hint="eastAsia" w:ascii="宋体" w:hAnsi="宋体" w:eastAsia="宋体" w:cs="宋体"/>
        </w:rPr>
        <w:t xml:space="preserve">日期：    </w:t>
      </w:r>
    </w:p>
    <w:p w14:paraId="7A4C5A6D">
      <w:pPr>
        <w:ind w:firstLine="482"/>
        <w:rPr>
          <w:rFonts w:hint="eastAsia" w:ascii="宋体" w:hAnsi="宋体" w:eastAsia="宋体" w:cs="宋体"/>
          <w:b/>
        </w:rPr>
      </w:pPr>
    </w:p>
    <w:p w14:paraId="6830B419">
      <w:pPr>
        <w:ind w:firstLine="482"/>
        <w:rPr>
          <w:rFonts w:hint="eastAsia" w:ascii="宋体" w:hAnsi="宋体" w:eastAsia="宋体" w:cs="宋体"/>
          <w:b/>
        </w:rPr>
      </w:pPr>
    </w:p>
    <w:p w14:paraId="6F244DFA">
      <w:pPr>
        <w:ind w:firstLine="482"/>
        <w:rPr>
          <w:rFonts w:hint="eastAsia" w:ascii="宋体" w:hAnsi="宋体" w:eastAsia="宋体" w:cs="宋体"/>
          <w:b/>
        </w:rPr>
      </w:pPr>
      <w:r>
        <w:rPr>
          <w:rFonts w:hint="eastAsia" w:ascii="宋体" w:hAnsi="宋体" w:eastAsia="宋体" w:cs="宋体"/>
          <w:b/>
        </w:rPr>
        <w:t>投诉书制作说明：</w:t>
      </w:r>
    </w:p>
    <w:p w14:paraId="08E4D4E6">
      <w:pPr>
        <w:widowControl/>
        <w:ind w:firstLine="480"/>
        <w:rPr>
          <w:rFonts w:hint="eastAsia" w:ascii="宋体" w:hAnsi="宋体" w:eastAsia="宋体" w:cs="宋体"/>
          <w:kern w:val="0"/>
        </w:rPr>
      </w:pPr>
      <w:r>
        <w:rPr>
          <w:rFonts w:hint="eastAsia" w:ascii="宋体" w:hAnsi="宋体" w:eastAsia="宋体" w:cs="宋体"/>
        </w:rPr>
        <w:t>1.投诉人提起投诉时，应当提交投诉书和必要的证明材料，并按照被投诉人和与投诉事项有关的投标人数量提供投诉书副本。</w:t>
      </w:r>
    </w:p>
    <w:p w14:paraId="0A051BCD">
      <w:pPr>
        <w:widowControl/>
        <w:ind w:firstLine="480"/>
        <w:jc w:val="left"/>
        <w:rPr>
          <w:rFonts w:hint="eastAsia" w:ascii="宋体" w:hAnsi="宋体" w:eastAsia="宋体" w:cs="宋体"/>
          <w:kern w:val="0"/>
        </w:rPr>
      </w:pPr>
      <w:r>
        <w:rPr>
          <w:rFonts w:hint="eastAsia" w:ascii="宋体" w:hAnsi="宋体" w:eastAsia="宋体" w:cs="宋体"/>
        </w:rPr>
        <w:t>2.投诉人若委托代理人进行投诉的，投诉书应按照要求列明“</w:t>
      </w:r>
      <w:r>
        <w:rPr>
          <w:rFonts w:hint="eastAsia" w:cs="宋体"/>
          <w:lang w:eastAsia="zh-CN"/>
        </w:rPr>
        <w:t>授权代表</w:t>
      </w:r>
      <w:r>
        <w:rPr>
          <w:rFonts w:hint="eastAsia" w:ascii="宋体" w:hAnsi="宋体" w:eastAsia="宋体" w:cs="宋体"/>
        </w:rPr>
        <w:t>”的有关内容，并在附件中提交由</w:t>
      </w:r>
      <w:r>
        <w:rPr>
          <w:rFonts w:hint="eastAsia" w:ascii="宋体" w:hAnsi="宋体" w:eastAsia="宋体" w:cs="宋体"/>
          <w:kern w:val="0"/>
        </w:rPr>
        <w:t>投诉人签署的授权委托书。授权委托书应当载明代理人的姓名或者名称、代理事项、具体权限、期限和相关事项。</w:t>
      </w:r>
    </w:p>
    <w:p w14:paraId="57FF6E67">
      <w:pPr>
        <w:widowControl/>
        <w:ind w:firstLine="480"/>
        <w:jc w:val="left"/>
        <w:rPr>
          <w:rFonts w:hint="eastAsia" w:ascii="宋体" w:hAnsi="宋体" w:eastAsia="宋体" w:cs="宋体"/>
        </w:rPr>
      </w:pPr>
      <w:r>
        <w:rPr>
          <w:rFonts w:hint="eastAsia" w:ascii="宋体" w:hAnsi="宋体" w:eastAsia="宋体" w:cs="宋体"/>
        </w:rPr>
        <w:t>3.投诉书应简要列明质疑事项，质疑函、质疑答复等作为附件材料提供。</w:t>
      </w:r>
    </w:p>
    <w:p w14:paraId="419322D0">
      <w:pPr>
        <w:widowControl/>
        <w:ind w:firstLine="480"/>
        <w:jc w:val="left"/>
        <w:rPr>
          <w:rFonts w:hint="eastAsia" w:ascii="宋体" w:hAnsi="宋体" w:eastAsia="宋体" w:cs="宋体"/>
        </w:rPr>
      </w:pPr>
      <w:r>
        <w:rPr>
          <w:rFonts w:hint="eastAsia" w:ascii="宋体" w:hAnsi="宋体" w:eastAsia="宋体" w:cs="宋体"/>
        </w:rPr>
        <w:t>4.投诉书的投诉事项应具体、明确，并有必要的事实依据和法律依据。</w:t>
      </w:r>
    </w:p>
    <w:p w14:paraId="0995F202">
      <w:pPr>
        <w:widowControl/>
        <w:ind w:firstLine="480"/>
        <w:jc w:val="left"/>
        <w:rPr>
          <w:rFonts w:hint="eastAsia" w:ascii="宋体" w:hAnsi="宋体" w:eastAsia="宋体" w:cs="宋体"/>
        </w:rPr>
      </w:pPr>
      <w:r>
        <w:rPr>
          <w:rFonts w:hint="eastAsia" w:ascii="宋体" w:hAnsi="宋体" w:eastAsia="宋体" w:cs="宋体"/>
        </w:rPr>
        <w:t>5.投诉书的投诉请求应与投诉事项相关。</w:t>
      </w:r>
    </w:p>
    <w:p w14:paraId="0F23F3FE">
      <w:pPr>
        <w:widowControl/>
        <w:ind w:firstLine="480"/>
        <w:jc w:val="left"/>
        <w:rPr>
          <w:rFonts w:hint="eastAsia" w:ascii="宋体" w:hAnsi="宋体" w:eastAsia="宋体" w:cs="宋体"/>
          <w:kern w:val="0"/>
        </w:rPr>
      </w:pPr>
      <w:r>
        <w:rPr>
          <w:rFonts w:hint="eastAsia" w:ascii="宋体" w:hAnsi="宋体" w:eastAsia="宋体" w:cs="宋体"/>
        </w:rPr>
        <w:t>6.投诉人为自然人的，投诉书应当由本人签字；投诉人为法人或者其他组织的，投诉书应当由法定代表人、主要负责人，或者其</w:t>
      </w:r>
      <w:r>
        <w:rPr>
          <w:rFonts w:hint="eastAsia" w:cs="宋体"/>
          <w:lang w:eastAsia="zh-CN"/>
        </w:rPr>
        <w:t>授权代表</w:t>
      </w:r>
      <w:r>
        <w:rPr>
          <w:rFonts w:hint="eastAsia" w:ascii="宋体" w:hAnsi="宋体" w:eastAsia="宋体" w:cs="宋体"/>
        </w:rPr>
        <w:t>签字或者盖章，并加盖公章。</w:t>
      </w:r>
    </w:p>
    <w:p w14:paraId="135920AC">
      <w:pPr>
        <w:ind w:firstLine="482"/>
        <w:rPr>
          <w:rFonts w:hint="eastAsia" w:ascii="宋体" w:hAnsi="宋体" w:eastAsia="宋体" w:cs="宋体"/>
          <w:b/>
          <w:color w:val="FF0000"/>
        </w:rPr>
      </w:pPr>
    </w:p>
    <w:sectPr>
      <w:headerReference r:id="rId21" w:type="default"/>
      <w:footerReference r:id="rId22" w:type="default"/>
      <w:pgSz w:w="11906" w:h="16838"/>
      <w:pgMar w:top="1440" w:right="1304" w:bottom="1020" w:left="1304"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金山简黑体">
    <w:altName w:val="宋体"/>
    <w:panose1 w:val="00000000000000000000"/>
    <w:charset w:val="00"/>
    <w:family w:val="auto"/>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MT Extra">
    <w:panose1 w:val="05050102010205020202"/>
    <w:charset w:val="02"/>
    <w:family w:val="roman"/>
    <w:pitch w:val="default"/>
    <w:sig w:usb0="80000000" w:usb1="00000000" w:usb2="00000000" w:usb3="00000000" w:csb0="00000000" w:csb1="00000000"/>
  </w:font>
  <w:font w:name="ScalaSansLF-Regular">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BAEC3">
    <w:pPr>
      <w:pStyle w:val="28"/>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67547">
    <w:pPr>
      <w:pStyle w:val="2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72EF9">
    <w:pPr>
      <w:pStyle w:val="28"/>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1935E1">
    <w:pPr>
      <w:pStyle w:val="28"/>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5616F">
    <w:pPr>
      <w:pStyle w:val="28"/>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B56B34">
    <w:pPr>
      <w:pStyle w:val="28"/>
      <w:ind w:firstLine="36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9F8AFD">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B9F8AFD">
                    <w:pPr>
                      <w:pStyle w:val="28"/>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DF01CF">
    <w:pPr>
      <w:pStyle w:val="28"/>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F82BB0">
                          <w:pPr>
                            <w:pStyle w:val="28"/>
                          </w:pPr>
                          <w:r>
                            <w:t xml:space="preserve">第 </w:t>
                          </w:r>
                          <w:r>
                            <w:fldChar w:fldCharType="begin"/>
                          </w:r>
                          <w:r>
                            <w:instrText xml:space="preserve"> PAGE  \* MERGEFORMAT </w:instrText>
                          </w:r>
                          <w:r>
                            <w:fldChar w:fldCharType="separate"/>
                          </w:r>
                          <w:r>
                            <w:t>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4F82BB0">
                    <w:pPr>
                      <w:pStyle w:val="28"/>
                    </w:pPr>
                    <w:r>
                      <w:t xml:space="preserve">第 </w:t>
                    </w:r>
                    <w:r>
                      <w:fldChar w:fldCharType="begin"/>
                    </w:r>
                    <w:r>
                      <w:instrText xml:space="preserve"> PAGE  \* MERGEFORMAT </w:instrText>
                    </w:r>
                    <w:r>
                      <w:fldChar w:fldCharType="separate"/>
                    </w:r>
                    <w:r>
                      <w:t>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41C839">
    <w:pPr>
      <w:pStyle w:val="28"/>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69298E">
                          <w:pPr>
                            <w:pStyle w:val="28"/>
                          </w:pPr>
                          <w:r>
                            <w:t xml:space="preserve">第 </w:t>
                          </w:r>
                          <w:r>
                            <w:fldChar w:fldCharType="begin"/>
                          </w:r>
                          <w:r>
                            <w:instrText xml:space="preserve"> PAGE  \* MERGEFORMAT </w:instrText>
                          </w:r>
                          <w:r>
                            <w:fldChar w:fldCharType="separate"/>
                          </w:r>
                          <w:r>
                            <w:t>75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369298E">
                    <w:pPr>
                      <w:pStyle w:val="28"/>
                    </w:pPr>
                    <w:r>
                      <w:t xml:space="preserve">第 </w:t>
                    </w:r>
                    <w:r>
                      <w:fldChar w:fldCharType="begin"/>
                    </w:r>
                    <w:r>
                      <w:instrText xml:space="preserve"> PAGE  \* MERGEFORMAT </w:instrText>
                    </w:r>
                    <w:r>
                      <w:fldChar w:fldCharType="separate"/>
                    </w:r>
                    <w:r>
                      <w:t>75</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A5FFC">
    <w:pPr>
      <w:pStyle w:val="28"/>
      <w:ind w:firstLine="36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7899DE">
                          <w:pPr>
                            <w:pStyle w:val="28"/>
                          </w:pPr>
                          <w:r>
                            <w:t xml:space="preserve">第 </w:t>
                          </w:r>
                          <w:r>
                            <w:fldChar w:fldCharType="begin"/>
                          </w:r>
                          <w:r>
                            <w:instrText xml:space="preserve"> PAGE  \* MERGEFORMAT </w:instrText>
                          </w:r>
                          <w:r>
                            <w:fldChar w:fldCharType="separate"/>
                          </w:r>
                          <w:r>
                            <w:t>76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67899DE">
                    <w:pPr>
                      <w:pStyle w:val="28"/>
                    </w:pPr>
                    <w:r>
                      <w:t xml:space="preserve">第 </w:t>
                    </w:r>
                    <w:r>
                      <w:fldChar w:fldCharType="begin"/>
                    </w:r>
                    <w:r>
                      <w:instrText xml:space="preserve"> PAGE  \* MERGEFORMAT </w:instrText>
                    </w:r>
                    <w:r>
                      <w:fldChar w:fldCharType="separate"/>
                    </w:r>
                    <w:r>
                      <w:t>76</w:t>
                    </w:r>
                    <w:r>
                      <w:fldChar w:fldCharType="end"/>
                    </w:r>
                    <w: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41BEDF">
    <w:pPr>
      <w:pStyle w:val="28"/>
      <w:ind w:firstLine="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90262D3">
                          <w:pPr>
                            <w:pStyle w:val="28"/>
                          </w:pPr>
                          <w:r>
                            <w:t xml:space="preserve">第 </w:t>
                          </w:r>
                          <w:r>
                            <w:fldChar w:fldCharType="begin"/>
                          </w:r>
                          <w:r>
                            <w:instrText xml:space="preserve"> PAGE  \* MERGEFORMAT </w:instrText>
                          </w:r>
                          <w:r>
                            <w:fldChar w:fldCharType="separate"/>
                          </w:r>
                          <w:r>
                            <w:t>94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390262D3">
                    <w:pPr>
                      <w:pStyle w:val="28"/>
                    </w:pPr>
                    <w:r>
                      <w:t xml:space="preserve">第 </w:t>
                    </w:r>
                    <w:r>
                      <w:fldChar w:fldCharType="begin"/>
                    </w:r>
                    <w:r>
                      <w:instrText xml:space="preserve"> PAGE  \* MERGEFORMAT </w:instrText>
                    </w:r>
                    <w:r>
                      <w:fldChar w:fldCharType="separate"/>
                    </w:r>
                    <w:r>
                      <w:t>94</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3D995">
    <w:pPr>
      <w:pStyle w:val="9"/>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2321A2">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81F41">
    <w:pPr>
      <w:pStyle w:val="9"/>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6BF57D">
    <w:pPr>
      <w:pStyle w:val="9"/>
      <w:pBdr>
        <w:bottom w:val="none" w:color="auto" w:sz="0" w:space="1"/>
      </w:pBdr>
      <w:ind w:firstLine="36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33ECB">
    <w:pPr>
      <w:pStyle w:val="9"/>
      <w:pBdr>
        <w:bottom w:val="none" w:color="auto" w:sz="0" w:space="1"/>
      </w:pBdr>
      <w:ind w:firstLine="36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EA095">
    <w:pPr>
      <w:pStyle w:val="9"/>
      <w:pBdr>
        <w:bottom w:val="none" w:color="auto" w:sz="0" w:space="1"/>
      </w:pBdr>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333FB">
    <w:pPr>
      <w:pStyle w:val="9"/>
      <w:pBdr>
        <w:bottom w:val="none" w:color="auto" w:sz="0" w:space="1"/>
      </w:pBdr>
      <w:ind w:firstLine="360"/>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03E2CB">
    <w:pPr>
      <w:pStyle w:val="9"/>
      <w:pBdr>
        <w:bottom w:val="none" w:color="auto" w:sz="0" w:space="1"/>
      </w:pBdr>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1998DF"/>
    <w:multiLevelType w:val="singleLevel"/>
    <w:tmpl w:val="E21998DF"/>
    <w:lvl w:ilvl="0" w:tentative="0">
      <w:start w:val="1"/>
      <w:numFmt w:val="chineseCounting"/>
      <w:suff w:val="space"/>
      <w:lvlText w:val="第%1章"/>
      <w:lvlJc w:val="left"/>
      <w:rPr>
        <w:rFonts w:hint="eastAsia"/>
      </w:rPr>
    </w:lvl>
  </w:abstractNum>
  <w:abstractNum w:abstractNumId="1">
    <w:nsid w:val="E451AFB4"/>
    <w:multiLevelType w:val="singleLevel"/>
    <w:tmpl w:val="E451AFB4"/>
    <w:lvl w:ilvl="0" w:tentative="0">
      <w:start w:val="10"/>
      <w:numFmt w:val="chineseCounting"/>
      <w:suff w:val="space"/>
      <w:lvlText w:val="第%1节"/>
      <w:lvlJc w:val="left"/>
      <w:rPr>
        <w:rFonts w:hint="eastAsia"/>
      </w:rPr>
    </w:lvl>
  </w:abstractNum>
  <w:abstractNum w:abstractNumId="2">
    <w:nsid w:val="00000006"/>
    <w:multiLevelType w:val="multilevel"/>
    <w:tmpl w:val="00000006"/>
    <w:lvl w:ilvl="0" w:tentative="0">
      <w:start w:val="1"/>
      <w:numFmt w:val="bullet"/>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
    <w:nsid w:val="00000009"/>
    <w:multiLevelType w:val="multilevel"/>
    <w:tmpl w:val="00000009"/>
    <w:lvl w:ilvl="0" w:tentative="0">
      <w:start w:val="1"/>
      <w:numFmt w:val="decimal"/>
      <w:lvlText w:val="%1."/>
      <w:lvlJc w:val="left"/>
      <w:pPr>
        <w:ind w:left="420" w:hanging="420"/>
      </w:pPr>
    </w:lvl>
    <w:lvl w:ilvl="1" w:tentative="0">
      <w:start w:val="1"/>
      <w:numFmt w:val="lowerLetter"/>
      <w:pStyle w:val="128"/>
      <w:lvlText w:val="%2)"/>
      <w:lvlJc w:val="left"/>
      <w:pPr>
        <w:ind w:left="840" w:hanging="420"/>
      </w:pPr>
    </w:lvl>
    <w:lvl w:ilvl="2" w:tentative="0">
      <w:start w:val="1"/>
      <w:numFmt w:val="lowerRoman"/>
      <w:pStyle w:val="173"/>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0000000F"/>
    <w:multiLevelType w:val="multilevel"/>
    <w:tmpl w:val="0000000F"/>
    <w:lvl w:ilvl="0" w:tentative="0">
      <w:start w:val="1"/>
      <w:numFmt w:val="decimal"/>
      <w:pStyle w:val="14"/>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00000010"/>
    <w:multiLevelType w:val="multilevel"/>
    <w:tmpl w:val="00000010"/>
    <w:lvl w:ilvl="0" w:tentative="0">
      <w:start w:val="1"/>
      <w:numFmt w:val="decimal"/>
      <w:pStyle w:val="19"/>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4BFDDBFF"/>
    <w:multiLevelType w:val="singleLevel"/>
    <w:tmpl w:val="4BFDDBFF"/>
    <w:lvl w:ilvl="0" w:tentative="0">
      <w:start w:val="1"/>
      <w:numFmt w:val="decimal"/>
      <w:suff w:val="nothing"/>
      <w:lvlText w:val="（%1）"/>
      <w:lvlJc w:val="left"/>
    </w:lvl>
  </w:abstractNum>
  <w:num w:numId="1">
    <w:abstractNumId w:val="4"/>
  </w:num>
  <w:num w:numId="2">
    <w:abstractNumId w:val="5"/>
  </w:num>
  <w:num w:numId="3">
    <w:abstractNumId w:val="3"/>
  </w:num>
  <w:num w:numId="4">
    <w:abstractNumId w:val="0"/>
  </w:num>
  <w:num w:numId="5">
    <w:abstractNumId w:val="6"/>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U0ZWJjMTBiMDIxODEzZjc1MmJkNTcwNGE2ZWUzYWEifQ=="/>
  </w:docVars>
  <w:rsids>
    <w:rsidRoot w:val="00172A27"/>
    <w:rsid w:val="0000025A"/>
    <w:rsid w:val="00001CC1"/>
    <w:rsid w:val="000035F4"/>
    <w:rsid w:val="000037F0"/>
    <w:rsid w:val="00011721"/>
    <w:rsid w:val="000138E8"/>
    <w:rsid w:val="00015136"/>
    <w:rsid w:val="0001591E"/>
    <w:rsid w:val="0001599C"/>
    <w:rsid w:val="00015D46"/>
    <w:rsid w:val="00017060"/>
    <w:rsid w:val="00017A9F"/>
    <w:rsid w:val="000203D3"/>
    <w:rsid w:val="00020CF8"/>
    <w:rsid w:val="00025F4A"/>
    <w:rsid w:val="00026A02"/>
    <w:rsid w:val="00030E74"/>
    <w:rsid w:val="00031467"/>
    <w:rsid w:val="0003254D"/>
    <w:rsid w:val="00032E39"/>
    <w:rsid w:val="00034AF2"/>
    <w:rsid w:val="00035A54"/>
    <w:rsid w:val="00036D69"/>
    <w:rsid w:val="000404A4"/>
    <w:rsid w:val="00041C10"/>
    <w:rsid w:val="00042B4E"/>
    <w:rsid w:val="00042EB3"/>
    <w:rsid w:val="00044BCE"/>
    <w:rsid w:val="00045487"/>
    <w:rsid w:val="000466DF"/>
    <w:rsid w:val="000501FA"/>
    <w:rsid w:val="00050C78"/>
    <w:rsid w:val="000522E6"/>
    <w:rsid w:val="0005297E"/>
    <w:rsid w:val="000559D6"/>
    <w:rsid w:val="00055E6D"/>
    <w:rsid w:val="00056173"/>
    <w:rsid w:val="0005637F"/>
    <w:rsid w:val="00057D5B"/>
    <w:rsid w:val="000604C8"/>
    <w:rsid w:val="00060EE0"/>
    <w:rsid w:val="00060F38"/>
    <w:rsid w:val="000613C9"/>
    <w:rsid w:val="00061709"/>
    <w:rsid w:val="00061751"/>
    <w:rsid w:val="0006421C"/>
    <w:rsid w:val="00064331"/>
    <w:rsid w:val="0006488C"/>
    <w:rsid w:val="00066FF5"/>
    <w:rsid w:val="0007147A"/>
    <w:rsid w:val="00071D0C"/>
    <w:rsid w:val="00073925"/>
    <w:rsid w:val="000745F6"/>
    <w:rsid w:val="0007498A"/>
    <w:rsid w:val="00080A0E"/>
    <w:rsid w:val="000839F9"/>
    <w:rsid w:val="00084E75"/>
    <w:rsid w:val="00085C83"/>
    <w:rsid w:val="00087CAA"/>
    <w:rsid w:val="00090D1F"/>
    <w:rsid w:val="00090FF6"/>
    <w:rsid w:val="0009249B"/>
    <w:rsid w:val="00092B40"/>
    <w:rsid w:val="00093E97"/>
    <w:rsid w:val="000943A3"/>
    <w:rsid w:val="00094405"/>
    <w:rsid w:val="00094BA4"/>
    <w:rsid w:val="00097898"/>
    <w:rsid w:val="000979EB"/>
    <w:rsid w:val="000A04CF"/>
    <w:rsid w:val="000A06EB"/>
    <w:rsid w:val="000A1C87"/>
    <w:rsid w:val="000A1CDE"/>
    <w:rsid w:val="000A1D3B"/>
    <w:rsid w:val="000A2B27"/>
    <w:rsid w:val="000A5003"/>
    <w:rsid w:val="000A587C"/>
    <w:rsid w:val="000A7A8F"/>
    <w:rsid w:val="000B1739"/>
    <w:rsid w:val="000B18F5"/>
    <w:rsid w:val="000B3801"/>
    <w:rsid w:val="000B46DF"/>
    <w:rsid w:val="000B58E3"/>
    <w:rsid w:val="000C250F"/>
    <w:rsid w:val="000C2DAF"/>
    <w:rsid w:val="000C30E1"/>
    <w:rsid w:val="000C37C9"/>
    <w:rsid w:val="000C5DBD"/>
    <w:rsid w:val="000D2071"/>
    <w:rsid w:val="000D331A"/>
    <w:rsid w:val="000D4D96"/>
    <w:rsid w:val="000D57D1"/>
    <w:rsid w:val="000D788C"/>
    <w:rsid w:val="000D7C23"/>
    <w:rsid w:val="000D7FEC"/>
    <w:rsid w:val="000E1852"/>
    <w:rsid w:val="000E1EAA"/>
    <w:rsid w:val="000E1EEA"/>
    <w:rsid w:val="000E3154"/>
    <w:rsid w:val="000E77D9"/>
    <w:rsid w:val="000F12CA"/>
    <w:rsid w:val="000F3297"/>
    <w:rsid w:val="000F444F"/>
    <w:rsid w:val="000F4473"/>
    <w:rsid w:val="000F58E0"/>
    <w:rsid w:val="000F6102"/>
    <w:rsid w:val="000F64D5"/>
    <w:rsid w:val="000F7916"/>
    <w:rsid w:val="0010080A"/>
    <w:rsid w:val="0010157A"/>
    <w:rsid w:val="00103897"/>
    <w:rsid w:val="0011181B"/>
    <w:rsid w:val="0011211A"/>
    <w:rsid w:val="00112B47"/>
    <w:rsid w:val="001148C6"/>
    <w:rsid w:val="00115094"/>
    <w:rsid w:val="001200F0"/>
    <w:rsid w:val="00123CE3"/>
    <w:rsid w:val="0012516A"/>
    <w:rsid w:val="001266F7"/>
    <w:rsid w:val="00127E3B"/>
    <w:rsid w:val="00130D49"/>
    <w:rsid w:val="00134E45"/>
    <w:rsid w:val="001354D5"/>
    <w:rsid w:val="0013792B"/>
    <w:rsid w:val="00140519"/>
    <w:rsid w:val="001443A3"/>
    <w:rsid w:val="0014477F"/>
    <w:rsid w:val="00144E22"/>
    <w:rsid w:val="00145FC1"/>
    <w:rsid w:val="00153938"/>
    <w:rsid w:val="00154FA3"/>
    <w:rsid w:val="00155BCC"/>
    <w:rsid w:val="001568D6"/>
    <w:rsid w:val="001603BB"/>
    <w:rsid w:val="00160F1A"/>
    <w:rsid w:val="001613F6"/>
    <w:rsid w:val="00162AC7"/>
    <w:rsid w:val="00163CF5"/>
    <w:rsid w:val="00163D3F"/>
    <w:rsid w:val="00164038"/>
    <w:rsid w:val="0016454E"/>
    <w:rsid w:val="00164B17"/>
    <w:rsid w:val="00165D8D"/>
    <w:rsid w:val="00166F73"/>
    <w:rsid w:val="0017056C"/>
    <w:rsid w:val="00170665"/>
    <w:rsid w:val="00170679"/>
    <w:rsid w:val="001719C5"/>
    <w:rsid w:val="0017260C"/>
    <w:rsid w:val="0017509E"/>
    <w:rsid w:val="00176C19"/>
    <w:rsid w:val="00181D19"/>
    <w:rsid w:val="00182B31"/>
    <w:rsid w:val="00182C1C"/>
    <w:rsid w:val="0018410D"/>
    <w:rsid w:val="001843C6"/>
    <w:rsid w:val="0018455B"/>
    <w:rsid w:val="00184735"/>
    <w:rsid w:val="00184FB7"/>
    <w:rsid w:val="001858A6"/>
    <w:rsid w:val="00186FFB"/>
    <w:rsid w:val="00187352"/>
    <w:rsid w:val="00187590"/>
    <w:rsid w:val="00187674"/>
    <w:rsid w:val="00190477"/>
    <w:rsid w:val="00194B73"/>
    <w:rsid w:val="00195532"/>
    <w:rsid w:val="00195534"/>
    <w:rsid w:val="00195F5B"/>
    <w:rsid w:val="001967ED"/>
    <w:rsid w:val="001A0A45"/>
    <w:rsid w:val="001A1F36"/>
    <w:rsid w:val="001A24A9"/>
    <w:rsid w:val="001A5AD8"/>
    <w:rsid w:val="001A6304"/>
    <w:rsid w:val="001B0AEC"/>
    <w:rsid w:val="001B223C"/>
    <w:rsid w:val="001B4607"/>
    <w:rsid w:val="001B6084"/>
    <w:rsid w:val="001B68D8"/>
    <w:rsid w:val="001C031F"/>
    <w:rsid w:val="001C09CF"/>
    <w:rsid w:val="001C42CD"/>
    <w:rsid w:val="001C441C"/>
    <w:rsid w:val="001C4DD1"/>
    <w:rsid w:val="001C4DE4"/>
    <w:rsid w:val="001C6E99"/>
    <w:rsid w:val="001C78A7"/>
    <w:rsid w:val="001D0433"/>
    <w:rsid w:val="001D25B6"/>
    <w:rsid w:val="001D2793"/>
    <w:rsid w:val="001D3200"/>
    <w:rsid w:val="001D6435"/>
    <w:rsid w:val="001D67D5"/>
    <w:rsid w:val="001E45D9"/>
    <w:rsid w:val="001E4700"/>
    <w:rsid w:val="001E6BA1"/>
    <w:rsid w:val="001F1D58"/>
    <w:rsid w:val="001F2B86"/>
    <w:rsid w:val="001F2C3F"/>
    <w:rsid w:val="001F30F7"/>
    <w:rsid w:val="001F3E81"/>
    <w:rsid w:val="001F4CF7"/>
    <w:rsid w:val="001F6B29"/>
    <w:rsid w:val="001F72A2"/>
    <w:rsid w:val="001F7AB6"/>
    <w:rsid w:val="00200203"/>
    <w:rsid w:val="00200224"/>
    <w:rsid w:val="00201004"/>
    <w:rsid w:val="00202DB8"/>
    <w:rsid w:val="00204B71"/>
    <w:rsid w:val="00207178"/>
    <w:rsid w:val="002122DB"/>
    <w:rsid w:val="00213792"/>
    <w:rsid w:val="00213994"/>
    <w:rsid w:val="00213B07"/>
    <w:rsid w:val="002152F0"/>
    <w:rsid w:val="00216D32"/>
    <w:rsid w:val="00216EB4"/>
    <w:rsid w:val="00221913"/>
    <w:rsid w:val="00221953"/>
    <w:rsid w:val="00226E86"/>
    <w:rsid w:val="00226F50"/>
    <w:rsid w:val="00230A4E"/>
    <w:rsid w:val="00232602"/>
    <w:rsid w:val="00232F13"/>
    <w:rsid w:val="00233085"/>
    <w:rsid w:val="0023344E"/>
    <w:rsid w:val="00234F46"/>
    <w:rsid w:val="00237051"/>
    <w:rsid w:val="002372E3"/>
    <w:rsid w:val="002408C8"/>
    <w:rsid w:val="002416E9"/>
    <w:rsid w:val="0024232D"/>
    <w:rsid w:val="00242A24"/>
    <w:rsid w:val="002434B6"/>
    <w:rsid w:val="002447B7"/>
    <w:rsid w:val="002452ED"/>
    <w:rsid w:val="00245594"/>
    <w:rsid w:val="002510A9"/>
    <w:rsid w:val="0025343D"/>
    <w:rsid w:val="002539A2"/>
    <w:rsid w:val="00254E25"/>
    <w:rsid w:val="0026022B"/>
    <w:rsid w:val="002621F0"/>
    <w:rsid w:val="002631AE"/>
    <w:rsid w:val="002662A3"/>
    <w:rsid w:val="0026685D"/>
    <w:rsid w:val="0026688A"/>
    <w:rsid w:val="00266937"/>
    <w:rsid w:val="00267608"/>
    <w:rsid w:val="00267CCE"/>
    <w:rsid w:val="00270528"/>
    <w:rsid w:val="0027327B"/>
    <w:rsid w:val="00277B3D"/>
    <w:rsid w:val="00281B19"/>
    <w:rsid w:val="00282430"/>
    <w:rsid w:val="00283762"/>
    <w:rsid w:val="00283A95"/>
    <w:rsid w:val="00283DBA"/>
    <w:rsid w:val="00284F2C"/>
    <w:rsid w:val="00287043"/>
    <w:rsid w:val="00290DB3"/>
    <w:rsid w:val="002A0D60"/>
    <w:rsid w:val="002A1458"/>
    <w:rsid w:val="002A2966"/>
    <w:rsid w:val="002A2D74"/>
    <w:rsid w:val="002A350A"/>
    <w:rsid w:val="002A5605"/>
    <w:rsid w:val="002A6116"/>
    <w:rsid w:val="002B1E3C"/>
    <w:rsid w:val="002B4EEF"/>
    <w:rsid w:val="002B510A"/>
    <w:rsid w:val="002B5196"/>
    <w:rsid w:val="002B5982"/>
    <w:rsid w:val="002B6139"/>
    <w:rsid w:val="002C1486"/>
    <w:rsid w:val="002C44B8"/>
    <w:rsid w:val="002C549E"/>
    <w:rsid w:val="002C55D2"/>
    <w:rsid w:val="002D39A3"/>
    <w:rsid w:val="002D3BB1"/>
    <w:rsid w:val="002D4566"/>
    <w:rsid w:val="002D4C27"/>
    <w:rsid w:val="002D4D08"/>
    <w:rsid w:val="002D6292"/>
    <w:rsid w:val="002D6B47"/>
    <w:rsid w:val="002D73CD"/>
    <w:rsid w:val="002E2BEE"/>
    <w:rsid w:val="002E3121"/>
    <w:rsid w:val="002E3D90"/>
    <w:rsid w:val="002E41DB"/>
    <w:rsid w:val="002E5135"/>
    <w:rsid w:val="002E5D7F"/>
    <w:rsid w:val="002F1165"/>
    <w:rsid w:val="002F2D4B"/>
    <w:rsid w:val="002F3D28"/>
    <w:rsid w:val="002F603A"/>
    <w:rsid w:val="003032C9"/>
    <w:rsid w:val="003034D2"/>
    <w:rsid w:val="00305221"/>
    <w:rsid w:val="00306305"/>
    <w:rsid w:val="0030784B"/>
    <w:rsid w:val="00311320"/>
    <w:rsid w:val="00311A5F"/>
    <w:rsid w:val="00312109"/>
    <w:rsid w:val="00313655"/>
    <w:rsid w:val="0031380D"/>
    <w:rsid w:val="00313C6B"/>
    <w:rsid w:val="00314DA9"/>
    <w:rsid w:val="00317FBE"/>
    <w:rsid w:val="0032495C"/>
    <w:rsid w:val="00325B6A"/>
    <w:rsid w:val="0032613D"/>
    <w:rsid w:val="0032700C"/>
    <w:rsid w:val="00327F94"/>
    <w:rsid w:val="00330393"/>
    <w:rsid w:val="0033149C"/>
    <w:rsid w:val="00331EDE"/>
    <w:rsid w:val="00335987"/>
    <w:rsid w:val="00337586"/>
    <w:rsid w:val="00345C73"/>
    <w:rsid w:val="00345F39"/>
    <w:rsid w:val="0034601A"/>
    <w:rsid w:val="00347C07"/>
    <w:rsid w:val="00350C68"/>
    <w:rsid w:val="00353396"/>
    <w:rsid w:val="00354041"/>
    <w:rsid w:val="00355FD0"/>
    <w:rsid w:val="00356AA8"/>
    <w:rsid w:val="003578D6"/>
    <w:rsid w:val="003618CD"/>
    <w:rsid w:val="003625D8"/>
    <w:rsid w:val="003630D0"/>
    <w:rsid w:val="00366D40"/>
    <w:rsid w:val="00367ED7"/>
    <w:rsid w:val="003751EF"/>
    <w:rsid w:val="00375E93"/>
    <w:rsid w:val="00394765"/>
    <w:rsid w:val="003977AF"/>
    <w:rsid w:val="00397FCB"/>
    <w:rsid w:val="003A118C"/>
    <w:rsid w:val="003A17D7"/>
    <w:rsid w:val="003A21C4"/>
    <w:rsid w:val="003A3CE9"/>
    <w:rsid w:val="003A52B2"/>
    <w:rsid w:val="003A699A"/>
    <w:rsid w:val="003B0382"/>
    <w:rsid w:val="003C0650"/>
    <w:rsid w:val="003C0693"/>
    <w:rsid w:val="003C399C"/>
    <w:rsid w:val="003C430F"/>
    <w:rsid w:val="003C6FB6"/>
    <w:rsid w:val="003C70A4"/>
    <w:rsid w:val="003D111D"/>
    <w:rsid w:val="003D1A1D"/>
    <w:rsid w:val="003D441F"/>
    <w:rsid w:val="003D655A"/>
    <w:rsid w:val="003D71E5"/>
    <w:rsid w:val="003D7511"/>
    <w:rsid w:val="003D77DA"/>
    <w:rsid w:val="003D79E7"/>
    <w:rsid w:val="003E20EF"/>
    <w:rsid w:val="003E284D"/>
    <w:rsid w:val="003E2AB8"/>
    <w:rsid w:val="003E5143"/>
    <w:rsid w:val="003E69EF"/>
    <w:rsid w:val="003E7AC3"/>
    <w:rsid w:val="003F281F"/>
    <w:rsid w:val="003F310F"/>
    <w:rsid w:val="003F34D7"/>
    <w:rsid w:val="003F440F"/>
    <w:rsid w:val="003F491A"/>
    <w:rsid w:val="003F6B3A"/>
    <w:rsid w:val="003F7C56"/>
    <w:rsid w:val="00403094"/>
    <w:rsid w:val="00405EBF"/>
    <w:rsid w:val="004076A6"/>
    <w:rsid w:val="00407BB7"/>
    <w:rsid w:val="004105ED"/>
    <w:rsid w:val="004120D4"/>
    <w:rsid w:val="00412FF5"/>
    <w:rsid w:val="004137FE"/>
    <w:rsid w:val="0041720E"/>
    <w:rsid w:val="00423C6D"/>
    <w:rsid w:val="00427C54"/>
    <w:rsid w:val="00427CA5"/>
    <w:rsid w:val="0043001F"/>
    <w:rsid w:val="004341AA"/>
    <w:rsid w:val="004345EE"/>
    <w:rsid w:val="00434685"/>
    <w:rsid w:val="00434C28"/>
    <w:rsid w:val="0043524F"/>
    <w:rsid w:val="00435437"/>
    <w:rsid w:val="00437350"/>
    <w:rsid w:val="0043763D"/>
    <w:rsid w:val="004376E4"/>
    <w:rsid w:val="00440896"/>
    <w:rsid w:val="00443217"/>
    <w:rsid w:val="00445CFD"/>
    <w:rsid w:val="004468DE"/>
    <w:rsid w:val="00447492"/>
    <w:rsid w:val="00447A63"/>
    <w:rsid w:val="0045047B"/>
    <w:rsid w:val="004537CA"/>
    <w:rsid w:val="0045693A"/>
    <w:rsid w:val="004574CF"/>
    <w:rsid w:val="0045750D"/>
    <w:rsid w:val="00460B52"/>
    <w:rsid w:val="0046116C"/>
    <w:rsid w:val="00461887"/>
    <w:rsid w:val="0046220A"/>
    <w:rsid w:val="00462D41"/>
    <w:rsid w:val="00462EDE"/>
    <w:rsid w:val="00464FB5"/>
    <w:rsid w:val="00465A03"/>
    <w:rsid w:val="00465C7B"/>
    <w:rsid w:val="004673A3"/>
    <w:rsid w:val="004700E2"/>
    <w:rsid w:val="00470586"/>
    <w:rsid w:val="00470BCA"/>
    <w:rsid w:val="00471405"/>
    <w:rsid w:val="004725F2"/>
    <w:rsid w:val="00473031"/>
    <w:rsid w:val="00475E8A"/>
    <w:rsid w:val="00477053"/>
    <w:rsid w:val="00477109"/>
    <w:rsid w:val="004825DD"/>
    <w:rsid w:val="00483296"/>
    <w:rsid w:val="0048641F"/>
    <w:rsid w:val="00486775"/>
    <w:rsid w:val="00487BD0"/>
    <w:rsid w:val="0049040C"/>
    <w:rsid w:val="00492413"/>
    <w:rsid w:val="00492B7F"/>
    <w:rsid w:val="00492C6B"/>
    <w:rsid w:val="00492E09"/>
    <w:rsid w:val="00493CA6"/>
    <w:rsid w:val="004943E8"/>
    <w:rsid w:val="00495E2B"/>
    <w:rsid w:val="00495E3C"/>
    <w:rsid w:val="004A020F"/>
    <w:rsid w:val="004A4AEB"/>
    <w:rsid w:val="004A62DD"/>
    <w:rsid w:val="004B067B"/>
    <w:rsid w:val="004B2E62"/>
    <w:rsid w:val="004B5EC6"/>
    <w:rsid w:val="004B6762"/>
    <w:rsid w:val="004B6CFF"/>
    <w:rsid w:val="004B7F6E"/>
    <w:rsid w:val="004C16D5"/>
    <w:rsid w:val="004C199B"/>
    <w:rsid w:val="004C1B9D"/>
    <w:rsid w:val="004C216A"/>
    <w:rsid w:val="004C32D6"/>
    <w:rsid w:val="004C3684"/>
    <w:rsid w:val="004C60E9"/>
    <w:rsid w:val="004D0206"/>
    <w:rsid w:val="004D048E"/>
    <w:rsid w:val="004D0C51"/>
    <w:rsid w:val="004D0DD6"/>
    <w:rsid w:val="004D150A"/>
    <w:rsid w:val="004D29FF"/>
    <w:rsid w:val="004D4AEB"/>
    <w:rsid w:val="004D626B"/>
    <w:rsid w:val="004D6905"/>
    <w:rsid w:val="004D6F27"/>
    <w:rsid w:val="004D7553"/>
    <w:rsid w:val="004D7C4C"/>
    <w:rsid w:val="004E0F9A"/>
    <w:rsid w:val="004E21F5"/>
    <w:rsid w:val="004E4CB6"/>
    <w:rsid w:val="004E6BA4"/>
    <w:rsid w:val="004E7787"/>
    <w:rsid w:val="004E7B1A"/>
    <w:rsid w:val="004F0B26"/>
    <w:rsid w:val="004F0FCE"/>
    <w:rsid w:val="004F1662"/>
    <w:rsid w:val="004F202B"/>
    <w:rsid w:val="004F3507"/>
    <w:rsid w:val="004F36B4"/>
    <w:rsid w:val="004F3EE4"/>
    <w:rsid w:val="004F42C4"/>
    <w:rsid w:val="004F5477"/>
    <w:rsid w:val="004F7E99"/>
    <w:rsid w:val="004F7FE8"/>
    <w:rsid w:val="0050000D"/>
    <w:rsid w:val="00500645"/>
    <w:rsid w:val="00503042"/>
    <w:rsid w:val="00503AA5"/>
    <w:rsid w:val="00504E09"/>
    <w:rsid w:val="0050638A"/>
    <w:rsid w:val="005165AB"/>
    <w:rsid w:val="00516B63"/>
    <w:rsid w:val="005206C3"/>
    <w:rsid w:val="00521C7F"/>
    <w:rsid w:val="00522102"/>
    <w:rsid w:val="00522CAF"/>
    <w:rsid w:val="00524C9D"/>
    <w:rsid w:val="00526755"/>
    <w:rsid w:val="00526C59"/>
    <w:rsid w:val="00530109"/>
    <w:rsid w:val="005307BC"/>
    <w:rsid w:val="00530BB1"/>
    <w:rsid w:val="00530CDC"/>
    <w:rsid w:val="0053248E"/>
    <w:rsid w:val="00532B43"/>
    <w:rsid w:val="00533248"/>
    <w:rsid w:val="005345B3"/>
    <w:rsid w:val="00537959"/>
    <w:rsid w:val="0054009A"/>
    <w:rsid w:val="00541249"/>
    <w:rsid w:val="00541A28"/>
    <w:rsid w:val="00543072"/>
    <w:rsid w:val="00546782"/>
    <w:rsid w:val="005507B7"/>
    <w:rsid w:val="005527B8"/>
    <w:rsid w:val="005548A9"/>
    <w:rsid w:val="005561D8"/>
    <w:rsid w:val="00557FFD"/>
    <w:rsid w:val="005618A8"/>
    <w:rsid w:val="00561DC5"/>
    <w:rsid w:val="005630BA"/>
    <w:rsid w:val="005661C0"/>
    <w:rsid w:val="00566D88"/>
    <w:rsid w:val="005701DE"/>
    <w:rsid w:val="0057111D"/>
    <w:rsid w:val="0057269B"/>
    <w:rsid w:val="005731F7"/>
    <w:rsid w:val="00574EF9"/>
    <w:rsid w:val="00576E2C"/>
    <w:rsid w:val="005770DF"/>
    <w:rsid w:val="00577127"/>
    <w:rsid w:val="00580F00"/>
    <w:rsid w:val="005827EF"/>
    <w:rsid w:val="00583761"/>
    <w:rsid w:val="0058503E"/>
    <w:rsid w:val="0058622B"/>
    <w:rsid w:val="00587A9A"/>
    <w:rsid w:val="005964EA"/>
    <w:rsid w:val="005A002A"/>
    <w:rsid w:val="005A010C"/>
    <w:rsid w:val="005A130D"/>
    <w:rsid w:val="005A1600"/>
    <w:rsid w:val="005A1ACF"/>
    <w:rsid w:val="005A1B31"/>
    <w:rsid w:val="005A6194"/>
    <w:rsid w:val="005A6EA3"/>
    <w:rsid w:val="005A7C49"/>
    <w:rsid w:val="005B06FB"/>
    <w:rsid w:val="005B6142"/>
    <w:rsid w:val="005B681E"/>
    <w:rsid w:val="005B7300"/>
    <w:rsid w:val="005C0C63"/>
    <w:rsid w:val="005C0E04"/>
    <w:rsid w:val="005C0E74"/>
    <w:rsid w:val="005C19C0"/>
    <w:rsid w:val="005C6B3F"/>
    <w:rsid w:val="005D2854"/>
    <w:rsid w:val="005D46CD"/>
    <w:rsid w:val="005D4A96"/>
    <w:rsid w:val="005D4C9B"/>
    <w:rsid w:val="005D5E1B"/>
    <w:rsid w:val="005E2155"/>
    <w:rsid w:val="005E2B9A"/>
    <w:rsid w:val="005E654C"/>
    <w:rsid w:val="005E7132"/>
    <w:rsid w:val="005F108D"/>
    <w:rsid w:val="005F26B4"/>
    <w:rsid w:val="005F2D62"/>
    <w:rsid w:val="005F2D88"/>
    <w:rsid w:val="005F4D1B"/>
    <w:rsid w:val="005F4FB8"/>
    <w:rsid w:val="005F69F6"/>
    <w:rsid w:val="005F6C39"/>
    <w:rsid w:val="005F79FD"/>
    <w:rsid w:val="006000B7"/>
    <w:rsid w:val="00600341"/>
    <w:rsid w:val="00602E21"/>
    <w:rsid w:val="00602F17"/>
    <w:rsid w:val="00603612"/>
    <w:rsid w:val="0060380C"/>
    <w:rsid w:val="00603FC0"/>
    <w:rsid w:val="0060545C"/>
    <w:rsid w:val="00605AF4"/>
    <w:rsid w:val="00606A27"/>
    <w:rsid w:val="00606E06"/>
    <w:rsid w:val="00607AAE"/>
    <w:rsid w:val="00613372"/>
    <w:rsid w:val="0062425C"/>
    <w:rsid w:val="00624392"/>
    <w:rsid w:val="006259C0"/>
    <w:rsid w:val="006262D0"/>
    <w:rsid w:val="00626C87"/>
    <w:rsid w:val="006270E1"/>
    <w:rsid w:val="006330E9"/>
    <w:rsid w:val="00633F76"/>
    <w:rsid w:val="00635A21"/>
    <w:rsid w:val="006371A6"/>
    <w:rsid w:val="00640C70"/>
    <w:rsid w:val="006411C0"/>
    <w:rsid w:val="006444C5"/>
    <w:rsid w:val="00644AED"/>
    <w:rsid w:val="006457E3"/>
    <w:rsid w:val="00646067"/>
    <w:rsid w:val="00646D28"/>
    <w:rsid w:val="00647592"/>
    <w:rsid w:val="0065067F"/>
    <w:rsid w:val="006506AA"/>
    <w:rsid w:val="00652FD2"/>
    <w:rsid w:val="006531B2"/>
    <w:rsid w:val="006542CD"/>
    <w:rsid w:val="006544E3"/>
    <w:rsid w:val="00654780"/>
    <w:rsid w:val="00655B0E"/>
    <w:rsid w:val="006566B1"/>
    <w:rsid w:val="0065716B"/>
    <w:rsid w:val="0065776D"/>
    <w:rsid w:val="0066048B"/>
    <w:rsid w:val="006607A7"/>
    <w:rsid w:val="00664BDC"/>
    <w:rsid w:val="00665DFD"/>
    <w:rsid w:val="006672C1"/>
    <w:rsid w:val="006766BF"/>
    <w:rsid w:val="00676964"/>
    <w:rsid w:val="00682742"/>
    <w:rsid w:val="0068504F"/>
    <w:rsid w:val="006876EE"/>
    <w:rsid w:val="00690CFF"/>
    <w:rsid w:val="00690F83"/>
    <w:rsid w:val="0069131A"/>
    <w:rsid w:val="006923E4"/>
    <w:rsid w:val="00693444"/>
    <w:rsid w:val="006938F3"/>
    <w:rsid w:val="00694E7B"/>
    <w:rsid w:val="006A06BA"/>
    <w:rsid w:val="006A31FD"/>
    <w:rsid w:val="006A482E"/>
    <w:rsid w:val="006A594F"/>
    <w:rsid w:val="006A68D0"/>
    <w:rsid w:val="006A7262"/>
    <w:rsid w:val="006A778E"/>
    <w:rsid w:val="006B1CA2"/>
    <w:rsid w:val="006B5B1F"/>
    <w:rsid w:val="006B608F"/>
    <w:rsid w:val="006B6A8F"/>
    <w:rsid w:val="006C059F"/>
    <w:rsid w:val="006C0C12"/>
    <w:rsid w:val="006C3BD9"/>
    <w:rsid w:val="006C5238"/>
    <w:rsid w:val="006C641F"/>
    <w:rsid w:val="006D0972"/>
    <w:rsid w:val="006D09C6"/>
    <w:rsid w:val="006D3640"/>
    <w:rsid w:val="006D64A1"/>
    <w:rsid w:val="006D65A8"/>
    <w:rsid w:val="006D73CA"/>
    <w:rsid w:val="006E086A"/>
    <w:rsid w:val="006E2A3C"/>
    <w:rsid w:val="006E4E59"/>
    <w:rsid w:val="006E5367"/>
    <w:rsid w:val="006E6155"/>
    <w:rsid w:val="006E67C2"/>
    <w:rsid w:val="006F033A"/>
    <w:rsid w:val="006F4513"/>
    <w:rsid w:val="006F5547"/>
    <w:rsid w:val="00701BD2"/>
    <w:rsid w:val="00703DFE"/>
    <w:rsid w:val="0070413B"/>
    <w:rsid w:val="007066D4"/>
    <w:rsid w:val="00706F94"/>
    <w:rsid w:val="00711281"/>
    <w:rsid w:val="0071168F"/>
    <w:rsid w:val="007133A7"/>
    <w:rsid w:val="00714297"/>
    <w:rsid w:val="00714D40"/>
    <w:rsid w:val="0071607F"/>
    <w:rsid w:val="00716992"/>
    <w:rsid w:val="00717FBE"/>
    <w:rsid w:val="00720A4F"/>
    <w:rsid w:val="00721700"/>
    <w:rsid w:val="0072377B"/>
    <w:rsid w:val="007238B9"/>
    <w:rsid w:val="007256CA"/>
    <w:rsid w:val="00731786"/>
    <w:rsid w:val="00733E26"/>
    <w:rsid w:val="00740830"/>
    <w:rsid w:val="00741369"/>
    <w:rsid w:val="007420A7"/>
    <w:rsid w:val="00742819"/>
    <w:rsid w:val="00742F45"/>
    <w:rsid w:val="007454AA"/>
    <w:rsid w:val="00746A57"/>
    <w:rsid w:val="00747F36"/>
    <w:rsid w:val="00751D07"/>
    <w:rsid w:val="00751D77"/>
    <w:rsid w:val="007543CB"/>
    <w:rsid w:val="00754AB3"/>
    <w:rsid w:val="00756186"/>
    <w:rsid w:val="00756D95"/>
    <w:rsid w:val="007647EC"/>
    <w:rsid w:val="00765986"/>
    <w:rsid w:val="00765AAB"/>
    <w:rsid w:val="00770034"/>
    <w:rsid w:val="00771DDD"/>
    <w:rsid w:val="0077232D"/>
    <w:rsid w:val="00772782"/>
    <w:rsid w:val="00772943"/>
    <w:rsid w:val="00772DBD"/>
    <w:rsid w:val="0077469F"/>
    <w:rsid w:val="00774992"/>
    <w:rsid w:val="007805C7"/>
    <w:rsid w:val="00781678"/>
    <w:rsid w:val="0078362A"/>
    <w:rsid w:val="00790F04"/>
    <w:rsid w:val="00791C63"/>
    <w:rsid w:val="0079359D"/>
    <w:rsid w:val="007941ED"/>
    <w:rsid w:val="00794800"/>
    <w:rsid w:val="007949C9"/>
    <w:rsid w:val="00795E7E"/>
    <w:rsid w:val="007A02ED"/>
    <w:rsid w:val="007A0B2E"/>
    <w:rsid w:val="007A117E"/>
    <w:rsid w:val="007A1406"/>
    <w:rsid w:val="007A17EB"/>
    <w:rsid w:val="007A1D06"/>
    <w:rsid w:val="007A1E93"/>
    <w:rsid w:val="007A2211"/>
    <w:rsid w:val="007A3CB2"/>
    <w:rsid w:val="007A492F"/>
    <w:rsid w:val="007A4BE9"/>
    <w:rsid w:val="007A4DCD"/>
    <w:rsid w:val="007A4FBC"/>
    <w:rsid w:val="007A5E90"/>
    <w:rsid w:val="007A7FF2"/>
    <w:rsid w:val="007B0B00"/>
    <w:rsid w:val="007B67A3"/>
    <w:rsid w:val="007C15BB"/>
    <w:rsid w:val="007C2C88"/>
    <w:rsid w:val="007C39DB"/>
    <w:rsid w:val="007C3B8F"/>
    <w:rsid w:val="007C4D0F"/>
    <w:rsid w:val="007C505D"/>
    <w:rsid w:val="007C5A6B"/>
    <w:rsid w:val="007C6A54"/>
    <w:rsid w:val="007C6DEE"/>
    <w:rsid w:val="007C797E"/>
    <w:rsid w:val="007D0365"/>
    <w:rsid w:val="007D3F32"/>
    <w:rsid w:val="007D40E3"/>
    <w:rsid w:val="007D42F2"/>
    <w:rsid w:val="007D4474"/>
    <w:rsid w:val="007D56F8"/>
    <w:rsid w:val="007D6B9C"/>
    <w:rsid w:val="007E0CC3"/>
    <w:rsid w:val="007E1506"/>
    <w:rsid w:val="007E1B9A"/>
    <w:rsid w:val="007E410D"/>
    <w:rsid w:val="007E59B5"/>
    <w:rsid w:val="007E6012"/>
    <w:rsid w:val="007E6600"/>
    <w:rsid w:val="007F215E"/>
    <w:rsid w:val="007F5E73"/>
    <w:rsid w:val="007F622F"/>
    <w:rsid w:val="007F7FBD"/>
    <w:rsid w:val="00800A78"/>
    <w:rsid w:val="008020EC"/>
    <w:rsid w:val="008045A8"/>
    <w:rsid w:val="0080561C"/>
    <w:rsid w:val="00813D5B"/>
    <w:rsid w:val="008143A5"/>
    <w:rsid w:val="008153C6"/>
    <w:rsid w:val="00816BC7"/>
    <w:rsid w:val="00816D37"/>
    <w:rsid w:val="00817EFC"/>
    <w:rsid w:val="00820225"/>
    <w:rsid w:val="00824D2A"/>
    <w:rsid w:val="00825638"/>
    <w:rsid w:val="00831D3E"/>
    <w:rsid w:val="00834967"/>
    <w:rsid w:val="00835A5B"/>
    <w:rsid w:val="00836D1E"/>
    <w:rsid w:val="00837C31"/>
    <w:rsid w:val="0084192B"/>
    <w:rsid w:val="00841B4E"/>
    <w:rsid w:val="00841DFE"/>
    <w:rsid w:val="00841F1F"/>
    <w:rsid w:val="0084228A"/>
    <w:rsid w:val="008447E2"/>
    <w:rsid w:val="00845A18"/>
    <w:rsid w:val="0084601B"/>
    <w:rsid w:val="00850352"/>
    <w:rsid w:val="00850D6C"/>
    <w:rsid w:val="00852693"/>
    <w:rsid w:val="008527E2"/>
    <w:rsid w:val="00852A18"/>
    <w:rsid w:val="00853B02"/>
    <w:rsid w:val="008540D8"/>
    <w:rsid w:val="00854DBF"/>
    <w:rsid w:val="00854F0A"/>
    <w:rsid w:val="008562A3"/>
    <w:rsid w:val="00856D3F"/>
    <w:rsid w:val="008571D4"/>
    <w:rsid w:val="00860099"/>
    <w:rsid w:val="00860F92"/>
    <w:rsid w:val="00861DAB"/>
    <w:rsid w:val="00862E74"/>
    <w:rsid w:val="008630CF"/>
    <w:rsid w:val="00863205"/>
    <w:rsid w:val="00863AA6"/>
    <w:rsid w:val="0086405A"/>
    <w:rsid w:val="00865708"/>
    <w:rsid w:val="00866030"/>
    <w:rsid w:val="0086685B"/>
    <w:rsid w:val="00873F7F"/>
    <w:rsid w:val="00875802"/>
    <w:rsid w:val="008767C2"/>
    <w:rsid w:val="00876FE0"/>
    <w:rsid w:val="00881677"/>
    <w:rsid w:val="00881B22"/>
    <w:rsid w:val="00883AF0"/>
    <w:rsid w:val="00884CE1"/>
    <w:rsid w:val="00885632"/>
    <w:rsid w:val="008863D7"/>
    <w:rsid w:val="0088691B"/>
    <w:rsid w:val="008879E8"/>
    <w:rsid w:val="00887D37"/>
    <w:rsid w:val="00892D18"/>
    <w:rsid w:val="008937FF"/>
    <w:rsid w:val="00893E20"/>
    <w:rsid w:val="00895CE2"/>
    <w:rsid w:val="00897974"/>
    <w:rsid w:val="008A35CC"/>
    <w:rsid w:val="008A389F"/>
    <w:rsid w:val="008A52F9"/>
    <w:rsid w:val="008B14D4"/>
    <w:rsid w:val="008B1740"/>
    <w:rsid w:val="008B36B7"/>
    <w:rsid w:val="008B3A60"/>
    <w:rsid w:val="008B3DCC"/>
    <w:rsid w:val="008B3EE4"/>
    <w:rsid w:val="008B4E9D"/>
    <w:rsid w:val="008B5614"/>
    <w:rsid w:val="008B5DE4"/>
    <w:rsid w:val="008B5F28"/>
    <w:rsid w:val="008B63ED"/>
    <w:rsid w:val="008B72F5"/>
    <w:rsid w:val="008B7CD5"/>
    <w:rsid w:val="008B7DC8"/>
    <w:rsid w:val="008C3CCF"/>
    <w:rsid w:val="008C63E2"/>
    <w:rsid w:val="008D0DFF"/>
    <w:rsid w:val="008D11C5"/>
    <w:rsid w:val="008D1CA5"/>
    <w:rsid w:val="008D2B04"/>
    <w:rsid w:val="008D3DC8"/>
    <w:rsid w:val="008D4A85"/>
    <w:rsid w:val="008D761B"/>
    <w:rsid w:val="008E071B"/>
    <w:rsid w:val="008E0F66"/>
    <w:rsid w:val="008E1797"/>
    <w:rsid w:val="008E62C8"/>
    <w:rsid w:val="008F0A38"/>
    <w:rsid w:val="008F2CC1"/>
    <w:rsid w:val="008F488E"/>
    <w:rsid w:val="008F5610"/>
    <w:rsid w:val="008F5A54"/>
    <w:rsid w:val="008F7594"/>
    <w:rsid w:val="0090119A"/>
    <w:rsid w:val="00901E6E"/>
    <w:rsid w:val="0090228C"/>
    <w:rsid w:val="00902733"/>
    <w:rsid w:val="00903B2E"/>
    <w:rsid w:val="0090571D"/>
    <w:rsid w:val="00906DFB"/>
    <w:rsid w:val="009073FB"/>
    <w:rsid w:val="0091112C"/>
    <w:rsid w:val="0091169D"/>
    <w:rsid w:val="009145A2"/>
    <w:rsid w:val="009153BC"/>
    <w:rsid w:val="00915E4E"/>
    <w:rsid w:val="0091775E"/>
    <w:rsid w:val="009178D0"/>
    <w:rsid w:val="00917E73"/>
    <w:rsid w:val="00917EF0"/>
    <w:rsid w:val="00921EB3"/>
    <w:rsid w:val="0092282C"/>
    <w:rsid w:val="00923A58"/>
    <w:rsid w:val="009249F8"/>
    <w:rsid w:val="00926BC7"/>
    <w:rsid w:val="00930024"/>
    <w:rsid w:val="00930BA8"/>
    <w:rsid w:val="0093785D"/>
    <w:rsid w:val="00940BBF"/>
    <w:rsid w:val="00943BC8"/>
    <w:rsid w:val="00944741"/>
    <w:rsid w:val="00946A18"/>
    <w:rsid w:val="00950FF3"/>
    <w:rsid w:val="00951580"/>
    <w:rsid w:val="009539A2"/>
    <w:rsid w:val="009539F3"/>
    <w:rsid w:val="009550F2"/>
    <w:rsid w:val="0095737E"/>
    <w:rsid w:val="00957BA4"/>
    <w:rsid w:val="00957F04"/>
    <w:rsid w:val="00960D9D"/>
    <w:rsid w:val="00962F90"/>
    <w:rsid w:val="00965393"/>
    <w:rsid w:val="00965885"/>
    <w:rsid w:val="00965F40"/>
    <w:rsid w:val="00966CEF"/>
    <w:rsid w:val="00971572"/>
    <w:rsid w:val="00973266"/>
    <w:rsid w:val="009743FD"/>
    <w:rsid w:val="0097483F"/>
    <w:rsid w:val="00974FBE"/>
    <w:rsid w:val="00975A8E"/>
    <w:rsid w:val="0097668C"/>
    <w:rsid w:val="009766A1"/>
    <w:rsid w:val="00976A77"/>
    <w:rsid w:val="0097746C"/>
    <w:rsid w:val="00977776"/>
    <w:rsid w:val="00980747"/>
    <w:rsid w:val="00980C44"/>
    <w:rsid w:val="00983278"/>
    <w:rsid w:val="0098366F"/>
    <w:rsid w:val="00983806"/>
    <w:rsid w:val="0098475D"/>
    <w:rsid w:val="00984782"/>
    <w:rsid w:val="009856E0"/>
    <w:rsid w:val="00986CB3"/>
    <w:rsid w:val="0099174A"/>
    <w:rsid w:val="009946C9"/>
    <w:rsid w:val="00994B9D"/>
    <w:rsid w:val="00995EBC"/>
    <w:rsid w:val="00997A29"/>
    <w:rsid w:val="009A0068"/>
    <w:rsid w:val="009A1124"/>
    <w:rsid w:val="009A1381"/>
    <w:rsid w:val="009A21A8"/>
    <w:rsid w:val="009A22B8"/>
    <w:rsid w:val="009A3005"/>
    <w:rsid w:val="009A5355"/>
    <w:rsid w:val="009A627B"/>
    <w:rsid w:val="009A638F"/>
    <w:rsid w:val="009A6797"/>
    <w:rsid w:val="009A6D84"/>
    <w:rsid w:val="009A7882"/>
    <w:rsid w:val="009B22B7"/>
    <w:rsid w:val="009B3A51"/>
    <w:rsid w:val="009B45ED"/>
    <w:rsid w:val="009B5462"/>
    <w:rsid w:val="009B7465"/>
    <w:rsid w:val="009C512B"/>
    <w:rsid w:val="009C6164"/>
    <w:rsid w:val="009C6AB8"/>
    <w:rsid w:val="009C6EC4"/>
    <w:rsid w:val="009C761C"/>
    <w:rsid w:val="009D0232"/>
    <w:rsid w:val="009D0EC8"/>
    <w:rsid w:val="009D34ED"/>
    <w:rsid w:val="009D436A"/>
    <w:rsid w:val="009D4F8D"/>
    <w:rsid w:val="009D7FCF"/>
    <w:rsid w:val="009E0760"/>
    <w:rsid w:val="009E09CB"/>
    <w:rsid w:val="009E25ED"/>
    <w:rsid w:val="009E3BB3"/>
    <w:rsid w:val="009E4587"/>
    <w:rsid w:val="009E5E84"/>
    <w:rsid w:val="009E6073"/>
    <w:rsid w:val="009F1945"/>
    <w:rsid w:val="009F1FBA"/>
    <w:rsid w:val="009F2A5C"/>
    <w:rsid w:val="009F4B23"/>
    <w:rsid w:val="009F4DCC"/>
    <w:rsid w:val="009F51EC"/>
    <w:rsid w:val="009F5A70"/>
    <w:rsid w:val="009F636D"/>
    <w:rsid w:val="009F63CA"/>
    <w:rsid w:val="00A007F1"/>
    <w:rsid w:val="00A02599"/>
    <w:rsid w:val="00A0280C"/>
    <w:rsid w:val="00A03400"/>
    <w:rsid w:val="00A06D5A"/>
    <w:rsid w:val="00A07964"/>
    <w:rsid w:val="00A1043F"/>
    <w:rsid w:val="00A12827"/>
    <w:rsid w:val="00A153C9"/>
    <w:rsid w:val="00A15FDB"/>
    <w:rsid w:val="00A208F6"/>
    <w:rsid w:val="00A20C64"/>
    <w:rsid w:val="00A242D8"/>
    <w:rsid w:val="00A26FA5"/>
    <w:rsid w:val="00A27D3E"/>
    <w:rsid w:val="00A27F2E"/>
    <w:rsid w:val="00A31392"/>
    <w:rsid w:val="00A33955"/>
    <w:rsid w:val="00A35E28"/>
    <w:rsid w:val="00A40EA1"/>
    <w:rsid w:val="00A416A5"/>
    <w:rsid w:val="00A41CDC"/>
    <w:rsid w:val="00A42231"/>
    <w:rsid w:val="00A4648E"/>
    <w:rsid w:val="00A46692"/>
    <w:rsid w:val="00A4669B"/>
    <w:rsid w:val="00A4744B"/>
    <w:rsid w:val="00A47B0E"/>
    <w:rsid w:val="00A52FA5"/>
    <w:rsid w:val="00A558DC"/>
    <w:rsid w:val="00A6086B"/>
    <w:rsid w:val="00A60970"/>
    <w:rsid w:val="00A61171"/>
    <w:rsid w:val="00A6337F"/>
    <w:rsid w:val="00A64FF4"/>
    <w:rsid w:val="00A71092"/>
    <w:rsid w:val="00A72D91"/>
    <w:rsid w:val="00A767E4"/>
    <w:rsid w:val="00A775F2"/>
    <w:rsid w:val="00A7767F"/>
    <w:rsid w:val="00A825C8"/>
    <w:rsid w:val="00A82E91"/>
    <w:rsid w:val="00A82F39"/>
    <w:rsid w:val="00A83F86"/>
    <w:rsid w:val="00A851FF"/>
    <w:rsid w:val="00A852A7"/>
    <w:rsid w:val="00A8628D"/>
    <w:rsid w:val="00A87B94"/>
    <w:rsid w:val="00A92DEE"/>
    <w:rsid w:val="00A93771"/>
    <w:rsid w:val="00A941EE"/>
    <w:rsid w:val="00A97026"/>
    <w:rsid w:val="00AA0F8D"/>
    <w:rsid w:val="00AA14B3"/>
    <w:rsid w:val="00AA36B8"/>
    <w:rsid w:val="00AA587A"/>
    <w:rsid w:val="00AB202E"/>
    <w:rsid w:val="00AB20E9"/>
    <w:rsid w:val="00AB52D8"/>
    <w:rsid w:val="00AB590A"/>
    <w:rsid w:val="00AB5926"/>
    <w:rsid w:val="00AB6F47"/>
    <w:rsid w:val="00AC0B0F"/>
    <w:rsid w:val="00AC2070"/>
    <w:rsid w:val="00AC44A1"/>
    <w:rsid w:val="00AC44F6"/>
    <w:rsid w:val="00AC4A05"/>
    <w:rsid w:val="00AC5F87"/>
    <w:rsid w:val="00AC6830"/>
    <w:rsid w:val="00AC7DFE"/>
    <w:rsid w:val="00AD14B2"/>
    <w:rsid w:val="00AD1EAD"/>
    <w:rsid w:val="00AD2938"/>
    <w:rsid w:val="00AD5ADE"/>
    <w:rsid w:val="00AD6AD1"/>
    <w:rsid w:val="00AD71F6"/>
    <w:rsid w:val="00AD7C5A"/>
    <w:rsid w:val="00AE169A"/>
    <w:rsid w:val="00AE2626"/>
    <w:rsid w:val="00AE2C2A"/>
    <w:rsid w:val="00AE4371"/>
    <w:rsid w:val="00AE44AF"/>
    <w:rsid w:val="00AE45F5"/>
    <w:rsid w:val="00AE5166"/>
    <w:rsid w:val="00AE5BFD"/>
    <w:rsid w:val="00AE6075"/>
    <w:rsid w:val="00AE6F8F"/>
    <w:rsid w:val="00AE73AD"/>
    <w:rsid w:val="00AE755A"/>
    <w:rsid w:val="00AF2013"/>
    <w:rsid w:val="00AF3DB1"/>
    <w:rsid w:val="00AF3E73"/>
    <w:rsid w:val="00AF4BAE"/>
    <w:rsid w:val="00AF70AD"/>
    <w:rsid w:val="00B00312"/>
    <w:rsid w:val="00B01703"/>
    <w:rsid w:val="00B04D98"/>
    <w:rsid w:val="00B05578"/>
    <w:rsid w:val="00B06906"/>
    <w:rsid w:val="00B06B5E"/>
    <w:rsid w:val="00B06F67"/>
    <w:rsid w:val="00B07230"/>
    <w:rsid w:val="00B076F8"/>
    <w:rsid w:val="00B10FCB"/>
    <w:rsid w:val="00B11F97"/>
    <w:rsid w:val="00B16BAF"/>
    <w:rsid w:val="00B21805"/>
    <w:rsid w:val="00B23137"/>
    <w:rsid w:val="00B234F6"/>
    <w:rsid w:val="00B2387A"/>
    <w:rsid w:val="00B24D66"/>
    <w:rsid w:val="00B25010"/>
    <w:rsid w:val="00B25637"/>
    <w:rsid w:val="00B26DF0"/>
    <w:rsid w:val="00B273CA"/>
    <w:rsid w:val="00B27E1C"/>
    <w:rsid w:val="00B27E49"/>
    <w:rsid w:val="00B303E7"/>
    <w:rsid w:val="00B333BE"/>
    <w:rsid w:val="00B339BA"/>
    <w:rsid w:val="00B35FE2"/>
    <w:rsid w:val="00B3632A"/>
    <w:rsid w:val="00B3712B"/>
    <w:rsid w:val="00B4367A"/>
    <w:rsid w:val="00B440A3"/>
    <w:rsid w:val="00B45C49"/>
    <w:rsid w:val="00B46ACC"/>
    <w:rsid w:val="00B46E85"/>
    <w:rsid w:val="00B47A71"/>
    <w:rsid w:val="00B51B99"/>
    <w:rsid w:val="00B56F8E"/>
    <w:rsid w:val="00B57506"/>
    <w:rsid w:val="00B57683"/>
    <w:rsid w:val="00B613C7"/>
    <w:rsid w:val="00B627FD"/>
    <w:rsid w:val="00B65613"/>
    <w:rsid w:val="00B7027F"/>
    <w:rsid w:val="00B72636"/>
    <w:rsid w:val="00B72B6B"/>
    <w:rsid w:val="00B734A3"/>
    <w:rsid w:val="00B74E07"/>
    <w:rsid w:val="00B757B0"/>
    <w:rsid w:val="00B7754F"/>
    <w:rsid w:val="00B81E5E"/>
    <w:rsid w:val="00B8205F"/>
    <w:rsid w:val="00B83A8F"/>
    <w:rsid w:val="00B84D2E"/>
    <w:rsid w:val="00B9324A"/>
    <w:rsid w:val="00B93255"/>
    <w:rsid w:val="00B939AC"/>
    <w:rsid w:val="00B948A0"/>
    <w:rsid w:val="00B954D6"/>
    <w:rsid w:val="00B972D7"/>
    <w:rsid w:val="00B97E4A"/>
    <w:rsid w:val="00BA1774"/>
    <w:rsid w:val="00BA3161"/>
    <w:rsid w:val="00BA31C9"/>
    <w:rsid w:val="00BA5BA6"/>
    <w:rsid w:val="00BB033B"/>
    <w:rsid w:val="00BB2CD1"/>
    <w:rsid w:val="00BB3FF1"/>
    <w:rsid w:val="00BB4B19"/>
    <w:rsid w:val="00BB4E29"/>
    <w:rsid w:val="00BB534A"/>
    <w:rsid w:val="00BB68FF"/>
    <w:rsid w:val="00BB6D81"/>
    <w:rsid w:val="00BB7868"/>
    <w:rsid w:val="00BC0B4A"/>
    <w:rsid w:val="00BC3172"/>
    <w:rsid w:val="00BC588C"/>
    <w:rsid w:val="00BC710C"/>
    <w:rsid w:val="00BD224C"/>
    <w:rsid w:val="00BD23F2"/>
    <w:rsid w:val="00BD4341"/>
    <w:rsid w:val="00BD6EF0"/>
    <w:rsid w:val="00BE073B"/>
    <w:rsid w:val="00BE1E83"/>
    <w:rsid w:val="00BE2CD7"/>
    <w:rsid w:val="00BE30C3"/>
    <w:rsid w:val="00BE3E96"/>
    <w:rsid w:val="00BE4293"/>
    <w:rsid w:val="00BF16B9"/>
    <w:rsid w:val="00BF3167"/>
    <w:rsid w:val="00BF4E44"/>
    <w:rsid w:val="00BF5EF7"/>
    <w:rsid w:val="00BF6E9F"/>
    <w:rsid w:val="00C028CC"/>
    <w:rsid w:val="00C02E8B"/>
    <w:rsid w:val="00C05B68"/>
    <w:rsid w:val="00C12049"/>
    <w:rsid w:val="00C1235B"/>
    <w:rsid w:val="00C13BEA"/>
    <w:rsid w:val="00C1406E"/>
    <w:rsid w:val="00C1483A"/>
    <w:rsid w:val="00C14A02"/>
    <w:rsid w:val="00C14B1B"/>
    <w:rsid w:val="00C15DA0"/>
    <w:rsid w:val="00C16FE9"/>
    <w:rsid w:val="00C178DB"/>
    <w:rsid w:val="00C201E6"/>
    <w:rsid w:val="00C22097"/>
    <w:rsid w:val="00C228FA"/>
    <w:rsid w:val="00C23B23"/>
    <w:rsid w:val="00C25B05"/>
    <w:rsid w:val="00C26519"/>
    <w:rsid w:val="00C26FC4"/>
    <w:rsid w:val="00C2766D"/>
    <w:rsid w:val="00C27CFE"/>
    <w:rsid w:val="00C30EEC"/>
    <w:rsid w:val="00C3196C"/>
    <w:rsid w:val="00C34B63"/>
    <w:rsid w:val="00C369E9"/>
    <w:rsid w:val="00C376AD"/>
    <w:rsid w:val="00C37E7D"/>
    <w:rsid w:val="00C416C2"/>
    <w:rsid w:val="00C423A8"/>
    <w:rsid w:val="00C426AE"/>
    <w:rsid w:val="00C43374"/>
    <w:rsid w:val="00C433DB"/>
    <w:rsid w:val="00C438F0"/>
    <w:rsid w:val="00C44291"/>
    <w:rsid w:val="00C45722"/>
    <w:rsid w:val="00C47B02"/>
    <w:rsid w:val="00C53349"/>
    <w:rsid w:val="00C54AAD"/>
    <w:rsid w:val="00C564FA"/>
    <w:rsid w:val="00C5747E"/>
    <w:rsid w:val="00C57981"/>
    <w:rsid w:val="00C62C73"/>
    <w:rsid w:val="00C63C80"/>
    <w:rsid w:val="00C6573F"/>
    <w:rsid w:val="00C66F21"/>
    <w:rsid w:val="00C713DA"/>
    <w:rsid w:val="00C72AF5"/>
    <w:rsid w:val="00C75619"/>
    <w:rsid w:val="00C75EF1"/>
    <w:rsid w:val="00C7782D"/>
    <w:rsid w:val="00C80DFF"/>
    <w:rsid w:val="00C82B0E"/>
    <w:rsid w:val="00C82F96"/>
    <w:rsid w:val="00C8440C"/>
    <w:rsid w:val="00C85F20"/>
    <w:rsid w:val="00C860FF"/>
    <w:rsid w:val="00C902F1"/>
    <w:rsid w:val="00C90A69"/>
    <w:rsid w:val="00C91706"/>
    <w:rsid w:val="00C92EBB"/>
    <w:rsid w:val="00C94CCC"/>
    <w:rsid w:val="00C951F9"/>
    <w:rsid w:val="00C96BA0"/>
    <w:rsid w:val="00C96BAC"/>
    <w:rsid w:val="00C96C28"/>
    <w:rsid w:val="00C97DD4"/>
    <w:rsid w:val="00C97FDC"/>
    <w:rsid w:val="00CA15E8"/>
    <w:rsid w:val="00CA205A"/>
    <w:rsid w:val="00CA2440"/>
    <w:rsid w:val="00CA3316"/>
    <w:rsid w:val="00CA42DF"/>
    <w:rsid w:val="00CA621E"/>
    <w:rsid w:val="00CA6E64"/>
    <w:rsid w:val="00CA7433"/>
    <w:rsid w:val="00CB0E34"/>
    <w:rsid w:val="00CB15A0"/>
    <w:rsid w:val="00CB1F87"/>
    <w:rsid w:val="00CB6D94"/>
    <w:rsid w:val="00CB6F74"/>
    <w:rsid w:val="00CB716F"/>
    <w:rsid w:val="00CC1016"/>
    <w:rsid w:val="00CC1641"/>
    <w:rsid w:val="00CC1A04"/>
    <w:rsid w:val="00CC1B34"/>
    <w:rsid w:val="00CC1B6E"/>
    <w:rsid w:val="00CC38DF"/>
    <w:rsid w:val="00CC3E73"/>
    <w:rsid w:val="00CC4133"/>
    <w:rsid w:val="00CC5CB8"/>
    <w:rsid w:val="00CC6722"/>
    <w:rsid w:val="00CC6FE4"/>
    <w:rsid w:val="00CC70BF"/>
    <w:rsid w:val="00CD134A"/>
    <w:rsid w:val="00CD1628"/>
    <w:rsid w:val="00CD2193"/>
    <w:rsid w:val="00CD23DE"/>
    <w:rsid w:val="00CD269D"/>
    <w:rsid w:val="00CD7E0E"/>
    <w:rsid w:val="00CE068C"/>
    <w:rsid w:val="00CE144F"/>
    <w:rsid w:val="00CE2597"/>
    <w:rsid w:val="00CE2A93"/>
    <w:rsid w:val="00CE359D"/>
    <w:rsid w:val="00CE3795"/>
    <w:rsid w:val="00CE4D92"/>
    <w:rsid w:val="00CE61FB"/>
    <w:rsid w:val="00CF1033"/>
    <w:rsid w:val="00CF1865"/>
    <w:rsid w:val="00CF393D"/>
    <w:rsid w:val="00CF393E"/>
    <w:rsid w:val="00CF4448"/>
    <w:rsid w:val="00CF4526"/>
    <w:rsid w:val="00CF5760"/>
    <w:rsid w:val="00CF7C79"/>
    <w:rsid w:val="00D00BCA"/>
    <w:rsid w:val="00D00FE8"/>
    <w:rsid w:val="00D026AE"/>
    <w:rsid w:val="00D02ABF"/>
    <w:rsid w:val="00D0412A"/>
    <w:rsid w:val="00D044BD"/>
    <w:rsid w:val="00D05127"/>
    <w:rsid w:val="00D0616B"/>
    <w:rsid w:val="00D10DE4"/>
    <w:rsid w:val="00D115A1"/>
    <w:rsid w:val="00D116A9"/>
    <w:rsid w:val="00D15295"/>
    <w:rsid w:val="00D15437"/>
    <w:rsid w:val="00D1591F"/>
    <w:rsid w:val="00D16044"/>
    <w:rsid w:val="00D1689A"/>
    <w:rsid w:val="00D2256C"/>
    <w:rsid w:val="00D259BA"/>
    <w:rsid w:val="00D25AC3"/>
    <w:rsid w:val="00D27E7B"/>
    <w:rsid w:val="00D3031A"/>
    <w:rsid w:val="00D322C5"/>
    <w:rsid w:val="00D32582"/>
    <w:rsid w:val="00D32FF1"/>
    <w:rsid w:val="00D33AEF"/>
    <w:rsid w:val="00D374F5"/>
    <w:rsid w:val="00D37542"/>
    <w:rsid w:val="00D37D1D"/>
    <w:rsid w:val="00D405B7"/>
    <w:rsid w:val="00D40CB0"/>
    <w:rsid w:val="00D42FF4"/>
    <w:rsid w:val="00D438DD"/>
    <w:rsid w:val="00D45B1C"/>
    <w:rsid w:val="00D45F49"/>
    <w:rsid w:val="00D46B36"/>
    <w:rsid w:val="00D477C1"/>
    <w:rsid w:val="00D50258"/>
    <w:rsid w:val="00D51912"/>
    <w:rsid w:val="00D51D81"/>
    <w:rsid w:val="00D5294D"/>
    <w:rsid w:val="00D551C7"/>
    <w:rsid w:val="00D55BB8"/>
    <w:rsid w:val="00D56D8B"/>
    <w:rsid w:val="00D57109"/>
    <w:rsid w:val="00D57421"/>
    <w:rsid w:val="00D575E6"/>
    <w:rsid w:val="00D61D10"/>
    <w:rsid w:val="00D62454"/>
    <w:rsid w:val="00D65D0C"/>
    <w:rsid w:val="00D70AC4"/>
    <w:rsid w:val="00D718ED"/>
    <w:rsid w:val="00D71D46"/>
    <w:rsid w:val="00D74CF3"/>
    <w:rsid w:val="00D75DB5"/>
    <w:rsid w:val="00D7611F"/>
    <w:rsid w:val="00D77E6B"/>
    <w:rsid w:val="00D818E5"/>
    <w:rsid w:val="00D822A3"/>
    <w:rsid w:val="00D8342B"/>
    <w:rsid w:val="00D83B39"/>
    <w:rsid w:val="00D84923"/>
    <w:rsid w:val="00D865C6"/>
    <w:rsid w:val="00D870D4"/>
    <w:rsid w:val="00D9046D"/>
    <w:rsid w:val="00D927F2"/>
    <w:rsid w:val="00D93B3F"/>
    <w:rsid w:val="00D9574A"/>
    <w:rsid w:val="00D95D1E"/>
    <w:rsid w:val="00D979A1"/>
    <w:rsid w:val="00DA2CF3"/>
    <w:rsid w:val="00DA49E9"/>
    <w:rsid w:val="00DA5D97"/>
    <w:rsid w:val="00DA5FD3"/>
    <w:rsid w:val="00DB082A"/>
    <w:rsid w:val="00DB0F0C"/>
    <w:rsid w:val="00DB28BD"/>
    <w:rsid w:val="00DB34B5"/>
    <w:rsid w:val="00DB45A5"/>
    <w:rsid w:val="00DB4CA6"/>
    <w:rsid w:val="00DB5C8D"/>
    <w:rsid w:val="00DB65A0"/>
    <w:rsid w:val="00DC1397"/>
    <w:rsid w:val="00DC3403"/>
    <w:rsid w:val="00DC4019"/>
    <w:rsid w:val="00DC78F1"/>
    <w:rsid w:val="00DD0004"/>
    <w:rsid w:val="00DD07CE"/>
    <w:rsid w:val="00DD53ED"/>
    <w:rsid w:val="00DD5C78"/>
    <w:rsid w:val="00DD7428"/>
    <w:rsid w:val="00DE0130"/>
    <w:rsid w:val="00DE0DB4"/>
    <w:rsid w:val="00DE2D30"/>
    <w:rsid w:val="00DE3012"/>
    <w:rsid w:val="00DE338A"/>
    <w:rsid w:val="00DE3636"/>
    <w:rsid w:val="00DE3C16"/>
    <w:rsid w:val="00DE49AD"/>
    <w:rsid w:val="00DE4CFC"/>
    <w:rsid w:val="00DE5E1C"/>
    <w:rsid w:val="00DE6680"/>
    <w:rsid w:val="00DE7EBE"/>
    <w:rsid w:val="00DF2D86"/>
    <w:rsid w:val="00DF4044"/>
    <w:rsid w:val="00DF6A10"/>
    <w:rsid w:val="00E00EA5"/>
    <w:rsid w:val="00E0462E"/>
    <w:rsid w:val="00E059D1"/>
    <w:rsid w:val="00E061C1"/>
    <w:rsid w:val="00E06CCA"/>
    <w:rsid w:val="00E116B6"/>
    <w:rsid w:val="00E127AF"/>
    <w:rsid w:val="00E13ABE"/>
    <w:rsid w:val="00E1516B"/>
    <w:rsid w:val="00E16DE7"/>
    <w:rsid w:val="00E16F67"/>
    <w:rsid w:val="00E20612"/>
    <w:rsid w:val="00E221EF"/>
    <w:rsid w:val="00E27ED1"/>
    <w:rsid w:val="00E30ACB"/>
    <w:rsid w:val="00E32B9F"/>
    <w:rsid w:val="00E32D5A"/>
    <w:rsid w:val="00E3363C"/>
    <w:rsid w:val="00E33708"/>
    <w:rsid w:val="00E35027"/>
    <w:rsid w:val="00E35714"/>
    <w:rsid w:val="00E36879"/>
    <w:rsid w:val="00E36B29"/>
    <w:rsid w:val="00E37772"/>
    <w:rsid w:val="00E37FA9"/>
    <w:rsid w:val="00E40758"/>
    <w:rsid w:val="00E40BBF"/>
    <w:rsid w:val="00E40F88"/>
    <w:rsid w:val="00E45E27"/>
    <w:rsid w:val="00E4698C"/>
    <w:rsid w:val="00E479F6"/>
    <w:rsid w:val="00E50C26"/>
    <w:rsid w:val="00E51177"/>
    <w:rsid w:val="00E521C8"/>
    <w:rsid w:val="00E52BDA"/>
    <w:rsid w:val="00E544B2"/>
    <w:rsid w:val="00E57012"/>
    <w:rsid w:val="00E611BD"/>
    <w:rsid w:val="00E666C3"/>
    <w:rsid w:val="00E66AD8"/>
    <w:rsid w:val="00E67979"/>
    <w:rsid w:val="00E714B1"/>
    <w:rsid w:val="00E721E4"/>
    <w:rsid w:val="00E74F68"/>
    <w:rsid w:val="00E75727"/>
    <w:rsid w:val="00E80206"/>
    <w:rsid w:val="00E8068A"/>
    <w:rsid w:val="00E8172F"/>
    <w:rsid w:val="00E830B3"/>
    <w:rsid w:val="00E84C31"/>
    <w:rsid w:val="00E8502D"/>
    <w:rsid w:val="00E8545D"/>
    <w:rsid w:val="00E864DD"/>
    <w:rsid w:val="00E86E4B"/>
    <w:rsid w:val="00E873D5"/>
    <w:rsid w:val="00E90B0A"/>
    <w:rsid w:val="00E91010"/>
    <w:rsid w:val="00E926BB"/>
    <w:rsid w:val="00E93C39"/>
    <w:rsid w:val="00E93D5E"/>
    <w:rsid w:val="00E945CE"/>
    <w:rsid w:val="00E946AD"/>
    <w:rsid w:val="00E9697F"/>
    <w:rsid w:val="00E96E50"/>
    <w:rsid w:val="00E97BB5"/>
    <w:rsid w:val="00EA0DA7"/>
    <w:rsid w:val="00EA1CCD"/>
    <w:rsid w:val="00EA3335"/>
    <w:rsid w:val="00EA33AB"/>
    <w:rsid w:val="00EA3643"/>
    <w:rsid w:val="00EA3A6C"/>
    <w:rsid w:val="00EA773C"/>
    <w:rsid w:val="00EA78B6"/>
    <w:rsid w:val="00EA7950"/>
    <w:rsid w:val="00EA79AF"/>
    <w:rsid w:val="00EA7F50"/>
    <w:rsid w:val="00EB16A5"/>
    <w:rsid w:val="00EB20B1"/>
    <w:rsid w:val="00EB60B2"/>
    <w:rsid w:val="00EB713F"/>
    <w:rsid w:val="00EC00ED"/>
    <w:rsid w:val="00EC1034"/>
    <w:rsid w:val="00EC1F1A"/>
    <w:rsid w:val="00EC5011"/>
    <w:rsid w:val="00EC5F12"/>
    <w:rsid w:val="00EC62EE"/>
    <w:rsid w:val="00EC7AFD"/>
    <w:rsid w:val="00ED1089"/>
    <w:rsid w:val="00ED25DF"/>
    <w:rsid w:val="00ED315D"/>
    <w:rsid w:val="00ED70EB"/>
    <w:rsid w:val="00EE08B0"/>
    <w:rsid w:val="00EE1A84"/>
    <w:rsid w:val="00EE265E"/>
    <w:rsid w:val="00EE4578"/>
    <w:rsid w:val="00EE47DC"/>
    <w:rsid w:val="00EE5B1E"/>
    <w:rsid w:val="00EE6FE7"/>
    <w:rsid w:val="00EF0786"/>
    <w:rsid w:val="00EF0B21"/>
    <w:rsid w:val="00EF2236"/>
    <w:rsid w:val="00EF34D3"/>
    <w:rsid w:val="00EF3E8B"/>
    <w:rsid w:val="00EF4179"/>
    <w:rsid w:val="00EF4F5D"/>
    <w:rsid w:val="00EF5BA2"/>
    <w:rsid w:val="00EF736F"/>
    <w:rsid w:val="00EF78A8"/>
    <w:rsid w:val="00F000C6"/>
    <w:rsid w:val="00F006BD"/>
    <w:rsid w:val="00F013B5"/>
    <w:rsid w:val="00F01936"/>
    <w:rsid w:val="00F02A37"/>
    <w:rsid w:val="00F04F95"/>
    <w:rsid w:val="00F05EC5"/>
    <w:rsid w:val="00F10401"/>
    <w:rsid w:val="00F15AAE"/>
    <w:rsid w:val="00F15BDE"/>
    <w:rsid w:val="00F16CB9"/>
    <w:rsid w:val="00F17DAE"/>
    <w:rsid w:val="00F20EFD"/>
    <w:rsid w:val="00F25157"/>
    <w:rsid w:val="00F266D4"/>
    <w:rsid w:val="00F31F60"/>
    <w:rsid w:val="00F33890"/>
    <w:rsid w:val="00F33B48"/>
    <w:rsid w:val="00F34962"/>
    <w:rsid w:val="00F408D3"/>
    <w:rsid w:val="00F40F18"/>
    <w:rsid w:val="00F4120E"/>
    <w:rsid w:val="00F41536"/>
    <w:rsid w:val="00F418DF"/>
    <w:rsid w:val="00F44001"/>
    <w:rsid w:val="00F46C8C"/>
    <w:rsid w:val="00F46F3A"/>
    <w:rsid w:val="00F47E49"/>
    <w:rsid w:val="00F51A4B"/>
    <w:rsid w:val="00F524F2"/>
    <w:rsid w:val="00F5451B"/>
    <w:rsid w:val="00F54B05"/>
    <w:rsid w:val="00F54B6A"/>
    <w:rsid w:val="00F555FF"/>
    <w:rsid w:val="00F57BC7"/>
    <w:rsid w:val="00F57ED1"/>
    <w:rsid w:val="00F609CD"/>
    <w:rsid w:val="00F61148"/>
    <w:rsid w:val="00F627DC"/>
    <w:rsid w:val="00F629C7"/>
    <w:rsid w:val="00F63C23"/>
    <w:rsid w:val="00F655E3"/>
    <w:rsid w:val="00F663AD"/>
    <w:rsid w:val="00F715F2"/>
    <w:rsid w:val="00F721E7"/>
    <w:rsid w:val="00F72CA9"/>
    <w:rsid w:val="00F756C6"/>
    <w:rsid w:val="00F77980"/>
    <w:rsid w:val="00F779AA"/>
    <w:rsid w:val="00F82AF1"/>
    <w:rsid w:val="00F83187"/>
    <w:rsid w:val="00F84082"/>
    <w:rsid w:val="00F86BA5"/>
    <w:rsid w:val="00F87C39"/>
    <w:rsid w:val="00F902D3"/>
    <w:rsid w:val="00F905B6"/>
    <w:rsid w:val="00F93D63"/>
    <w:rsid w:val="00F93DBA"/>
    <w:rsid w:val="00F954E4"/>
    <w:rsid w:val="00F95872"/>
    <w:rsid w:val="00F95F2A"/>
    <w:rsid w:val="00F96C4E"/>
    <w:rsid w:val="00F97D52"/>
    <w:rsid w:val="00FA0F8B"/>
    <w:rsid w:val="00FA262F"/>
    <w:rsid w:val="00FA3492"/>
    <w:rsid w:val="00FA3AE1"/>
    <w:rsid w:val="00FA49C0"/>
    <w:rsid w:val="00FA5B10"/>
    <w:rsid w:val="00FA5CD7"/>
    <w:rsid w:val="00FA688C"/>
    <w:rsid w:val="00FB08B6"/>
    <w:rsid w:val="00FB1CC5"/>
    <w:rsid w:val="00FB43F1"/>
    <w:rsid w:val="00FB5216"/>
    <w:rsid w:val="00FB76D3"/>
    <w:rsid w:val="00FC0FE8"/>
    <w:rsid w:val="00FC2217"/>
    <w:rsid w:val="00FC25B9"/>
    <w:rsid w:val="00FC2CE1"/>
    <w:rsid w:val="00FC3A91"/>
    <w:rsid w:val="00FC3F8F"/>
    <w:rsid w:val="00FC7C01"/>
    <w:rsid w:val="00FD0855"/>
    <w:rsid w:val="00FD0ED0"/>
    <w:rsid w:val="00FD1990"/>
    <w:rsid w:val="00FD1EC4"/>
    <w:rsid w:val="00FD5B33"/>
    <w:rsid w:val="00FD76AE"/>
    <w:rsid w:val="00FE166B"/>
    <w:rsid w:val="00FE1A60"/>
    <w:rsid w:val="00FE34AF"/>
    <w:rsid w:val="00FE6CE4"/>
    <w:rsid w:val="00FF1927"/>
    <w:rsid w:val="00FF1B75"/>
    <w:rsid w:val="00FF2A23"/>
    <w:rsid w:val="00FF2EAE"/>
    <w:rsid w:val="00FF3154"/>
    <w:rsid w:val="00FF5002"/>
    <w:rsid w:val="00FF60BC"/>
    <w:rsid w:val="00FF6519"/>
    <w:rsid w:val="01017684"/>
    <w:rsid w:val="01026F17"/>
    <w:rsid w:val="01090B48"/>
    <w:rsid w:val="010B6B80"/>
    <w:rsid w:val="01115B19"/>
    <w:rsid w:val="01170BF2"/>
    <w:rsid w:val="0120743C"/>
    <w:rsid w:val="01214D97"/>
    <w:rsid w:val="012275AF"/>
    <w:rsid w:val="012A0698"/>
    <w:rsid w:val="012F1384"/>
    <w:rsid w:val="01312D03"/>
    <w:rsid w:val="01366D4C"/>
    <w:rsid w:val="014001AC"/>
    <w:rsid w:val="014124A3"/>
    <w:rsid w:val="01583748"/>
    <w:rsid w:val="016013A4"/>
    <w:rsid w:val="01713612"/>
    <w:rsid w:val="01721EAA"/>
    <w:rsid w:val="017240DE"/>
    <w:rsid w:val="017460A8"/>
    <w:rsid w:val="01852063"/>
    <w:rsid w:val="01973B44"/>
    <w:rsid w:val="01A01AFA"/>
    <w:rsid w:val="01A56261"/>
    <w:rsid w:val="01A73D87"/>
    <w:rsid w:val="01A9153E"/>
    <w:rsid w:val="01AE15BA"/>
    <w:rsid w:val="01AF70E0"/>
    <w:rsid w:val="01B110AA"/>
    <w:rsid w:val="01B45801"/>
    <w:rsid w:val="01CB5453"/>
    <w:rsid w:val="01D22D0C"/>
    <w:rsid w:val="01D803E5"/>
    <w:rsid w:val="01E55EEF"/>
    <w:rsid w:val="01EA636A"/>
    <w:rsid w:val="01F1594A"/>
    <w:rsid w:val="01F66F81"/>
    <w:rsid w:val="01FA5625"/>
    <w:rsid w:val="01FF1E15"/>
    <w:rsid w:val="02076F1C"/>
    <w:rsid w:val="02094A42"/>
    <w:rsid w:val="020F70C0"/>
    <w:rsid w:val="021307A7"/>
    <w:rsid w:val="0213141D"/>
    <w:rsid w:val="02132159"/>
    <w:rsid w:val="0213766F"/>
    <w:rsid w:val="02145195"/>
    <w:rsid w:val="02184C85"/>
    <w:rsid w:val="021A09FD"/>
    <w:rsid w:val="021F4F27"/>
    <w:rsid w:val="02225B04"/>
    <w:rsid w:val="02261AE8"/>
    <w:rsid w:val="0227311A"/>
    <w:rsid w:val="022A49B8"/>
    <w:rsid w:val="022E6257"/>
    <w:rsid w:val="02354BB2"/>
    <w:rsid w:val="023F16E3"/>
    <w:rsid w:val="024261A6"/>
    <w:rsid w:val="02467A44"/>
    <w:rsid w:val="02506732"/>
    <w:rsid w:val="02551A35"/>
    <w:rsid w:val="02557A8D"/>
    <w:rsid w:val="025D4D8E"/>
    <w:rsid w:val="025F5776"/>
    <w:rsid w:val="02627F17"/>
    <w:rsid w:val="02644C33"/>
    <w:rsid w:val="0269067C"/>
    <w:rsid w:val="02704AC1"/>
    <w:rsid w:val="0273635F"/>
    <w:rsid w:val="02752C82"/>
    <w:rsid w:val="02786099"/>
    <w:rsid w:val="027866EB"/>
    <w:rsid w:val="027C1216"/>
    <w:rsid w:val="027C16B8"/>
    <w:rsid w:val="027C3466"/>
    <w:rsid w:val="028247F4"/>
    <w:rsid w:val="02902A6D"/>
    <w:rsid w:val="029307AF"/>
    <w:rsid w:val="02964532"/>
    <w:rsid w:val="029C1412"/>
    <w:rsid w:val="02A36C44"/>
    <w:rsid w:val="02A70258"/>
    <w:rsid w:val="02A97FD3"/>
    <w:rsid w:val="02B726F0"/>
    <w:rsid w:val="02B97A9C"/>
    <w:rsid w:val="02C24BF1"/>
    <w:rsid w:val="02C32E43"/>
    <w:rsid w:val="02D36DFE"/>
    <w:rsid w:val="02D70676"/>
    <w:rsid w:val="02DB6B5E"/>
    <w:rsid w:val="02DF1863"/>
    <w:rsid w:val="02EF1804"/>
    <w:rsid w:val="02F01C71"/>
    <w:rsid w:val="02F23728"/>
    <w:rsid w:val="02F95629"/>
    <w:rsid w:val="02F96864"/>
    <w:rsid w:val="02FB5F58"/>
    <w:rsid w:val="02FF7BF3"/>
    <w:rsid w:val="030169EC"/>
    <w:rsid w:val="03033783"/>
    <w:rsid w:val="03045296"/>
    <w:rsid w:val="0315748B"/>
    <w:rsid w:val="03172312"/>
    <w:rsid w:val="03210061"/>
    <w:rsid w:val="03250C00"/>
    <w:rsid w:val="03261624"/>
    <w:rsid w:val="03265180"/>
    <w:rsid w:val="032F5B4B"/>
    <w:rsid w:val="034A3564"/>
    <w:rsid w:val="034D691F"/>
    <w:rsid w:val="03597303"/>
    <w:rsid w:val="035A307B"/>
    <w:rsid w:val="036B6853"/>
    <w:rsid w:val="037A7CCB"/>
    <w:rsid w:val="037B196F"/>
    <w:rsid w:val="037B54CB"/>
    <w:rsid w:val="037D56E7"/>
    <w:rsid w:val="037E21EA"/>
    <w:rsid w:val="03820A53"/>
    <w:rsid w:val="03886477"/>
    <w:rsid w:val="039667A9"/>
    <w:rsid w:val="039D7B38"/>
    <w:rsid w:val="039E565E"/>
    <w:rsid w:val="03B22EB7"/>
    <w:rsid w:val="03B30E76"/>
    <w:rsid w:val="03B327EA"/>
    <w:rsid w:val="03B94CE8"/>
    <w:rsid w:val="03BD1A8A"/>
    <w:rsid w:val="03C2134C"/>
    <w:rsid w:val="03D04B5D"/>
    <w:rsid w:val="03D21196"/>
    <w:rsid w:val="03DD33B8"/>
    <w:rsid w:val="03DD7F34"/>
    <w:rsid w:val="03E034D9"/>
    <w:rsid w:val="03E94B2B"/>
    <w:rsid w:val="03EA2651"/>
    <w:rsid w:val="03F907DC"/>
    <w:rsid w:val="04115E30"/>
    <w:rsid w:val="04163446"/>
    <w:rsid w:val="0419673B"/>
    <w:rsid w:val="041A21CD"/>
    <w:rsid w:val="041A2F36"/>
    <w:rsid w:val="041B2E0E"/>
    <w:rsid w:val="04216F92"/>
    <w:rsid w:val="042651A1"/>
    <w:rsid w:val="04275653"/>
    <w:rsid w:val="042A2109"/>
    <w:rsid w:val="042C0EBC"/>
    <w:rsid w:val="04322762"/>
    <w:rsid w:val="043B11C4"/>
    <w:rsid w:val="043F299D"/>
    <w:rsid w:val="04415EE3"/>
    <w:rsid w:val="04461F7D"/>
    <w:rsid w:val="044C50BA"/>
    <w:rsid w:val="044F0706"/>
    <w:rsid w:val="045126D0"/>
    <w:rsid w:val="04561783"/>
    <w:rsid w:val="04583A5F"/>
    <w:rsid w:val="04614F31"/>
    <w:rsid w:val="046643CE"/>
    <w:rsid w:val="046B6B89"/>
    <w:rsid w:val="0474056D"/>
    <w:rsid w:val="047775AF"/>
    <w:rsid w:val="04796C45"/>
    <w:rsid w:val="047A0F03"/>
    <w:rsid w:val="047A445E"/>
    <w:rsid w:val="0487697C"/>
    <w:rsid w:val="048A774A"/>
    <w:rsid w:val="04981258"/>
    <w:rsid w:val="04A15406"/>
    <w:rsid w:val="04A42800"/>
    <w:rsid w:val="04A50EF5"/>
    <w:rsid w:val="04B54A0D"/>
    <w:rsid w:val="04B87DBA"/>
    <w:rsid w:val="04BB625C"/>
    <w:rsid w:val="04BC08B4"/>
    <w:rsid w:val="04BD72DF"/>
    <w:rsid w:val="04BE782C"/>
    <w:rsid w:val="04BF763A"/>
    <w:rsid w:val="04C335CE"/>
    <w:rsid w:val="04C441DA"/>
    <w:rsid w:val="04C60B97"/>
    <w:rsid w:val="04CC2591"/>
    <w:rsid w:val="04CD7FA9"/>
    <w:rsid w:val="04CE27B5"/>
    <w:rsid w:val="04D05CEB"/>
    <w:rsid w:val="04D12AAC"/>
    <w:rsid w:val="04D24492"/>
    <w:rsid w:val="04DD2267"/>
    <w:rsid w:val="04E978D1"/>
    <w:rsid w:val="04EA6DAD"/>
    <w:rsid w:val="050D396D"/>
    <w:rsid w:val="051040E9"/>
    <w:rsid w:val="051D2795"/>
    <w:rsid w:val="05253F13"/>
    <w:rsid w:val="05273450"/>
    <w:rsid w:val="05345B40"/>
    <w:rsid w:val="05350AC1"/>
    <w:rsid w:val="053A13B6"/>
    <w:rsid w:val="053C512E"/>
    <w:rsid w:val="05407B21"/>
    <w:rsid w:val="054B15E0"/>
    <w:rsid w:val="054B5371"/>
    <w:rsid w:val="05523F70"/>
    <w:rsid w:val="05551D4C"/>
    <w:rsid w:val="05557F9E"/>
    <w:rsid w:val="05573D16"/>
    <w:rsid w:val="055B1BE8"/>
    <w:rsid w:val="05610656"/>
    <w:rsid w:val="056401E1"/>
    <w:rsid w:val="056A57F8"/>
    <w:rsid w:val="056F500B"/>
    <w:rsid w:val="05760640"/>
    <w:rsid w:val="058645FB"/>
    <w:rsid w:val="058A5E9A"/>
    <w:rsid w:val="058F525E"/>
    <w:rsid w:val="0591284D"/>
    <w:rsid w:val="05917228"/>
    <w:rsid w:val="05982B82"/>
    <w:rsid w:val="059C0170"/>
    <w:rsid w:val="059E1945"/>
    <w:rsid w:val="05A3035A"/>
    <w:rsid w:val="05AA02EA"/>
    <w:rsid w:val="05B01605"/>
    <w:rsid w:val="05B42F17"/>
    <w:rsid w:val="05BE3D95"/>
    <w:rsid w:val="05C20CAE"/>
    <w:rsid w:val="05CE0AF4"/>
    <w:rsid w:val="05D021CE"/>
    <w:rsid w:val="05D215EF"/>
    <w:rsid w:val="05D67331"/>
    <w:rsid w:val="05E41A4E"/>
    <w:rsid w:val="05EF21A1"/>
    <w:rsid w:val="0600615C"/>
    <w:rsid w:val="060A1391"/>
    <w:rsid w:val="060C2F7B"/>
    <w:rsid w:val="06190FCC"/>
    <w:rsid w:val="0620235A"/>
    <w:rsid w:val="062F259D"/>
    <w:rsid w:val="063103D5"/>
    <w:rsid w:val="063E4C5A"/>
    <w:rsid w:val="06407893"/>
    <w:rsid w:val="064B31FA"/>
    <w:rsid w:val="064D3A02"/>
    <w:rsid w:val="065169B7"/>
    <w:rsid w:val="065344DE"/>
    <w:rsid w:val="0658414F"/>
    <w:rsid w:val="065B2A94"/>
    <w:rsid w:val="066A7233"/>
    <w:rsid w:val="066F5090"/>
    <w:rsid w:val="0671265E"/>
    <w:rsid w:val="067A1D26"/>
    <w:rsid w:val="067C06B2"/>
    <w:rsid w:val="067D77AC"/>
    <w:rsid w:val="067F52D3"/>
    <w:rsid w:val="06844B0F"/>
    <w:rsid w:val="068D647E"/>
    <w:rsid w:val="06930D7E"/>
    <w:rsid w:val="069906DD"/>
    <w:rsid w:val="06A25624"/>
    <w:rsid w:val="06B21BFC"/>
    <w:rsid w:val="06B50CF4"/>
    <w:rsid w:val="06BA455D"/>
    <w:rsid w:val="06BA630B"/>
    <w:rsid w:val="06BC02D5"/>
    <w:rsid w:val="06BD229F"/>
    <w:rsid w:val="06C705E9"/>
    <w:rsid w:val="06CE625A"/>
    <w:rsid w:val="06D33870"/>
    <w:rsid w:val="06D962A2"/>
    <w:rsid w:val="06DB44A7"/>
    <w:rsid w:val="06E25862"/>
    <w:rsid w:val="06E415DA"/>
    <w:rsid w:val="06E70564"/>
    <w:rsid w:val="06F04422"/>
    <w:rsid w:val="06F32C4C"/>
    <w:rsid w:val="06F832D7"/>
    <w:rsid w:val="06FA0DFD"/>
    <w:rsid w:val="06FC7E63"/>
    <w:rsid w:val="06FE6E39"/>
    <w:rsid w:val="07006D77"/>
    <w:rsid w:val="07013F3A"/>
    <w:rsid w:val="07015758"/>
    <w:rsid w:val="07035F04"/>
    <w:rsid w:val="070365AA"/>
    <w:rsid w:val="070659F4"/>
    <w:rsid w:val="070D6D82"/>
    <w:rsid w:val="070E6657"/>
    <w:rsid w:val="07111D78"/>
    <w:rsid w:val="07113D89"/>
    <w:rsid w:val="071708A1"/>
    <w:rsid w:val="0717375D"/>
    <w:rsid w:val="071828A5"/>
    <w:rsid w:val="07221759"/>
    <w:rsid w:val="07247C28"/>
    <w:rsid w:val="07257354"/>
    <w:rsid w:val="072E5B90"/>
    <w:rsid w:val="0733430F"/>
    <w:rsid w:val="073360BD"/>
    <w:rsid w:val="07351E35"/>
    <w:rsid w:val="07391EF0"/>
    <w:rsid w:val="073C1416"/>
    <w:rsid w:val="0745526F"/>
    <w:rsid w:val="07457A64"/>
    <w:rsid w:val="074B1659"/>
    <w:rsid w:val="074E161D"/>
    <w:rsid w:val="074E2EF7"/>
    <w:rsid w:val="07540148"/>
    <w:rsid w:val="075C73C2"/>
    <w:rsid w:val="075E16C2"/>
    <w:rsid w:val="076C7767"/>
    <w:rsid w:val="077C3131"/>
    <w:rsid w:val="077E1A2E"/>
    <w:rsid w:val="07845EBA"/>
    <w:rsid w:val="078A2181"/>
    <w:rsid w:val="078D3A1F"/>
    <w:rsid w:val="078D7EC3"/>
    <w:rsid w:val="078E7909"/>
    <w:rsid w:val="07996EB4"/>
    <w:rsid w:val="079E733B"/>
    <w:rsid w:val="079F684B"/>
    <w:rsid w:val="07A94598"/>
    <w:rsid w:val="07B207DE"/>
    <w:rsid w:val="07BC2B7A"/>
    <w:rsid w:val="07C562F9"/>
    <w:rsid w:val="07CA4C73"/>
    <w:rsid w:val="07CA6A21"/>
    <w:rsid w:val="07D17DB0"/>
    <w:rsid w:val="07D57174"/>
    <w:rsid w:val="07D91D1C"/>
    <w:rsid w:val="07D945DC"/>
    <w:rsid w:val="07DC0D8D"/>
    <w:rsid w:val="07E01966"/>
    <w:rsid w:val="07EF46DA"/>
    <w:rsid w:val="07EF6488"/>
    <w:rsid w:val="07F65A68"/>
    <w:rsid w:val="080965E5"/>
    <w:rsid w:val="080B6354"/>
    <w:rsid w:val="080C528C"/>
    <w:rsid w:val="0810301B"/>
    <w:rsid w:val="08107785"/>
    <w:rsid w:val="08114650"/>
    <w:rsid w:val="08171283"/>
    <w:rsid w:val="0817778D"/>
    <w:rsid w:val="081F0F94"/>
    <w:rsid w:val="08236132"/>
    <w:rsid w:val="08283748"/>
    <w:rsid w:val="082D669C"/>
    <w:rsid w:val="08397703"/>
    <w:rsid w:val="083C30E3"/>
    <w:rsid w:val="08471E20"/>
    <w:rsid w:val="08563ADB"/>
    <w:rsid w:val="085A4F7E"/>
    <w:rsid w:val="085B1D6F"/>
    <w:rsid w:val="08646E76"/>
    <w:rsid w:val="08674270"/>
    <w:rsid w:val="086A1FB2"/>
    <w:rsid w:val="086A5B0F"/>
    <w:rsid w:val="08713341"/>
    <w:rsid w:val="087370B9"/>
    <w:rsid w:val="08762705"/>
    <w:rsid w:val="0878647D"/>
    <w:rsid w:val="087E4CB6"/>
    <w:rsid w:val="08814108"/>
    <w:rsid w:val="08836BD0"/>
    <w:rsid w:val="08855AD6"/>
    <w:rsid w:val="088E3EF3"/>
    <w:rsid w:val="08986B20"/>
    <w:rsid w:val="089D7C92"/>
    <w:rsid w:val="08A560B2"/>
    <w:rsid w:val="08B5096B"/>
    <w:rsid w:val="08C44AB9"/>
    <w:rsid w:val="08D12D6E"/>
    <w:rsid w:val="08DA7138"/>
    <w:rsid w:val="08DD79D8"/>
    <w:rsid w:val="08E15D8E"/>
    <w:rsid w:val="08F02F36"/>
    <w:rsid w:val="08F11066"/>
    <w:rsid w:val="08F31FA8"/>
    <w:rsid w:val="08F33D56"/>
    <w:rsid w:val="08FD4BD5"/>
    <w:rsid w:val="09070A03"/>
    <w:rsid w:val="090B5543"/>
    <w:rsid w:val="090D502E"/>
    <w:rsid w:val="09200A13"/>
    <w:rsid w:val="092C1016"/>
    <w:rsid w:val="092D4ADB"/>
    <w:rsid w:val="09300B06"/>
    <w:rsid w:val="0935611C"/>
    <w:rsid w:val="093978B5"/>
    <w:rsid w:val="093F343F"/>
    <w:rsid w:val="094B0040"/>
    <w:rsid w:val="0952674B"/>
    <w:rsid w:val="0966277A"/>
    <w:rsid w:val="0967211C"/>
    <w:rsid w:val="096B5FE2"/>
    <w:rsid w:val="096B7ED1"/>
    <w:rsid w:val="096D0679"/>
    <w:rsid w:val="09735C6C"/>
    <w:rsid w:val="097C3D4B"/>
    <w:rsid w:val="098A544D"/>
    <w:rsid w:val="09991B6A"/>
    <w:rsid w:val="09A13A7B"/>
    <w:rsid w:val="09A3577C"/>
    <w:rsid w:val="09A84B40"/>
    <w:rsid w:val="09A908B8"/>
    <w:rsid w:val="09AB0DDA"/>
    <w:rsid w:val="09AB2883"/>
    <w:rsid w:val="09B13AC3"/>
    <w:rsid w:val="09B93488"/>
    <w:rsid w:val="09B94817"/>
    <w:rsid w:val="09BA2AC6"/>
    <w:rsid w:val="09BA4874"/>
    <w:rsid w:val="09C2683B"/>
    <w:rsid w:val="09C3247E"/>
    <w:rsid w:val="09C758AE"/>
    <w:rsid w:val="09C943AD"/>
    <w:rsid w:val="09D122E9"/>
    <w:rsid w:val="09D51869"/>
    <w:rsid w:val="09DF70B8"/>
    <w:rsid w:val="09E244F6"/>
    <w:rsid w:val="09E33DCA"/>
    <w:rsid w:val="09F00DFE"/>
    <w:rsid w:val="09F4422A"/>
    <w:rsid w:val="09F61D50"/>
    <w:rsid w:val="09F9539C"/>
    <w:rsid w:val="09FF5296"/>
    <w:rsid w:val="0A03621B"/>
    <w:rsid w:val="0A171CC6"/>
    <w:rsid w:val="0A200B7B"/>
    <w:rsid w:val="0A265419"/>
    <w:rsid w:val="0A27015B"/>
    <w:rsid w:val="0A276B2A"/>
    <w:rsid w:val="0A2C751F"/>
    <w:rsid w:val="0A2F7010"/>
    <w:rsid w:val="0A301A70"/>
    <w:rsid w:val="0A322A2E"/>
    <w:rsid w:val="0A3B3C06"/>
    <w:rsid w:val="0A3E36F7"/>
    <w:rsid w:val="0A3F75E5"/>
    <w:rsid w:val="0A474359"/>
    <w:rsid w:val="0A486318"/>
    <w:rsid w:val="0A4F28BA"/>
    <w:rsid w:val="0A526E2C"/>
    <w:rsid w:val="0A5A0A93"/>
    <w:rsid w:val="0A611896"/>
    <w:rsid w:val="0A676977"/>
    <w:rsid w:val="0A710A18"/>
    <w:rsid w:val="0A7315F2"/>
    <w:rsid w:val="0A746570"/>
    <w:rsid w:val="0A7669ED"/>
    <w:rsid w:val="0A79472F"/>
    <w:rsid w:val="0A834AB9"/>
    <w:rsid w:val="0A913826"/>
    <w:rsid w:val="0A917CCA"/>
    <w:rsid w:val="0AA07F0D"/>
    <w:rsid w:val="0AA51080"/>
    <w:rsid w:val="0AB17A25"/>
    <w:rsid w:val="0ABA4A34"/>
    <w:rsid w:val="0AC05EBA"/>
    <w:rsid w:val="0AC06B0B"/>
    <w:rsid w:val="0AC92FC0"/>
    <w:rsid w:val="0ACB5B1C"/>
    <w:rsid w:val="0ACC0D02"/>
    <w:rsid w:val="0AD007F3"/>
    <w:rsid w:val="0AD11E75"/>
    <w:rsid w:val="0AD12118"/>
    <w:rsid w:val="0AD32091"/>
    <w:rsid w:val="0AD759C8"/>
    <w:rsid w:val="0AE71698"/>
    <w:rsid w:val="0AE918B4"/>
    <w:rsid w:val="0AEA1189"/>
    <w:rsid w:val="0AED75C5"/>
    <w:rsid w:val="0AF461CA"/>
    <w:rsid w:val="0AFD2C6A"/>
    <w:rsid w:val="0AFE662A"/>
    <w:rsid w:val="0B04224A"/>
    <w:rsid w:val="0B08474F"/>
    <w:rsid w:val="0B156206"/>
    <w:rsid w:val="0B1C57E6"/>
    <w:rsid w:val="0B234241"/>
    <w:rsid w:val="0B2621C1"/>
    <w:rsid w:val="0B310B66"/>
    <w:rsid w:val="0B380146"/>
    <w:rsid w:val="0B3B3792"/>
    <w:rsid w:val="0B4968BC"/>
    <w:rsid w:val="0B4B0BC0"/>
    <w:rsid w:val="0B504A69"/>
    <w:rsid w:val="0B505490"/>
    <w:rsid w:val="0B541106"/>
    <w:rsid w:val="0B550CF8"/>
    <w:rsid w:val="0B55760E"/>
    <w:rsid w:val="0B5673B8"/>
    <w:rsid w:val="0B58265A"/>
    <w:rsid w:val="0B723658"/>
    <w:rsid w:val="0B811AED"/>
    <w:rsid w:val="0B845139"/>
    <w:rsid w:val="0B8B296C"/>
    <w:rsid w:val="0B8D66E4"/>
    <w:rsid w:val="0BA33880"/>
    <w:rsid w:val="0BA76046"/>
    <w:rsid w:val="0BAB761D"/>
    <w:rsid w:val="0BAF708A"/>
    <w:rsid w:val="0BB61997"/>
    <w:rsid w:val="0BB63DAF"/>
    <w:rsid w:val="0BB75D2B"/>
    <w:rsid w:val="0BBA5BBB"/>
    <w:rsid w:val="0BBB741F"/>
    <w:rsid w:val="0BCB2D68"/>
    <w:rsid w:val="0BD827AC"/>
    <w:rsid w:val="0BD95485"/>
    <w:rsid w:val="0BDC6D23"/>
    <w:rsid w:val="0BE76511"/>
    <w:rsid w:val="0BEF750E"/>
    <w:rsid w:val="0BF00A21"/>
    <w:rsid w:val="0BF26547"/>
    <w:rsid w:val="0BF53ECA"/>
    <w:rsid w:val="0C000C64"/>
    <w:rsid w:val="0C012C2E"/>
    <w:rsid w:val="0C054E2C"/>
    <w:rsid w:val="0C0F534B"/>
    <w:rsid w:val="0C0F70F9"/>
    <w:rsid w:val="0C123827"/>
    <w:rsid w:val="0C1464BD"/>
    <w:rsid w:val="0C2169D7"/>
    <w:rsid w:val="0C317937"/>
    <w:rsid w:val="0C3703FE"/>
    <w:rsid w:val="0C3923C8"/>
    <w:rsid w:val="0C39369B"/>
    <w:rsid w:val="0C41127C"/>
    <w:rsid w:val="0C430B50"/>
    <w:rsid w:val="0C670EE5"/>
    <w:rsid w:val="0C6D2071"/>
    <w:rsid w:val="0C6F4513"/>
    <w:rsid w:val="0C770F15"/>
    <w:rsid w:val="0C7B29E0"/>
    <w:rsid w:val="0C7D0506"/>
    <w:rsid w:val="0C882A07"/>
    <w:rsid w:val="0C88488C"/>
    <w:rsid w:val="0C8A677F"/>
    <w:rsid w:val="0C915BFB"/>
    <w:rsid w:val="0C94198B"/>
    <w:rsid w:val="0C943AA2"/>
    <w:rsid w:val="0C9B098C"/>
    <w:rsid w:val="0CA75583"/>
    <w:rsid w:val="0CA8083B"/>
    <w:rsid w:val="0CA83953"/>
    <w:rsid w:val="0CA84E57"/>
    <w:rsid w:val="0CB87790"/>
    <w:rsid w:val="0CB90E13"/>
    <w:rsid w:val="0CC463BD"/>
    <w:rsid w:val="0CCF6888"/>
    <w:rsid w:val="0CD26A47"/>
    <w:rsid w:val="0CD914B5"/>
    <w:rsid w:val="0CE64047"/>
    <w:rsid w:val="0CE65A03"/>
    <w:rsid w:val="0CF63E15"/>
    <w:rsid w:val="0CF85DDF"/>
    <w:rsid w:val="0CF972AE"/>
    <w:rsid w:val="0D006A41"/>
    <w:rsid w:val="0D046532"/>
    <w:rsid w:val="0D097FEC"/>
    <w:rsid w:val="0D0C3638"/>
    <w:rsid w:val="0D10137A"/>
    <w:rsid w:val="0D1349C7"/>
    <w:rsid w:val="0D183789"/>
    <w:rsid w:val="0D244299"/>
    <w:rsid w:val="0D2758D8"/>
    <w:rsid w:val="0D335069"/>
    <w:rsid w:val="0D3938D4"/>
    <w:rsid w:val="0D3F756A"/>
    <w:rsid w:val="0D434D12"/>
    <w:rsid w:val="0D464D9C"/>
    <w:rsid w:val="0D4B3979"/>
    <w:rsid w:val="0D520D84"/>
    <w:rsid w:val="0D523741"/>
    <w:rsid w:val="0D582A8B"/>
    <w:rsid w:val="0D643474"/>
    <w:rsid w:val="0D6B1203"/>
    <w:rsid w:val="0D6B7814"/>
    <w:rsid w:val="0D6E011C"/>
    <w:rsid w:val="0D725B91"/>
    <w:rsid w:val="0D853282"/>
    <w:rsid w:val="0D892EDB"/>
    <w:rsid w:val="0D8B27AF"/>
    <w:rsid w:val="0D8D29CB"/>
    <w:rsid w:val="0D907DC5"/>
    <w:rsid w:val="0D933D59"/>
    <w:rsid w:val="0D9A6E96"/>
    <w:rsid w:val="0DA12654"/>
    <w:rsid w:val="0DA675E9"/>
    <w:rsid w:val="0DB00467"/>
    <w:rsid w:val="0DBB5789"/>
    <w:rsid w:val="0DC22040"/>
    <w:rsid w:val="0DCA3859"/>
    <w:rsid w:val="0DCA5C92"/>
    <w:rsid w:val="0DDA4FD1"/>
    <w:rsid w:val="0DDB2E19"/>
    <w:rsid w:val="0DDE177A"/>
    <w:rsid w:val="0DE65231"/>
    <w:rsid w:val="0DF20A80"/>
    <w:rsid w:val="0DF648A0"/>
    <w:rsid w:val="0DF90060"/>
    <w:rsid w:val="0E0457D8"/>
    <w:rsid w:val="0E084E26"/>
    <w:rsid w:val="0E0A194B"/>
    <w:rsid w:val="0E1359FA"/>
    <w:rsid w:val="0E19549D"/>
    <w:rsid w:val="0E25660A"/>
    <w:rsid w:val="0E285C93"/>
    <w:rsid w:val="0E325320"/>
    <w:rsid w:val="0E3777BE"/>
    <w:rsid w:val="0E3A41D5"/>
    <w:rsid w:val="0E3A5F83"/>
    <w:rsid w:val="0E4140E1"/>
    <w:rsid w:val="0E43308A"/>
    <w:rsid w:val="0E4B1F3E"/>
    <w:rsid w:val="0E52151F"/>
    <w:rsid w:val="0E553AB9"/>
    <w:rsid w:val="0E574D87"/>
    <w:rsid w:val="0E655F3E"/>
    <w:rsid w:val="0E664FCA"/>
    <w:rsid w:val="0E796AAB"/>
    <w:rsid w:val="0E7D2A40"/>
    <w:rsid w:val="0E8518F4"/>
    <w:rsid w:val="0E8D23F9"/>
    <w:rsid w:val="0E8D69FB"/>
    <w:rsid w:val="0E9B4C74"/>
    <w:rsid w:val="0E9C061A"/>
    <w:rsid w:val="0E9E53ED"/>
    <w:rsid w:val="0EAC50D3"/>
    <w:rsid w:val="0EAD49A7"/>
    <w:rsid w:val="0EB05D52"/>
    <w:rsid w:val="0EB67D00"/>
    <w:rsid w:val="0EC341CA"/>
    <w:rsid w:val="0ED0372F"/>
    <w:rsid w:val="0ED9579C"/>
    <w:rsid w:val="0EE43718"/>
    <w:rsid w:val="0EE90B68"/>
    <w:rsid w:val="0EF34C60"/>
    <w:rsid w:val="0EF702B3"/>
    <w:rsid w:val="0EFB5712"/>
    <w:rsid w:val="0F00541F"/>
    <w:rsid w:val="0F064208"/>
    <w:rsid w:val="0F0B4AD1"/>
    <w:rsid w:val="0F0C142F"/>
    <w:rsid w:val="0F0E2F32"/>
    <w:rsid w:val="0F162637"/>
    <w:rsid w:val="0F1B4006"/>
    <w:rsid w:val="0F225395"/>
    <w:rsid w:val="0F2E7896"/>
    <w:rsid w:val="0F333C8A"/>
    <w:rsid w:val="0F346E76"/>
    <w:rsid w:val="0F375915"/>
    <w:rsid w:val="0F441053"/>
    <w:rsid w:val="0F475ED1"/>
    <w:rsid w:val="0F4A0448"/>
    <w:rsid w:val="0F4A0704"/>
    <w:rsid w:val="0F545BF4"/>
    <w:rsid w:val="0F5F3EF3"/>
    <w:rsid w:val="0F6605CC"/>
    <w:rsid w:val="0F6B5ADC"/>
    <w:rsid w:val="0F6C4862"/>
    <w:rsid w:val="0F6D01FB"/>
    <w:rsid w:val="0F706100"/>
    <w:rsid w:val="0F7A0D2D"/>
    <w:rsid w:val="0F7A5202"/>
    <w:rsid w:val="0F8171C9"/>
    <w:rsid w:val="0F824086"/>
    <w:rsid w:val="0F84395A"/>
    <w:rsid w:val="0F957915"/>
    <w:rsid w:val="0F9C04A9"/>
    <w:rsid w:val="0F9E1CC2"/>
    <w:rsid w:val="0FA61B22"/>
    <w:rsid w:val="0FA638D0"/>
    <w:rsid w:val="0FA94FB4"/>
    <w:rsid w:val="0FB10A42"/>
    <w:rsid w:val="0FB12275"/>
    <w:rsid w:val="0FB87AA7"/>
    <w:rsid w:val="0FB90D84"/>
    <w:rsid w:val="0FBC0D1A"/>
    <w:rsid w:val="0FC93A62"/>
    <w:rsid w:val="0FCB1589"/>
    <w:rsid w:val="0FCC70AF"/>
    <w:rsid w:val="0FD301EE"/>
    <w:rsid w:val="0FF07241"/>
    <w:rsid w:val="0FF1693E"/>
    <w:rsid w:val="0FF860F6"/>
    <w:rsid w:val="0FFA6B94"/>
    <w:rsid w:val="10014FAA"/>
    <w:rsid w:val="10066A65"/>
    <w:rsid w:val="101747CE"/>
    <w:rsid w:val="101822F4"/>
    <w:rsid w:val="10245DEE"/>
    <w:rsid w:val="10255C82"/>
    <w:rsid w:val="102927A5"/>
    <w:rsid w:val="102942B6"/>
    <w:rsid w:val="1031606C"/>
    <w:rsid w:val="10377139"/>
    <w:rsid w:val="103A04BC"/>
    <w:rsid w:val="103C7D7B"/>
    <w:rsid w:val="103F7234"/>
    <w:rsid w:val="104135F9"/>
    <w:rsid w:val="104355C3"/>
    <w:rsid w:val="10475F34"/>
    <w:rsid w:val="10482BD9"/>
    <w:rsid w:val="1049459B"/>
    <w:rsid w:val="104B26C9"/>
    <w:rsid w:val="104C58A2"/>
    <w:rsid w:val="104F21BA"/>
    <w:rsid w:val="105832FC"/>
    <w:rsid w:val="105C48D7"/>
    <w:rsid w:val="10625108"/>
    <w:rsid w:val="10675755"/>
    <w:rsid w:val="10710382"/>
    <w:rsid w:val="10790711"/>
    <w:rsid w:val="108160EB"/>
    <w:rsid w:val="1085082C"/>
    <w:rsid w:val="1088747A"/>
    <w:rsid w:val="108F6A5A"/>
    <w:rsid w:val="10961B97"/>
    <w:rsid w:val="10973B61"/>
    <w:rsid w:val="109A0F5B"/>
    <w:rsid w:val="10A06571"/>
    <w:rsid w:val="10A162CC"/>
    <w:rsid w:val="10A94CBF"/>
    <w:rsid w:val="10AF4A06"/>
    <w:rsid w:val="10B14C22"/>
    <w:rsid w:val="10B740C7"/>
    <w:rsid w:val="10BE6725"/>
    <w:rsid w:val="10C05F28"/>
    <w:rsid w:val="10C770AD"/>
    <w:rsid w:val="10C90198"/>
    <w:rsid w:val="10CD4AC6"/>
    <w:rsid w:val="10E558CF"/>
    <w:rsid w:val="10F20D97"/>
    <w:rsid w:val="10F87069"/>
    <w:rsid w:val="10F93ED3"/>
    <w:rsid w:val="10FE679F"/>
    <w:rsid w:val="110A4333"/>
    <w:rsid w:val="110D797F"/>
    <w:rsid w:val="111156C1"/>
    <w:rsid w:val="111A666F"/>
    <w:rsid w:val="111B28D9"/>
    <w:rsid w:val="11253D0E"/>
    <w:rsid w:val="112C2155"/>
    <w:rsid w:val="11366ED6"/>
    <w:rsid w:val="11477335"/>
    <w:rsid w:val="114F7F97"/>
    <w:rsid w:val="11561326"/>
    <w:rsid w:val="115D26B4"/>
    <w:rsid w:val="11611BCB"/>
    <w:rsid w:val="11652D60"/>
    <w:rsid w:val="116A6B7F"/>
    <w:rsid w:val="116B3023"/>
    <w:rsid w:val="11731ED8"/>
    <w:rsid w:val="118006F3"/>
    <w:rsid w:val="118440E5"/>
    <w:rsid w:val="1185289A"/>
    <w:rsid w:val="118C11EC"/>
    <w:rsid w:val="118E3A13"/>
    <w:rsid w:val="11902A8A"/>
    <w:rsid w:val="119971FF"/>
    <w:rsid w:val="11A16A45"/>
    <w:rsid w:val="11A448F7"/>
    <w:rsid w:val="11A842FF"/>
    <w:rsid w:val="11B00A36"/>
    <w:rsid w:val="11B5429E"/>
    <w:rsid w:val="11B91F74"/>
    <w:rsid w:val="11C113C0"/>
    <w:rsid w:val="11C646FD"/>
    <w:rsid w:val="11C72224"/>
    <w:rsid w:val="11C95F9C"/>
    <w:rsid w:val="11D6242F"/>
    <w:rsid w:val="11D706B9"/>
    <w:rsid w:val="11DA72E4"/>
    <w:rsid w:val="11DD37F5"/>
    <w:rsid w:val="11E93F48"/>
    <w:rsid w:val="11EF35A8"/>
    <w:rsid w:val="11F34DC7"/>
    <w:rsid w:val="11F808F6"/>
    <w:rsid w:val="11FF376C"/>
    <w:rsid w:val="12001018"/>
    <w:rsid w:val="12023AE6"/>
    <w:rsid w:val="120314AE"/>
    <w:rsid w:val="12040D82"/>
    <w:rsid w:val="12072620"/>
    <w:rsid w:val="120B1F32"/>
    <w:rsid w:val="120E0E48"/>
    <w:rsid w:val="12170AB5"/>
    <w:rsid w:val="1217334C"/>
    <w:rsid w:val="121805F1"/>
    <w:rsid w:val="121D3BF2"/>
    <w:rsid w:val="122724A7"/>
    <w:rsid w:val="122B27B2"/>
    <w:rsid w:val="12331667"/>
    <w:rsid w:val="123553DF"/>
    <w:rsid w:val="123756BE"/>
    <w:rsid w:val="123B1037"/>
    <w:rsid w:val="123F4C14"/>
    <w:rsid w:val="124473D0"/>
    <w:rsid w:val="124949E7"/>
    <w:rsid w:val="12532C90"/>
    <w:rsid w:val="12575356"/>
    <w:rsid w:val="12635AA8"/>
    <w:rsid w:val="12747F48"/>
    <w:rsid w:val="127A3EA4"/>
    <w:rsid w:val="1288550F"/>
    <w:rsid w:val="128B1C28"/>
    <w:rsid w:val="128E689D"/>
    <w:rsid w:val="128F2D41"/>
    <w:rsid w:val="128F2E97"/>
    <w:rsid w:val="12942106"/>
    <w:rsid w:val="1299771C"/>
    <w:rsid w:val="129E4D32"/>
    <w:rsid w:val="12A04982"/>
    <w:rsid w:val="12AF0CEE"/>
    <w:rsid w:val="12B1627A"/>
    <w:rsid w:val="12B675EB"/>
    <w:rsid w:val="12CB1F54"/>
    <w:rsid w:val="12CD23B6"/>
    <w:rsid w:val="12CD386A"/>
    <w:rsid w:val="12CF6372"/>
    <w:rsid w:val="12DB4D4F"/>
    <w:rsid w:val="12DE15D3"/>
    <w:rsid w:val="12E46319"/>
    <w:rsid w:val="12EC5084"/>
    <w:rsid w:val="12ED5CBA"/>
    <w:rsid w:val="12F12AA5"/>
    <w:rsid w:val="12F2507E"/>
    <w:rsid w:val="130E25D9"/>
    <w:rsid w:val="13160D6D"/>
    <w:rsid w:val="13186F2E"/>
    <w:rsid w:val="13217712"/>
    <w:rsid w:val="13225964"/>
    <w:rsid w:val="13314543"/>
    <w:rsid w:val="133912C6"/>
    <w:rsid w:val="133E6515"/>
    <w:rsid w:val="13424BEA"/>
    <w:rsid w:val="13465C7A"/>
    <w:rsid w:val="13474ECD"/>
    <w:rsid w:val="1347603A"/>
    <w:rsid w:val="13477178"/>
    <w:rsid w:val="134A310C"/>
    <w:rsid w:val="135B2C24"/>
    <w:rsid w:val="136715C8"/>
    <w:rsid w:val="136C4BC6"/>
    <w:rsid w:val="13710699"/>
    <w:rsid w:val="137C620C"/>
    <w:rsid w:val="137D05A4"/>
    <w:rsid w:val="13855EF2"/>
    <w:rsid w:val="13897791"/>
    <w:rsid w:val="138E4DA7"/>
    <w:rsid w:val="13950B2E"/>
    <w:rsid w:val="139A199E"/>
    <w:rsid w:val="139A7BF0"/>
    <w:rsid w:val="139B78EC"/>
    <w:rsid w:val="13A22600"/>
    <w:rsid w:val="13A75277"/>
    <w:rsid w:val="13A97E33"/>
    <w:rsid w:val="13AD0145"/>
    <w:rsid w:val="13B1109E"/>
    <w:rsid w:val="13B11DF8"/>
    <w:rsid w:val="13B3480E"/>
    <w:rsid w:val="13B54A2A"/>
    <w:rsid w:val="13BF7656"/>
    <w:rsid w:val="13D053C0"/>
    <w:rsid w:val="13D34B93"/>
    <w:rsid w:val="13DA5E2D"/>
    <w:rsid w:val="13E316E0"/>
    <w:rsid w:val="13E417B9"/>
    <w:rsid w:val="13E677A1"/>
    <w:rsid w:val="13E744B7"/>
    <w:rsid w:val="13EB3FA7"/>
    <w:rsid w:val="13F0437C"/>
    <w:rsid w:val="13F61959"/>
    <w:rsid w:val="13F70032"/>
    <w:rsid w:val="13F74118"/>
    <w:rsid w:val="13F866C4"/>
    <w:rsid w:val="13FD67D7"/>
    <w:rsid w:val="14000B3D"/>
    <w:rsid w:val="1402655C"/>
    <w:rsid w:val="1403238B"/>
    <w:rsid w:val="14067033"/>
    <w:rsid w:val="140D728C"/>
    <w:rsid w:val="14100369"/>
    <w:rsid w:val="14180622"/>
    <w:rsid w:val="141A42B8"/>
    <w:rsid w:val="142213DA"/>
    <w:rsid w:val="14252BF2"/>
    <w:rsid w:val="143516C6"/>
    <w:rsid w:val="143C2C0A"/>
    <w:rsid w:val="14424C33"/>
    <w:rsid w:val="14495172"/>
    <w:rsid w:val="144F3B57"/>
    <w:rsid w:val="14673E28"/>
    <w:rsid w:val="147524AF"/>
    <w:rsid w:val="147A2410"/>
    <w:rsid w:val="148461AA"/>
    <w:rsid w:val="14852C6F"/>
    <w:rsid w:val="148F2F85"/>
    <w:rsid w:val="14961298"/>
    <w:rsid w:val="1497412F"/>
    <w:rsid w:val="149A5BA6"/>
    <w:rsid w:val="14A05F9F"/>
    <w:rsid w:val="14A502EF"/>
    <w:rsid w:val="14A5684C"/>
    <w:rsid w:val="14B163DC"/>
    <w:rsid w:val="14B24AC5"/>
    <w:rsid w:val="14C111AC"/>
    <w:rsid w:val="14C34F24"/>
    <w:rsid w:val="14CF5677"/>
    <w:rsid w:val="14D013EF"/>
    <w:rsid w:val="14D2188D"/>
    <w:rsid w:val="14D8425B"/>
    <w:rsid w:val="14DE617B"/>
    <w:rsid w:val="14E82F29"/>
    <w:rsid w:val="14F926F4"/>
    <w:rsid w:val="14FB14A8"/>
    <w:rsid w:val="14FE7D0A"/>
    <w:rsid w:val="15035321"/>
    <w:rsid w:val="15095EDF"/>
    <w:rsid w:val="152139F9"/>
    <w:rsid w:val="15244FBD"/>
    <w:rsid w:val="152A6D51"/>
    <w:rsid w:val="152B4878"/>
    <w:rsid w:val="152B4D84"/>
    <w:rsid w:val="152F1D82"/>
    <w:rsid w:val="1534197E"/>
    <w:rsid w:val="15363948"/>
    <w:rsid w:val="15372517"/>
    <w:rsid w:val="153866E8"/>
    <w:rsid w:val="153951E6"/>
    <w:rsid w:val="153C6A85"/>
    <w:rsid w:val="154A0C01"/>
    <w:rsid w:val="154D0C92"/>
    <w:rsid w:val="155301FE"/>
    <w:rsid w:val="155E2586"/>
    <w:rsid w:val="156009C5"/>
    <w:rsid w:val="15681628"/>
    <w:rsid w:val="156A1D3D"/>
    <w:rsid w:val="157439B7"/>
    <w:rsid w:val="157F3975"/>
    <w:rsid w:val="15853F88"/>
    <w:rsid w:val="15871E93"/>
    <w:rsid w:val="158D108E"/>
    <w:rsid w:val="158F3058"/>
    <w:rsid w:val="15930009"/>
    <w:rsid w:val="159643E7"/>
    <w:rsid w:val="15AA23E4"/>
    <w:rsid w:val="15B211A0"/>
    <w:rsid w:val="15B36916"/>
    <w:rsid w:val="15BF2E27"/>
    <w:rsid w:val="15C076B6"/>
    <w:rsid w:val="15CD0226"/>
    <w:rsid w:val="15D4104B"/>
    <w:rsid w:val="15F003C1"/>
    <w:rsid w:val="15F61009"/>
    <w:rsid w:val="15F65644"/>
    <w:rsid w:val="15FB0588"/>
    <w:rsid w:val="15FB249C"/>
    <w:rsid w:val="15FC3115"/>
    <w:rsid w:val="15FF3D3A"/>
    <w:rsid w:val="16133C89"/>
    <w:rsid w:val="1618304E"/>
    <w:rsid w:val="16184DFC"/>
    <w:rsid w:val="16225C7A"/>
    <w:rsid w:val="16264AED"/>
    <w:rsid w:val="162B4D52"/>
    <w:rsid w:val="163D2AB4"/>
    <w:rsid w:val="164125A5"/>
    <w:rsid w:val="164400AE"/>
    <w:rsid w:val="16491459"/>
    <w:rsid w:val="164E4CC1"/>
    <w:rsid w:val="16573B76"/>
    <w:rsid w:val="165A5414"/>
    <w:rsid w:val="166234A0"/>
    <w:rsid w:val="1666200B"/>
    <w:rsid w:val="166D2513"/>
    <w:rsid w:val="16726C02"/>
    <w:rsid w:val="16770685"/>
    <w:rsid w:val="167C182F"/>
    <w:rsid w:val="167F42A3"/>
    <w:rsid w:val="16810BF3"/>
    <w:rsid w:val="1686345A"/>
    <w:rsid w:val="1695469E"/>
    <w:rsid w:val="16956E5A"/>
    <w:rsid w:val="16A27000"/>
    <w:rsid w:val="16A44B2E"/>
    <w:rsid w:val="16A6504A"/>
    <w:rsid w:val="16A97E9C"/>
    <w:rsid w:val="16AC36B8"/>
    <w:rsid w:val="16AD7067"/>
    <w:rsid w:val="16AD74D6"/>
    <w:rsid w:val="16B014D8"/>
    <w:rsid w:val="16C83D17"/>
    <w:rsid w:val="16DF591A"/>
    <w:rsid w:val="16E11692"/>
    <w:rsid w:val="17057BF5"/>
    <w:rsid w:val="170959CD"/>
    <w:rsid w:val="170C7344"/>
    <w:rsid w:val="171C4DC0"/>
    <w:rsid w:val="171D2C7F"/>
    <w:rsid w:val="172F68A1"/>
    <w:rsid w:val="17343EB7"/>
    <w:rsid w:val="173619DD"/>
    <w:rsid w:val="174340FA"/>
    <w:rsid w:val="17445402"/>
    <w:rsid w:val="174561CC"/>
    <w:rsid w:val="17546308"/>
    <w:rsid w:val="17581BDA"/>
    <w:rsid w:val="17614565"/>
    <w:rsid w:val="17626C76"/>
    <w:rsid w:val="17630885"/>
    <w:rsid w:val="1773299C"/>
    <w:rsid w:val="17785D56"/>
    <w:rsid w:val="17793C92"/>
    <w:rsid w:val="177E0DEC"/>
    <w:rsid w:val="17822E75"/>
    <w:rsid w:val="1787335F"/>
    <w:rsid w:val="17876721"/>
    <w:rsid w:val="17885FB1"/>
    <w:rsid w:val="1798546C"/>
    <w:rsid w:val="179F5F07"/>
    <w:rsid w:val="17A7618E"/>
    <w:rsid w:val="17A76437"/>
    <w:rsid w:val="17A8092A"/>
    <w:rsid w:val="17AA1892"/>
    <w:rsid w:val="17C37E9D"/>
    <w:rsid w:val="17C53665"/>
    <w:rsid w:val="17C57205"/>
    <w:rsid w:val="17C84600"/>
    <w:rsid w:val="17CA2B8F"/>
    <w:rsid w:val="17D11706"/>
    <w:rsid w:val="17E0741E"/>
    <w:rsid w:val="17E21B65"/>
    <w:rsid w:val="17E504A9"/>
    <w:rsid w:val="17EE22B8"/>
    <w:rsid w:val="17F72AB1"/>
    <w:rsid w:val="17FA3821"/>
    <w:rsid w:val="18130773"/>
    <w:rsid w:val="182A0E16"/>
    <w:rsid w:val="182C1032"/>
    <w:rsid w:val="182F377B"/>
    <w:rsid w:val="1833416F"/>
    <w:rsid w:val="18354C40"/>
    <w:rsid w:val="184D0DFC"/>
    <w:rsid w:val="18556009"/>
    <w:rsid w:val="185E284C"/>
    <w:rsid w:val="186407CC"/>
    <w:rsid w:val="186A5109"/>
    <w:rsid w:val="186D1754"/>
    <w:rsid w:val="187466BC"/>
    <w:rsid w:val="18770500"/>
    <w:rsid w:val="18786026"/>
    <w:rsid w:val="187A7FF0"/>
    <w:rsid w:val="187C10D7"/>
    <w:rsid w:val="187D188E"/>
    <w:rsid w:val="188569AA"/>
    <w:rsid w:val="18893D8F"/>
    <w:rsid w:val="188E5849"/>
    <w:rsid w:val="18934C0E"/>
    <w:rsid w:val="189656EE"/>
    <w:rsid w:val="189F1804"/>
    <w:rsid w:val="18A65A0A"/>
    <w:rsid w:val="18AD0BC4"/>
    <w:rsid w:val="18B03A11"/>
    <w:rsid w:val="18B81109"/>
    <w:rsid w:val="18BA663E"/>
    <w:rsid w:val="18BC198A"/>
    <w:rsid w:val="18BD6D95"/>
    <w:rsid w:val="18C43019"/>
    <w:rsid w:val="18E00489"/>
    <w:rsid w:val="18EA17CE"/>
    <w:rsid w:val="18EB259A"/>
    <w:rsid w:val="18EB4A4A"/>
    <w:rsid w:val="1901601B"/>
    <w:rsid w:val="19067AD5"/>
    <w:rsid w:val="19093EEF"/>
    <w:rsid w:val="1910625E"/>
    <w:rsid w:val="19141227"/>
    <w:rsid w:val="19173A91"/>
    <w:rsid w:val="191826FE"/>
    <w:rsid w:val="19197809"/>
    <w:rsid w:val="19212219"/>
    <w:rsid w:val="19282791"/>
    <w:rsid w:val="192C2D7A"/>
    <w:rsid w:val="19322678"/>
    <w:rsid w:val="193C34F7"/>
    <w:rsid w:val="194D74B2"/>
    <w:rsid w:val="195125DD"/>
    <w:rsid w:val="19544A48"/>
    <w:rsid w:val="19566367"/>
    <w:rsid w:val="195720DF"/>
    <w:rsid w:val="19585862"/>
    <w:rsid w:val="195A572B"/>
    <w:rsid w:val="196A1E12"/>
    <w:rsid w:val="19722A75"/>
    <w:rsid w:val="197D7D98"/>
    <w:rsid w:val="197E58BE"/>
    <w:rsid w:val="19810432"/>
    <w:rsid w:val="198C1E2A"/>
    <w:rsid w:val="198F3627"/>
    <w:rsid w:val="199571A7"/>
    <w:rsid w:val="199C2DB7"/>
    <w:rsid w:val="19A05834"/>
    <w:rsid w:val="19A1335A"/>
    <w:rsid w:val="19A3586C"/>
    <w:rsid w:val="19A417DA"/>
    <w:rsid w:val="19AF139A"/>
    <w:rsid w:val="19BA2109"/>
    <w:rsid w:val="19BE5CBA"/>
    <w:rsid w:val="19C02DA9"/>
    <w:rsid w:val="19C332D1"/>
    <w:rsid w:val="19C40560"/>
    <w:rsid w:val="19C534ED"/>
    <w:rsid w:val="19C808E7"/>
    <w:rsid w:val="19CA465F"/>
    <w:rsid w:val="19CD5721"/>
    <w:rsid w:val="19CF6BA8"/>
    <w:rsid w:val="19D674A8"/>
    <w:rsid w:val="19D83220"/>
    <w:rsid w:val="19DB061A"/>
    <w:rsid w:val="19DB686C"/>
    <w:rsid w:val="19E73463"/>
    <w:rsid w:val="19EA6AAF"/>
    <w:rsid w:val="19F45009"/>
    <w:rsid w:val="19F90CCD"/>
    <w:rsid w:val="19FD61E8"/>
    <w:rsid w:val="1A100136"/>
    <w:rsid w:val="1A125CC5"/>
    <w:rsid w:val="1A2226ED"/>
    <w:rsid w:val="1A271C9F"/>
    <w:rsid w:val="1A2A3350"/>
    <w:rsid w:val="1A304FA1"/>
    <w:rsid w:val="1A335B12"/>
    <w:rsid w:val="1A361CF4"/>
    <w:rsid w:val="1A3A17E5"/>
    <w:rsid w:val="1A3B624B"/>
    <w:rsid w:val="1A3D12AA"/>
    <w:rsid w:val="1A450640"/>
    <w:rsid w:val="1A530AF8"/>
    <w:rsid w:val="1A5E1863"/>
    <w:rsid w:val="1A7B3BAB"/>
    <w:rsid w:val="1A7F369B"/>
    <w:rsid w:val="1A7F5449"/>
    <w:rsid w:val="1A815666"/>
    <w:rsid w:val="1A82318C"/>
    <w:rsid w:val="1A8354B6"/>
    <w:rsid w:val="1A937147"/>
    <w:rsid w:val="1A9A09EA"/>
    <w:rsid w:val="1AA41354"/>
    <w:rsid w:val="1AA50EEE"/>
    <w:rsid w:val="1AAB1E43"/>
    <w:rsid w:val="1AAC1FB7"/>
    <w:rsid w:val="1AB83062"/>
    <w:rsid w:val="1AC27A2C"/>
    <w:rsid w:val="1AC75042"/>
    <w:rsid w:val="1ACB4B33"/>
    <w:rsid w:val="1ACB68E1"/>
    <w:rsid w:val="1AD556B8"/>
    <w:rsid w:val="1ADF238C"/>
    <w:rsid w:val="1AE55118"/>
    <w:rsid w:val="1AE96D67"/>
    <w:rsid w:val="1AEC7D11"/>
    <w:rsid w:val="1AED2CFB"/>
    <w:rsid w:val="1AF57E02"/>
    <w:rsid w:val="1AFA0F74"/>
    <w:rsid w:val="1AFD0A64"/>
    <w:rsid w:val="1B03218F"/>
    <w:rsid w:val="1B0818E3"/>
    <w:rsid w:val="1B0B13D3"/>
    <w:rsid w:val="1B0C1B5C"/>
    <w:rsid w:val="1B0E4A1F"/>
    <w:rsid w:val="1B0F2763"/>
    <w:rsid w:val="1B200375"/>
    <w:rsid w:val="1B26620D"/>
    <w:rsid w:val="1B284CAF"/>
    <w:rsid w:val="1B28788F"/>
    <w:rsid w:val="1B34092A"/>
    <w:rsid w:val="1B3A3A66"/>
    <w:rsid w:val="1B3B1CB8"/>
    <w:rsid w:val="1B44565F"/>
    <w:rsid w:val="1B460738"/>
    <w:rsid w:val="1B487BDF"/>
    <w:rsid w:val="1B487F31"/>
    <w:rsid w:val="1B4B3AAE"/>
    <w:rsid w:val="1B4E306E"/>
    <w:rsid w:val="1B532C99"/>
    <w:rsid w:val="1B535AAD"/>
    <w:rsid w:val="1B61466C"/>
    <w:rsid w:val="1B642891"/>
    <w:rsid w:val="1B6A61A2"/>
    <w:rsid w:val="1B721452"/>
    <w:rsid w:val="1B7879AA"/>
    <w:rsid w:val="1B7900EB"/>
    <w:rsid w:val="1B7E0BC0"/>
    <w:rsid w:val="1B855EFD"/>
    <w:rsid w:val="1B87118E"/>
    <w:rsid w:val="1B8A679C"/>
    <w:rsid w:val="1B8A6930"/>
    <w:rsid w:val="1B8C6D94"/>
    <w:rsid w:val="1B8D413C"/>
    <w:rsid w:val="1B9E2247"/>
    <w:rsid w:val="1B9E607F"/>
    <w:rsid w:val="1BA3160C"/>
    <w:rsid w:val="1BA535D6"/>
    <w:rsid w:val="1BB40118"/>
    <w:rsid w:val="1BBC26CD"/>
    <w:rsid w:val="1BC51582"/>
    <w:rsid w:val="1BC872C4"/>
    <w:rsid w:val="1BCF2401"/>
    <w:rsid w:val="1BDD2D6F"/>
    <w:rsid w:val="1BE802F9"/>
    <w:rsid w:val="1BE90439"/>
    <w:rsid w:val="1BF9122C"/>
    <w:rsid w:val="1BFF3FFC"/>
    <w:rsid w:val="1C026332"/>
    <w:rsid w:val="1C0C027B"/>
    <w:rsid w:val="1C0F23B1"/>
    <w:rsid w:val="1C1B5646"/>
    <w:rsid w:val="1C1C4F1A"/>
    <w:rsid w:val="1C24274C"/>
    <w:rsid w:val="1C275D99"/>
    <w:rsid w:val="1C2C33AF"/>
    <w:rsid w:val="1C35495A"/>
    <w:rsid w:val="1C382442"/>
    <w:rsid w:val="1C387FA6"/>
    <w:rsid w:val="1C3E1334"/>
    <w:rsid w:val="1C402578"/>
    <w:rsid w:val="1C42747C"/>
    <w:rsid w:val="1C473E9F"/>
    <w:rsid w:val="1C5A0F49"/>
    <w:rsid w:val="1C600B5E"/>
    <w:rsid w:val="1C672639"/>
    <w:rsid w:val="1C6F7740"/>
    <w:rsid w:val="1C7002B8"/>
    <w:rsid w:val="1C70153A"/>
    <w:rsid w:val="1C734C79"/>
    <w:rsid w:val="1C766D20"/>
    <w:rsid w:val="1C7869D6"/>
    <w:rsid w:val="1C7F4CAC"/>
    <w:rsid w:val="1C8256C5"/>
    <w:rsid w:val="1C8C02F2"/>
    <w:rsid w:val="1C981059"/>
    <w:rsid w:val="1C984EE8"/>
    <w:rsid w:val="1C9A47BD"/>
    <w:rsid w:val="1C9D085E"/>
    <w:rsid w:val="1C9D42AD"/>
    <w:rsid w:val="1C9D605B"/>
    <w:rsid w:val="1C9F1DD3"/>
    <w:rsid w:val="1CA266AD"/>
    <w:rsid w:val="1CA90EA4"/>
    <w:rsid w:val="1CAE2016"/>
    <w:rsid w:val="1CB975FE"/>
    <w:rsid w:val="1CBB4733"/>
    <w:rsid w:val="1CC02E89"/>
    <w:rsid w:val="1CC311E2"/>
    <w:rsid w:val="1CC74C88"/>
    <w:rsid w:val="1CCA129F"/>
    <w:rsid w:val="1CD001DE"/>
    <w:rsid w:val="1CD6156D"/>
    <w:rsid w:val="1CD67DAB"/>
    <w:rsid w:val="1CDD604F"/>
    <w:rsid w:val="1CE4012E"/>
    <w:rsid w:val="1CE444E1"/>
    <w:rsid w:val="1CE65C54"/>
    <w:rsid w:val="1CEC0AC3"/>
    <w:rsid w:val="1CF57C45"/>
    <w:rsid w:val="1CF85987"/>
    <w:rsid w:val="1CFF6D16"/>
    <w:rsid w:val="1D012A8E"/>
    <w:rsid w:val="1D0245C4"/>
    <w:rsid w:val="1D077978"/>
    <w:rsid w:val="1D083E1C"/>
    <w:rsid w:val="1D0B1216"/>
    <w:rsid w:val="1D187DD7"/>
    <w:rsid w:val="1D2422D8"/>
    <w:rsid w:val="1D2C66ED"/>
    <w:rsid w:val="1D2D11BD"/>
    <w:rsid w:val="1D2E13A9"/>
    <w:rsid w:val="1D35029E"/>
    <w:rsid w:val="1D3A0BF1"/>
    <w:rsid w:val="1D496AC7"/>
    <w:rsid w:val="1D6628F1"/>
    <w:rsid w:val="1D66649D"/>
    <w:rsid w:val="1D6A0633"/>
    <w:rsid w:val="1D6B6BFB"/>
    <w:rsid w:val="1D74500E"/>
    <w:rsid w:val="1D750A90"/>
    <w:rsid w:val="1D7A7CFD"/>
    <w:rsid w:val="1D7C153E"/>
    <w:rsid w:val="1D8109A8"/>
    <w:rsid w:val="1D8316F5"/>
    <w:rsid w:val="1D8410A5"/>
    <w:rsid w:val="1D844C2F"/>
    <w:rsid w:val="1D84721B"/>
    <w:rsid w:val="1D864D41"/>
    <w:rsid w:val="1D886D0B"/>
    <w:rsid w:val="1D897121"/>
    <w:rsid w:val="1D994A74"/>
    <w:rsid w:val="1D9E208B"/>
    <w:rsid w:val="1D9F4824"/>
    <w:rsid w:val="1DB418AE"/>
    <w:rsid w:val="1DB45AE2"/>
    <w:rsid w:val="1DD737EE"/>
    <w:rsid w:val="1DD753AF"/>
    <w:rsid w:val="1DDC2BB3"/>
    <w:rsid w:val="1DE23F8D"/>
    <w:rsid w:val="1DE35CF5"/>
    <w:rsid w:val="1DE81558"/>
    <w:rsid w:val="1DEC706D"/>
    <w:rsid w:val="1DEE6320"/>
    <w:rsid w:val="1DFA0484"/>
    <w:rsid w:val="1E055C9E"/>
    <w:rsid w:val="1E0A7720"/>
    <w:rsid w:val="1E0D0FF4"/>
    <w:rsid w:val="1E0F0A85"/>
    <w:rsid w:val="1E1C7453"/>
    <w:rsid w:val="1E207B73"/>
    <w:rsid w:val="1E2D4F49"/>
    <w:rsid w:val="1E334B2F"/>
    <w:rsid w:val="1E397B74"/>
    <w:rsid w:val="1E3A2F21"/>
    <w:rsid w:val="1E3D7AF5"/>
    <w:rsid w:val="1E42510C"/>
    <w:rsid w:val="1E470974"/>
    <w:rsid w:val="1E4862CB"/>
    <w:rsid w:val="1E562965"/>
    <w:rsid w:val="1E5B04CD"/>
    <w:rsid w:val="1E601A36"/>
    <w:rsid w:val="1E635082"/>
    <w:rsid w:val="1E646060"/>
    <w:rsid w:val="1E6A74EE"/>
    <w:rsid w:val="1E6C3F37"/>
    <w:rsid w:val="1E6E72FA"/>
    <w:rsid w:val="1E82375A"/>
    <w:rsid w:val="1E8620F8"/>
    <w:rsid w:val="1E895CEE"/>
    <w:rsid w:val="1E8C6387"/>
    <w:rsid w:val="1E8D072E"/>
    <w:rsid w:val="1E91399D"/>
    <w:rsid w:val="1E990AA4"/>
    <w:rsid w:val="1E9952FE"/>
    <w:rsid w:val="1E9A4F48"/>
    <w:rsid w:val="1EA57D91"/>
    <w:rsid w:val="1EAA3478"/>
    <w:rsid w:val="1EB013BE"/>
    <w:rsid w:val="1EB07A86"/>
    <w:rsid w:val="1EB2279E"/>
    <w:rsid w:val="1EB4768C"/>
    <w:rsid w:val="1EC13614"/>
    <w:rsid w:val="1EC43D73"/>
    <w:rsid w:val="1ECE699F"/>
    <w:rsid w:val="1ED41526"/>
    <w:rsid w:val="1EFC175F"/>
    <w:rsid w:val="1F0136F8"/>
    <w:rsid w:val="1F01795F"/>
    <w:rsid w:val="1F1C1A13"/>
    <w:rsid w:val="1F1C595D"/>
    <w:rsid w:val="1F255754"/>
    <w:rsid w:val="1F274302"/>
    <w:rsid w:val="1F2D3DB4"/>
    <w:rsid w:val="1F3233D2"/>
    <w:rsid w:val="1F3C0C78"/>
    <w:rsid w:val="1F4A727D"/>
    <w:rsid w:val="1F550E6F"/>
    <w:rsid w:val="1F5C044F"/>
    <w:rsid w:val="1F6B2440"/>
    <w:rsid w:val="1F6B68E4"/>
    <w:rsid w:val="1F6F0AF9"/>
    <w:rsid w:val="1F7C63FB"/>
    <w:rsid w:val="1F804DC6"/>
    <w:rsid w:val="1F8A0112"/>
    <w:rsid w:val="1F8A4FBC"/>
    <w:rsid w:val="1F8B7238"/>
    <w:rsid w:val="1F9562A9"/>
    <w:rsid w:val="1F985608"/>
    <w:rsid w:val="1FA12306"/>
    <w:rsid w:val="1FA13A24"/>
    <w:rsid w:val="1FA62BF3"/>
    <w:rsid w:val="1FB27DE5"/>
    <w:rsid w:val="1FB65DB1"/>
    <w:rsid w:val="1FB75686"/>
    <w:rsid w:val="1FB77434"/>
    <w:rsid w:val="1FB84B14"/>
    <w:rsid w:val="1FC02472"/>
    <w:rsid w:val="1FC2787D"/>
    <w:rsid w:val="1FC35DD8"/>
    <w:rsid w:val="1FCA360B"/>
    <w:rsid w:val="1FCC4AAA"/>
    <w:rsid w:val="1FCD71AC"/>
    <w:rsid w:val="1FD55B0C"/>
    <w:rsid w:val="1FEF3071"/>
    <w:rsid w:val="1FFC7CC2"/>
    <w:rsid w:val="2000527E"/>
    <w:rsid w:val="20012DA5"/>
    <w:rsid w:val="20015A6D"/>
    <w:rsid w:val="200C3AA1"/>
    <w:rsid w:val="200D34F7"/>
    <w:rsid w:val="20126D60"/>
    <w:rsid w:val="20140D2A"/>
    <w:rsid w:val="20166850"/>
    <w:rsid w:val="201D477E"/>
    <w:rsid w:val="20210D51"/>
    <w:rsid w:val="202919CE"/>
    <w:rsid w:val="2029533F"/>
    <w:rsid w:val="202A5E57"/>
    <w:rsid w:val="2031368A"/>
    <w:rsid w:val="20313E68"/>
    <w:rsid w:val="20390790"/>
    <w:rsid w:val="20401B1F"/>
    <w:rsid w:val="20457135"/>
    <w:rsid w:val="20464691"/>
    <w:rsid w:val="204D5FEA"/>
    <w:rsid w:val="205253AE"/>
    <w:rsid w:val="20541126"/>
    <w:rsid w:val="20547378"/>
    <w:rsid w:val="205B4263"/>
    <w:rsid w:val="205B4D16"/>
    <w:rsid w:val="205E1FA5"/>
    <w:rsid w:val="20654C19"/>
    <w:rsid w:val="20686980"/>
    <w:rsid w:val="20692E24"/>
    <w:rsid w:val="206A26F8"/>
    <w:rsid w:val="206A30D6"/>
    <w:rsid w:val="206B546A"/>
    <w:rsid w:val="20713A86"/>
    <w:rsid w:val="20782AFD"/>
    <w:rsid w:val="2079142E"/>
    <w:rsid w:val="207E61A3"/>
    <w:rsid w:val="20801F1B"/>
    <w:rsid w:val="20825C93"/>
    <w:rsid w:val="208732AA"/>
    <w:rsid w:val="208927A0"/>
    <w:rsid w:val="20951ECE"/>
    <w:rsid w:val="20974516"/>
    <w:rsid w:val="20A96A99"/>
    <w:rsid w:val="20AC34E7"/>
    <w:rsid w:val="20AE211E"/>
    <w:rsid w:val="20AE4CDA"/>
    <w:rsid w:val="20B16F4C"/>
    <w:rsid w:val="20B5492D"/>
    <w:rsid w:val="20B83D70"/>
    <w:rsid w:val="20BE2C20"/>
    <w:rsid w:val="20C004F1"/>
    <w:rsid w:val="20C1210B"/>
    <w:rsid w:val="20C14C32"/>
    <w:rsid w:val="20C31E08"/>
    <w:rsid w:val="20C52024"/>
    <w:rsid w:val="20CB3924"/>
    <w:rsid w:val="20D90628"/>
    <w:rsid w:val="20DB2FF3"/>
    <w:rsid w:val="20E10703"/>
    <w:rsid w:val="20E24D63"/>
    <w:rsid w:val="20E56222"/>
    <w:rsid w:val="20E60F42"/>
    <w:rsid w:val="20EC75B1"/>
    <w:rsid w:val="20F31288"/>
    <w:rsid w:val="20F6042F"/>
    <w:rsid w:val="20FF594C"/>
    <w:rsid w:val="21004E0A"/>
    <w:rsid w:val="21034850"/>
    <w:rsid w:val="210448FA"/>
    <w:rsid w:val="210C37AF"/>
    <w:rsid w:val="2110329F"/>
    <w:rsid w:val="211441B8"/>
    <w:rsid w:val="2119526B"/>
    <w:rsid w:val="21220D3E"/>
    <w:rsid w:val="212A1E36"/>
    <w:rsid w:val="21332739"/>
    <w:rsid w:val="21350F58"/>
    <w:rsid w:val="21364C79"/>
    <w:rsid w:val="21387E7B"/>
    <w:rsid w:val="21464F13"/>
    <w:rsid w:val="214A3DCF"/>
    <w:rsid w:val="214C13B9"/>
    <w:rsid w:val="21535882"/>
    <w:rsid w:val="215F4227"/>
    <w:rsid w:val="21611D4D"/>
    <w:rsid w:val="21751354"/>
    <w:rsid w:val="21752A69"/>
    <w:rsid w:val="217A0240"/>
    <w:rsid w:val="217C182D"/>
    <w:rsid w:val="218461CF"/>
    <w:rsid w:val="2190618E"/>
    <w:rsid w:val="21934186"/>
    <w:rsid w:val="21974C34"/>
    <w:rsid w:val="219C5412"/>
    <w:rsid w:val="21A954A2"/>
    <w:rsid w:val="21AB00E8"/>
    <w:rsid w:val="21AB205E"/>
    <w:rsid w:val="21B87493"/>
    <w:rsid w:val="21BF1049"/>
    <w:rsid w:val="21BF72A1"/>
    <w:rsid w:val="21C02800"/>
    <w:rsid w:val="21C3592D"/>
    <w:rsid w:val="21C5052E"/>
    <w:rsid w:val="21C55F53"/>
    <w:rsid w:val="21C67E02"/>
    <w:rsid w:val="21C739A4"/>
    <w:rsid w:val="21CB5418"/>
    <w:rsid w:val="21D342CD"/>
    <w:rsid w:val="21D405CF"/>
    <w:rsid w:val="21DB6E7F"/>
    <w:rsid w:val="21DC50B7"/>
    <w:rsid w:val="21E861CC"/>
    <w:rsid w:val="21FC530F"/>
    <w:rsid w:val="22120EF4"/>
    <w:rsid w:val="222B78BA"/>
    <w:rsid w:val="223236E9"/>
    <w:rsid w:val="22356D36"/>
    <w:rsid w:val="224156DA"/>
    <w:rsid w:val="224A0A33"/>
    <w:rsid w:val="224D0EBF"/>
    <w:rsid w:val="224E6146"/>
    <w:rsid w:val="22513B6F"/>
    <w:rsid w:val="22563FE2"/>
    <w:rsid w:val="225818BF"/>
    <w:rsid w:val="225A2932"/>
    <w:rsid w:val="22600A35"/>
    <w:rsid w:val="22617B2B"/>
    <w:rsid w:val="2268710B"/>
    <w:rsid w:val="226F6BC0"/>
    <w:rsid w:val="22851A6B"/>
    <w:rsid w:val="22863542"/>
    <w:rsid w:val="228A7081"/>
    <w:rsid w:val="2299772B"/>
    <w:rsid w:val="229A263B"/>
    <w:rsid w:val="22A60671"/>
    <w:rsid w:val="22A84E37"/>
    <w:rsid w:val="22B4304D"/>
    <w:rsid w:val="22BF5A51"/>
    <w:rsid w:val="22C7400A"/>
    <w:rsid w:val="22C95DFC"/>
    <w:rsid w:val="22CC769A"/>
    <w:rsid w:val="22D63E70"/>
    <w:rsid w:val="22E64C5B"/>
    <w:rsid w:val="22E90B51"/>
    <w:rsid w:val="22EB5599"/>
    <w:rsid w:val="22EF5136"/>
    <w:rsid w:val="22F16BE4"/>
    <w:rsid w:val="22F44F68"/>
    <w:rsid w:val="230010F2"/>
    <w:rsid w:val="23021720"/>
    <w:rsid w:val="230230BC"/>
    <w:rsid w:val="230D784D"/>
    <w:rsid w:val="231064EB"/>
    <w:rsid w:val="23130E25"/>
    <w:rsid w:val="231C6D05"/>
    <w:rsid w:val="231F3C6E"/>
    <w:rsid w:val="232272BA"/>
    <w:rsid w:val="232741BD"/>
    <w:rsid w:val="232A616E"/>
    <w:rsid w:val="232B2612"/>
    <w:rsid w:val="233A2E59"/>
    <w:rsid w:val="233E0596"/>
    <w:rsid w:val="233F60BE"/>
    <w:rsid w:val="23403BE4"/>
    <w:rsid w:val="234447CD"/>
    <w:rsid w:val="234A68AA"/>
    <w:rsid w:val="2352623A"/>
    <w:rsid w:val="23571C84"/>
    <w:rsid w:val="235949C4"/>
    <w:rsid w:val="23594B35"/>
    <w:rsid w:val="23655DFC"/>
    <w:rsid w:val="236E69A3"/>
    <w:rsid w:val="237240DB"/>
    <w:rsid w:val="237C2E6E"/>
    <w:rsid w:val="237F64BA"/>
    <w:rsid w:val="23815AAD"/>
    <w:rsid w:val="2382654D"/>
    <w:rsid w:val="23843AD1"/>
    <w:rsid w:val="238B30B1"/>
    <w:rsid w:val="238B509A"/>
    <w:rsid w:val="2398757C"/>
    <w:rsid w:val="239D1036"/>
    <w:rsid w:val="23A81EB5"/>
    <w:rsid w:val="23A83C63"/>
    <w:rsid w:val="23B1063E"/>
    <w:rsid w:val="23B4085A"/>
    <w:rsid w:val="23BD591B"/>
    <w:rsid w:val="23C24F7E"/>
    <w:rsid w:val="23C44815"/>
    <w:rsid w:val="23D20CE0"/>
    <w:rsid w:val="23DE58D7"/>
    <w:rsid w:val="23E71185"/>
    <w:rsid w:val="23E80503"/>
    <w:rsid w:val="23EA5690"/>
    <w:rsid w:val="23F30C56"/>
    <w:rsid w:val="23F437C8"/>
    <w:rsid w:val="240032D4"/>
    <w:rsid w:val="24064BC6"/>
    <w:rsid w:val="24092228"/>
    <w:rsid w:val="240E2941"/>
    <w:rsid w:val="24100D5B"/>
    <w:rsid w:val="241035B6"/>
    <w:rsid w:val="242332EA"/>
    <w:rsid w:val="24233AAA"/>
    <w:rsid w:val="2432352D"/>
    <w:rsid w:val="243F4D56"/>
    <w:rsid w:val="24401886"/>
    <w:rsid w:val="244157BB"/>
    <w:rsid w:val="24424E18"/>
    <w:rsid w:val="244A6AC8"/>
    <w:rsid w:val="24537BF4"/>
    <w:rsid w:val="2455546D"/>
    <w:rsid w:val="24596D0B"/>
    <w:rsid w:val="245B76D1"/>
    <w:rsid w:val="246A42CA"/>
    <w:rsid w:val="246D68B4"/>
    <w:rsid w:val="246D6C5B"/>
    <w:rsid w:val="247240E4"/>
    <w:rsid w:val="247F5D13"/>
    <w:rsid w:val="24883A94"/>
    <w:rsid w:val="248F4E23"/>
    <w:rsid w:val="24A00092"/>
    <w:rsid w:val="24A106B2"/>
    <w:rsid w:val="24A20CE8"/>
    <w:rsid w:val="24A563F4"/>
    <w:rsid w:val="24A73F1B"/>
    <w:rsid w:val="24AA2584"/>
    <w:rsid w:val="24AE2274"/>
    <w:rsid w:val="24B16B47"/>
    <w:rsid w:val="24BF7AF3"/>
    <w:rsid w:val="24C26FA6"/>
    <w:rsid w:val="24D2380E"/>
    <w:rsid w:val="24D54DB0"/>
    <w:rsid w:val="24DD44A9"/>
    <w:rsid w:val="24E0216B"/>
    <w:rsid w:val="24E46F1D"/>
    <w:rsid w:val="24E625D6"/>
    <w:rsid w:val="24E9072C"/>
    <w:rsid w:val="24EA2059"/>
    <w:rsid w:val="24EC5DD1"/>
    <w:rsid w:val="24F82B87"/>
    <w:rsid w:val="24FD7FDE"/>
    <w:rsid w:val="24FE78B3"/>
    <w:rsid w:val="25056E93"/>
    <w:rsid w:val="25072C0B"/>
    <w:rsid w:val="25105740"/>
    <w:rsid w:val="2514705E"/>
    <w:rsid w:val="2524556B"/>
    <w:rsid w:val="25407ECB"/>
    <w:rsid w:val="25441769"/>
    <w:rsid w:val="254A1B42"/>
    <w:rsid w:val="254C1482"/>
    <w:rsid w:val="25511EB6"/>
    <w:rsid w:val="257F61AC"/>
    <w:rsid w:val="25900E53"/>
    <w:rsid w:val="259124D5"/>
    <w:rsid w:val="25922D54"/>
    <w:rsid w:val="2595516C"/>
    <w:rsid w:val="259879AE"/>
    <w:rsid w:val="259D531E"/>
    <w:rsid w:val="25A272D2"/>
    <w:rsid w:val="25AA7CDE"/>
    <w:rsid w:val="25AE12D9"/>
    <w:rsid w:val="25B47D8D"/>
    <w:rsid w:val="25B82C5F"/>
    <w:rsid w:val="25BD2CE7"/>
    <w:rsid w:val="25C05DF8"/>
    <w:rsid w:val="25C66622"/>
    <w:rsid w:val="25C90E6F"/>
    <w:rsid w:val="25D27E7B"/>
    <w:rsid w:val="25D80104"/>
    <w:rsid w:val="25DF7D9C"/>
    <w:rsid w:val="25E76599"/>
    <w:rsid w:val="25E777B3"/>
    <w:rsid w:val="25EF3DCB"/>
    <w:rsid w:val="25F86609"/>
    <w:rsid w:val="260B04D9"/>
    <w:rsid w:val="261965FA"/>
    <w:rsid w:val="261A696E"/>
    <w:rsid w:val="261F5D33"/>
    <w:rsid w:val="26207390"/>
    <w:rsid w:val="2629095F"/>
    <w:rsid w:val="262D48F3"/>
    <w:rsid w:val="262F6807"/>
    <w:rsid w:val="26353CC9"/>
    <w:rsid w:val="263C3A44"/>
    <w:rsid w:val="26435EC5"/>
    <w:rsid w:val="26492DAF"/>
    <w:rsid w:val="264A1001"/>
    <w:rsid w:val="264D6441"/>
    <w:rsid w:val="265754CC"/>
    <w:rsid w:val="265E685B"/>
    <w:rsid w:val="26700C16"/>
    <w:rsid w:val="267918E7"/>
    <w:rsid w:val="268A7650"/>
    <w:rsid w:val="268F4C66"/>
    <w:rsid w:val="26926505"/>
    <w:rsid w:val="2696419A"/>
    <w:rsid w:val="269815C4"/>
    <w:rsid w:val="269F173D"/>
    <w:rsid w:val="26A1499A"/>
    <w:rsid w:val="26A56238"/>
    <w:rsid w:val="26A61FB0"/>
    <w:rsid w:val="26AD56A2"/>
    <w:rsid w:val="26BA730E"/>
    <w:rsid w:val="26BD14E9"/>
    <w:rsid w:val="26DB434F"/>
    <w:rsid w:val="26E53F53"/>
    <w:rsid w:val="26E61628"/>
    <w:rsid w:val="26EB1117"/>
    <w:rsid w:val="26F3796C"/>
    <w:rsid w:val="26F937E6"/>
    <w:rsid w:val="26FE1DEC"/>
    <w:rsid w:val="2705317A"/>
    <w:rsid w:val="270964D5"/>
    <w:rsid w:val="270B3433"/>
    <w:rsid w:val="270F5DA7"/>
    <w:rsid w:val="27140311"/>
    <w:rsid w:val="27141BEE"/>
    <w:rsid w:val="27144105"/>
    <w:rsid w:val="271A6966"/>
    <w:rsid w:val="271B299E"/>
    <w:rsid w:val="27217726"/>
    <w:rsid w:val="272D1633"/>
    <w:rsid w:val="273B094A"/>
    <w:rsid w:val="273E5664"/>
    <w:rsid w:val="274076DB"/>
    <w:rsid w:val="274C0DA9"/>
    <w:rsid w:val="274D41DE"/>
    <w:rsid w:val="274F2171"/>
    <w:rsid w:val="27514612"/>
    <w:rsid w:val="27532138"/>
    <w:rsid w:val="27576182"/>
    <w:rsid w:val="275E0F3C"/>
    <w:rsid w:val="27644345"/>
    <w:rsid w:val="27656BD3"/>
    <w:rsid w:val="27693709"/>
    <w:rsid w:val="27693B39"/>
    <w:rsid w:val="27694F1D"/>
    <w:rsid w:val="276F7DBD"/>
    <w:rsid w:val="27724B77"/>
    <w:rsid w:val="27772CF5"/>
    <w:rsid w:val="27797DE0"/>
    <w:rsid w:val="277A238F"/>
    <w:rsid w:val="27836B4A"/>
    <w:rsid w:val="27870033"/>
    <w:rsid w:val="278D208C"/>
    <w:rsid w:val="27922E3B"/>
    <w:rsid w:val="279271FC"/>
    <w:rsid w:val="27956CD8"/>
    <w:rsid w:val="27965B8B"/>
    <w:rsid w:val="27983FEE"/>
    <w:rsid w:val="279D1605"/>
    <w:rsid w:val="279D33B3"/>
    <w:rsid w:val="279F712B"/>
    <w:rsid w:val="27AF5F7F"/>
    <w:rsid w:val="27C90259"/>
    <w:rsid w:val="27D33279"/>
    <w:rsid w:val="27D8263D"/>
    <w:rsid w:val="27DD7C53"/>
    <w:rsid w:val="27E923A6"/>
    <w:rsid w:val="27EA3E51"/>
    <w:rsid w:val="27F05935"/>
    <w:rsid w:val="27F51441"/>
    <w:rsid w:val="27F632DD"/>
    <w:rsid w:val="27F975CB"/>
    <w:rsid w:val="27FA0805"/>
    <w:rsid w:val="27FA6A57"/>
    <w:rsid w:val="2801093C"/>
    <w:rsid w:val="280C265D"/>
    <w:rsid w:val="280F02B1"/>
    <w:rsid w:val="28186EDD"/>
    <w:rsid w:val="28247630"/>
    <w:rsid w:val="282657F7"/>
    <w:rsid w:val="282D4176"/>
    <w:rsid w:val="283F5857"/>
    <w:rsid w:val="28514BDE"/>
    <w:rsid w:val="2858552C"/>
    <w:rsid w:val="2859377E"/>
    <w:rsid w:val="285C14C0"/>
    <w:rsid w:val="285C326E"/>
    <w:rsid w:val="285C7BC6"/>
    <w:rsid w:val="285D2B42"/>
    <w:rsid w:val="285E0D94"/>
    <w:rsid w:val="285F1B20"/>
    <w:rsid w:val="285F68BA"/>
    <w:rsid w:val="28620159"/>
    <w:rsid w:val="28626741"/>
    <w:rsid w:val="286363AA"/>
    <w:rsid w:val="286861C3"/>
    <w:rsid w:val="286E52A5"/>
    <w:rsid w:val="28710B0E"/>
    <w:rsid w:val="28732DD2"/>
    <w:rsid w:val="28754330"/>
    <w:rsid w:val="287C01BD"/>
    <w:rsid w:val="287C4933"/>
    <w:rsid w:val="287F59EE"/>
    <w:rsid w:val="28812CD5"/>
    <w:rsid w:val="288610ED"/>
    <w:rsid w:val="2887456A"/>
    <w:rsid w:val="288E0F4E"/>
    <w:rsid w:val="28920A3E"/>
    <w:rsid w:val="28940C5A"/>
    <w:rsid w:val="28990AF5"/>
    <w:rsid w:val="28AC7146"/>
    <w:rsid w:val="28AD1D1C"/>
    <w:rsid w:val="28C30148"/>
    <w:rsid w:val="28C452EB"/>
    <w:rsid w:val="28CD7CC8"/>
    <w:rsid w:val="28CE5BC0"/>
    <w:rsid w:val="28D86C53"/>
    <w:rsid w:val="28D9041B"/>
    <w:rsid w:val="28E12EEC"/>
    <w:rsid w:val="28E219C5"/>
    <w:rsid w:val="28EB3D47"/>
    <w:rsid w:val="28F039B6"/>
    <w:rsid w:val="28F05B32"/>
    <w:rsid w:val="28F74D45"/>
    <w:rsid w:val="28FB5714"/>
    <w:rsid w:val="28FC2B68"/>
    <w:rsid w:val="29080D00"/>
    <w:rsid w:val="290B259E"/>
    <w:rsid w:val="290D27BA"/>
    <w:rsid w:val="290F42BC"/>
    <w:rsid w:val="29106245"/>
    <w:rsid w:val="291131F8"/>
    <w:rsid w:val="291204B3"/>
    <w:rsid w:val="29147CD7"/>
    <w:rsid w:val="29172B11"/>
    <w:rsid w:val="291853E7"/>
    <w:rsid w:val="29223179"/>
    <w:rsid w:val="292313E1"/>
    <w:rsid w:val="29237292"/>
    <w:rsid w:val="29256EDA"/>
    <w:rsid w:val="292F2731"/>
    <w:rsid w:val="29395AD1"/>
    <w:rsid w:val="29415547"/>
    <w:rsid w:val="294A768D"/>
    <w:rsid w:val="294B33A8"/>
    <w:rsid w:val="29523F82"/>
    <w:rsid w:val="295B3526"/>
    <w:rsid w:val="29607ADA"/>
    <w:rsid w:val="29712D49"/>
    <w:rsid w:val="29730EAB"/>
    <w:rsid w:val="297529B6"/>
    <w:rsid w:val="29780EC3"/>
    <w:rsid w:val="297F63E2"/>
    <w:rsid w:val="29811004"/>
    <w:rsid w:val="29824F56"/>
    <w:rsid w:val="298B39A7"/>
    <w:rsid w:val="29915762"/>
    <w:rsid w:val="29916F47"/>
    <w:rsid w:val="29946A38"/>
    <w:rsid w:val="29997386"/>
    <w:rsid w:val="299D3B3E"/>
    <w:rsid w:val="29AA4023"/>
    <w:rsid w:val="29B029E9"/>
    <w:rsid w:val="29B10B3F"/>
    <w:rsid w:val="29B80978"/>
    <w:rsid w:val="29BA649E"/>
    <w:rsid w:val="29CA2459"/>
    <w:rsid w:val="29D506B9"/>
    <w:rsid w:val="29D532D8"/>
    <w:rsid w:val="29DB4666"/>
    <w:rsid w:val="29DD218D"/>
    <w:rsid w:val="29DE55FF"/>
    <w:rsid w:val="29DF3D43"/>
    <w:rsid w:val="29E277A3"/>
    <w:rsid w:val="29EC23D0"/>
    <w:rsid w:val="29FF498C"/>
    <w:rsid w:val="2A00613A"/>
    <w:rsid w:val="2A0D0CC4"/>
    <w:rsid w:val="2A0F172D"/>
    <w:rsid w:val="2A1060BE"/>
    <w:rsid w:val="2A1536D4"/>
    <w:rsid w:val="2A1A6F3D"/>
    <w:rsid w:val="2A1C2CB5"/>
    <w:rsid w:val="2A241B69"/>
    <w:rsid w:val="2A3B1864"/>
    <w:rsid w:val="2A456589"/>
    <w:rsid w:val="2A4A6D03"/>
    <w:rsid w:val="2A4B359A"/>
    <w:rsid w:val="2A5B4807"/>
    <w:rsid w:val="2A652B1C"/>
    <w:rsid w:val="2A7C4806"/>
    <w:rsid w:val="2A7E5CC0"/>
    <w:rsid w:val="2A7F4FF2"/>
    <w:rsid w:val="2A82385B"/>
    <w:rsid w:val="2A837B23"/>
    <w:rsid w:val="2A845E7D"/>
    <w:rsid w:val="2A9071FF"/>
    <w:rsid w:val="2A985DA7"/>
    <w:rsid w:val="2AA64C74"/>
    <w:rsid w:val="2AAB4039"/>
    <w:rsid w:val="2AB63109"/>
    <w:rsid w:val="2AB66F6B"/>
    <w:rsid w:val="2AB7478C"/>
    <w:rsid w:val="2ABB3459"/>
    <w:rsid w:val="2ABC7FF4"/>
    <w:rsid w:val="2ABF7AE4"/>
    <w:rsid w:val="2AC46B39"/>
    <w:rsid w:val="2AC5334C"/>
    <w:rsid w:val="2AC62C21"/>
    <w:rsid w:val="2AC944BF"/>
    <w:rsid w:val="2ADA3B97"/>
    <w:rsid w:val="2ADE0C2E"/>
    <w:rsid w:val="2AEE7C7D"/>
    <w:rsid w:val="2AF21C68"/>
    <w:rsid w:val="2AF33558"/>
    <w:rsid w:val="2AF51085"/>
    <w:rsid w:val="2AF754D0"/>
    <w:rsid w:val="2AFC6642"/>
    <w:rsid w:val="2AFE23BA"/>
    <w:rsid w:val="2AFF1E1F"/>
    <w:rsid w:val="2B0717DF"/>
    <w:rsid w:val="2B0A5203"/>
    <w:rsid w:val="2B16314B"/>
    <w:rsid w:val="2B175A2B"/>
    <w:rsid w:val="2B230073"/>
    <w:rsid w:val="2B287437"/>
    <w:rsid w:val="2B2A1401"/>
    <w:rsid w:val="2B4008AA"/>
    <w:rsid w:val="2B45623B"/>
    <w:rsid w:val="2B4D4A0F"/>
    <w:rsid w:val="2B4F3C9D"/>
    <w:rsid w:val="2B512E32"/>
    <w:rsid w:val="2B53670E"/>
    <w:rsid w:val="2B591CE7"/>
    <w:rsid w:val="2B613833"/>
    <w:rsid w:val="2B620B9B"/>
    <w:rsid w:val="2B622B1C"/>
    <w:rsid w:val="2B667F60"/>
    <w:rsid w:val="2B6739C3"/>
    <w:rsid w:val="2B6F32B8"/>
    <w:rsid w:val="2B710DDE"/>
    <w:rsid w:val="2B77780F"/>
    <w:rsid w:val="2B7B1662"/>
    <w:rsid w:val="2B8054C5"/>
    <w:rsid w:val="2B8C17C6"/>
    <w:rsid w:val="2B911481"/>
    <w:rsid w:val="2BA024ED"/>
    <w:rsid w:val="2BAF4C77"/>
    <w:rsid w:val="2BB92785"/>
    <w:rsid w:val="2BBD2055"/>
    <w:rsid w:val="2BC5737C"/>
    <w:rsid w:val="2BCE7FDF"/>
    <w:rsid w:val="2BD001FB"/>
    <w:rsid w:val="2BDA2E28"/>
    <w:rsid w:val="2BE85785"/>
    <w:rsid w:val="2BEC66B7"/>
    <w:rsid w:val="2C09185D"/>
    <w:rsid w:val="2C0B7DF0"/>
    <w:rsid w:val="2C0E274C"/>
    <w:rsid w:val="2C105424"/>
    <w:rsid w:val="2C1864B9"/>
    <w:rsid w:val="2C297C48"/>
    <w:rsid w:val="2C300C99"/>
    <w:rsid w:val="2C3042EA"/>
    <w:rsid w:val="2C464019"/>
    <w:rsid w:val="2C4B162F"/>
    <w:rsid w:val="2C5466FC"/>
    <w:rsid w:val="2C567BB3"/>
    <w:rsid w:val="2C5801F0"/>
    <w:rsid w:val="2C597F25"/>
    <w:rsid w:val="2C5B3022"/>
    <w:rsid w:val="2C5C4E15"/>
    <w:rsid w:val="2C5C5FE3"/>
    <w:rsid w:val="2C680433"/>
    <w:rsid w:val="2C701096"/>
    <w:rsid w:val="2C714E0E"/>
    <w:rsid w:val="2C7566AC"/>
    <w:rsid w:val="2C7F39CF"/>
    <w:rsid w:val="2C8B6E08"/>
    <w:rsid w:val="2C8E776E"/>
    <w:rsid w:val="2CA23219"/>
    <w:rsid w:val="2CA70830"/>
    <w:rsid w:val="2CB12100"/>
    <w:rsid w:val="2CB5119F"/>
    <w:rsid w:val="2CB573F1"/>
    <w:rsid w:val="2CBC6189"/>
    <w:rsid w:val="2CC64572"/>
    <w:rsid w:val="2CC66F08"/>
    <w:rsid w:val="2CD14882"/>
    <w:rsid w:val="2CE93835"/>
    <w:rsid w:val="2CF05003"/>
    <w:rsid w:val="2CF3753A"/>
    <w:rsid w:val="2D045637"/>
    <w:rsid w:val="2D09306A"/>
    <w:rsid w:val="2D143511"/>
    <w:rsid w:val="2D1F5163"/>
    <w:rsid w:val="2D2760DA"/>
    <w:rsid w:val="2D320A41"/>
    <w:rsid w:val="2D3E73E6"/>
    <w:rsid w:val="2D41036A"/>
    <w:rsid w:val="2D4254F8"/>
    <w:rsid w:val="2D4477EE"/>
    <w:rsid w:val="2D455343"/>
    <w:rsid w:val="2D482D83"/>
    <w:rsid w:val="2D4F19D0"/>
    <w:rsid w:val="2D566DA8"/>
    <w:rsid w:val="2D597D7C"/>
    <w:rsid w:val="2D7352E2"/>
    <w:rsid w:val="2D7B000F"/>
    <w:rsid w:val="2D7D77CA"/>
    <w:rsid w:val="2D7E7EA2"/>
    <w:rsid w:val="2D806488"/>
    <w:rsid w:val="2D83129D"/>
    <w:rsid w:val="2D8C0151"/>
    <w:rsid w:val="2D8F7C42"/>
    <w:rsid w:val="2D9516CD"/>
    <w:rsid w:val="2DAE6D54"/>
    <w:rsid w:val="2DB11BBA"/>
    <w:rsid w:val="2DB906C1"/>
    <w:rsid w:val="2DB94CBF"/>
    <w:rsid w:val="2DC41DAC"/>
    <w:rsid w:val="2DC53269"/>
    <w:rsid w:val="2DC5361A"/>
    <w:rsid w:val="2DC84F02"/>
    <w:rsid w:val="2DD108D9"/>
    <w:rsid w:val="2DD41AF8"/>
    <w:rsid w:val="2DD4300E"/>
    <w:rsid w:val="2DDF7346"/>
    <w:rsid w:val="2DE0049D"/>
    <w:rsid w:val="2DF91807"/>
    <w:rsid w:val="2DFD104F"/>
    <w:rsid w:val="2E024503"/>
    <w:rsid w:val="2E057F04"/>
    <w:rsid w:val="2E093550"/>
    <w:rsid w:val="2E097F8A"/>
    <w:rsid w:val="2E0A551A"/>
    <w:rsid w:val="2E175D83"/>
    <w:rsid w:val="2E1819E5"/>
    <w:rsid w:val="2E214A56"/>
    <w:rsid w:val="2E2C723F"/>
    <w:rsid w:val="2E3014D6"/>
    <w:rsid w:val="2E373AE6"/>
    <w:rsid w:val="2E3747BF"/>
    <w:rsid w:val="2E3D636F"/>
    <w:rsid w:val="2E413F38"/>
    <w:rsid w:val="2E5642BC"/>
    <w:rsid w:val="2E652751"/>
    <w:rsid w:val="2E666BF4"/>
    <w:rsid w:val="2E666CF2"/>
    <w:rsid w:val="2E74441E"/>
    <w:rsid w:val="2E7B2A71"/>
    <w:rsid w:val="2E7D0881"/>
    <w:rsid w:val="2E7D7A9A"/>
    <w:rsid w:val="2E823302"/>
    <w:rsid w:val="2E876B6B"/>
    <w:rsid w:val="2E896CB0"/>
    <w:rsid w:val="2EA161B8"/>
    <w:rsid w:val="2EA2662E"/>
    <w:rsid w:val="2EA8720D"/>
    <w:rsid w:val="2EAE7056"/>
    <w:rsid w:val="2EB931C8"/>
    <w:rsid w:val="2EBF00B3"/>
    <w:rsid w:val="2EBF6A4D"/>
    <w:rsid w:val="2EC14611"/>
    <w:rsid w:val="2EC93613"/>
    <w:rsid w:val="2EC97183"/>
    <w:rsid w:val="2ECA6749"/>
    <w:rsid w:val="2ED469B6"/>
    <w:rsid w:val="2ED81ADC"/>
    <w:rsid w:val="2EE47B19"/>
    <w:rsid w:val="2EE852E1"/>
    <w:rsid w:val="2EED4AA2"/>
    <w:rsid w:val="2EFC4E63"/>
    <w:rsid w:val="2EFD54E9"/>
    <w:rsid w:val="2F01649B"/>
    <w:rsid w:val="2F1403FE"/>
    <w:rsid w:val="2F152242"/>
    <w:rsid w:val="2F1D7684"/>
    <w:rsid w:val="2F1F4CE5"/>
    <w:rsid w:val="2F1F63D3"/>
    <w:rsid w:val="2F215A85"/>
    <w:rsid w:val="2F285C58"/>
    <w:rsid w:val="2F34294E"/>
    <w:rsid w:val="2F3565C7"/>
    <w:rsid w:val="2F3D07E8"/>
    <w:rsid w:val="2F3D0E38"/>
    <w:rsid w:val="2F4131BE"/>
    <w:rsid w:val="2F566C69"/>
    <w:rsid w:val="2F58148F"/>
    <w:rsid w:val="2F6173BC"/>
    <w:rsid w:val="2F642A08"/>
    <w:rsid w:val="2F6442A6"/>
    <w:rsid w:val="2F65220E"/>
    <w:rsid w:val="2F663BF8"/>
    <w:rsid w:val="2F68699C"/>
    <w:rsid w:val="2F6F45FC"/>
    <w:rsid w:val="2F7013AD"/>
    <w:rsid w:val="2F792957"/>
    <w:rsid w:val="2F794705"/>
    <w:rsid w:val="2F7964B4"/>
    <w:rsid w:val="2F854E58"/>
    <w:rsid w:val="2F860BD0"/>
    <w:rsid w:val="2F994DA8"/>
    <w:rsid w:val="2F9F4A06"/>
    <w:rsid w:val="2FA0007A"/>
    <w:rsid w:val="2FA15CAB"/>
    <w:rsid w:val="2FA36539"/>
    <w:rsid w:val="2FAF1ED5"/>
    <w:rsid w:val="2FB715F3"/>
    <w:rsid w:val="2FB9471D"/>
    <w:rsid w:val="2FC16D53"/>
    <w:rsid w:val="2FC57B6E"/>
    <w:rsid w:val="2FCC0CD9"/>
    <w:rsid w:val="2FD30FB9"/>
    <w:rsid w:val="2FDE27BA"/>
    <w:rsid w:val="2FE25779"/>
    <w:rsid w:val="2FED78BE"/>
    <w:rsid w:val="2FF535C3"/>
    <w:rsid w:val="2FFB4856"/>
    <w:rsid w:val="30030473"/>
    <w:rsid w:val="300E2CF5"/>
    <w:rsid w:val="30122CCE"/>
    <w:rsid w:val="301508B6"/>
    <w:rsid w:val="301D33E3"/>
    <w:rsid w:val="30204B81"/>
    <w:rsid w:val="302132D1"/>
    <w:rsid w:val="30300320"/>
    <w:rsid w:val="303643A5"/>
    <w:rsid w:val="3038636F"/>
    <w:rsid w:val="304940D8"/>
    <w:rsid w:val="304A7E50"/>
    <w:rsid w:val="3050788F"/>
    <w:rsid w:val="30542A7D"/>
    <w:rsid w:val="305667F5"/>
    <w:rsid w:val="305B1053"/>
    <w:rsid w:val="305D0430"/>
    <w:rsid w:val="305E4CC4"/>
    <w:rsid w:val="305F3029"/>
    <w:rsid w:val="30696528"/>
    <w:rsid w:val="307B15A7"/>
    <w:rsid w:val="307C26FF"/>
    <w:rsid w:val="307D6477"/>
    <w:rsid w:val="30847A39"/>
    <w:rsid w:val="30850E88"/>
    <w:rsid w:val="308C66BA"/>
    <w:rsid w:val="308D1A99"/>
    <w:rsid w:val="308E5F8F"/>
    <w:rsid w:val="30907F59"/>
    <w:rsid w:val="30963095"/>
    <w:rsid w:val="30A34066"/>
    <w:rsid w:val="30AE52FE"/>
    <w:rsid w:val="30C85B92"/>
    <w:rsid w:val="30CE5DA2"/>
    <w:rsid w:val="30DF47AA"/>
    <w:rsid w:val="31055EAD"/>
    <w:rsid w:val="31091D0B"/>
    <w:rsid w:val="311A734D"/>
    <w:rsid w:val="31216E03"/>
    <w:rsid w:val="31244B7C"/>
    <w:rsid w:val="31264419"/>
    <w:rsid w:val="31293F09"/>
    <w:rsid w:val="312A215B"/>
    <w:rsid w:val="313528AE"/>
    <w:rsid w:val="3135465C"/>
    <w:rsid w:val="31402388"/>
    <w:rsid w:val="31436D79"/>
    <w:rsid w:val="314825E1"/>
    <w:rsid w:val="31496359"/>
    <w:rsid w:val="314D7BF8"/>
    <w:rsid w:val="315009A2"/>
    <w:rsid w:val="3157644A"/>
    <w:rsid w:val="31592A40"/>
    <w:rsid w:val="315F792B"/>
    <w:rsid w:val="31605B7D"/>
    <w:rsid w:val="3166494C"/>
    <w:rsid w:val="31682C84"/>
    <w:rsid w:val="316B2774"/>
    <w:rsid w:val="31703B9E"/>
    <w:rsid w:val="31744DC4"/>
    <w:rsid w:val="31750EFD"/>
    <w:rsid w:val="31774C75"/>
    <w:rsid w:val="3183186B"/>
    <w:rsid w:val="318D6246"/>
    <w:rsid w:val="3192385D"/>
    <w:rsid w:val="31984B67"/>
    <w:rsid w:val="319C46DB"/>
    <w:rsid w:val="31A517E2"/>
    <w:rsid w:val="31AA0972"/>
    <w:rsid w:val="31AA504A"/>
    <w:rsid w:val="31B1462B"/>
    <w:rsid w:val="31B47C77"/>
    <w:rsid w:val="31B9703B"/>
    <w:rsid w:val="31BF0C8F"/>
    <w:rsid w:val="31BF543B"/>
    <w:rsid w:val="31C0661C"/>
    <w:rsid w:val="31D16A7B"/>
    <w:rsid w:val="31D803A4"/>
    <w:rsid w:val="31E367AE"/>
    <w:rsid w:val="31EE4BAA"/>
    <w:rsid w:val="31F2254D"/>
    <w:rsid w:val="31F5436E"/>
    <w:rsid w:val="31FC517A"/>
    <w:rsid w:val="320107D3"/>
    <w:rsid w:val="32017CE3"/>
    <w:rsid w:val="32047242"/>
    <w:rsid w:val="32056724"/>
    <w:rsid w:val="32090D5E"/>
    <w:rsid w:val="320E1310"/>
    <w:rsid w:val="322272D6"/>
    <w:rsid w:val="32243194"/>
    <w:rsid w:val="32293461"/>
    <w:rsid w:val="323668DE"/>
    <w:rsid w:val="3239017C"/>
    <w:rsid w:val="323E38D2"/>
    <w:rsid w:val="32470AEB"/>
    <w:rsid w:val="324C4353"/>
    <w:rsid w:val="324E00CB"/>
    <w:rsid w:val="32546D64"/>
    <w:rsid w:val="32562ADC"/>
    <w:rsid w:val="325C79B4"/>
    <w:rsid w:val="32630C08"/>
    <w:rsid w:val="3263631F"/>
    <w:rsid w:val="32650F71"/>
    <w:rsid w:val="326E7E26"/>
    <w:rsid w:val="32700E61"/>
    <w:rsid w:val="32717916"/>
    <w:rsid w:val="327242F9"/>
    <w:rsid w:val="32747406"/>
    <w:rsid w:val="32751552"/>
    <w:rsid w:val="32911D66"/>
    <w:rsid w:val="329449DE"/>
    <w:rsid w:val="32952EAB"/>
    <w:rsid w:val="32957AA8"/>
    <w:rsid w:val="329E2C95"/>
    <w:rsid w:val="329F394D"/>
    <w:rsid w:val="329F5FB7"/>
    <w:rsid w:val="32A0644D"/>
    <w:rsid w:val="32A355BC"/>
    <w:rsid w:val="32A7158A"/>
    <w:rsid w:val="32A93554"/>
    <w:rsid w:val="32A95302"/>
    <w:rsid w:val="32AE0B6A"/>
    <w:rsid w:val="32BA750F"/>
    <w:rsid w:val="32C00D78"/>
    <w:rsid w:val="32C4213C"/>
    <w:rsid w:val="32D11EE7"/>
    <w:rsid w:val="32D53264"/>
    <w:rsid w:val="32D54349"/>
    <w:rsid w:val="32D61E6F"/>
    <w:rsid w:val="32F742BF"/>
    <w:rsid w:val="32F81DE5"/>
    <w:rsid w:val="33064502"/>
    <w:rsid w:val="330C5891"/>
    <w:rsid w:val="330F1D33"/>
    <w:rsid w:val="330F350A"/>
    <w:rsid w:val="331A1D5C"/>
    <w:rsid w:val="331F3816"/>
    <w:rsid w:val="33222A9A"/>
    <w:rsid w:val="332570B0"/>
    <w:rsid w:val="3328091C"/>
    <w:rsid w:val="332D1CBE"/>
    <w:rsid w:val="33311883"/>
    <w:rsid w:val="3333106F"/>
    <w:rsid w:val="333332E1"/>
    <w:rsid w:val="33347687"/>
    <w:rsid w:val="33354DE7"/>
    <w:rsid w:val="33386686"/>
    <w:rsid w:val="333E48AD"/>
    <w:rsid w:val="33435D00"/>
    <w:rsid w:val="33480719"/>
    <w:rsid w:val="33527747"/>
    <w:rsid w:val="335A65FC"/>
    <w:rsid w:val="335C05C6"/>
    <w:rsid w:val="33686F6B"/>
    <w:rsid w:val="336B7E4A"/>
    <w:rsid w:val="336D27D3"/>
    <w:rsid w:val="336F38F7"/>
    <w:rsid w:val="3370375F"/>
    <w:rsid w:val="337A6C9E"/>
    <w:rsid w:val="337E053C"/>
    <w:rsid w:val="33823315"/>
    <w:rsid w:val="338673F1"/>
    <w:rsid w:val="3393648E"/>
    <w:rsid w:val="339A10EE"/>
    <w:rsid w:val="339C412A"/>
    <w:rsid w:val="339D5261"/>
    <w:rsid w:val="33A24189"/>
    <w:rsid w:val="33AF6CB8"/>
    <w:rsid w:val="33B0446E"/>
    <w:rsid w:val="33B062B8"/>
    <w:rsid w:val="33B213D9"/>
    <w:rsid w:val="33C82790"/>
    <w:rsid w:val="33CA19D4"/>
    <w:rsid w:val="33CB1E46"/>
    <w:rsid w:val="33CC47F2"/>
    <w:rsid w:val="33CC574C"/>
    <w:rsid w:val="33D33385"/>
    <w:rsid w:val="33DC34B5"/>
    <w:rsid w:val="33DC5263"/>
    <w:rsid w:val="33E12879"/>
    <w:rsid w:val="33E365F1"/>
    <w:rsid w:val="33F26834"/>
    <w:rsid w:val="340F5638"/>
    <w:rsid w:val="341A704C"/>
    <w:rsid w:val="341C0ACF"/>
    <w:rsid w:val="341E3ACD"/>
    <w:rsid w:val="3422536C"/>
    <w:rsid w:val="3428494C"/>
    <w:rsid w:val="342C7F98"/>
    <w:rsid w:val="342E2692"/>
    <w:rsid w:val="343243ED"/>
    <w:rsid w:val="343432F1"/>
    <w:rsid w:val="343469C4"/>
    <w:rsid w:val="344057F2"/>
    <w:rsid w:val="344165C4"/>
    <w:rsid w:val="3445105A"/>
    <w:rsid w:val="34473024"/>
    <w:rsid w:val="344D6D76"/>
    <w:rsid w:val="344D7F0F"/>
    <w:rsid w:val="345E211C"/>
    <w:rsid w:val="3460367F"/>
    <w:rsid w:val="346239BA"/>
    <w:rsid w:val="34624864"/>
    <w:rsid w:val="346A6D13"/>
    <w:rsid w:val="34735BC7"/>
    <w:rsid w:val="34790D04"/>
    <w:rsid w:val="34802092"/>
    <w:rsid w:val="348801BE"/>
    <w:rsid w:val="3489363D"/>
    <w:rsid w:val="34897199"/>
    <w:rsid w:val="34937C60"/>
    <w:rsid w:val="34943D90"/>
    <w:rsid w:val="34955EDA"/>
    <w:rsid w:val="349A334C"/>
    <w:rsid w:val="349B511E"/>
    <w:rsid w:val="349D0E96"/>
    <w:rsid w:val="34B00BC9"/>
    <w:rsid w:val="34BA37F6"/>
    <w:rsid w:val="34CA78C0"/>
    <w:rsid w:val="34D0301A"/>
    <w:rsid w:val="34D32B0A"/>
    <w:rsid w:val="34D643A8"/>
    <w:rsid w:val="34E062AB"/>
    <w:rsid w:val="34E15227"/>
    <w:rsid w:val="34E24AFB"/>
    <w:rsid w:val="34E97C37"/>
    <w:rsid w:val="34F463A2"/>
    <w:rsid w:val="34FD397E"/>
    <w:rsid w:val="350155EE"/>
    <w:rsid w:val="35066C35"/>
    <w:rsid w:val="35175DFE"/>
    <w:rsid w:val="35224584"/>
    <w:rsid w:val="35270097"/>
    <w:rsid w:val="352769B2"/>
    <w:rsid w:val="35284C04"/>
    <w:rsid w:val="352E7D40"/>
    <w:rsid w:val="3538296D"/>
    <w:rsid w:val="353C420B"/>
    <w:rsid w:val="35411821"/>
    <w:rsid w:val="354A0A0E"/>
    <w:rsid w:val="354D466A"/>
    <w:rsid w:val="35505F08"/>
    <w:rsid w:val="3558300F"/>
    <w:rsid w:val="35586223"/>
    <w:rsid w:val="355C343D"/>
    <w:rsid w:val="355F614C"/>
    <w:rsid w:val="35650039"/>
    <w:rsid w:val="356B4AF0"/>
    <w:rsid w:val="356D6ABA"/>
    <w:rsid w:val="356E2833"/>
    <w:rsid w:val="35830C72"/>
    <w:rsid w:val="35832DF3"/>
    <w:rsid w:val="35843E04"/>
    <w:rsid w:val="35867B7C"/>
    <w:rsid w:val="358D6981"/>
    <w:rsid w:val="359140AD"/>
    <w:rsid w:val="3592207D"/>
    <w:rsid w:val="35A418C4"/>
    <w:rsid w:val="35AF70D3"/>
    <w:rsid w:val="35B34B48"/>
    <w:rsid w:val="35B446E9"/>
    <w:rsid w:val="35C04C98"/>
    <w:rsid w:val="35D86C1A"/>
    <w:rsid w:val="35DC59EE"/>
    <w:rsid w:val="35E10D4E"/>
    <w:rsid w:val="35ED30EC"/>
    <w:rsid w:val="35ED39E1"/>
    <w:rsid w:val="35F25212"/>
    <w:rsid w:val="35F40911"/>
    <w:rsid w:val="35FA5E74"/>
    <w:rsid w:val="36015455"/>
    <w:rsid w:val="36017203"/>
    <w:rsid w:val="360D1791"/>
    <w:rsid w:val="360D204B"/>
    <w:rsid w:val="360D425A"/>
    <w:rsid w:val="3614778B"/>
    <w:rsid w:val="36160F00"/>
    <w:rsid w:val="361E6007"/>
    <w:rsid w:val="36253B84"/>
    <w:rsid w:val="362A49AB"/>
    <w:rsid w:val="362E4D60"/>
    <w:rsid w:val="36315D3A"/>
    <w:rsid w:val="36321AB2"/>
    <w:rsid w:val="36372206"/>
    <w:rsid w:val="363B2715"/>
    <w:rsid w:val="363C3B87"/>
    <w:rsid w:val="363F240E"/>
    <w:rsid w:val="36401A4A"/>
    <w:rsid w:val="36513CE6"/>
    <w:rsid w:val="36556CDD"/>
    <w:rsid w:val="3656754F"/>
    <w:rsid w:val="36645DCC"/>
    <w:rsid w:val="366652B8"/>
    <w:rsid w:val="36743E79"/>
    <w:rsid w:val="36767721"/>
    <w:rsid w:val="368447D1"/>
    <w:rsid w:val="368920CF"/>
    <w:rsid w:val="369313B0"/>
    <w:rsid w:val="36A5114D"/>
    <w:rsid w:val="36A93B22"/>
    <w:rsid w:val="36AC716F"/>
    <w:rsid w:val="36AE738B"/>
    <w:rsid w:val="36AF4EB1"/>
    <w:rsid w:val="36B44275"/>
    <w:rsid w:val="36B6623F"/>
    <w:rsid w:val="36B9188B"/>
    <w:rsid w:val="36B97ADD"/>
    <w:rsid w:val="36C71B94"/>
    <w:rsid w:val="36C73FA8"/>
    <w:rsid w:val="36CC3F1F"/>
    <w:rsid w:val="36D05553"/>
    <w:rsid w:val="36D36DF1"/>
    <w:rsid w:val="36D92E29"/>
    <w:rsid w:val="36DC66B2"/>
    <w:rsid w:val="36DF5796"/>
    <w:rsid w:val="36F079A3"/>
    <w:rsid w:val="36F51074"/>
    <w:rsid w:val="36FA437E"/>
    <w:rsid w:val="36FE5573"/>
    <w:rsid w:val="371A67CE"/>
    <w:rsid w:val="372238D5"/>
    <w:rsid w:val="3724764D"/>
    <w:rsid w:val="372F1B4E"/>
    <w:rsid w:val="373A0C1E"/>
    <w:rsid w:val="373E065A"/>
    <w:rsid w:val="374E277E"/>
    <w:rsid w:val="3756526F"/>
    <w:rsid w:val="375810A4"/>
    <w:rsid w:val="375A5436"/>
    <w:rsid w:val="375E0F6A"/>
    <w:rsid w:val="37627328"/>
    <w:rsid w:val="376B527C"/>
    <w:rsid w:val="376D2DA2"/>
    <w:rsid w:val="37774F80"/>
    <w:rsid w:val="37797999"/>
    <w:rsid w:val="377F3E14"/>
    <w:rsid w:val="378325C5"/>
    <w:rsid w:val="378B147A"/>
    <w:rsid w:val="378B3228"/>
    <w:rsid w:val="379426EC"/>
    <w:rsid w:val="379E4A4D"/>
    <w:rsid w:val="379F6CD3"/>
    <w:rsid w:val="37A676C7"/>
    <w:rsid w:val="37A95DA4"/>
    <w:rsid w:val="37B45894"/>
    <w:rsid w:val="37B54749"/>
    <w:rsid w:val="37C53281"/>
    <w:rsid w:val="37C60704"/>
    <w:rsid w:val="37CA21FC"/>
    <w:rsid w:val="37D078F7"/>
    <w:rsid w:val="37E1553E"/>
    <w:rsid w:val="37E34E12"/>
    <w:rsid w:val="37EF6A22"/>
    <w:rsid w:val="37F76452"/>
    <w:rsid w:val="37F76B0F"/>
    <w:rsid w:val="37FC5ED4"/>
    <w:rsid w:val="38013533"/>
    <w:rsid w:val="38033706"/>
    <w:rsid w:val="380354B4"/>
    <w:rsid w:val="38042FDA"/>
    <w:rsid w:val="38091915"/>
    <w:rsid w:val="380E52E1"/>
    <w:rsid w:val="3814014A"/>
    <w:rsid w:val="38196A86"/>
    <w:rsid w:val="381F0D0F"/>
    <w:rsid w:val="38305B7D"/>
    <w:rsid w:val="383C0BAF"/>
    <w:rsid w:val="38402264"/>
    <w:rsid w:val="38653A79"/>
    <w:rsid w:val="38660EF8"/>
    <w:rsid w:val="386817BB"/>
    <w:rsid w:val="386C1BC7"/>
    <w:rsid w:val="3870241E"/>
    <w:rsid w:val="38735C94"/>
    <w:rsid w:val="387437CA"/>
    <w:rsid w:val="387F20BB"/>
    <w:rsid w:val="38846074"/>
    <w:rsid w:val="38883C0B"/>
    <w:rsid w:val="388C5876"/>
    <w:rsid w:val="388F4F9A"/>
    <w:rsid w:val="389035A6"/>
    <w:rsid w:val="389D1465"/>
    <w:rsid w:val="38A345A1"/>
    <w:rsid w:val="38A54269"/>
    <w:rsid w:val="38AF2F46"/>
    <w:rsid w:val="38BA34C1"/>
    <w:rsid w:val="38BE762D"/>
    <w:rsid w:val="38BF32F0"/>
    <w:rsid w:val="38C05153"/>
    <w:rsid w:val="38C84008"/>
    <w:rsid w:val="38CE707C"/>
    <w:rsid w:val="38D0176E"/>
    <w:rsid w:val="38DA69E4"/>
    <w:rsid w:val="38DC2CA9"/>
    <w:rsid w:val="38E766C8"/>
    <w:rsid w:val="38ED4DE0"/>
    <w:rsid w:val="38EE7F12"/>
    <w:rsid w:val="38F66192"/>
    <w:rsid w:val="38F80D91"/>
    <w:rsid w:val="38FB4AF5"/>
    <w:rsid w:val="390414E4"/>
    <w:rsid w:val="39072D82"/>
    <w:rsid w:val="39094D4C"/>
    <w:rsid w:val="390A460D"/>
    <w:rsid w:val="390F665A"/>
    <w:rsid w:val="39104B12"/>
    <w:rsid w:val="3914724D"/>
    <w:rsid w:val="39175051"/>
    <w:rsid w:val="391F1DEA"/>
    <w:rsid w:val="39202096"/>
    <w:rsid w:val="39253208"/>
    <w:rsid w:val="39273424"/>
    <w:rsid w:val="393128FC"/>
    <w:rsid w:val="39347724"/>
    <w:rsid w:val="39371423"/>
    <w:rsid w:val="393A3157"/>
    <w:rsid w:val="393D0552"/>
    <w:rsid w:val="394B7113"/>
    <w:rsid w:val="39517FD6"/>
    <w:rsid w:val="395858F1"/>
    <w:rsid w:val="39627FB8"/>
    <w:rsid w:val="398C14D9"/>
    <w:rsid w:val="3995038E"/>
    <w:rsid w:val="399B34CA"/>
    <w:rsid w:val="399D5494"/>
    <w:rsid w:val="399F1857"/>
    <w:rsid w:val="399F2FBB"/>
    <w:rsid w:val="39A405D1"/>
    <w:rsid w:val="39A93E39"/>
    <w:rsid w:val="39B50A30"/>
    <w:rsid w:val="39BB513C"/>
    <w:rsid w:val="39C10DEA"/>
    <w:rsid w:val="39C12F31"/>
    <w:rsid w:val="39C16CB7"/>
    <w:rsid w:val="39C328D0"/>
    <w:rsid w:val="39D215E2"/>
    <w:rsid w:val="39E11825"/>
    <w:rsid w:val="39E52F7A"/>
    <w:rsid w:val="39E743E6"/>
    <w:rsid w:val="39E9692C"/>
    <w:rsid w:val="39ED01CA"/>
    <w:rsid w:val="39ED0E67"/>
    <w:rsid w:val="39F51FB5"/>
    <w:rsid w:val="39F64605"/>
    <w:rsid w:val="39FD5F33"/>
    <w:rsid w:val="3A015A23"/>
    <w:rsid w:val="3A0B4B47"/>
    <w:rsid w:val="3A12378C"/>
    <w:rsid w:val="3A145757"/>
    <w:rsid w:val="3A1514CF"/>
    <w:rsid w:val="3A176FF5"/>
    <w:rsid w:val="3A1B760C"/>
    <w:rsid w:val="3A1D3EBE"/>
    <w:rsid w:val="3A287CE7"/>
    <w:rsid w:val="3A331955"/>
    <w:rsid w:val="3A3E4582"/>
    <w:rsid w:val="3A3F4401"/>
    <w:rsid w:val="3A426D04"/>
    <w:rsid w:val="3A5244D1"/>
    <w:rsid w:val="3A5913BB"/>
    <w:rsid w:val="3A6D62B1"/>
    <w:rsid w:val="3A726421"/>
    <w:rsid w:val="3A74136D"/>
    <w:rsid w:val="3A7461F5"/>
    <w:rsid w:val="3A7C748B"/>
    <w:rsid w:val="3A7D171B"/>
    <w:rsid w:val="3A881CA1"/>
    <w:rsid w:val="3A8A5D21"/>
    <w:rsid w:val="3A8D5509"/>
    <w:rsid w:val="3A960861"/>
    <w:rsid w:val="3A983753"/>
    <w:rsid w:val="3A992100"/>
    <w:rsid w:val="3A9E7716"/>
    <w:rsid w:val="3AA54601"/>
    <w:rsid w:val="3AAC1E33"/>
    <w:rsid w:val="3AAC2A57"/>
    <w:rsid w:val="3AAF38E7"/>
    <w:rsid w:val="3AB15AD2"/>
    <w:rsid w:val="3AC0768C"/>
    <w:rsid w:val="3AC14026"/>
    <w:rsid w:val="3AC151B3"/>
    <w:rsid w:val="3ACD10F0"/>
    <w:rsid w:val="3AD36319"/>
    <w:rsid w:val="3AD94F10"/>
    <w:rsid w:val="3AD969A0"/>
    <w:rsid w:val="3ADB1608"/>
    <w:rsid w:val="3ADC3D9A"/>
    <w:rsid w:val="3AEC222F"/>
    <w:rsid w:val="3AF0613B"/>
    <w:rsid w:val="3AF47336"/>
    <w:rsid w:val="3B005CDB"/>
    <w:rsid w:val="3B014BDD"/>
    <w:rsid w:val="3B0925AD"/>
    <w:rsid w:val="3B0F1778"/>
    <w:rsid w:val="3B131EB2"/>
    <w:rsid w:val="3B1672AC"/>
    <w:rsid w:val="3B196D9D"/>
    <w:rsid w:val="3B1D4ADF"/>
    <w:rsid w:val="3B20637D"/>
    <w:rsid w:val="3B216441"/>
    <w:rsid w:val="3B2C087E"/>
    <w:rsid w:val="3B307F9B"/>
    <w:rsid w:val="3B3B1402"/>
    <w:rsid w:val="3B3B3EAA"/>
    <w:rsid w:val="3B3F4A55"/>
    <w:rsid w:val="3B437B88"/>
    <w:rsid w:val="3B46796D"/>
    <w:rsid w:val="3B4D7BE0"/>
    <w:rsid w:val="3B4E14F1"/>
    <w:rsid w:val="3B503883"/>
    <w:rsid w:val="3B53405D"/>
    <w:rsid w:val="3B615C43"/>
    <w:rsid w:val="3B6224F2"/>
    <w:rsid w:val="3B6444BC"/>
    <w:rsid w:val="3B675D5A"/>
    <w:rsid w:val="3B691AD2"/>
    <w:rsid w:val="3B6B3A9C"/>
    <w:rsid w:val="3B7172BA"/>
    <w:rsid w:val="3B7C6EA7"/>
    <w:rsid w:val="3B824942"/>
    <w:rsid w:val="3B863350"/>
    <w:rsid w:val="3B866206"/>
    <w:rsid w:val="3B8909D3"/>
    <w:rsid w:val="3B892174"/>
    <w:rsid w:val="3B9D79CE"/>
    <w:rsid w:val="3BA0301A"/>
    <w:rsid w:val="3BA15D36"/>
    <w:rsid w:val="3BA62195"/>
    <w:rsid w:val="3BB54D17"/>
    <w:rsid w:val="3BBA36FA"/>
    <w:rsid w:val="3BBD597A"/>
    <w:rsid w:val="3BCA6C26"/>
    <w:rsid w:val="3BCC3E0F"/>
    <w:rsid w:val="3BD03E27"/>
    <w:rsid w:val="3BD30538"/>
    <w:rsid w:val="3BD749B5"/>
    <w:rsid w:val="3BDB4052"/>
    <w:rsid w:val="3BE50E37"/>
    <w:rsid w:val="3BED1476"/>
    <w:rsid w:val="3BF45F34"/>
    <w:rsid w:val="3BFB40D3"/>
    <w:rsid w:val="3BFB42C7"/>
    <w:rsid w:val="3BFC2946"/>
    <w:rsid w:val="3C012E3F"/>
    <w:rsid w:val="3C0346C4"/>
    <w:rsid w:val="3C065573"/>
    <w:rsid w:val="3C096E11"/>
    <w:rsid w:val="3C1351AF"/>
    <w:rsid w:val="3C1A101E"/>
    <w:rsid w:val="3C1A7270"/>
    <w:rsid w:val="3C202D31"/>
    <w:rsid w:val="3C2D6E50"/>
    <w:rsid w:val="3C2F2A38"/>
    <w:rsid w:val="3C3079FF"/>
    <w:rsid w:val="3C37572C"/>
    <w:rsid w:val="3C3F0A85"/>
    <w:rsid w:val="3C3F2833"/>
    <w:rsid w:val="3C414954"/>
    <w:rsid w:val="3C4427C8"/>
    <w:rsid w:val="3C463BC1"/>
    <w:rsid w:val="3C4A1903"/>
    <w:rsid w:val="3C4F7A3D"/>
    <w:rsid w:val="3C513234"/>
    <w:rsid w:val="3C6504EB"/>
    <w:rsid w:val="3C687FDC"/>
    <w:rsid w:val="3C6978B0"/>
    <w:rsid w:val="3C7C5134"/>
    <w:rsid w:val="3C7E77FF"/>
    <w:rsid w:val="3C7F6E5C"/>
    <w:rsid w:val="3C8D17F0"/>
    <w:rsid w:val="3C8D7E78"/>
    <w:rsid w:val="3C905FB9"/>
    <w:rsid w:val="3C926E07"/>
    <w:rsid w:val="3C97266F"/>
    <w:rsid w:val="3C9938BC"/>
    <w:rsid w:val="3CA134EE"/>
    <w:rsid w:val="3CA671C4"/>
    <w:rsid w:val="3CAA46F7"/>
    <w:rsid w:val="3CB00D50"/>
    <w:rsid w:val="3CB2325A"/>
    <w:rsid w:val="3CB64857"/>
    <w:rsid w:val="3CC52D38"/>
    <w:rsid w:val="3CCA65A0"/>
    <w:rsid w:val="3CCD6091"/>
    <w:rsid w:val="3CD72A6B"/>
    <w:rsid w:val="3CD76F0F"/>
    <w:rsid w:val="3CD967E3"/>
    <w:rsid w:val="3CDD2778"/>
    <w:rsid w:val="3CDE3DFA"/>
    <w:rsid w:val="3CE417D3"/>
    <w:rsid w:val="3CE57D2D"/>
    <w:rsid w:val="3CE77BA9"/>
    <w:rsid w:val="3CE8111C"/>
    <w:rsid w:val="3CEA09F1"/>
    <w:rsid w:val="3CED04E1"/>
    <w:rsid w:val="3CED228F"/>
    <w:rsid w:val="3CF8135F"/>
    <w:rsid w:val="3CFD7AAA"/>
    <w:rsid w:val="3D023F8C"/>
    <w:rsid w:val="3D024CDB"/>
    <w:rsid w:val="3D07311F"/>
    <w:rsid w:val="3D08531B"/>
    <w:rsid w:val="3D0F48FB"/>
    <w:rsid w:val="3D163594"/>
    <w:rsid w:val="3D1837B0"/>
    <w:rsid w:val="3D2E3C81"/>
    <w:rsid w:val="3D3028D3"/>
    <w:rsid w:val="3D3A30F4"/>
    <w:rsid w:val="3D3D3216"/>
    <w:rsid w:val="3D3D4FC4"/>
    <w:rsid w:val="3D3E1294"/>
    <w:rsid w:val="3D3E5251"/>
    <w:rsid w:val="3D485717"/>
    <w:rsid w:val="3D4A6E81"/>
    <w:rsid w:val="3D4C3459"/>
    <w:rsid w:val="3D507EE7"/>
    <w:rsid w:val="3D5170E9"/>
    <w:rsid w:val="3D5B369C"/>
    <w:rsid w:val="3D6B1F10"/>
    <w:rsid w:val="3D711112"/>
    <w:rsid w:val="3D8250CD"/>
    <w:rsid w:val="3D83453A"/>
    <w:rsid w:val="3D846543"/>
    <w:rsid w:val="3D864BBD"/>
    <w:rsid w:val="3D88002B"/>
    <w:rsid w:val="3D88120B"/>
    <w:rsid w:val="3D8E5820"/>
    <w:rsid w:val="3D8F1598"/>
    <w:rsid w:val="3D934BE4"/>
    <w:rsid w:val="3DAC6706"/>
    <w:rsid w:val="3DAD475F"/>
    <w:rsid w:val="3DC01751"/>
    <w:rsid w:val="3DC77B39"/>
    <w:rsid w:val="3DCE1A6F"/>
    <w:rsid w:val="3DE10046"/>
    <w:rsid w:val="3DF74D1B"/>
    <w:rsid w:val="3E067AAC"/>
    <w:rsid w:val="3E0930F8"/>
    <w:rsid w:val="3E097C2A"/>
    <w:rsid w:val="3E0E070F"/>
    <w:rsid w:val="3E151A9D"/>
    <w:rsid w:val="3E1C69D9"/>
    <w:rsid w:val="3E217459"/>
    <w:rsid w:val="3E217DC9"/>
    <w:rsid w:val="3E261EFC"/>
    <w:rsid w:val="3E2805F5"/>
    <w:rsid w:val="3E2A4E15"/>
    <w:rsid w:val="3E392EA0"/>
    <w:rsid w:val="3E3E3028"/>
    <w:rsid w:val="3E3F2444"/>
    <w:rsid w:val="3E497999"/>
    <w:rsid w:val="3E4B54BF"/>
    <w:rsid w:val="3E4D1F1B"/>
    <w:rsid w:val="3E5B27BE"/>
    <w:rsid w:val="3E6B5A1B"/>
    <w:rsid w:val="3E6F00C0"/>
    <w:rsid w:val="3E6F27D4"/>
    <w:rsid w:val="3E75253C"/>
    <w:rsid w:val="3E7D50BC"/>
    <w:rsid w:val="3E7E7642"/>
    <w:rsid w:val="3E88226F"/>
    <w:rsid w:val="3E885F20"/>
    <w:rsid w:val="3E8D1F7B"/>
    <w:rsid w:val="3E9317F5"/>
    <w:rsid w:val="3E9A6446"/>
    <w:rsid w:val="3E9C1E20"/>
    <w:rsid w:val="3E9E1A93"/>
    <w:rsid w:val="3EB968CD"/>
    <w:rsid w:val="3EBA2645"/>
    <w:rsid w:val="3EBD79D8"/>
    <w:rsid w:val="3ED656D0"/>
    <w:rsid w:val="3EDC25BB"/>
    <w:rsid w:val="3EDC341C"/>
    <w:rsid w:val="3EEA4CD8"/>
    <w:rsid w:val="3EFA2D23"/>
    <w:rsid w:val="3EFC2C5D"/>
    <w:rsid w:val="3F0A35CC"/>
    <w:rsid w:val="3F0F473E"/>
    <w:rsid w:val="3F125FDD"/>
    <w:rsid w:val="3F1B1335"/>
    <w:rsid w:val="3F1E7077"/>
    <w:rsid w:val="3F255D56"/>
    <w:rsid w:val="3F2F67AA"/>
    <w:rsid w:val="3F324F50"/>
    <w:rsid w:val="3F397A0D"/>
    <w:rsid w:val="3F3D74FE"/>
    <w:rsid w:val="3F416A26"/>
    <w:rsid w:val="3F4D34B9"/>
    <w:rsid w:val="3F52287D"/>
    <w:rsid w:val="3F536D21"/>
    <w:rsid w:val="3F5518B5"/>
    <w:rsid w:val="3F5869C0"/>
    <w:rsid w:val="3F604F9A"/>
    <w:rsid w:val="3F6F1681"/>
    <w:rsid w:val="3F760C61"/>
    <w:rsid w:val="3F780536"/>
    <w:rsid w:val="3F79215C"/>
    <w:rsid w:val="3F852C53"/>
    <w:rsid w:val="3F870779"/>
    <w:rsid w:val="3F8844F1"/>
    <w:rsid w:val="3F8A0269"/>
    <w:rsid w:val="3F8A2017"/>
    <w:rsid w:val="3F900EAE"/>
    <w:rsid w:val="3F920365"/>
    <w:rsid w:val="3F995ACE"/>
    <w:rsid w:val="3F9D1D4A"/>
    <w:rsid w:val="3FA0183A"/>
    <w:rsid w:val="3FA05CDE"/>
    <w:rsid w:val="3FA532F5"/>
    <w:rsid w:val="3FAE3F57"/>
    <w:rsid w:val="3FB157F6"/>
    <w:rsid w:val="3FB27839"/>
    <w:rsid w:val="3FB5178A"/>
    <w:rsid w:val="3FB9006E"/>
    <w:rsid w:val="3FC75019"/>
    <w:rsid w:val="3FC94A89"/>
    <w:rsid w:val="3FDA2F9E"/>
    <w:rsid w:val="3FE57DDC"/>
    <w:rsid w:val="3FE67B95"/>
    <w:rsid w:val="3FEB618B"/>
    <w:rsid w:val="3FEF2D0B"/>
    <w:rsid w:val="3FEF631E"/>
    <w:rsid w:val="40041DC9"/>
    <w:rsid w:val="400A1411"/>
    <w:rsid w:val="400A245B"/>
    <w:rsid w:val="400B1FA5"/>
    <w:rsid w:val="400C0C7E"/>
    <w:rsid w:val="4012098A"/>
    <w:rsid w:val="4013200C"/>
    <w:rsid w:val="40137591"/>
    <w:rsid w:val="40167D4F"/>
    <w:rsid w:val="40204729"/>
    <w:rsid w:val="40210BCD"/>
    <w:rsid w:val="40223FBC"/>
    <w:rsid w:val="40251D40"/>
    <w:rsid w:val="40282828"/>
    <w:rsid w:val="40291830"/>
    <w:rsid w:val="402C5E5F"/>
    <w:rsid w:val="403A57EB"/>
    <w:rsid w:val="40466AD2"/>
    <w:rsid w:val="40491ED2"/>
    <w:rsid w:val="404B2046"/>
    <w:rsid w:val="405868B6"/>
    <w:rsid w:val="405956F8"/>
    <w:rsid w:val="406867FC"/>
    <w:rsid w:val="406960D0"/>
    <w:rsid w:val="406D3E12"/>
    <w:rsid w:val="406D5BC1"/>
    <w:rsid w:val="407231D7"/>
    <w:rsid w:val="407927B7"/>
    <w:rsid w:val="407A4640"/>
    <w:rsid w:val="407E7A8A"/>
    <w:rsid w:val="4081341A"/>
    <w:rsid w:val="4082593F"/>
    <w:rsid w:val="409018AF"/>
    <w:rsid w:val="4093314D"/>
    <w:rsid w:val="40A11D0E"/>
    <w:rsid w:val="40A62E81"/>
    <w:rsid w:val="40A9471F"/>
    <w:rsid w:val="40AB66E9"/>
    <w:rsid w:val="40AC28AF"/>
    <w:rsid w:val="40B732E0"/>
    <w:rsid w:val="40BD028F"/>
    <w:rsid w:val="40BF3F42"/>
    <w:rsid w:val="40C15F0C"/>
    <w:rsid w:val="40C477AB"/>
    <w:rsid w:val="40CA1167"/>
    <w:rsid w:val="40CB7856"/>
    <w:rsid w:val="40D81D6B"/>
    <w:rsid w:val="40E21D0B"/>
    <w:rsid w:val="40E30CEE"/>
    <w:rsid w:val="40E340D5"/>
    <w:rsid w:val="40EF2A79"/>
    <w:rsid w:val="40F005A0"/>
    <w:rsid w:val="40F462E2"/>
    <w:rsid w:val="40F954CC"/>
    <w:rsid w:val="40FB141E"/>
    <w:rsid w:val="40FB5F01"/>
    <w:rsid w:val="410A47C8"/>
    <w:rsid w:val="410E5281"/>
    <w:rsid w:val="410F4ECA"/>
    <w:rsid w:val="4112467C"/>
    <w:rsid w:val="41164A69"/>
    <w:rsid w:val="411918A4"/>
    <w:rsid w:val="41200E85"/>
    <w:rsid w:val="41203230"/>
    <w:rsid w:val="412070D7"/>
    <w:rsid w:val="412344D1"/>
    <w:rsid w:val="41271C26"/>
    <w:rsid w:val="41344930"/>
    <w:rsid w:val="41351907"/>
    <w:rsid w:val="413B5CBF"/>
    <w:rsid w:val="414508EB"/>
    <w:rsid w:val="4146702D"/>
    <w:rsid w:val="41474308"/>
    <w:rsid w:val="4148218A"/>
    <w:rsid w:val="414A5F02"/>
    <w:rsid w:val="414D59F2"/>
    <w:rsid w:val="41627555"/>
    <w:rsid w:val="41630D72"/>
    <w:rsid w:val="41662985"/>
    <w:rsid w:val="41676AB4"/>
    <w:rsid w:val="41681941"/>
    <w:rsid w:val="41782A6F"/>
    <w:rsid w:val="41796CC4"/>
    <w:rsid w:val="417E7512"/>
    <w:rsid w:val="418331C2"/>
    <w:rsid w:val="41872CB2"/>
    <w:rsid w:val="41874A60"/>
    <w:rsid w:val="418D5DEE"/>
    <w:rsid w:val="418F1B67"/>
    <w:rsid w:val="41917D44"/>
    <w:rsid w:val="41923405"/>
    <w:rsid w:val="41941EBC"/>
    <w:rsid w:val="41990C37"/>
    <w:rsid w:val="419F7B26"/>
    <w:rsid w:val="41A02E29"/>
    <w:rsid w:val="41A27AEC"/>
    <w:rsid w:val="41A75102"/>
    <w:rsid w:val="41AF045B"/>
    <w:rsid w:val="41B31CF9"/>
    <w:rsid w:val="41B8730F"/>
    <w:rsid w:val="41B96BE3"/>
    <w:rsid w:val="41BD66D4"/>
    <w:rsid w:val="41C23074"/>
    <w:rsid w:val="41D25B23"/>
    <w:rsid w:val="41E47D60"/>
    <w:rsid w:val="41E579D9"/>
    <w:rsid w:val="41E73615"/>
    <w:rsid w:val="41E73751"/>
    <w:rsid w:val="41EB04EA"/>
    <w:rsid w:val="42042555"/>
    <w:rsid w:val="42072045"/>
    <w:rsid w:val="421107CE"/>
    <w:rsid w:val="42164036"/>
    <w:rsid w:val="421A58D4"/>
    <w:rsid w:val="421E7906"/>
    <w:rsid w:val="422024E8"/>
    <w:rsid w:val="422624CB"/>
    <w:rsid w:val="42357FBE"/>
    <w:rsid w:val="423840AC"/>
    <w:rsid w:val="423D5A66"/>
    <w:rsid w:val="423D6569"/>
    <w:rsid w:val="423D7815"/>
    <w:rsid w:val="42415557"/>
    <w:rsid w:val="4253528A"/>
    <w:rsid w:val="425911DE"/>
    <w:rsid w:val="42611755"/>
    <w:rsid w:val="42627827"/>
    <w:rsid w:val="426D00FA"/>
    <w:rsid w:val="42707BEA"/>
    <w:rsid w:val="42723742"/>
    <w:rsid w:val="42786A9F"/>
    <w:rsid w:val="42802F50"/>
    <w:rsid w:val="428D254A"/>
    <w:rsid w:val="428E3B91"/>
    <w:rsid w:val="42980EEF"/>
    <w:rsid w:val="429B4C6D"/>
    <w:rsid w:val="42A258CA"/>
    <w:rsid w:val="42B0448A"/>
    <w:rsid w:val="42B6123C"/>
    <w:rsid w:val="42BA2C13"/>
    <w:rsid w:val="42BA7ADD"/>
    <w:rsid w:val="42D3512D"/>
    <w:rsid w:val="42D77C69"/>
    <w:rsid w:val="42D834C8"/>
    <w:rsid w:val="42DA5063"/>
    <w:rsid w:val="42E74159"/>
    <w:rsid w:val="42EB101F"/>
    <w:rsid w:val="42F500EF"/>
    <w:rsid w:val="42FE7B16"/>
    <w:rsid w:val="4303280C"/>
    <w:rsid w:val="430B16C1"/>
    <w:rsid w:val="4320516C"/>
    <w:rsid w:val="43236A0A"/>
    <w:rsid w:val="43282273"/>
    <w:rsid w:val="433C7ACC"/>
    <w:rsid w:val="43410AEC"/>
    <w:rsid w:val="435337DD"/>
    <w:rsid w:val="4355563F"/>
    <w:rsid w:val="435E4B1C"/>
    <w:rsid w:val="436C6603"/>
    <w:rsid w:val="43713C1A"/>
    <w:rsid w:val="43790D20"/>
    <w:rsid w:val="437B3C36"/>
    <w:rsid w:val="438301FC"/>
    <w:rsid w:val="43853221"/>
    <w:rsid w:val="438B6EC5"/>
    <w:rsid w:val="43923B90"/>
    <w:rsid w:val="43982D20"/>
    <w:rsid w:val="439E2535"/>
    <w:rsid w:val="43A22025"/>
    <w:rsid w:val="43A6733A"/>
    <w:rsid w:val="43A86B9A"/>
    <w:rsid w:val="43C57AC2"/>
    <w:rsid w:val="43D146B8"/>
    <w:rsid w:val="43D45F57"/>
    <w:rsid w:val="43DB21A0"/>
    <w:rsid w:val="43F71164"/>
    <w:rsid w:val="43FD725B"/>
    <w:rsid w:val="44006D4C"/>
    <w:rsid w:val="442073EE"/>
    <w:rsid w:val="44226CC2"/>
    <w:rsid w:val="442742D8"/>
    <w:rsid w:val="442C5D93"/>
    <w:rsid w:val="443B5FD6"/>
    <w:rsid w:val="44405FFD"/>
    <w:rsid w:val="444A6219"/>
    <w:rsid w:val="444E7B57"/>
    <w:rsid w:val="445157F9"/>
    <w:rsid w:val="44531571"/>
    <w:rsid w:val="44560F40"/>
    <w:rsid w:val="445D419E"/>
    <w:rsid w:val="446217B4"/>
    <w:rsid w:val="44625310"/>
    <w:rsid w:val="446F25CF"/>
    <w:rsid w:val="447119F7"/>
    <w:rsid w:val="44720E16"/>
    <w:rsid w:val="44806671"/>
    <w:rsid w:val="44896D41"/>
    <w:rsid w:val="448C20ED"/>
    <w:rsid w:val="449000D0"/>
    <w:rsid w:val="4496320C"/>
    <w:rsid w:val="449C6C72"/>
    <w:rsid w:val="44A122DD"/>
    <w:rsid w:val="44A75419"/>
    <w:rsid w:val="44AD6ED3"/>
    <w:rsid w:val="44B40707"/>
    <w:rsid w:val="44BC349B"/>
    <w:rsid w:val="44BF2763"/>
    <w:rsid w:val="44C41913"/>
    <w:rsid w:val="44C449AF"/>
    <w:rsid w:val="44D619FA"/>
    <w:rsid w:val="44D86B0F"/>
    <w:rsid w:val="44E4666D"/>
    <w:rsid w:val="44EB3558"/>
    <w:rsid w:val="44F43EB0"/>
    <w:rsid w:val="44F56185"/>
    <w:rsid w:val="44F86822"/>
    <w:rsid w:val="44FF34A7"/>
    <w:rsid w:val="44FF6697"/>
    <w:rsid w:val="450D2191"/>
    <w:rsid w:val="450F36EA"/>
    <w:rsid w:val="45102FBE"/>
    <w:rsid w:val="45274B16"/>
    <w:rsid w:val="452B429C"/>
    <w:rsid w:val="452B604A"/>
    <w:rsid w:val="452D197F"/>
    <w:rsid w:val="45317451"/>
    <w:rsid w:val="45365AFE"/>
    <w:rsid w:val="453942C3"/>
    <w:rsid w:val="45401AF6"/>
    <w:rsid w:val="45465FBE"/>
    <w:rsid w:val="454D5FC1"/>
    <w:rsid w:val="454D7D6F"/>
    <w:rsid w:val="4555735F"/>
    <w:rsid w:val="455A06DD"/>
    <w:rsid w:val="455A248C"/>
    <w:rsid w:val="45602FFB"/>
    <w:rsid w:val="4565108C"/>
    <w:rsid w:val="45701CAF"/>
    <w:rsid w:val="45703A5D"/>
    <w:rsid w:val="45745BF8"/>
    <w:rsid w:val="457572C5"/>
    <w:rsid w:val="45796DB6"/>
    <w:rsid w:val="4585431B"/>
    <w:rsid w:val="4588349D"/>
    <w:rsid w:val="458C09F0"/>
    <w:rsid w:val="4590396C"/>
    <w:rsid w:val="45905EAD"/>
    <w:rsid w:val="459C2AA4"/>
    <w:rsid w:val="459E05CA"/>
    <w:rsid w:val="45A33E32"/>
    <w:rsid w:val="45A57BAB"/>
    <w:rsid w:val="45A656D1"/>
    <w:rsid w:val="45AC2555"/>
    <w:rsid w:val="45AC718B"/>
    <w:rsid w:val="45B20519"/>
    <w:rsid w:val="45B44292"/>
    <w:rsid w:val="45B778DE"/>
    <w:rsid w:val="45BA050C"/>
    <w:rsid w:val="45CD7101"/>
    <w:rsid w:val="45DD362E"/>
    <w:rsid w:val="45E54860"/>
    <w:rsid w:val="45EA380F"/>
    <w:rsid w:val="45EB289C"/>
    <w:rsid w:val="45FB3C6E"/>
    <w:rsid w:val="46073ABA"/>
    <w:rsid w:val="460801EB"/>
    <w:rsid w:val="460D7F5B"/>
    <w:rsid w:val="46172618"/>
    <w:rsid w:val="461D1E37"/>
    <w:rsid w:val="461E3DE8"/>
    <w:rsid w:val="4626673A"/>
    <w:rsid w:val="46284338"/>
    <w:rsid w:val="46335C74"/>
    <w:rsid w:val="463B22BD"/>
    <w:rsid w:val="463E3B5B"/>
    <w:rsid w:val="46434587"/>
    <w:rsid w:val="46454B00"/>
    <w:rsid w:val="46503AF6"/>
    <w:rsid w:val="465348EC"/>
    <w:rsid w:val="46582E6F"/>
    <w:rsid w:val="46591D60"/>
    <w:rsid w:val="46607F75"/>
    <w:rsid w:val="4665558C"/>
    <w:rsid w:val="466A3F19"/>
    <w:rsid w:val="466A6B98"/>
    <w:rsid w:val="466B0DF4"/>
    <w:rsid w:val="466C6EAA"/>
    <w:rsid w:val="46712183"/>
    <w:rsid w:val="4674757D"/>
    <w:rsid w:val="46767799"/>
    <w:rsid w:val="468257E0"/>
    <w:rsid w:val="4685178A"/>
    <w:rsid w:val="469371FA"/>
    <w:rsid w:val="469F108B"/>
    <w:rsid w:val="46A23E91"/>
    <w:rsid w:val="46A55988"/>
    <w:rsid w:val="46AC31BB"/>
    <w:rsid w:val="46BF4C9C"/>
    <w:rsid w:val="46C31FF6"/>
    <w:rsid w:val="46C71DA3"/>
    <w:rsid w:val="46C87FF5"/>
    <w:rsid w:val="46C95B1B"/>
    <w:rsid w:val="46D1677D"/>
    <w:rsid w:val="46DA1AD6"/>
    <w:rsid w:val="46DA7D28"/>
    <w:rsid w:val="46DB13AA"/>
    <w:rsid w:val="46DC6E29"/>
    <w:rsid w:val="46DF0E9A"/>
    <w:rsid w:val="46E22739"/>
    <w:rsid w:val="46E26BDC"/>
    <w:rsid w:val="46E44703"/>
    <w:rsid w:val="46E62229"/>
    <w:rsid w:val="46ED7A5B"/>
    <w:rsid w:val="46EE37D3"/>
    <w:rsid w:val="4703102D"/>
    <w:rsid w:val="471512F0"/>
    <w:rsid w:val="471A45C8"/>
    <w:rsid w:val="471A7157"/>
    <w:rsid w:val="472114B3"/>
    <w:rsid w:val="47217705"/>
    <w:rsid w:val="472D7E58"/>
    <w:rsid w:val="473016F6"/>
    <w:rsid w:val="47327794"/>
    <w:rsid w:val="473D6B0A"/>
    <w:rsid w:val="474358CD"/>
    <w:rsid w:val="47471714"/>
    <w:rsid w:val="474B6530"/>
    <w:rsid w:val="474D22A8"/>
    <w:rsid w:val="47523D62"/>
    <w:rsid w:val="4753407C"/>
    <w:rsid w:val="476B6BD2"/>
    <w:rsid w:val="4770243A"/>
    <w:rsid w:val="477171B1"/>
    <w:rsid w:val="47791A44"/>
    <w:rsid w:val="477A0BC3"/>
    <w:rsid w:val="4784369C"/>
    <w:rsid w:val="478B1E43"/>
    <w:rsid w:val="47941C85"/>
    <w:rsid w:val="47951660"/>
    <w:rsid w:val="479779C7"/>
    <w:rsid w:val="479C6D22"/>
    <w:rsid w:val="47A350BA"/>
    <w:rsid w:val="47AD2D46"/>
    <w:rsid w:val="47AD71EA"/>
    <w:rsid w:val="47AE4BA8"/>
    <w:rsid w:val="47AF6ABF"/>
    <w:rsid w:val="47AF74A4"/>
    <w:rsid w:val="47B10A89"/>
    <w:rsid w:val="47B40E45"/>
    <w:rsid w:val="47C00CCC"/>
    <w:rsid w:val="47C307BC"/>
    <w:rsid w:val="47C77EA6"/>
    <w:rsid w:val="47E21344"/>
    <w:rsid w:val="47E26E94"/>
    <w:rsid w:val="47E66258"/>
    <w:rsid w:val="47F421E2"/>
    <w:rsid w:val="47F46BC7"/>
    <w:rsid w:val="47F9272D"/>
    <w:rsid w:val="47FA6672"/>
    <w:rsid w:val="480007EC"/>
    <w:rsid w:val="480037BE"/>
    <w:rsid w:val="48007537"/>
    <w:rsid w:val="48054931"/>
    <w:rsid w:val="480963DC"/>
    <w:rsid w:val="481608EC"/>
    <w:rsid w:val="48223734"/>
    <w:rsid w:val="482374AD"/>
    <w:rsid w:val="482A04BC"/>
    <w:rsid w:val="482B2304"/>
    <w:rsid w:val="482B3E5F"/>
    <w:rsid w:val="482C6361"/>
    <w:rsid w:val="483600A9"/>
    <w:rsid w:val="483D46DD"/>
    <w:rsid w:val="48480CC1"/>
    <w:rsid w:val="484D0086"/>
    <w:rsid w:val="4853715D"/>
    <w:rsid w:val="485960C4"/>
    <w:rsid w:val="486A20DE"/>
    <w:rsid w:val="486F605F"/>
    <w:rsid w:val="487815A6"/>
    <w:rsid w:val="487D096B"/>
    <w:rsid w:val="488225AD"/>
    <w:rsid w:val="48835C23"/>
    <w:rsid w:val="48857D26"/>
    <w:rsid w:val="48857FBF"/>
    <w:rsid w:val="48872F9F"/>
    <w:rsid w:val="48897310"/>
    <w:rsid w:val="488E1472"/>
    <w:rsid w:val="48934632"/>
    <w:rsid w:val="489B34E7"/>
    <w:rsid w:val="48AC2FFE"/>
    <w:rsid w:val="48B56357"/>
    <w:rsid w:val="48C21E3A"/>
    <w:rsid w:val="48C54084"/>
    <w:rsid w:val="48D70203"/>
    <w:rsid w:val="48DA0A02"/>
    <w:rsid w:val="48DB6BF9"/>
    <w:rsid w:val="48DE11B8"/>
    <w:rsid w:val="48E46C3C"/>
    <w:rsid w:val="48E94252"/>
    <w:rsid w:val="48EC5AF0"/>
    <w:rsid w:val="48F97216"/>
    <w:rsid w:val="4901159C"/>
    <w:rsid w:val="49033566"/>
    <w:rsid w:val="49105C83"/>
    <w:rsid w:val="49142FC2"/>
    <w:rsid w:val="491C0184"/>
    <w:rsid w:val="491D214E"/>
    <w:rsid w:val="491F4390"/>
    <w:rsid w:val="49205619"/>
    <w:rsid w:val="49223487"/>
    <w:rsid w:val="4922547B"/>
    <w:rsid w:val="492B6619"/>
    <w:rsid w:val="49332FD1"/>
    <w:rsid w:val="49357497"/>
    <w:rsid w:val="49383158"/>
    <w:rsid w:val="493C0826"/>
    <w:rsid w:val="494F1719"/>
    <w:rsid w:val="495C67D2"/>
    <w:rsid w:val="49656EAF"/>
    <w:rsid w:val="4969756D"/>
    <w:rsid w:val="496E6505"/>
    <w:rsid w:val="49862A25"/>
    <w:rsid w:val="49867CF3"/>
    <w:rsid w:val="498D0519"/>
    <w:rsid w:val="49910364"/>
    <w:rsid w:val="499E6DEB"/>
    <w:rsid w:val="49AA1C33"/>
    <w:rsid w:val="49AB59AC"/>
    <w:rsid w:val="49AD34D2"/>
    <w:rsid w:val="49AD5280"/>
    <w:rsid w:val="49AE4A8C"/>
    <w:rsid w:val="49BB5BEF"/>
    <w:rsid w:val="49BD2527"/>
    <w:rsid w:val="49C01457"/>
    <w:rsid w:val="49C50426"/>
    <w:rsid w:val="49C83E68"/>
    <w:rsid w:val="49CF169A"/>
    <w:rsid w:val="49D54F3C"/>
    <w:rsid w:val="49EA2030"/>
    <w:rsid w:val="49EC3FFA"/>
    <w:rsid w:val="49F3033B"/>
    <w:rsid w:val="49F33776"/>
    <w:rsid w:val="49FA5FEB"/>
    <w:rsid w:val="49FC19CF"/>
    <w:rsid w:val="49FF6776"/>
    <w:rsid w:val="4A04645A"/>
    <w:rsid w:val="4A07132A"/>
    <w:rsid w:val="4A0C7B9A"/>
    <w:rsid w:val="4A1967D4"/>
    <w:rsid w:val="4A1F67CA"/>
    <w:rsid w:val="4A317C5F"/>
    <w:rsid w:val="4A3239D7"/>
    <w:rsid w:val="4A4331D9"/>
    <w:rsid w:val="4A4A6F73"/>
    <w:rsid w:val="4A5B281D"/>
    <w:rsid w:val="4A712751"/>
    <w:rsid w:val="4A743FEF"/>
    <w:rsid w:val="4A7D10F6"/>
    <w:rsid w:val="4A7E2BB3"/>
    <w:rsid w:val="4A934476"/>
    <w:rsid w:val="4A983750"/>
    <w:rsid w:val="4AA06B93"/>
    <w:rsid w:val="4AAE12AF"/>
    <w:rsid w:val="4AB052A3"/>
    <w:rsid w:val="4AB12B4E"/>
    <w:rsid w:val="4AB7573A"/>
    <w:rsid w:val="4AB8212E"/>
    <w:rsid w:val="4ABD7744"/>
    <w:rsid w:val="4AC07235"/>
    <w:rsid w:val="4AC56395"/>
    <w:rsid w:val="4AC63524"/>
    <w:rsid w:val="4ACA2744"/>
    <w:rsid w:val="4ACC7988"/>
    <w:rsid w:val="4AD056CA"/>
    <w:rsid w:val="4AD8632C"/>
    <w:rsid w:val="4AE178D7"/>
    <w:rsid w:val="4AFF7D5D"/>
    <w:rsid w:val="4B0B0407"/>
    <w:rsid w:val="4B11530B"/>
    <w:rsid w:val="4B125CE2"/>
    <w:rsid w:val="4B177530"/>
    <w:rsid w:val="4B1911AA"/>
    <w:rsid w:val="4B257C2A"/>
    <w:rsid w:val="4B2E419E"/>
    <w:rsid w:val="4B31479D"/>
    <w:rsid w:val="4B3A0D95"/>
    <w:rsid w:val="4B412124"/>
    <w:rsid w:val="4B490FD8"/>
    <w:rsid w:val="4B4D1B86"/>
    <w:rsid w:val="4B4E749F"/>
    <w:rsid w:val="4B5300A9"/>
    <w:rsid w:val="4B5961CB"/>
    <w:rsid w:val="4B6202EC"/>
    <w:rsid w:val="4B687038"/>
    <w:rsid w:val="4B6E6C91"/>
    <w:rsid w:val="4B7F0E9E"/>
    <w:rsid w:val="4B7F62CD"/>
    <w:rsid w:val="4B842010"/>
    <w:rsid w:val="4B8A72CF"/>
    <w:rsid w:val="4B8B15F1"/>
    <w:rsid w:val="4B8D7117"/>
    <w:rsid w:val="4B972445"/>
    <w:rsid w:val="4B9E1324"/>
    <w:rsid w:val="4BA206E8"/>
    <w:rsid w:val="4BA3693A"/>
    <w:rsid w:val="4BA95F1B"/>
    <w:rsid w:val="4BB52B12"/>
    <w:rsid w:val="4BBF2422"/>
    <w:rsid w:val="4BC30D8B"/>
    <w:rsid w:val="4BC56B16"/>
    <w:rsid w:val="4BC600CD"/>
    <w:rsid w:val="4BCB40E3"/>
    <w:rsid w:val="4BCB5E91"/>
    <w:rsid w:val="4BDD49AB"/>
    <w:rsid w:val="4BE742E9"/>
    <w:rsid w:val="4BFC604B"/>
    <w:rsid w:val="4C016908"/>
    <w:rsid w:val="4C0373D9"/>
    <w:rsid w:val="4C0647B3"/>
    <w:rsid w:val="4C0E62BA"/>
    <w:rsid w:val="4C1065B5"/>
    <w:rsid w:val="4C1650F5"/>
    <w:rsid w:val="4C217E66"/>
    <w:rsid w:val="4C2555A1"/>
    <w:rsid w:val="4C2757BD"/>
    <w:rsid w:val="4C2832E3"/>
    <w:rsid w:val="4C3457E4"/>
    <w:rsid w:val="4C386633"/>
    <w:rsid w:val="4C39729F"/>
    <w:rsid w:val="4C3A6B73"/>
    <w:rsid w:val="4C591B8C"/>
    <w:rsid w:val="4C5E194A"/>
    <w:rsid w:val="4C60482B"/>
    <w:rsid w:val="4C673E0C"/>
    <w:rsid w:val="4C687B84"/>
    <w:rsid w:val="4C6B3A5A"/>
    <w:rsid w:val="4C6C4B2C"/>
    <w:rsid w:val="4C70027F"/>
    <w:rsid w:val="4C7A4B90"/>
    <w:rsid w:val="4C7E2F03"/>
    <w:rsid w:val="4C8428B7"/>
    <w:rsid w:val="4C8937D3"/>
    <w:rsid w:val="4C8C3872"/>
    <w:rsid w:val="4C8F4D41"/>
    <w:rsid w:val="4C987B90"/>
    <w:rsid w:val="4C9D5A7F"/>
    <w:rsid w:val="4CA478EC"/>
    <w:rsid w:val="4CAA1F6A"/>
    <w:rsid w:val="4CAA33E9"/>
    <w:rsid w:val="4CAA3CF8"/>
    <w:rsid w:val="4CAA5AA7"/>
    <w:rsid w:val="4CB42DC9"/>
    <w:rsid w:val="4CCB7A91"/>
    <w:rsid w:val="4CCC0113"/>
    <w:rsid w:val="4CCC2A4A"/>
    <w:rsid w:val="4CCF375F"/>
    <w:rsid w:val="4CD27085"/>
    <w:rsid w:val="4CD55219"/>
    <w:rsid w:val="4CDD791C"/>
    <w:rsid w:val="4CE176C2"/>
    <w:rsid w:val="4CE216E4"/>
    <w:rsid w:val="4CEE0089"/>
    <w:rsid w:val="4CEF795D"/>
    <w:rsid w:val="4CF37A31"/>
    <w:rsid w:val="4D106251"/>
    <w:rsid w:val="4D1B0752"/>
    <w:rsid w:val="4D1F0243"/>
    <w:rsid w:val="4D241CFD"/>
    <w:rsid w:val="4D267B5A"/>
    <w:rsid w:val="4D2B308B"/>
    <w:rsid w:val="4D2E66D8"/>
    <w:rsid w:val="4D3267B3"/>
    <w:rsid w:val="4D331F6B"/>
    <w:rsid w:val="4D336D7D"/>
    <w:rsid w:val="4D3F6B37"/>
    <w:rsid w:val="4D414FD9"/>
    <w:rsid w:val="4D422183"/>
    <w:rsid w:val="4D4575A8"/>
    <w:rsid w:val="4D5A5B74"/>
    <w:rsid w:val="4D5B4FF3"/>
    <w:rsid w:val="4D661307"/>
    <w:rsid w:val="4D73013E"/>
    <w:rsid w:val="4D734226"/>
    <w:rsid w:val="4D7351DC"/>
    <w:rsid w:val="4D783DF7"/>
    <w:rsid w:val="4D7C6C95"/>
    <w:rsid w:val="4D7C70D9"/>
    <w:rsid w:val="4D7C7ACE"/>
    <w:rsid w:val="4D8B1D7C"/>
    <w:rsid w:val="4D943011"/>
    <w:rsid w:val="4D9A1FBF"/>
    <w:rsid w:val="4DA22CB7"/>
    <w:rsid w:val="4DA4699A"/>
    <w:rsid w:val="4DA84E15"/>
    <w:rsid w:val="4DAD0E3D"/>
    <w:rsid w:val="4DAD1CF2"/>
    <w:rsid w:val="4DB56DF9"/>
    <w:rsid w:val="4DBD7A5B"/>
    <w:rsid w:val="4DBF37D4"/>
    <w:rsid w:val="4DD3727F"/>
    <w:rsid w:val="4DD52FF7"/>
    <w:rsid w:val="4DD76D6F"/>
    <w:rsid w:val="4DDA060D"/>
    <w:rsid w:val="4DDD3C5A"/>
    <w:rsid w:val="4DDF3F73"/>
    <w:rsid w:val="4DF23BA9"/>
    <w:rsid w:val="4DF53125"/>
    <w:rsid w:val="4DF74D1B"/>
    <w:rsid w:val="4DFF0074"/>
    <w:rsid w:val="4E05589E"/>
    <w:rsid w:val="4E061402"/>
    <w:rsid w:val="4E06294E"/>
    <w:rsid w:val="4E14183E"/>
    <w:rsid w:val="4E1458CD"/>
    <w:rsid w:val="4E173FF8"/>
    <w:rsid w:val="4E211946"/>
    <w:rsid w:val="4E250444"/>
    <w:rsid w:val="4E4071E9"/>
    <w:rsid w:val="4E50267E"/>
    <w:rsid w:val="4E516B22"/>
    <w:rsid w:val="4E574FE7"/>
    <w:rsid w:val="4E656129"/>
    <w:rsid w:val="4E6A373F"/>
    <w:rsid w:val="4E6C24C1"/>
    <w:rsid w:val="4E6D6781"/>
    <w:rsid w:val="4E712D20"/>
    <w:rsid w:val="4E7147F3"/>
    <w:rsid w:val="4E720846"/>
    <w:rsid w:val="4E7F7F94"/>
    <w:rsid w:val="4E962786"/>
    <w:rsid w:val="4E9C1F4B"/>
    <w:rsid w:val="4EA2737D"/>
    <w:rsid w:val="4EBB043F"/>
    <w:rsid w:val="4EC23915"/>
    <w:rsid w:val="4EC70B92"/>
    <w:rsid w:val="4ED351DE"/>
    <w:rsid w:val="4ED676B8"/>
    <w:rsid w:val="4ED84B4D"/>
    <w:rsid w:val="4EDB463D"/>
    <w:rsid w:val="4EDC13F9"/>
    <w:rsid w:val="4EE03A01"/>
    <w:rsid w:val="4EE07EA5"/>
    <w:rsid w:val="4EE10C8F"/>
    <w:rsid w:val="4EE63C76"/>
    <w:rsid w:val="4EF64F2D"/>
    <w:rsid w:val="4EFD7495"/>
    <w:rsid w:val="4EFF3FC2"/>
    <w:rsid w:val="4F073684"/>
    <w:rsid w:val="4F0771E0"/>
    <w:rsid w:val="4F0A6CD0"/>
    <w:rsid w:val="4F111E0D"/>
    <w:rsid w:val="4F133DD7"/>
    <w:rsid w:val="4F1B0EDE"/>
    <w:rsid w:val="4F1F09CE"/>
    <w:rsid w:val="4F2064F4"/>
    <w:rsid w:val="4F2E0C11"/>
    <w:rsid w:val="4F2F55A5"/>
    <w:rsid w:val="4F3132DD"/>
    <w:rsid w:val="4F327F6F"/>
    <w:rsid w:val="4F361873"/>
    <w:rsid w:val="4F3A5808"/>
    <w:rsid w:val="4F3B7298"/>
    <w:rsid w:val="4F3C2AD4"/>
    <w:rsid w:val="4F522D7B"/>
    <w:rsid w:val="4F5543EF"/>
    <w:rsid w:val="4F560168"/>
    <w:rsid w:val="4F642884"/>
    <w:rsid w:val="4F673C06"/>
    <w:rsid w:val="4F684B0A"/>
    <w:rsid w:val="4F6B59C1"/>
    <w:rsid w:val="4F8046F1"/>
    <w:rsid w:val="4F8119B1"/>
    <w:rsid w:val="4F814D8D"/>
    <w:rsid w:val="4F90367A"/>
    <w:rsid w:val="4F92238A"/>
    <w:rsid w:val="4FA039F4"/>
    <w:rsid w:val="4FA06CA8"/>
    <w:rsid w:val="4FB07878"/>
    <w:rsid w:val="4FD712A8"/>
    <w:rsid w:val="4FD74728"/>
    <w:rsid w:val="4FD7736E"/>
    <w:rsid w:val="4FE062A3"/>
    <w:rsid w:val="4FE9249D"/>
    <w:rsid w:val="4FF10EFA"/>
    <w:rsid w:val="4FF37764"/>
    <w:rsid w:val="4FF754A7"/>
    <w:rsid w:val="4FFD45EE"/>
    <w:rsid w:val="5006624C"/>
    <w:rsid w:val="500D66DB"/>
    <w:rsid w:val="500F0A42"/>
    <w:rsid w:val="501778F7"/>
    <w:rsid w:val="501A2F43"/>
    <w:rsid w:val="501C0729"/>
    <w:rsid w:val="50296C0E"/>
    <w:rsid w:val="503404A9"/>
    <w:rsid w:val="50370581"/>
    <w:rsid w:val="5039786D"/>
    <w:rsid w:val="503A35E5"/>
    <w:rsid w:val="503D51A9"/>
    <w:rsid w:val="5040333A"/>
    <w:rsid w:val="50414974"/>
    <w:rsid w:val="504172EE"/>
    <w:rsid w:val="5043798C"/>
    <w:rsid w:val="504A3803"/>
    <w:rsid w:val="50546455"/>
    <w:rsid w:val="505521CD"/>
    <w:rsid w:val="50575F45"/>
    <w:rsid w:val="50576CBE"/>
    <w:rsid w:val="5058248A"/>
    <w:rsid w:val="505B3DB1"/>
    <w:rsid w:val="505D4A94"/>
    <w:rsid w:val="506568B4"/>
    <w:rsid w:val="50683735"/>
    <w:rsid w:val="506B04F9"/>
    <w:rsid w:val="506B6C77"/>
    <w:rsid w:val="506E5024"/>
    <w:rsid w:val="507056E2"/>
    <w:rsid w:val="50731BAF"/>
    <w:rsid w:val="50770396"/>
    <w:rsid w:val="50777A45"/>
    <w:rsid w:val="507A1C34"/>
    <w:rsid w:val="508370CE"/>
    <w:rsid w:val="50854860"/>
    <w:rsid w:val="508B3E41"/>
    <w:rsid w:val="5096168B"/>
    <w:rsid w:val="509A15E0"/>
    <w:rsid w:val="509E1DC6"/>
    <w:rsid w:val="50B769E4"/>
    <w:rsid w:val="50B912B2"/>
    <w:rsid w:val="50BD2394"/>
    <w:rsid w:val="50C80BF1"/>
    <w:rsid w:val="50CC6286"/>
    <w:rsid w:val="50D6330E"/>
    <w:rsid w:val="50E35A2B"/>
    <w:rsid w:val="50E53B1E"/>
    <w:rsid w:val="50EC1681"/>
    <w:rsid w:val="50EC48E0"/>
    <w:rsid w:val="51025EB1"/>
    <w:rsid w:val="510E0E2A"/>
    <w:rsid w:val="510F05CE"/>
    <w:rsid w:val="511931FB"/>
    <w:rsid w:val="511A58F1"/>
    <w:rsid w:val="511B0F22"/>
    <w:rsid w:val="511D718F"/>
    <w:rsid w:val="511F2F07"/>
    <w:rsid w:val="51273B6A"/>
    <w:rsid w:val="512978E2"/>
    <w:rsid w:val="512E144B"/>
    <w:rsid w:val="51351D05"/>
    <w:rsid w:val="51374476"/>
    <w:rsid w:val="51385D77"/>
    <w:rsid w:val="51402D6E"/>
    <w:rsid w:val="514648DC"/>
    <w:rsid w:val="514B501A"/>
    <w:rsid w:val="51570B9A"/>
    <w:rsid w:val="51591C3E"/>
    <w:rsid w:val="515B5BAE"/>
    <w:rsid w:val="516B68C8"/>
    <w:rsid w:val="51750D79"/>
    <w:rsid w:val="51750DAF"/>
    <w:rsid w:val="518965D2"/>
    <w:rsid w:val="51A77A02"/>
    <w:rsid w:val="51AB479B"/>
    <w:rsid w:val="51AE7DE7"/>
    <w:rsid w:val="51B00003"/>
    <w:rsid w:val="51B8400A"/>
    <w:rsid w:val="51B84DE7"/>
    <w:rsid w:val="51C25525"/>
    <w:rsid w:val="51C413B8"/>
    <w:rsid w:val="51C4760A"/>
    <w:rsid w:val="51CC08C5"/>
    <w:rsid w:val="51D7767B"/>
    <w:rsid w:val="51DD691E"/>
    <w:rsid w:val="51E101BC"/>
    <w:rsid w:val="51E63A25"/>
    <w:rsid w:val="51E657D3"/>
    <w:rsid w:val="51E76EB9"/>
    <w:rsid w:val="51EC090F"/>
    <w:rsid w:val="51ED7E6D"/>
    <w:rsid w:val="51FA74D0"/>
    <w:rsid w:val="51FD2C5F"/>
    <w:rsid w:val="520173B9"/>
    <w:rsid w:val="52043EAB"/>
    <w:rsid w:val="52081BED"/>
    <w:rsid w:val="52097713"/>
    <w:rsid w:val="521045FE"/>
    <w:rsid w:val="521340EE"/>
    <w:rsid w:val="52187956"/>
    <w:rsid w:val="52350508"/>
    <w:rsid w:val="523F1387"/>
    <w:rsid w:val="52421D16"/>
    <w:rsid w:val="52497B10"/>
    <w:rsid w:val="525E35BB"/>
    <w:rsid w:val="526606C2"/>
    <w:rsid w:val="526A392D"/>
    <w:rsid w:val="526D7CA2"/>
    <w:rsid w:val="527032EE"/>
    <w:rsid w:val="52716CAD"/>
    <w:rsid w:val="5276038A"/>
    <w:rsid w:val="527E1EAF"/>
    <w:rsid w:val="528D20F2"/>
    <w:rsid w:val="528D5C4E"/>
    <w:rsid w:val="529677E9"/>
    <w:rsid w:val="52976ACD"/>
    <w:rsid w:val="5298489A"/>
    <w:rsid w:val="52992414"/>
    <w:rsid w:val="52993A23"/>
    <w:rsid w:val="52B256B5"/>
    <w:rsid w:val="52B551A5"/>
    <w:rsid w:val="52C804AE"/>
    <w:rsid w:val="52CF270B"/>
    <w:rsid w:val="52D054FF"/>
    <w:rsid w:val="52D204C0"/>
    <w:rsid w:val="52D928C3"/>
    <w:rsid w:val="52DC0984"/>
    <w:rsid w:val="52E223AA"/>
    <w:rsid w:val="52E46445"/>
    <w:rsid w:val="52E77A54"/>
    <w:rsid w:val="52EC6E19"/>
    <w:rsid w:val="52F21FDA"/>
    <w:rsid w:val="5311062D"/>
    <w:rsid w:val="531E0F9C"/>
    <w:rsid w:val="53206AC2"/>
    <w:rsid w:val="53407165"/>
    <w:rsid w:val="53456529"/>
    <w:rsid w:val="534A6894"/>
    <w:rsid w:val="53515075"/>
    <w:rsid w:val="53542C10"/>
    <w:rsid w:val="536410A5"/>
    <w:rsid w:val="537466D6"/>
    <w:rsid w:val="537B03C9"/>
    <w:rsid w:val="53803A05"/>
    <w:rsid w:val="538452A3"/>
    <w:rsid w:val="539757E8"/>
    <w:rsid w:val="53977D81"/>
    <w:rsid w:val="53A21BCD"/>
    <w:rsid w:val="53A92559"/>
    <w:rsid w:val="53AC65A8"/>
    <w:rsid w:val="53AD5968"/>
    <w:rsid w:val="53B00620"/>
    <w:rsid w:val="53B11E10"/>
    <w:rsid w:val="53B646B1"/>
    <w:rsid w:val="53D9426A"/>
    <w:rsid w:val="53DA1367"/>
    <w:rsid w:val="53E61ABA"/>
    <w:rsid w:val="53E915AA"/>
    <w:rsid w:val="53EA6804"/>
    <w:rsid w:val="53F02939"/>
    <w:rsid w:val="53F046E7"/>
    <w:rsid w:val="53F1220D"/>
    <w:rsid w:val="53F23C98"/>
    <w:rsid w:val="53F266B1"/>
    <w:rsid w:val="53F35F85"/>
    <w:rsid w:val="53F83061"/>
    <w:rsid w:val="53FC2BBB"/>
    <w:rsid w:val="53FD089E"/>
    <w:rsid w:val="54014B46"/>
    <w:rsid w:val="5402441A"/>
    <w:rsid w:val="5406215C"/>
    <w:rsid w:val="5406335A"/>
    <w:rsid w:val="540B638D"/>
    <w:rsid w:val="540E2DBF"/>
    <w:rsid w:val="54161C73"/>
    <w:rsid w:val="541C7EC3"/>
    <w:rsid w:val="54211998"/>
    <w:rsid w:val="542567FE"/>
    <w:rsid w:val="54262873"/>
    <w:rsid w:val="5426635A"/>
    <w:rsid w:val="54295E4B"/>
    <w:rsid w:val="542C4FC6"/>
    <w:rsid w:val="54321EEE"/>
    <w:rsid w:val="543D36A4"/>
    <w:rsid w:val="54453B17"/>
    <w:rsid w:val="5458228C"/>
    <w:rsid w:val="54586776"/>
    <w:rsid w:val="54596730"/>
    <w:rsid w:val="545C3613"/>
    <w:rsid w:val="545E741A"/>
    <w:rsid w:val="54646E83"/>
    <w:rsid w:val="546649A9"/>
    <w:rsid w:val="54694089"/>
    <w:rsid w:val="546B0D84"/>
    <w:rsid w:val="546B635E"/>
    <w:rsid w:val="546B7C81"/>
    <w:rsid w:val="546D5D37"/>
    <w:rsid w:val="54707003"/>
    <w:rsid w:val="54734B94"/>
    <w:rsid w:val="54765614"/>
    <w:rsid w:val="547D645D"/>
    <w:rsid w:val="54837D65"/>
    <w:rsid w:val="548B2661"/>
    <w:rsid w:val="54907C78"/>
    <w:rsid w:val="54963849"/>
    <w:rsid w:val="549B3239"/>
    <w:rsid w:val="54A159E1"/>
    <w:rsid w:val="54B14434"/>
    <w:rsid w:val="54BC281B"/>
    <w:rsid w:val="54C165F9"/>
    <w:rsid w:val="54C17E31"/>
    <w:rsid w:val="54D04518"/>
    <w:rsid w:val="54DD4ED3"/>
    <w:rsid w:val="54DD4EE8"/>
    <w:rsid w:val="54DE6C35"/>
    <w:rsid w:val="54DF2E0B"/>
    <w:rsid w:val="54E23B60"/>
    <w:rsid w:val="54E300E5"/>
    <w:rsid w:val="54E767C0"/>
    <w:rsid w:val="54ED0C26"/>
    <w:rsid w:val="54F2448F"/>
    <w:rsid w:val="54F621D1"/>
    <w:rsid w:val="54F71AA5"/>
    <w:rsid w:val="54F975CB"/>
    <w:rsid w:val="54FC355F"/>
    <w:rsid w:val="5503044A"/>
    <w:rsid w:val="5505768E"/>
    <w:rsid w:val="55070DBA"/>
    <w:rsid w:val="550764E1"/>
    <w:rsid w:val="550A17D8"/>
    <w:rsid w:val="550B2186"/>
    <w:rsid w:val="550B72FE"/>
    <w:rsid w:val="5518177A"/>
    <w:rsid w:val="551E5284"/>
    <w:rsid w:val="55222B45"/>
    <w:rsid w:val="552312D6"/>
    <w:rsid w:val="55241341"/>
    <w:rsid w:val="55254864"/>
    <w:rsid w:val="552A3C28"/>
    <w:rsid w:val="552C47D7"/>
    <w:rsid w:val="55304D63"/>
    <w:rsid w:val="55323649"/>
    <w:rsid w:val="553D7E00"/>
    <w:rsid w:val="5540169E"/>
    <w:rsid w:val="55434480"/>
    <w:rsid w:val="55466588"/>
    <w:rsid w:val="55477AC8"/>
    <w:rsid w:val="554A42CB"/>
    <w:rsid w:val="554B002C"/>
    <w:rsid w:val="555B0286"/>
    <w:rsid w:val="556A2FD5"/>
    <w:rsid w:val="556D3970"/>
    <w:rsid w:val="557120E4"/>
    <w:rsid w:val="55733831"/>
    <w:rsid w:val="557E4463"/>
    <w:rsid w:val="558A2919"/>
    <w:rsid w:val="559317CE"/>
    <w:rsid w:val="559C5C59"/>
    <w:rsid w:val="55A559A5"/>
    <w:rsid w:val="55AA6B17"/>
    <w:rsid w:val="55AA6B6B"/>
    <w:rsid w:val="55AC288F"/>
    <w:rsid w:val="55AE6607"/>
    <w:rsid w:val="55B81484"/>
    <w:rsid w:val="55BD22C5"/>
    <w:rsid w:val="55C45E2B"/>
    <w:rsid w:val="55CB34C3"/>
    <w:rsid w:val="55D634ED"/>
    <w:rsid w:val="55DA38A0"/>
    <w:rsid w:val="55E97640"/>
    <w:rsid w:val="55F95FA7"/>
    <w:rsid w:val="55F97145"/>
    <w:rsid w:val="55FC6B11"/>
    <w:rsid w:val="56026953"/>
    <w:rsid w:val="56056C87"/>
    <w:rsid w:val="560D1E90"/>
    <w:rsid w:val="560E52F8"/>
    <w:rsid w:val="56113504"/>
    <w:rsid w:val="56116B96"/>
    <w:rsid w:val="561514B0"/>
    <w:rsid w:val="561641AD"/>
    <w:rsid w:val="56185AEC"/>
    <w:rsid w:val="561A1EEF"/>
    <w:rsid w:val="561A3C9D"/>
    <w:rsid w:val="562212D1"/>
    <w:rsid w:val="56260894"/>
    <w:rsid w:val="562B5EAA"/>
    <w:rsid w:val="56384123"/>
    <w:rsid w:val="563A433F"/>
    <w:rsid w:val="56496330"/>
    <w:rsid w:val="56512F92"/>
    <w:rsid w:val="56594B43"/>
    <w:rsid w:val="565D1DDC"/>
    <w:rsid w:val="5662222B"/>
    <w:rsid w:val="56633896"/>
    <w:rsid w:val="56674A08"/>
    <w:rsid w:val="566C201F"/>
    <w:rsid w:val="567F61F6"/>
    <w:rsid w:val="567F7FA4"/>
    <w:rsid w:val="56890E23"/>
    <w:rsid w:val="569A4DDE"/>
    <w:rsid w:val="569F70F3"/>
    <w:rsid w:val="56A812A9"/>
    <w:rsid w:val="56B332E9"/>
    <w:rsid w:val="56B70EBE"/>
    <w:rsid w:val="56BD6D77"/>
    <w:rsid w:val="56BF74F0"/>
    <w:rsid w:val="56C43C09"/>
    <w:rsid w:val="56C8194B"/>
    <w:rsid w:val="56CB46F0"/>
    <w:rsid w:val="56D32B91"/>
    <w:rsid w:val="56DE2F1C"/>
    <w:rsid w:val="56E132C8"/>
    <w:rsid w:val="56E16569"/>
    <w:rsid w:val="56E46059"/>
    <w:rsid w:val="56ED13B1"/>
    <w:rsid w:val="56EF47DB"/>
    <w:rsid w:val="56F02C50"/>
    <w:rsid w:val="56F15F08"/>
    <w:rsid w:val="56F17091"/>
    <w:rsid w:val="56F20776"/>
    <w:rsid w:val="56F4277B"/>
    <w:rsid w:val="56F91B04"/>
    <w:rsid w:val="56FF2C59"/>
    <w:rsid w:val="56FF2E93"/>
    <w:rsid w:val="57007337"/>
    <w:rsid w:val="57030BD5"/>
    <w:rsid w:val="5707677F"/>
    <w:rsid w:val="570A713B"/>
    <w:rsid w:val="57160908"/>
    <w:rsid w:val="571826D1"/>
    <w:rsid w:val="571D1301"/>
    <w:rsid w:val="572823EA"/>
    <w:rsid w:val="572A1C7A"/>
    <w:rsid w:val="572C6110"/>
    <w:rsid w:val="57364B06"/>
    <w:rsid w:val="57392849"/>
    <w:rsid w:val="573C7181"/>
    <w:rsid w:val="57436AF9"/>
    <w:rsid w:val="57452F9B"/>
    <w:rsid w:val="574865E8"/>
    <w:rsid w:val="574D1E50"/>
    <w:rsid w:val="5750468A"/>
    <w:rsid w:val="57585F64"/>
    <w:rsid w:val="575B74AD"/>
    <w:rsid w:val="57631674"/>
    <w:rsid w:val="576A2A02"/>
    <w:rsid w:val="57743881"/>
    <w:rsid w:val="57783371"/>
    <w:rsid w:val="57806E95"/>
    <w:rsid w:val="57835872"/>
    <w:rsid w:val="57845DEC"/>
    <w:rsid w:val="578F4217"/>
    <w:rsid w:val="57935E69"/>
    <w:rsid w:val="57936E27"/>
    <w:rsid w:val="57943DCF"/>
    <w:rsid w:val="579730CB"/>
    <w:rsid w:val="57A44FBE"/>
    <w:rsid w:val="57AB49EF"/>
    <w:rsid w:val="57B1418D"/>
    <w:rsid w:val="57BF5665"/>
    <w:rsid w:val="57C02C3A"/>
    <w:rsid w:val="57C254B3"/>
    <w:rsid w:val="57C62622"/>
    <w:rsid w:val="57C7123B"/>
    <w:rsid w:val="57D32355"/>
    <w:rsid w:val="57DD1426"/>
    <w:rsid w:val="57E52089"/>
    <w:rsid w:val="57E91B79"/>
    <w:rsid w:val="580A7D41"/>
    <w:rsid w:val="58116D1C"/>
    <w:rsid w:val="581B5AAA"/>
    <w:rsid w:val="583059FA"/>
    <w:rsid w:val="584119B5"/>
    <w:rsid w:val="58460A2B"/>
    <w:rsid w:val="58562F86"/>
    <w:rsid w:val="585D2567"/>
    <w:rsid w:val="585D5FB5"/>
    <w:rsid w:val="585E1736"/>
    <w:rsid w:val="587B479B"/>
    <w:rsid w:val="58906498"/>
    <w:rsid w:val="5893734D"/>
    <w:rsid w:val="58971419"/>
    <w:rsid w:val="589C4E3D"/>
    <w:rsid w:val="58A24133"/>
    <w:rsid w:val="58AA62E5"/>
    <w:rsid w:val="58B23CBA"/>
    <w:rsid w:val="58C16652"/>
    <w:rsid w:val="58D81BED"/>
    <w:rsid w:val="58DF11CE"/>
    <w:rsid w:val="58E32A6C"/>
    <w:rsid w:val="58E65BE8"/>
    <w:rsid w:val="58F44C79"/>
    <w:rsid w:val="58F619BB"/>
    <w:rsid w:val="58FD3C4A"/>
    <w:rsid w:val="590429E2"/>
    <w:rsid w:val="590D1897"/>
    <w:rsid w:val="59140E77"/>
    <w:rsid w:val="591712B0"/>
    <w:rsid w:val="5920775E"/>
    <w:rsid w:val="59210FA5"/>
    <w:rsid w:val="59262959"/>
    <w:rsid w:val="593178E4"/>
    <w:rsid w:val="593404C8"/>
    <w:rsid w:val="59352B9C"/>
    <w:rsid w:val="593B0594"/>
    <w:rsid w:val="594A4899"/>
    <w:rsid w:val="594F0101"/>
    <w:rsid w:val="59576FB6"/>
    <w:rsid w:val="595A2602"/>
    <w:rsid w:val="595B0854"/>
    <w:rsid w:val="5961766F"/>
    <w:rsid w:val="59617E35"/>
    <w:rsid w:val="597B0EF6"/>
    <w:rsid w:val="59835FFD"/>
    <w:rsid w:val="599679A7"/>
    <w:rsid w:val="59A10231"/>
    <w:rsid w:val="59B03D7E"/>
    <w:rsid w:val="59BB5797"/>
    <w:rsid w:val="59BF3C49"/>
    <w:rsid w:val="59C26B25"/>
    <w:rsid w:val="59C815C4"/>
    <w:rsid w:val="59CC52AE"/>
    <w:rsid w:val="59D914B7"/>
    <w:rsid w:val="59DA6C87"/>
    <w:rsid w:val="59DD74BB"/>
    <w:rsid w:val="59E4075B"/>
    <w:rsid w:val="59E42F07"/>
    <w:rsid w:val="59E940B2"/>
    <w:rsid w:val="59F36CDF"/>
    <w:rsid w:val="59F51CED"/>
    <w:rsid w:val="59F6057D"/>
    <w:rsid w:val="59F64A21"/>
    <w:rsid w:val="59FB5B93"/>
    <w:rsid w:val="59FD775E"/>
    <w:rsid w:val="59FF38D6"/>
    <w:rsid w:val="5A0D1E28"/>
    <w:rsid w:val="5A0F069B"/>
    <w:rsid w:val="5A164F6F"/>
    <w:rsid w:val="5A184997"/>
    <w:rsid w:val="5A1B4488"/>
    <w:rsid w:val="5A2A0227"/>
    <w:rsid w:val="5A300A8A"/>
    <w:rsid w:val="5A343384"/>
    <w:rsid w:val="5A394CD1"/>
    <w:rsid w:val="5A3A6C1A"/>
    <w:rsid w:val="5A3C1A98"/>
    <w:rsid w:val="5A405C9C"/>
    <w:rsid w:val="5A4709EE"/>
    <w:rsid w:val="5A601E9A"/>
    <w:rsid w:val="5A6279C1"/>
    <w:rsid w:val="5A647BDD"/>
    <w:rsid w:val="5A6776CD"/>
    <w:rsid w:val="5A6C6CEF"/>
    <w:rsid w:val="5A6E2809"/>
    <w:rsid w:val="5A7818D2"/>
    <w:rsid w:val="5A8111AE"/>
    <w:rsid w:val="5A814A3F"/>
    <w:rsid w:val="5A877662"/>
    <w:rsid w:val="5A8B6F17"/>
    <w:rsid w:val="5A8C0EE1"/>
    <w:rsid w:val="5A90452E"/>
    <w:rsid w:val="5A963B0E"/>
    <w:rsid w:val="5A985AD8"/>
    <w:rsid w:val="5A9A1850"/>
    <w:rsid w:val="5A9B0FE9"/>
    <w:rsid w:val="5A9B2ED2"/>
    <w:rsid w:val="5A9F2ADC"/>
    <w:rsid w:val="5AA07351"/>
    <w:rsid w:val="5AA93841"/>
    <w:rsid w:val="5AB32912"/>
    <w:rsid w:val="5ABC3575"/>
    <w:rsid w:val="5ABF1126"/>
    <w:rsid w:val="5ACC0284"/>
    <w:rsid w:val="5ACC7530"/>
    <w:rsid w:val="5AD07020"/>
    <w:rsid w:val="5AD54636"/>
    <w:rsid w:val="5AE04951"/>
    <w:rsid w:val="5AE12FDB"/>
    <w:rsid w:val="5AE452A1"/>
    <w:rsid w:val="5AE623A0"/>
    <w:rsid w:val="5AE8436A"/>
    <w:rsid w:val="5AED5A81"/>
    <w:rsid w:val="5AF34ABD"/>
    <w:rsid w:val="5B0B0834"/>
    <w:rsid w:val="5B0C31E8"/>
    <w:rsid w:val="5B0D4C47"/>
    <w:rsid w:val="5B0F2F87"/>
    <w:rsid w:val="5B136F0D"/>
    <w:rsid w:val="5B1769FD"/>
    <w:rsid w:val="5B242B93"/>
    <w:rsid w:val="5B24736C"/>
    <w:rsid w:val="5B252510"/>
    <w:rsid w:val="5B26435E"/>
    <w:rsid w:val="5B294982"/>
    <w:rsid w:val="5B323837"/>
    <w:rsid w:val="5B353327"/>
    <w:rsid w:val="5B422FE3"/>
    <w:rsid w:val="5B4A5737"/>
    <w:rsid w:val="5B557525"/>
    <w:rsid w:val="5B565680"/>
    <w:rsid w:val="5B6065F6"/>
    <w:rsid w:val="5B61236E"/>
    <w:rsid w:val="5B653C0C"/>
    <w:rsid w:val="5B7420A1"/>
    <w:rsid w:val="5B762B43"/>
    <w:rsid w:val="5B765E19"/>
    <w:rsid w:val="5B7C71A8"/>
    <w:rsid w:val="5B7E082A"/>
    <w:rsid w:val="5B7F69CB"/>
    <w:rsid w:val="5B800A46"/>
    <w:rsid w:val="5B80569B"/>
    <w:rsid w:val="5B8364E3"/>
    <w:rsid w:val="5B8878FB"/>
    <w:rsid w:val="5B8950CA"/>
    <w:rsid w:val="5B8B1AD3"/>
    <w:rsid w:val="5B8B6467"/>
    <w:rsid w:val="5B9562A9"/>
    <w:rsid w:val="5B997AF8"/>
    <w:rsid w:val="5B9B13DC"/>
    <w:rsid w:val="5BAD7361"/>
    <w:rsid w:val="5BB95D06"/>
    <w:rsid w:val="5BBF6097"/>
    <w:rsid w:val="5BC0128D"/>
    <w:rsid w:val="5BCA161A"/>
    <w:rsid w:val="5BCE7A03"/>
    <w:rsid w:val="5BE03293"/>
    <w:rsid w:val="5BE70AC5"/>
    <w:rsid w:val="5BE72873"/>
    <w:rsid w:val="5BF03C12"/>
    <w:rsid w:val="5BF413B6"/>
    <w:rsid w:val="5BF62AB6"/>
    <w:rsid w:val="5BFF7AE6"/>
    <w:rsid w:val="5C0509B4"/>
    <w:rsid w:val="5C0A47B4"/>
    <w:rsid w:val="5C0B789C"/>
    <w:rsid w:val="5C142F3C"/>
    <w:rsid w:val="5C182A2D"/>
    <w:rsid w:val="5C2A09B2"/>
    <w:rsid w:val="5C2E2250"/>
    <w:rsid w:val="5C2F421A"/>
    <w:rsid w:val="5C372F37"/>
    <w:rsid w:val="5C403D31"/>
    <w:rsid w:val="5C423F4D"/>
    <w:rsid w:val="5C425CFC"/>
    <w:rsid w:val="5C4557EC"/>
    <w:rsid w:val="5C4A4BB0"/>
    <w:rsid w:val="5C5679F9"/>
    <w:rsid w:val="5C623923"/>
    <w:rsid w:val="5C6358C5"/>
    <w:rsid w:val="5C7D7655"/>
    <w:rsid w:val="5C891B7C"/>
    <w:rsid w:val="5C91306D"/>
    <w:rsid w:val="5C94019A"/>
    <w:rsid w:val="5C9D73D6"/>
    <w:rsid w:val="5CA72002"/>
    <w:rsid w:val="5CAB7727"/>
    <w:rsid w:val="5CB5624E"/>
    <w:rsid w:val="5CC441E1"/>
    <w:rsid w:val="5CC826A5"/>
    <w:rsid w:val="5CC901CB"/>
    <w:rsid w:val="5CCC30BE"/>
    <w:rsid w:val="5CD10E2D"/>
    <w:rsid w:val="5CE45005"/>
    <w:rsid w:val="5CE62A5E"/>
    <w:rsid w:val="5CE760ED"/>
    <w:rsid w:val="5CEE7C31"/>
    <w:rsid w:val="5CF36FF6"/>
    <w:rsid w:val="5CF76AE6"/>
    <w:rsid w:val="5CFB1C2D"/>
    <w:rsid w:val="5CFE60C6"/>
    <w:rsid w:val="5D170F36"/>
    <w:rsid w:val="5D186A5C"/>
    <w:rsid w:val="5D221689"/>
    <w:rsid w:val="5D243653"/>
    <w:rsid w:val="5D283143"/>
    <w:rsid w:val="5D331AE8"/>
    <w:rsid w:val="5D395350"/>
    <w:rsid w:val="5D3F223B"/>
    <w:rsid w:val="5D431D2B"/>
    <w:rsid w:val="5D445AA3"/>
    <w:rsid w:val="5D485594"/>
    <w:rsid w:val="5D591638"/>
    <w:rsid w:val="5D5D4A1E"/>
    <w:rsid w:val="5D5F468B"/>
    <w:rsid w:val="5D610403"/>
    <w:rsid w:val="5D630025"/>
    <w:rsid w:val="5D635F29"/>
    <w:rsid w:val="5D673A5A"/>
    <w:rsid w:val="5D6837FA"/>
    <w:rsid w:val="5D7C5F32"/>
    <w:rsid w:val="5D814602"/>
    <w:rsid w:val="5D86574C"/>
    <w:rsid w:val="5D8D5661"/>
    <w:rsid w:val="5D8D62B3"/>
    <w:rsid w:val="5D9021D1"/>
    <w:rsid w:val="5DA3067A"/>
    <w:rsid w:val="5DBC6F9B"/>
    <w:rsid w:val="5DBE4262"/>
    <w:rsid w:val="5DBE5856"/>
    <w:rsid w:val="5DC02F4A"/>
    <w:rsid w:val="5DCD7847"/>
    <w:rsid w:val="5DE0046A"/>
    <w:rsid w:val="5DE3706A"/>
    <w:rsid w:val="5DE570D9"/>
    <w:rsid w:val="5DE80B25"/>
    <w:rsid w:val="5DEC6D1B"/>
    <w:rsid w:val="5DF254FF"/>
    <w:rsid w:val="5DF70D68"/>
    <w:rsid w:val="5DFB2606"/>
    <w:rsid w:val="5DFC1EDA"/>
    <w:rsid w:val="5DFE20F6"/>
    <w:rsid w:val="5E0569C2"/>
    <w:rsid w:val="5E0705E5"/>
    <w:rsid w:val="5E1E4546"/>
    <w:rsid w:val="5E226D3C"/>
    <w:rsid w:val="5E253E84"/>
    <w:rsid w:val="5E2A2EEB"/>
    <w:rsid w:val="5E2A7441"/>
    <w:rsid w:val="5E427E32"/>
    <w:rsid w:val="5E4715FE"/>
    <w:rsid w:val="5E5127F9"/>
    <w:rsid w:val="5E5132EC"/>
    <w:rsid w:val="5E547F68"/>
    <w:rsid w:val="5E6F08FE"/>
    <w:rsid w:val="5E745F14"/>
    <w:rsid w:val="5E7971E5"/>
    <w:rsid w:val="5E851E72"/>
    <w:rsid w:val="5E8A5738"/>
    <w:rsid w:val="5E8C5954"/>
    <w:rsid w:val="5E941B9A"/>
    <w:rsid w:val="5E96232F"/>
    <w:rsid w:val="5E99597B"/>
    <w:rsid w:val="5E9A6159"/>
    <w:rsid w:val="5EA04F5B"/>
    <w:rsid w:val="5EA12C1A"/>
    <w:rsid w:val="5EA54320"/>
    <w:rsid w:val="5EA62EF7"/>
    <w:rsid w:val="5EAA7B88"/>
    <w:rsid w:val="5EAB349A"/>
    <w:rsid w:val="5EAB402C"/>
    <w:rsid w:val="5EAC56AE"/>
    <w:rsid w:val="5EB15B51"/>
    <w:rsid w:val="5EB6652D"/>
    <w:rsid w:val="5EBA517D"/>
    <w:rsid w:val="5EBE69AA"/>
    <w:rsid w:val="5EC075BB"/>
    <w:rsid w:val="5EC450EE"/>
    <w:rsid w:val="5EC96260"/>
    <w:rsid w:val="5ED115B9"/>
    <w:rsid w:val="5ED30E8D"/>
    <w:rsid w:val="5ED75432"/>
    <w:rsid w:val="5EDE253E"/>
    <w:rsid w:val="5EE37062"/>
    <w:rsid w:val="5EE43E9B"/>
    <w:rsid w:val="5EE85C1C"/>
    <w:rsid w:val="5EEC4DA1"/>
    <w:rsid w:val="5EED5BA7"/>
    <w:rsid w:val="5EFF6126"/>
    <w:rsid w:val="5F0715BE"/>
    <w:rsid w:val="5F0B4ACB"/>
    <w:rsid w:val="5F0E6369"/>
    <w:rsid w:val="5F100333"/>
    <w:rsid w:val="5F190344"/>
    <w:rsid w:val="5F1C521A"/>
    <w:rsid w:val="5F203BE5"/>
    <w:rsid w:val="5F265461"/>
    <w:rsid w:val="5F281498"/>
    <w:rsid w:val="5F2B2A77"/>
    <w:rsid w:val="5F3129DD"/>
    <w:rsid w:val="5F313563"/>
    <w:rsid w:val="5F3B6A32"/>
    <w:rsid w:val="5F3B7727"/>
    <w:rsid w:val="5F3E7162"/>
    <w:rsid w:val="5F440A6B"/>
    <w:rsid w:val="5F45519E"/>
    <w:rsid w:val="5F4678B1"/>
    <w:rsid w:val="5F5A7800"/>
    <w:rsid w:val="5F5E109E"/>
    <w:rsid w:val="5F61293D"/>
    <w:rsid w:val="5F667638"/>
    <w:rsid w:val="5F692089"/>
    <w:rsid w:val="5F697A43"/>
    <w:rsid w:val="5F796DF2"/>
    <w:rsid w:val="5F7A39FE"/>
    <w:rsid w:val="5F7C184F"/>
    <w:rsid w:val="5F7C32D2"/>
    <w:rsid w:val="5F8623A3"/>
    <w:rsid w:val="5F88611B"/>
    <w:rsid w:val="5F887EC9"/>
    <w:rsid w:val="5F8B79B9"/>
    <w:rsid w:val="5F8F74AA"/>
    <w:rsid w:val="5F931795"/>
    <w:rsid w:val="5F993E84"/>
    <w:rsid w:val="5F9A19AB"/>
    <w:rsid w:val="5FA171DD"/>
    <w:rsid w:val="5FA8056B"/>
    <w:rsid w:val="5FAD04CC"/>
    <w:rsid w:val="5FAD7930"/>
    <w:rsid w:val="5FAF18FA"/>
    <w:rsid w:val="5FB011CE"/>
    <w:rsid w:val="5FB5629C"/>
    <w:rsid w:val="5FC058B5"/>
    <w:rsid w:val="5FCF0430"/>
    <w:rsid w:val="5FD01870"/>
    <w:rsid w:val="5FD27850"/>
    <w:rsid w:val="5FD32821"/>
    <w:rsid w:val="5FD667B9"/>
    <w:rsid w:val="5FDA1C75"/>
    <w:rsid w:val="5FDE3F8D"/>
    <w:rsid w:val="5FEA0949"/>
    <w:rsid w:val="5FEA2932"/>
    <w:rsid w:val="5FF00F0B"/>
    <w:rsid w:val="5FF23595"/>
    <w:rsid w:val="5FF27A39"/>
    <w:rsid w:val="5FF4555F"/>
    <w:rsid w:val="5FFA1888"/>
    <w:rsid w:val="60001041"/>
    <w:rsid w:val="60003F04"/>
    <w:rsid w:val="60011A2A"/>
    <w:rsid w:val="60031C46"/>
    <w:rsid w:val="60067040"/>
    <w:rsid w:val="600734E4"/>
    <w:rsid w:val="60095A9E"/>
    <w:rsid w:val="600960AF"/>
    <w:rsid w:val="6017124D"/>
    <w:rsid w:val="601C6864"/>
    <w:rsid w:val="601E082E"/>
    <w:rsid w:val="60212F1C"/>
    <w:rsid w:val="6023073C"/>
    <w:rsid w:val="602970B6"/>
    <w:rsid w:val="602A5424"/>
    <w:rsid w:val="6037369D"/>
    <w:rsid w:val="603B13E0"/>
    <w:rsid w:val="6042276E"/>
    <w:rsid w:val="60501C67"/>
    <w:rsid w:val="605063DF"/>
    <w:rsid w:val="60561D75"/>
    <w:rsid w:val="605C64DD"/>
    <w:rsid w:val="605E3679"/>
    <w:rsid w:val="605F57DA"/>
    <w:rsid w:val="60605DBF"/>
    <w:rsid w:val="60805044"/>
    <w:rsid w:val="60964868"/>
    <w:rsid w:val="60997EB4"/>
    <w:rsid w:val="609E3AA7"/>
    <w:rsid w:val="60AC5E39"/>
    <w:rsid w:val="60AD390E"/>
    <w:rsid w:val="60AE1BB1"/>
    <w:rsid w:val="60B847DE"/>
    <w:rsid w:val="60B947C9"/>
    <w:rsid w:val="60BF5B6D"/>
    <w:rsid w:val="60C2565D"/>
    <w:rsid w:val="60C56BDC"/>
    <w:rsid w:val="60C64578"/>
    <w:rsid w:val="60C80E91"/>
    <w:rsid w:val="60C90799"/>
    <w:rsid w:val="60CD6B00"/>
    <w:rsid w:val="60D1764E"/>
    <w:rsid w:val="60D26B4A"/>
    <w:rsid w:val="60D3575A"/>
    <w:rsid w:val="60D46326"/>
    <w:rsid w:val="60DA29A7"/>
    <w:rsid w:val="60E23609"/>
    <w:rsid w:val="60E530F9"/>
    <w:rsid w:val="60E6759D"/>
    <w:rsid w:val="60EA0710"/>
    <w:rsid w:val="60F037E4"/>
    <w:rsid w:val="60FB291D"/>
    <w:rsid w:val="60FD0443"/>
    <w:rsid w:val="60FF5E9B"/>
    <w:rsid w:val="61007F33"/>
    <w:rsid w:val="61092C50"/>
    <w:rsid w:val="610F0176"/>
    <w:rsid w:val="611543D1"/>
    <w:rsid w:val="6117728B"/>
    <w:rsid w:val="61190304"/>
    <w:rsid w:val="611D6D37"/>
    <w:rsid w:val="612158E8"/>
    <w:rsid w:val="61247DC5"/>
    <w:rsid w:val="61251748"/>
    <w:rsid w:val="612E593F"/>
    <w:rsid w:val="613D10EA"/>
    <w:rsid w:val="613F4944"/>
    <w:rsid w:val="61454633"/>
    <w:rsid w:val="61460D58"/>
    <w:rsid w:val="614B11AE"/>
    <w:rsid w:val="614B5652"/>
    <w:rsid w:val="615362B5"/>
    <w:rsid w:val="615F5AD8"/>
    <w:rsid w:val="61700C15"/>
    <w:rsid w:val="617226F2"/>
    <w:rsid w:val="617A5F38"/>
    <w:rsid w:val="617E5752"/>
    <w:rsid w:val="617F52FC"/>
    <w:rsid w:val="61842A3D"/>
    <w:rsid w:val="61882403"/>
    <w:rsid w:val="61903065"/>
    <w:rsid w:val="619568CD"/>
    <w:rsid w:val="619603DB"/>
    <w:rsid w:val="61984DF6"/>
    <w:rsid w:val="61A84853"/>
    <w:rsid w:val="61AD3C17"/>
    <w:rsid w:val="61B256D1"/>
    <w:rsid w:val="61BA4586"/>
    <w:rsid w:val="61BE1664"/>
    <w:rsid w:val="61BE7D2A"/>
    <w:rsid w:val="61D218D0"/>
    <w:rsid w:val="61D531FE"/>
    <w:rsid w:val="61DE2022"/>
    <w:rsid w:val="61E41603"/>
    <w:rsid w:val="61E627A8"/>
    <w:rsid w:val="61F2297E"/>
    <w:rsid w:val="61F23F94"/>
    <w:rsid w:val="61FE0491"/>
    <w:rsid w:val="61FE6777"/>
    <w:rsid w:val="6200643D"/>
    <w:rsid w:val="62031A89"/>
    <w:rsid w:val="620514A4"/>
    <w:rsid w:val="62090567"/>
    <w:rsid w:val="621023F8"/>
    <w:rsid w:val="62104EDF"/>
    <w:rsid w:val="62193481"/>
    <w:rsid w:val="62201702"/>
    <w:rsid w:val="62210161"/>
    <w:rsid w:val="62270F23"/>
    <w:rsid w:val="622A5268"/>
    <w:rsid w:val="622B7CBD"/>
    <w:rsid w:val="62324E78"/>
    <w:rsid w:val="62326812"/>
    <w:rsid w:val="62377985"/>
    <w:rsid w:val="62410803"/>
    <w:rsid w:val="624502F4"/>
    <w:rsid w:val="62456545"/>
    <w:rsid w:val="624D0F56"/>
    <w:rsid w:val="627511AF"/>
    <w:rsid w:val="627B5AC3"/>
    <w:rsid w:val="62856942"/>
    <w:rsid w:val="629372B1"/>
    <w:rsid w:val="629468C0"/>
    <w:rsid w:val="62970EE5"/>
    <w:rsid w:val="62981979"/>
    <w:rsid w:val="629923ED"/>
    <w:rsid w:val="629D1EDE"/>
    <w:rsid w:val="62A0577C"/>
    <w:rsid w:val="62A06EB6"/>
    <w:rsid w:val="62A56FE4"/>
    <w:rsid w:val="62A573BE"/>
    <w:rsid w:val="62A80882"/>
    <w:rsid w:val="62B56103"/>
    <w:rsid w:val="62B57DB5"/>
    <w:rsid w:val="62B611F1"/>
    <w:rsid w:val="62BF3354"/>
    <w:rsid w:val="62C14FC9"/>
    <w:rsid w:val="62C27B96"/>
    <w:rsid w:val="62C76F5B"/>
    <w:rsid w:val="62CC5D8F"/>
    <w:rsid w:val="62CE0974"/>
    <w:rsid w:val="62DD22DA"/>
    <w:rsid w:val="62E0024A"/>
    <w:rsid w:val="62E27476"/>
    <w:rsid w:val="62E66DD3"/>
    <w:rsid w:val="62EA2C49"/>
    <w:rsid w:val="62EE79D5"/>
    <w:rsid w:val="62F53AC8"/>
    <w:rsid w:val="62FB633C"/>
    <w:rsid w:val="62FE553A"/>
    <w:rsid w:val="63041F5D"/>
    <w:rsid w:val="630B232D"/>
    <w:rsid w:val="63102896"/>
    <w:rsid w:val="63114EA6"/>
    <w:rsid w:val="63127C48"/>
    <w:rsid w:val="63135514"/>
    <w:rsid w:val="6320666B"/>
    <w:rsid w:val="6324615B"/>
    <w:rsid w:val="633D546F"/>
    <w:rsid w:val="634219A9"/>
    <w:rsid w:val="634265E1"/>
    <w:rsid w:val="63463232"/>
    <w:rsid w:val="635316E1"/>
    <w:rsid w:val="63536A40"/>
    <w:rsid w:val="63591084"/>
    <w:rsid w:val="635C0B38"/>
    <w:rsid w:val="635F53E5"/>
    <w:rsid w:val="63604CB9"/>
    <w:rsid w:val="636B19CD"/>
    <w:rsid w:val="636C3924"/>
    <w:rsid w:val="637349EC"/>
    <w:rsid w:val="637444F9"/>
    <w:rsid w:val="637716C3"/>
    <w:rsid w:val="637F3391"/>
    <w:rsid w:val="638135AD"/>
    <w:rsid w:val="63817A26"/>
    <w:rsid w:val="63830457"/>
    <w:rsid w:val="63846E1B"/>
    <w:rsid w:val="638906B4"/>
    <w:rsid w:val="639A641D"/>
    <w:rsid w:val="63A70B3A"/>
    <w:rsid w:val="63A86D8C"/>
    <w:rsid w:val="63AA3F14"/>
    <w:rsid w:val="63AE41EB"/>
    <w:rsid w:val="63B35731"/>
    <w:rsid w:val="63BF40D6"/>
    <w:rsid w:val="63C24031"/>
    <w:rsid w:val="63CD05A1"/>
    <w:rsid w:val="63CD38F1"/>
    <w:rsid w:val="63E36C50"/>
    <w:rsid w:val="63E61662"/>
    <w:rsid w:val="63E82E91"/>
    <w:rsid w:val="63EE352D"/>
    <w:rsid w:val="63F14DDB"/>
    <w:rsid w:val="63FE4BFE"/>
    <w:rsid w:val="64034CF8"/>
    <w:rsid w:val="64045B83"/>
    <w:rsid w:val="64063FB3"/>
    <w:rsid w:val="6409723D"/>
    <w:rsid w:val="6414138E"/>
    <w:rsid w:val="64155AA4"/>
    <w:rsid w:val="641724DD"/>
    <w:rsid w:val="64175CC0"/>
    <w:rsid w:val="641C5084"/>
    <w:rsid w:val="64267CB1"/>
    <w:rsid w:val="642729F9"/>
    <w:rsid w:val="642B1D6C"/>
    <w:rsid w:val="643B36EE"/>
    <w:rsid w:val="643C1282"/>
    <w:rsid w:val="643E4FFA"/>
    <w:rsid w:val="64410902"/>
    <w:rsid w:val="6445410C"/>
    <w:rsid w:val="644D156E"/>
    <w:rsid w:val="644F09B6"/>
    <w:rsid w:val="644F5459"/>
    <w:rsid w:val="64516D3E"/>
    <w:rsid w:val="64540CC2"/>
    <w:rsid w:val="64682D09"/>
    <w:rsid w:val="646B7DB9"/>
    <w:rsid w:val="647B7FFD"/>
    <w:rsid w:val="64857591"/>
    <w:rsid w:val="648D420D"/>
    <w:rsid w:val="648D4DC3"/>
    <w:rsid w:val="6492732E"/>
    <w:rsid w:val="64937B40"/>
    <w:rsid w:val="64964E36"/>
    <w:rsid w:val="64970025"/>
    <w:rsid w:val="649C7F73"/>
    <w:rsid w:val="64A77232"/>
    <w:rsid w:val="64A853C4"/>
    <w:rsid w:val="64A87A3E"/>
    <w:rsid w:val="64AC6408"/>
    <w:rsid w:val="64AF7CA6"/>
    <w:rsid w:val="64B13A1E"/>
    <w:rsid w:val="64B4350F"/>
    <w:rsid w:val="64C10B7B"/>
    <w:rsid w:val="64C179D9"/>
    <w:rsid w:val="64C32220"/>
    <w:rsid w:val="64C72A0B"/>
    <w:rsid w:val="64D01D48"/>
    <w:rsid w:val="64D43BB1"/>
    <w:rsid w:val="64D616D7"/>
    <w:rsid w:val="64DD4813"/>
    <w:rsid w:val="64DE2339"/>
    <w:rsid w:val="64E414E0"/>
    <w:rsid w:val="64E57B6C"/>
    <w:rsid w:val="64E813DB"/>
    <w:rsid w:val="64EB7DD2"/>
    <w:rsid w:val="64F210E5"/>
    <w:rsid w:val="64FF0C2E"/>
    <w:rsid w:val="650606C1"/>
    <w:rsid w:val="650A0BA4"/>
    <w:rsid w:val="65130235"/>
    <w:rsid w:val="651B21D8"/>
    <w:rsid w:val="65293EFC"/>
    <w:rsid w:val="652C15E3"/>
    <w:rsid w:val="652E32C1"/>
    <w:rsid w:val="65312DB1"/>
    <w:rsid w:val="65314AB8"/>
    <w:rsid w:val="653463FD"/>
    <w:rsid w:val="653C786E"/>
    <w:rsid w:val="65455984"/>
    <w:rsid w:val="65491EA9"/>
    <w:rsid w:val="654C3747"/>
    <w:rsid w:val="65524A6E"/>
    <w:rsid w:val="655D5954"/>
    <w:rsid w:val="6562740E"/>
    <w:rsid w:val="65644F35"/>
    <w:rsid w:val="65690C5E"/>
    <w:rsid w:val="656B25DE"/>
    <w:rsid w:val="657A4758"/>
    <w:rsid w:val="6582360D"/>
    <w:rsid w:val="65890608"/>
    <w:rsid w:val="658B0713"/>
    <w:rsid w:val="65966BFC"/>
    <w:rsid w:val="65971D5F"/>
    <w:rsid w:val="659770B8"/>
    <w:rsid w:val="65991807"/>
    <w:rsid w:val="65A43583"/>
    <w:rsid w:val="65B06E73"/>
    <w:rsid w:val="65B512EC"/>
    <w:rsid w:val="65B55790"/>
    <w:rsid w:val="65BC6B1F"/>
    <w:rsid w:val="65BD4645"/>
    <w:rsid w:val="65BE6B77"/>
    <w:rsid w:val="65C42B4E"/>
    <w:rsid w:val="65C44787"/>
    <w:rsid w:val="65C9123C"/>
    <w:rsid w:val="65CC2343"/>
    <w:rsid w:val="65D0360F"/>
    <w:rsid w:val="65D34B1C"/>
    <w:rsid w:val="65E10333"/>
    <w:rsid w:val="65EA2F94"/>
    <w:rsid w:val="65EF0590"/>
    <w:rsid w:val="65F52031"/>
    <w:rsid w:val="65F8567D"/>
    <w:rsid w:val="65FF4C5D"/>
    <w:rsid w:val="660015B1"/>
    <w:rsid w:val="660226AB"/>
    <w:rsid w:val="660559C1"/>
    <w:rsid w:val="660F796A"/>
    <w:rsid w:val="662270C4"/>
    <w:rsid w:val="662621EA"/>
    <w:rsid w:val="66264F05"/>
    <w:rsid w:val="66344907"/>
    <w:rsid w:val="6635067F"/>
    <w:rsid w:val="663703FD"/>
    <w:rsid w:val="66394DEE"/>
    <w:rsid w:val="663B1C63"/>
    <w:rsid w:val="66407F82"/>
    <w:rsid w:val="66415276"/>
    <w:rsid w:val="664219D3"/>
    <w:rsid w:val="664A237C"/>
    <w:rsid w:val="664D7D9C"/>
    <w:rsid w:val="664E34EF"/>
    <w:rsid w:val="665C3A62"/>
    <w:rsid w:val="665F1C74"/>
    <w:rsid w:val="66666A8A"/>
    <w:rsid w:val="666A657B"/>
    <w:rsid w:val="66730C34"/>
    <w:rsid w:val="667F18FA"/>
    <w:rsid w:val="667F75BE"/>
    <w:rsid w:val="6686712D"/>
    <w:rsid w:val="66A43656"/>
    <w:rsid w:val="66AC6E68"/>
    <w:rsid w:val="66B45A48"/>
    <w:rsid w:val="66B5531C"/>
    <w:rsid w:val="66B6356E"/>
    <w:rsid w:val="66C806BD"/>
    <w:rsid w:val="66DE0D17"/>
    <w:rsid w:val="66E225B5"/>
    <w:rsid w:val="66E31E89"/>
    <w:rsid w:val="66E3632D"/>
    <w:rsid w:val="66E36EB5"/>
    <w:rsid w:val="66E83943"/>
    <w:rsid w:val="66E97CC5"/>
    <w:rsid w:val="66EA3218"/>
    <w:rsid w:val="66ED148A"/>
    <w:rsid w:val="66EF7312"/>
    <w:rsid w:val="66F44D63"/>
    <w:rsid w:val="66FB3677"/>
    <w:rsid w:val="66FD73EF"/>
    <w:rsid w:val="6712276E"/>
    <w:rsid w:val="671E598E"/>
    <w:rsid w:val="672B514D"/>
    <w:rsid w:val="672C1A82"/>
    <w:rsid w:val="672E1BB9"/>
    <w:rsid w:val="673426E5"/>
    <w:rsid w:val="673812B4"/>
    <w:rsid w:val="67513297"/>
    <w:rsid w:val="6764121C"/>
    <w:rsid w:val="67760F4F"/>
    <w:rsid w:val="67786A75"/>
    <w:rsid w:val="677D0530"/>
    <w:rsid w:val="677E0BCC"/>
    <w:rsid w:val="67822F4A"/>
    <w:rsid w:val="67851681"/>
    <w:rsid w:val="678673E4"/>
    <w:rsid w:val="67931B01"/>
    <w:rsid w:val="679A2E90"/>
    <w:rsid w:val="67A04650"/>
    <w:rsid w:val="67AC5587"/>
    <w:rsid w:val="67B01AFC"/>
    <w:rsid w:val="67B0620F"/>
    <w:rsid w:val="67C41CBB"/>
    <w:rsid w:val="67C972D1"/>
    <w:rsid w:val="67CB129B"/>
    <w:rsid w:val="67D60B2D"/>
    <w:rsid w:val="67D96418"/>
    <w:rsid w:val="67E22141"/>
    <w:rsid w:val="67E914B3"/>
    <w:rsid w:val="67F105D6"/>
    <w:rsid w:val="67F72090"/>
    <w:rsid w:val="67FC76A6"/>
    <w:rsid w:val="68012F0F"/>
    <w:rsid w:val="68014D26"/>
    <w:rsid w:val="68040309"/>
    <w:rsid w:val="6809398D"/>
    <w:rsid w:val="680F0D3C"/>
    <w:rsid w:val="681349F0"/>
    <w:rsid w:val="681B32D8"/>
    <w:rsid w:val="681C1AF7"/>
    <w:rsid w:val="682747B8"/>
    <w:rsid w:val="68297331"/>
    <w:rsid w:val="682A1594"/>
    <w:rsid w:val="682C554B"/>
    <w:rsid w:val="68420E31"/>
    <w:rsid w:val="684B418A"/>
    <w:rsid w:val="68577E81"/>
    <w:rsid w:val="68617509"/>
    <w:rsid w:val="68631F9E"/>
    <w:rsid w:val="686B207C"/>
    <w:rsid w:val="687D6223"/>
    <w:rsid w:val="68817BAC"/>
    <w:rsid w:val="6899033F"/>
    <w:rsid w:val="68994EF5"/>
    <w:rsid w:val="689C49E5"/>
    <w:rsid w:val="68B03FED"/>
    <w:rsid w:val="68B44EF0"/>
    <w:rsid w:val="68C006D4"/>
    <w:rsid w:val="68C66398"/>
    <w:rsid w:val="68C77CB4"/>
    <w:rsid w:val="68C93662"/>
    <w:rsid w:val="68CA77A4"/>
    <w:rsid w:val="68CC52CB"/>
    <w:rsid w:val="68CF6B69"/>
    <w:rsid w:val="68D65429"/>
    <w:rsid w:val="68DE4FFE"/>
    <w:rsid w:val="68E048D2"/>
    <w:rsid w:val="68E82E72"/>
    <w:rsid w:val="68EF0FB9"/>
    <w:rsid w:val="68F55EA4"/>
    <w:rsid w:val="68F63773"/>
    <w:rsid w:val="68F93BE6"/>
    <w:rsid w:val="68FA5E59"/>
    <w:rsid w:val="68FB18DD"/>
    <w:rsid w:val="69006D97"/>
    <w:rsid w:val="69010518"/>
    <w:rsid w:val="69026B93"/>
    <w:rsid w:val="690305C1"/>
    <w:rsid w:val="690507DD"/>
    <w:rsid w:val="690600B1"/>
    <w:rsid w:val="69084D97"/>
    <w:rsid w:val="690F51B7"/>
    <w:rsid w:val="690F781B"/>
    <w:rsid w:val="69146C72"/>
    <w:rsid w:val="691746E1"/>
    <w:rsid w:val="691B0000"/>
    <w:rsid w:val="69211740"/>
    <w:rsid w:val="69216C99"/>
    <w:rsid w:val="6936674C"/>
    <w:rsid w:val="69421E14"/>
    <w:rsid w:val="69440073"/>
    <w:rsid w:val="695D23C7"/>
    <w:rsid w:val="69614DFF"/>
    <w:rsid w:val="69735746"/>
    <w:rsid w:val="69747710"/>
    <w:rsid w:val="697C50FB"/>
    <w:rsid w:val="697D4817"/>
    <w:rsid w:val="698138EA"/>
    <w:rsid w:val="6981433F"/>
    <w:rsid w:val="69823BDB"/>
    <w:rsid w:val="69877444"/>
    <w:rsid w:val="698F62F8"/>
    <w:rsid w:val="699304EB"/>
    <w:rsid w:val="6994390F"/>
    <w:rsid w:val="699459C4"/>
    <w:rsid w:val="69974E78"/>
    <w:rsid w:val="69A51678"/>
    <w:rsid w:val="69AA3132"/>
    <w:rsid w:val="69AC2A06"/>
    <w:rsid w:val="69AC6EAA"/>
    <w:rsid w:val="69B600E5"/>
    <w:rsid w:val="69BA3375"/>
    <w:rsid w:val="69CA7330"/>
    <w:rsid w:val="69D75E91"/>
    <w:rsid w:val="69DD52B6"/>
    <w:rsid w:val="69E105C7"/>
    <w:rsid w:val="69E71C90"/>
    <w:rsid w:val="69EE301F"/>
    <w:rsid w:val="69F04FE9"/>
    <w:rsid w:val="69F34ED6"/>
    <w:rsid w:val="69F82C36"/>
    <w:rsid w:val="69F83E9D"/>
    <w:rsid w:val="69FD33AB"/>
    <w:rsid w:val="6A0B1E23"/>
    <w:rsid w:val="6A0C16F7"/>
    <w:rsid w:val="6A132A85"/>
    <w:rsid w:val="6A1D07AC"/>
    <w:rsid w:val="6A221DEB"/>
    <w:rsid w:val="6A273D6D"/>
    <w:rsid w:val="6A2C1D99"/>
    <w:rsid w:val="6A520F40"/>
    <w:rsid w:val="6A537326"/>
    <w:rsid w:val="6A6606CE"/>
    <w:rsid w:val="6A707ED8"/>
    <w:rsid w:val="6A760816"/>
    <w:rsid w:val="6A806406"/>
    <w:rsid w:val="6A843983"/>
    <w:rsid w:val="6A8E441C"/>
    <w:rsid w:val="6A907BF0"/>
    <w:rsid w:val="6A927CA8"/>
    <w:rsid w:val="6A971908"/>
    <w:rsid w:val="6A995680"/>
    <w:rsid w:val="6AA8007B"/>
    <w:rsid w:val="6AAC1383"/>
    <w:rsid w:val="6AAC6B9E"/>
    <w:rsid w:val="6AAD2EDA"/>
    <w:rsid w:val="6AAF69A7"/>
    <w:rsid w:val="6AB06526"/>
    <w:rsid w:val="6AB97AD1"/>
    <w:rsid w:val="6ABC136F"/>
    <w:rsid w:val="6ABC311D"/>
    <w:rsid w:val="6ABF2FE7"/>
    <w:rsid w:val="6AC10733"/>
    <w:rsid w:val="6AC25231"/>
    <w:rsid w:val="6AC50223"/>
    <w:rsid w:val="6ACB15B2"/>
    <w:rsid w:val="6ACE3875"/>
    <w:rsid w:val="6AD06BC8"/>
    <w:rsid w:val="6AD246EE"/>
    <w:rsid w:val="6AD541DF"/>
    <w:rsid w:val="6AD55F8D"/>
    <w:rsid w:val="6AD902FE"/>
    <w:rsid w:val="6ADA2CA1"/>
    <w:rsid w:val="6AEA3E69"/>
    <w:rsid w:val="6AEF704E"/>
    <w:rsid w:val="6AF34616"/>
    <w:rsid w:val="6AF34882"/>
    <w:rsid w:val="6B040620"/>
    <w:rsid w:val="6B054AC4"/>
    <w:rsid w:val="6B0A0803"/>
    <w:rsid w:val="6B0C5E52"/>
    <w:rsid w:val="6B0D754B"/>
    <w:rsid w:val="6B151B7B"/>
    <w:rsid w:val="6B19056F"/>
    <w:rsid w:val="6B217424"/>
    <w:rsid w:val="6B222D57"/>
    <w:rsid w:val="6B234F4A"/>
    <w:rsid w:val="6B2D5DC9"/>
    <w:rsid w:val="6B2D76DD"/>
    <w:rsid w:val="6B376C47"/>
    <w:rsid w:val="6B460C38"/>
    <w:rsid w:val="6B523D5A"/>
    <w:rsid w:val="6B574BF4"/>
    <w:rsid w:val="6B5B46E4"/>
    <w:rsid w:val="6B6D2669"/>
    <w:rsid w:val="6B7203BB"/>
    <w:rsid w:val="6B7632CC"/>
    <w:rsid w:val="6B83149A"/>
    <w:rsid w:val="6B865118"/>
    <w:rsid w:val="6B871777"/>
    <w:rsid w:val="6B8C2AEF"/>
    <w:rsid w:val="6B8F63AA"/>
    <w:rsid w:val="6B9607BE"/>
    <w:rsid w:val="6B9A6192"/>
    <w:rsid w:val="6B9B0F84"/>
    <w:rsid w:val="6BA33D7F"/>
    <w:rsid w:val="6BA77061"/>
    <w:rsid w:val="6BA77929"/>
    <w:rsid w:val="6BAF4A30"/>
    <w:rsid w:val="6BB36E88"/>
    <w:rsid w:val="6BBF210A"/>
    <w:rsid w:val="6BC02799"/>
    <w:rsid w:val="6BC0346B"/>
    <w:rsid w:val="6BC404DB"/>
    <w:rsid w:val="6BC64931"/>
    <w:rsid w:val="6BCA186A"/>
    <w:rsid w:val="6BCB7818"/>
    <w:rsid w:val="6BCE135A"/>
    <w:rsid w:val="6BCE3108"/>
    <w:rsid w:val="6BD91AAD"/>
    <w:rsid w:val="6BDD159D"/>
    <w:rsid w:val="6BEC4054"/>
    <w:rsid w:val="6BF32268"/>
    <w:rsid w:val="6BFC2786"/>
    <w:rsid w:val="6BFD579B"/>
    <w:rsid w:val="6C0D5A20"/>
    <w:rsid w:val="6C0E79A8"/>
    <w:rsid w:val="6C106849"/>
    <w:rsid w:val="6C117498"/>
    <w:rsid w:val="6C133210"/>
    <w:rsid w:val="6C1D408F"/>
    <w:rsid w:val="6C1E03F6"/>
    <w:rsid w:val="6C2C2459"/>
    <w:rsid w:val="6C361283"/>
    <w:rsid w:val="6C3A079D"/>
    <w:rsid w:val="6C3C4515"/>
    <w:rsid w:val="6C3D64DF"/>
    <w:rsid w:val="6C4B7810"/>
    <w:rsid w:val="6C4E4249"/>
    <w:rsid w:val="6C507FC1"/>
    <w:rsid w:val="6C691082"/>
    <w:rsid w:val="6C693A2C"/>
    <w:rsid w:val="6C6A1D7E"/>
    <w:rsid w:val="6C7041BF"/>
    <w:rsid w:val="6C7216FC"/>
    <w:rsid w:val="6C7E3795"/>
    <w:rsid w:val="6C84053E"/>
    <w:rsid w:val="6C887360"/>
    <w:rsid w:val="6C891725"/>
    <w:rsid w:val="6C8E11F8"/>
    <w:rsid w:val="6C8E6D3B"/>
    <w:rsid w:val="6C9746BD"/>
    <w:rsid w:val="6CA95923"/>
    <w:rsid w:val="6CAE2F39"/>
    <w:rsid w:val="6CAF118B"/>
    <w:rsid w:val="6CB33C5E"/>
    <w:rsid w:val="6CCE0EE6"/>
    <w:rsid w:val="6CD429A0"/>
    <w:rsid w:val="6CDA3D2E"/>
    <w:rsid w:val="6CDC1854"/>
    <w:rsid w:val="6CDD66D0"/>
    <w:rsid w:val="6CEA0CB0"/>
    <w:rsid w:val="6CED1BC3"/>
    <w:rsid w:val="6CF03552"/>
    <w:rsid w:val="6CF05300"/>
    <w:rsid w:val="6CF36A4E"/>
    <w:rsid w:val="6D0A4613"/>
    <w:rsid w:val="6D0E7D64"/>
    <w:rsid w:val="6D1159A2"/>
    <w:rsid w:val="6D17288C"/>
    <w:rsid w:val="6D241F19"/>
    <w:rsid w:val="6D295025"/>
    <w:rsid w:val="6D2952A3"/>
    <w:rsid w:val="6D2F407A"/>
    <w:rsid w:val="6D396896"/>
    <w:rsid w:val="6D396CA7"/>
    <w:rsid w:val="6D401DE3"/>
    <w:rsid w:val="6D46263C"/>
    <w:rsid w:val="6D476454"/>
    <w:rsid w:val="6D490DE7"/>
    <w:rsid w:val="6D4B2536"/>
    <w:rsid w:val="6D505D9E"/>
    <w:rsid w:val="6D555DAC"/>
    <w:rsid w:val="6D5B6C1D"/>
    <w:rsid w:val="6D5E6C64"/>
    <w:rsid w:val="6D67149A"/>
    <w:rsid w:val="6D6A7E66"/>
    <w:rsid w:val="6D7101EF"/>
    <w:rsid w:val="6D761442"/>
    <w:rsid w:val="6D77332B"/>
    <w:rsid w:val="6D7962BE"/>
    <w:rsid w:val="6D7C4ED1"/>
    <w:rsid w:val="6D865F7B"/>
    <w:rsid w:val="6D8C4E98"/>
    <w:rsid w:val="6D8C5028"/>
    <w:rsid w:val="6D99255B"/>
    <w:rsid w:val="6D9B170F"/>
    <w:rsid w:val="6DA716ED"/>
    <w:rsid w:val="6DAF6F69"/>
    <w:rsid w:val="6DB07064"/>
    <w:rsid w:val="6DB620A5"/>
    <w:rsid w:val="6DB8406F"/>
    <w:rsid w:val="6DBB3B60"/>
    <w:rsid w:val="6DBE0F5A"/>
    <w:rsid w:val="6DC24EEE"/>
    <w:rsid w:val="6DC26C9C"/>
    <w:rsid w:val="6DC72298"/>
    <w:rsid w:val="6DD1441F"/>
    <w:rsid w:val="6DD72987"/>
    <w:rsid w:val="6DDB7D5E"/>
    <w:rsid w:val="6DDD256B"/>
    <w:rsid w:val="6DE34497"/>
    <w:rsid w:val="6DE704B1"/>
    <w:rsid w:val="6DE756F9"/>
    <w:rsid w:val="6DE97B69"/>
    <w:rsid w:val="6DEA4515"/>
    <w:rsid w:val="6DEC5AC7"/>
    <w:rsid w:val="6DF1132F"/>
    <w:rsid w:val="6DF17581"/>
    <w:rsid w:val="6DF30C26"/>
    <w:rsid w:val="6DF826BE"/>
    <w:rsid w:val="6DFA4688"/>
    <w:rsid w:val="6E045599"/>
    <w:rsid w:val="6E0A23F1"/>
    <w:rsid w:val="6E0F4F1A"/>
    <w:rsid w:val="6E16692B"/>
    <w:rsid w:val="6E1C1EEA"/>
    <w:rsid w:val="6E1E369F"/>
    <w:rsid w:val="6E2434B3"/>
    <w:rsid w:val="6E245261"/>
    <w:rsid w:val="6E2C680B"/>
    <w:rsid w:val="6E337B9A"/>
    <w:rsid w:val="6E356DE0"/>
    <w:rsid w:val="6E35746E"/>
    <w:rsid w:val="6E3776AA"/>
    <w:rsid w:val="6E39307B"/>
    <w:rsid w:val="6E3A33C0"/>
    <w:rsid w:val="6E3B25AB"/>
    <w:rsid w:val="6E4325C4"/>
    <w:rsid w:val="6E4A7CF8"/>
    <w:rsid w:val="6E4E0530"/>
    <w:rsid w:val="6E531FEA"/>
    <w:rsid w:val="6E565636"/>
    <w:rsid w:val="6E5673E4"/>
    <w:rsid w:val="6E5F098F"/>
    <w:rsid w:val="6E600263"/>
    <w:rsid w:val="6E611FA0"/>
    <w:rsid w:val="6E63518D"/>
    <w:rsid w:val="6E697118"/>
    <w:rsid w:val="6E75503C"/>
    <w:rsid w:val="6E7767A1"/>
    <w:rsid w:val="6E7A7FD0"/>
    <w:rsid w:val="6E80101B"/>
    <w:rsid w:val="6E82642B"/>
    <w:rsid w:val="6E875598"/>
    <w:rsid w:val="6E892224"/>
    <w:rsid w:val="6E9709DF"/>
    <w:rsid w:val="6E9D3438"/>
    <w:rsid w:val="6E9F0D8B"/>
    <w:rsid w:val="6EA52037"/>
    <w:rsid w:val="6EA6036C"/>
    <w:rsid w:val="6EA75E92"/>
    <w:rsid w:val="6EAC7DA4"/>
    <w:rsid w:val="6EAE5472"/>
    <w:rsid w:val="6EAF6592"/>
    <w:rsid w:val="6EB1286D"/>
    <w:rsid w:val="6EB256A9"/>
    <w:rsid w:val="6EB831D2"/>
    <w:rsid w:val="6ECC76A7"/>
    <w:rsid w:val="6ECD4377"/>
    <w:rsid w:val="6ED21161"/>
    <w:rsid w:val="6ED254D5"/>
    <w:rsid w:val="6EDA3413"/>
    <w:rsid w:val="6EEE586F"/>
    <w:rsid w:val="6EF70BC7"/>
    <w:rsid w:val="6EFC7F8C"/>
    <w:rsid w:val="6EFE0E98"/>
    <w:rsid w:val="6F0247A4"/>
    <w:rsid w:val="6F046FF9"/>
    <w:rsid w:val="6F06705D"/>
    <w:rsid w:val="6F094457"/>
    <w:rsid w:val="6F104249"/>
    <w:rsid w:val="6F17672B"/>
    <w:rsid w:val="6F197EA7"/>
    <w:rsid w:val="6F1F4CEB"/>
    <w:rsid w:val="6F221091"/>
    <w:rsid w:val="6F265009"/>
    <w:rsid w:val="6F273343"/>
    <w:rsid w:val="6F2C13F5"/>
    <w:rsid w:val="6F2C770E"/>
    <w:rsid w:val="6F3565C2"/>
    <w:rsid w:val="6F3C4AC2"/>
    <w:rsid w:val="6F4147F7"/>
    <w:rsid w:val="6F472915"/>
    <w:rsid w:val="6F5002D8"/>
    <w:rsid w:val="6F51652A"/>
    <w:rsid w:val="6F54601A"/>
    <w:rsid w:val="6F6A1399"/>
    <w:rsid w:val="6F6C08B9"/>
    <w:rsid w:val="6F711689"/>
    <w:rsid w:val="6F7272FC"/>
    <w:rsid w:val="6F743FC6"/>
    <w:rsid w:val="6F795A80"/>
    <w:rsid w:val="6F7A39FD"/>
    <w:rsid w:val="6F7E7C9B"/>
    <w:rsid w:val="6F823ECC"/>
    <w:rsid w:val="6F881820"/>
    <w:rsid w:val="6F9208F0"/>
    <w:rsid w:val="6F92269E"/>
    <w:rsid w:val="6F984159"/>
    <w:rsid w:val="6F9B6AE5"/>
    <w:rsid w:val="6F9E1043"/>
    <w:rsid w:val="6FA50623"/>
    <w:rsid w:val="6FAF4FFE"/>
    <w:rsid w:val="6FB22D40"/>
    <w:rsid w:val="6FB645DF"/>
    <w:rsid w:val="6FB91458"/>
    <w:rsid w:val="6FB940CF"/>
    <w:rsid w:val="6FBD3BBF"/>
    <w:rsid w:val="6FC14D32"/>
    <w:rsid w:val="6FC50CC6"/>
    <w:rsid w:val="6FD74555"/>
    <w:rsid w:val="6FDB4045"/>
    <w:rsid w:val="6FE80510"/>
    <w:rsid w:val="6FE8491E"/>
    <w:rsid w:val="6FEB5E87"/>
    <w:rsid w:val="6FF2313D"/>
    <w:rsid w:val="6FFA1703"/>
    <w:rsid w:val="6FFD4D9E"/>
    <w:rsid w:val="70025D58"/>
    <w:rsid w:val="70053E82"/>
    <w:rsid w:val="70151F71"/>
    <w:rsid w:val="701B08E6"/>
    <w:rsid w:val="701D28B0"/>
    <w:rsid w:val="7027728A"/>
    <w:rsid w:val="702A2A97"/>
    <w:rsid w:val="702B530B"/>
    <w:rsid w:val="70310109"/>
    <w:rsid w:val="7036788E"/>
    <w:rsid w:val="70383246"/>
    <w:rsid w:val="703B0F88"/>
    <w:rsid w:val="703B2D36"/>
    <w:rsid w:val="703D260A"/>
    <w:rsid w:val="7040034C"/>
    <w:rsid w:val="704508E5"/>
    <w:rsid w:val="70480FAF"/>
    <w:rsid w:val="70512559"/>
    <w:rsid w:val="70545BA6"/>
    <w:rsid w:val="70673B2B"/>
    <w:rsid w:val="70730315"/>
    <w:rsid w:val="707D12D6"/>
    <w:rsid w:val="70820965"/>
    <w:rsid w:val="708446DD"/>
    <w:rsid w:val="70883B9D"/>
    <w:rsid w:val="70887E51"/>
    <w:rsid w:val="708B7819"/>
    <w:rsid w:val="709A551D"/>
    <w:rsid w:val="70A1703D"/>
    <w:rsid w:val="70AE175A"/>
    <w:rsid w:val="70AE3508"/>
    <w:rsid w:val="70B7060E"/>
    <w:rsid w:val="70BA3C5B"/>
    <w:rsid w:val="70BC3E77"/>
    <w:rsid w:val="70BD199D"/>
    <w:rsid w:val="70C1148D"/>
    <w:rsid w:val="70C64412"/>
    <w:rsid w:val="70C73471"/>
    <w:rsid w:val="70CC398E"/>
    <w:rsid w:val="70CE7706"/>
    <w:rsid w:val="70D61991"/>
    <w:rsid w:val="70DC41C6"/>
    <w:rsid w:val="70DC62C7"/>
    <w:rsid w:val="70E138DD"/>
    <w:rsid w:val="70E60EF4"/>
    <w:rsid w:val="70E92792"/>
    <w:rsid w:val="70E94540"/>
    <w:rsid w:val="70F024E8"/>
    <w:rsid w:val="70F05252"/>
    <w:rsid w:val="70FA499F"/>
    <w:rsid w:val="70FC1DE6"/>
    <w:rsid w:val="70FD7FEB"/>
    <w:rsid w:val="71000A51"/>
    <w:rsid w:val="71092ED4"/>
    <w:rsid w:val="710B095A"/>
    <w:rsid w:val="71110778"/>
    <w:rsid w:val="71143AA9"/>
    <w:rsid w:val="71196D38"/>
    <w:rsid w:val="711E068D"/>
    <w:rsid w:val="71213CDA"/>
    <w:rsid w:val="713C78A1"/>
    <w:rsid w:val="714177A7"/>
    <w:rsid w:val="71453E6C"/>
    <w:rsid w:val="714A55F4"/>
    <w:rsid w:val="715A71EC"/>
    <w:rsid w:val="715F105E"/>
    <w:rsid w:val="71614A1E"/>
    <w:rsid w:val="716562BC"/>
    <w:rsid w:val="71722787"/>
    <w:rsid w:val="717952C7"/>
    <w:rsid w:val="717C53B4"/>
    <w:rsid w:val="71866233"/>
    <w:rsid w:val="718D7BCE"/>
    <w:rsid w:val="7194538F"/>
    <w:rsid w:val="719713F5"/>
    <w:rsid w:val="719B2E25"/>
    <w:rsid w:val="71A322AC"/>
    <w:rsid w:val="71A62431"/>
    <w:rsid w:val="71B43C30"/>
    <w:rsid w:val="71B52674"/>
    <w:rsid w:val="71C34D91"/>
    <w:rsid w:val="71C50B09"/>
    <w:rsid w:val="71D451F0"/>
    <w:rsid w:val="71E963C9"/>
    <w:rsid w:val="71EF53EB"/>
    <w:rsid w:val="71F03973"/>
    <w:rsid w:val="71FA003D"/>
    <w:rsid w:val="71FA2E59"/>
    <w:rsid w:val="720A6E64"/>
    <w:rsid w:val="72127391"/>
    <w:rsid w:val="72163DEB"/>
    <w:rsid w:val="721719F8"/>
    <w:rsid w:val="721D0945"/>
    <w:rsid w:val="721E646B"/>
    <w:rsid w:val="722259B7"/>
    <w:rsid w:val="72233A82"/>
    <w:rsid w:val="7229553C"/>
    <w:rsid w:val="72330D72"/>
    <w:rsid w:val="72335600"/>
    <w:rsid w:val="7238577F"/>
    <w:rsid w:val="7239784C"/>
    <w:rsid w:val="72402885"/>
    <w:rsid w:val="72403536"/>
    <w:rsid w:val="72412263"/>
    <w:rsid w:val="724E6D50"/>
    <w:rsid w:val="725618E7"/>
    <w:rsid w:val="72597CE5"/>
    <w:rsid w:val="725A3947"/>
    <w:rsid w:val="725B146D"/>
    <w:rsid w:val="725D51E5"/>
    <w:rsid w:val="725F46DB"/>
    <w:rsid w:val="726C7AEF"/>
    <w:rsid w:val="726D5A47"/>
    <w:rsid w:val="726E28BB"/>
    <w:rsid w:val="726F4F19"/>
    <w:rsid w:val="727B566C"/>
    <w:rsid w:val="727C1491"/>
    <w:rsid w:val="7289422C"/>
    <w:rsid w:val="72936E59"/>
    <w:rsid w:val="72B27DED"/>
    <w:rsid w:val="72B566B1"/>
    <w:rsid w:val="72B62B48"/>
    <w:rsid w:val="72B768CA"/>
    <w:rsid w:val="72BB3CBA"/>
    <w:rsid w:val="72BC0BF9"/>
    <w:rsid w:val="72C41013"/>
    <w:rsid w:val="72C76B03"/>
    <w:rsid w:val="72D14842"/>
    <w:rsid w:val="72D37256"/>
    <w:rsid w:val="72D60D73"/>
    <w:rsid w:val="72D82ABE"/>
    <w:rsid w:val="72ED5B8D"/>
    <w:rsid w:val="72F316A6"/>
    <w:rsid w:val="72FA6ED8"/>
    <w:rsid w:val="72FD42D3"/>
    <w:rsid w:val="730456BB"/>
    <w:rsid w:val="730D6C0C"/>
    <w:rsid w:val="73115E73"/>
    <w:rsid w:val="73125FD0"/>
    <w:rsid w:val="7315786E"/>
    <w:rsid w:val="73200009"/>
    <w:rsid w:val="73247AB1"/>
    <w:rsid w:val="732B0E40"/>
    <w:rsid w:val="733028FA"/>
    <w:rsid w:val="733C4DFB"/>
    <w:rsid w:val="733F6699"/>
    <w:rsid w:val="734343DB"/>
    <w:rsid w:val="734354C1"/>
    <w:rsid w:val="73470BCB"/>
    <w:rsid w:val="7349576A"/>
    <w:rsid w:val="734D22BF"/>
    <w:rsid w:val="735859AD"/>
    <w:rsid w:val="73597B32"/>
    <w:rsid w:val="735A34D3"/>
    <w:rsid w:val="735A511C"/>
    <w:rsid w:val="7363394A"/>
    <w:rsid w:val="73685BF0"/>
    <w:rsid w:val="736B1B84"/>
    <w:rsid w:val="736E1F2C"/>
    <w:rsid w:val="737027D3"/>
    <w:rsid w:val="73703C5B"/>
    <w:rsid w:val="737431A0"/>
    <w:rsid w:val="737A3B75"/>
    <w:rsid w:val="737B5663"/>
    <w:rsid w:val="737C09CA"/>
    <w:rsid w:val="73832A2A"/>
    <w:rsid w:val="73890598"/>
    <w:rsid w:val="73891B3E"/>
    <w:rsid w:val="738B0DA0"/>
    <w:rsid w:val="73972979"/>
    <w:rsid w:val="739764D5"/>
    <w:rsid w:val="739A5FC5"/>
    <w:rsid w:val="73A3155A"/>
    <w:rsid w:val="73A56E44"/>
    <w:rsid w:val="73A6496A"/>
    <w:rsid w:val="73B230BD"/>
    <w:rsid w:val="73B9469D"/>
    <w:rsid w:val="73C041F3"/>
    <w:rsid w:val="73CB65DE"/>
    <w:rsid w:val="73CE2914"/>
    <w:rsid w:val="73CF5C6F"/>
    <w:rsid w:val="73CF5E6E"/>
    <w:rsid w:val="73EC2CE6"/>
    <w:rsid w:val="73F05BE5"/>
    <w:rsid w:val="73F92CEC"/>
    <w:rsid w:val="74161AF0"/>
    <w:rsid w:val="7423420D"/>
    <w:rsid w:val="7425049B"/>
    <w:rsid w:val="7431692A"/>
    <w:rsid w:val="74341F76"/>
    <w:rsid w:val="74425093"/>
    <w:rsid w:val="74484AA2"/>
    <w:rsid w:val="744C5512"/>
    <w:rsid w:val="745F24CF"/>
    <w:rsid w:val="74707384"/>
    <w:rsid w:val="74707A28"/>
    <w:rsid w:val="74714F78"/>
    <w:rsid w:val="747F401A"/>
    <w:rsid w:val="748D1686"/>
    <w:rsid w:val="74904B57"/>
    <w:rsid w:val="7491561A"/>
    <w:rsid w:val="749E3893"/>
    <w:rsid w:val="74A013B9"/>
    <w:rsid w:val="74A215D5"/>
    <w:rsid w:val="74A810B4"/>
    <w:rsid w:val="74AB7F91"/>
    <w:rsid w:val="74AC4202"/>
    <w:rsid w:val="74BE5525"/>
    <w:rsid w:val="74C55558"/>
    <w:rsid w:val="74C57072"/>
    <w:rsid w:val="74C9722F"/>
    <w:rsid w:val="74CE5F27"/>
    <w:rsid w:val="74D86DA5"/>
    <w:rsid w:val="74DA2B1D"/>
    <w:rsid w:val="74DD260E"/>
    <w:rsid w:val="74E01FC7"/>
    <w:rsid w:val="74F51705"/>
    <w:rsid w:val="75001F88"/>
    <w:rsid w:val="750162FC"/>
    <w:rsid w:val="750513B9"/>
    <w:rsid w:val="75096F5F"/>
    <w:rsid w:val="750B23F3"/>
    <w:rsid w:val="750E27C7"/>
    <w:rsid w:val="75101554"/>
    <w:rsid w:val="75114065"/>
    <w:rsid w:val="75153B55"/>
    <w:rsid w:val="75194C2E"/>
    <w:rsid w:val="751C3136"/>
    <w:rsid w:val="751D0282"/>
    <w:rsid w:val="75243D99"/>
    <w:rsid w:val="75330480"/>
    <w:rsid w:val="753517C8"/>
    <w:rsid w:val="75443288"/>
    <w:rsid w:val="7544443B"/>
    <w:rsid w:val="75514610"/>
    <w:rsid w:val="755328D0"/>
    <w:rsid w:val="755A171E"/>
    <w:rsid w:val="75640639"/>
    <w:rsid w:val="756D573F"/>
    <w:rsid w:val="75720FA8"/>
    <w:rsid w:val="757545F4"/>
    <w:rsid w:val="757C7A9C"/>
    <w:rsid w:val="758461E8"/>
    <w:rsid w:val="758C30DA"/>
    <w:rsid w:val="759479A6"/>
    <w:rsid w:val="759727BC"/>
    <w:rsid w:val="75A30A62"/>
    <w:rsid w:val="75A4312B"/>
    <w:rsid w:val="75A84B9C"/>
    <w:rsid w:val="75AA6994"/>
    <w:rsid w:val="75AD3D8E"/>
    <w:rsid w:val="75B82733"/>
    <w:rsid w:val="75B87F01"/>
    <w:rsid w:val="75BA4BA7"/>
    <w:rsid w:val="75BC277D"/>
    <w:rsid w:val="75BD46E7"/>
    <w:rsid w:val="75BF3AC1"/>
    <w:rsid w:val="75CB4B5C"/>
    <w:rsid w:val="75CB706E"/>
    <w:rsid w:val="75CD0C8A"/>
    <w:rsid w:val="75D037E8"/>
    <w:rsid w:val="75D532E5"/>
    <w:rsid w:val="75DC2DB7"/>
    <w:rsid w:val="75DE2752"/>
    <w:rsid w:val="75E023B5"/>
    <w:rsid w:val="75E31EA6"/>
    <w:rsid w:val="75E32B1D"/>
    <w:rsid w:val="75E83018"/>
    <w:rsid w:val="75EB2B08"/>
    <w:rsid w:val="75ED062E"/>
    <w:rsid w:val="75ED4AD2"/>
    <w:rsid w:val="75F031A2"/>
    <w:rsid w:val="75F220E9"/>
    <w:rsid w:val="75F35AFA"/>
    <w:rsid w:val="75F66D26"/>
    <w:rsid w:val="7612587E"/>
    <w:rsid w:val="76180304"/>
    <w:rsid w:val="7629332B"/>
    <w:rsid w:val="762F4B6E"/>
    <w:rsid w:val="76366080"/>
    <w:rsid w:val="763C3364"/>
    <w:rsid w:val="763D5565"/>
    <w:rsid w:val="764721C1"/>
    <w:rsid w:val="76490BE8"/>
    <w:rsid w:val="764979B2"/>
    <w:rsid w:val="764A3CD3"/>
    <w:rsid w:val="764B1A5E"/>
    <w:rsid w:val="765035EC"/>
    <w:rsid w:val="765B5EE0"/>
    <w:rsid w:val="765F3B48"/>
    <w:rsid w:val="76633CEC"/>
    <w:rsid w:val="76635F23"/>
    <w:rsid w:val="766A6123"/>
    <w:rsid w:val="766C22C4"/>
    <w:rsid w:val="766E3BB5"/>
    <w:rsid w:val="767174B1"/>
    <w:rsid w:val="76740D50"/>
    <w:rsid w:val="76935963"/>
    <w:rsid w:val="769B262C"/>
    <w:rsid w:val="769D02A6"/>
    <w:rsid w:val="769D3E02"/>
    <w:rsid w:val="76AC04E9"/>
    <w:rsid w:val="76B11EAD"/>
    <w:rsid w:val="76B65034"/>
    <w:rsid w:val="76B92C06"/>
    <w:rsid w:val="76C3664E"/>
    <w:rsid w:val="76C45E58"/>
    <w:rsid w:val="76C84CCD"/>
    <w:rsid w:val="76C975D8"/>
    <w:rsid w:val="76CD220E"/>
    <w:rsid w:val="76CE0460"/>
    <w:rsid w:val="76D35A76"/>
    <w:rsid w:val="76D63928"/>
    <w:rsid w:val="76D65566"/>
    <w:rsid w:val="76E44D42"/>
    <w:rsid w:val="76F01E2B"/>
    <w:rsid w:val="76F22868"/>
    <w:rsid w:val="76F61765"/>
    <w:rsid w:val="76F71810"/>
    <w:rsid w:val="76FA1255"/>
    <w:rsid w:val="76FB321F"/>
    <w:rsid w:val="770B16B4"/>
    <w:rsid w:val="770B3462"/>
    <w:rsid w:val="770E29B0"/>
    <w:rsid w:val="77110B96"/>
    <w:rsid w:val="771437FA"/>
    <w:rsid w:val="77147E3D"/>
    <w:rsid w:val="771D3195"/>
    <w:rsid w:val="772334E2"/>
    <w:rsid w:val="77264C34"/>
    <w:rsid w:val="772919B5"/>
    <w:rsid w:val="772A69D9"/>
    <w:rsid w:val="772C3EBC"/>
    <w:rsid w:val="772C5186"/>
    <w:rsid w:val="772E7150"/>
    <w:rsid w:val="77324E93"/>
    <w:rsid w:val="77381836"/>
    <w:rsid w:val="773A5AF5"/>
    <w:rsid w:val="773B6955"/>
    <w:rsid w:val="773C186D"/>
    <w:rsid w:val="77407E24"/>
    <w:rsid w:val="77471FC0"/>
    <w:rsid w:val="774B32A4"/>
    <w:rsid w:val="775522AD"/>
    <w:rsid w:val="775A7F45"/>
    <w:rsid w:val="775F730A"/>
    <w:rsid w:val="7763329E"/>
    <w:rsid w:val="77640DC4"/>
    <w:rsid w:val="77672932"/>
    <w:rsid w:val="776C1A27"/>
    <w:rsid w:val="777234E1"/>
    <w:rsid w:val="77774E17"/>
    <w:rsid w:val="7778661E"/>
    <w:rsid w:val="777D48CF"/>
    <w:rsid w:val="777D59E2"/>
    <w:rsid w:val="77822FF8"/>
    <w:rsid w:val="77845AF5"/>
    <w:rsid w:val="7785279A"/>
    <w:rsid w:val="778E7BEF"/>
    <w:rsid w:val="77972F48"/>
    <w:rsid w:val="779C3BC2"/>
    <w:rsid w:val="77B12F20"/>
    <w:rsid w:val="77BF2B51"/>
    <w:rsid w:val="77CA24A3"/>
    <w:rsid w:val="77CA6CE6"/>
    <w:rsid w:val="77CC3857"/>
    <w:rsid w:val="77D505FD"/>
    <w:rsid w:val="77D777E8"/>
    <w:rsid w:val="77E56CCE"/>
    <w:rsid w:val="77E912C9"/>
    <w:rsid w:val="77EE04EA"/>
    <w:rsid w:val="77FC724F"/>
    <w:rsid w:val="77FE6B23"/>
    <w:rsid w:val="78000AED"/>
    <w:rsid w:val="78075CB1"/>
    <w:rsid w:val="78087C0A"/>
    <w:rsid w:val="78124286"/>
    <w:rsid w:val="781B5927"/>
    <w:rsid w:val="781F21F0"/>
    <w:rsid w:val="78270901"/>
    <w:rsid w:val="78276E11"/>
    <w:rsid w:val="782F4F2E"/>
    <w:rsid w:val="78306EF8"/>
    <w:rsid w:val="7836450F"/>
    <w:rsid w:val="7842068E"/>
    <w:rsid w:val="784838CF"/>
    <w:rsid w:val="78485DD1"/>
    <w:rsid w:val="785823E7"/>
    <w:rsid w:val="786127B1"/>
    <w:rsid w:val="786170B2"/>
    <w:rsid w:val="78713799"/>
    <w:rsid w:val="787A3D0F"/>
    <w:rsid w:val="78811502"/>
    <w:rsid w:val="78812076"/>
    <w:rsid w:val="7892370F"/>
    <w:rsid w:val="789C676E"/>
    <w:rsid w:val="78A75963"/>
    <w:rsid w:val="78AF606F"/>
    <w:rsid w:val="78B83176"/>
    <w:rsid w:val="78BB0D0B"/>
    <w:rsid w:val="78CE2999"/>
    <w:rsid w:val="78D05664"/>
    <w:rsid w:val="78D41CE1"/>
    <w:rsid w:val="78D45AD6"/>
    <w:rsid w:val="78D92BEB"/>
    <w:rsid w:val="78E0447A"/>
    <w:rsid w:val="78E131DA"/>
    <w:rsid w:val="78E83CFA"/>
    <w:rsid w:val="78EA5A5D"/>
    <w:rsid w:val="78EF0B61"/>
    <w:rsid w:val="78F41CD4"/>
    <w:rsid w:val="78F9378E"/>
    <w:rsid w:val="78FC2C2F"/>
    <w:rsid w:val="79002D6F"/>
    <w:rsid w:val="79026409"/>
    <w:rsid w:val="79055F45"/>
    <w:rsid w:val="79112886"/>
    <w:rsid w:val="791800B8"/>
    <w:rsid w:val="79202AC9"/>
    <w:rsid w:val="792425B9"/>
    <w:rsid w:val="79246A5D"/>
    <w:rsid w:val="79282343"/>
    <w:rsid w:val="79382508"/>
    <w:rsid w:val="79420C91"/>
    <w:rsid w:val="79450781"/>
    <w:rsid w:val="79464C25"/>
    <w:rsid w:val="794838A7"/>
    <w:rsid w:val="794B0B5D"/>
    <w:rsid w:val="794B26E7"/>
    <w:rsid w:val="79507852"/>
    <w:rsid w:val="79567142"/>
    <w:rsid w:val="795B1D53"/>
    <w:rsid w:val="79703A50"/>
    <w:rsid w:val="79712931"/>
    <w:rsid w:val="797F3C93"/>
    <w:rsid w:val="798B6ADC"/>
    <w:rsid w:val="798E2128"/>
    <w:rsid w:val="798E3ED6"/>
    <w:rsid w:val="79981F9F"/>
    <w:rsid w:val="799B65F3"/>
    <w:rsid w:val="799F4335"/>
    <w:rsid w:val="79A656C4"/>
    <w:rsid w:val="79A74F98"/>
    <w:rsid w:val="79A86EA8"/>
    <w:rsid w:val="79AB5FAA"/>
    <w:rsid w:val="79AE4579"/>
    <w:rsid w:val="79B24069"/>
    <w:rsid w:val="79B55907"/>
    <w:rsid w:val="79B7342D"/>
    <w:rsid w:val="79BD2A0E"/>
    <w:rsid w:val="79D97847"/>
    <w:rsid w:val="79E81839"/>
    <w:rsid w:val="79F124F2"/>
    <w:rsid w:val="79F4667E"/>
    <w:rsid w:val="79F765B1"/>
    <w:rsid w:val="79F97B32"/>
    <w:rsid w:val="7A0805B0"/>
    <w:rsid w:val="7A1E525A"/>
    <w:rsid w:val="7A274AFF"/>
    <w:rsid w:val="7A2E1215"/>
    <w:rsid w:val="7A356A48"/>
    <w:rsid w:val="7A3727C0"/>
    <w:rsid w:val="7A3B22B0"/>
    <w:rsid w:val="7A3B2C48"/>
    <w:rsid w:val="7A3B3A4A"/>
    <w:rsid w:val="7A3F18B6"/>
    <w:rsid w:val="7A43762E"/>
    <w:rsid w:val="7A454EDD"/>
    <w:rsid w:val="7A522F3E"/>
    <w:rsid w:val="7A5C2227"/>
    <w:rsid w:val="7A611196"/>
    <w:rsid w:val="7A6730A5"/>
    <w:rsid w:val="7A697FEA"/>
    <w:rsid w:val="7A6A4943"/>
    <w:rsid w:val="7A6E15F9"/>
    <w:rsid w:val="7A7D43E3"/>
    <w:rsid w:val="7A835A05"/>
    <w:rsid w:val="7A8F50A7"/>
    <w:rsid w:val="7A8F6158"/>
    <w:rsid w:val="7A990D85"/>
    <w:rsid w:val="7A993074"/>
    <w:rsid w:val="7AA01F48"/>
    <w:rsid w:val="7AA144D1"/>
    <w:rsid w:val="7AA37705"/>
    <w:rsid w:val="7AA5597C"/>
    <w:rsid w:val="7AB22BAA"/>
    <w:rsid w:val="7AB5361F"/>
    <w:rsid w:val="7ABD0F17"/>
    <w:rsid w:val="7AC327A9"/>
    <w:rsid w:val="7ACC2F08"/>
    <w:rsid w:val="7ACD4A84"/>
    <w:rsid w:val="7AD85D51"/>
    <w:rsid w:val="7AE16415"/>
    <w:rsid w:val="7AE432DC"/>
    <w:rsid w:val="7AE61EA7"/>
    <w:rsid w:val="7AE67A67"/>
    <w:rsid w:val="7AEB37F7"/>
    <w:rsid w:val="7AF366E7"/>
    <w:rsid w:val="7AF4420D"/>
    <w:rsid w:val="7AF67F85"/>
    <w:rsid w:val="7AFC04F8"/>
    <w:rsid w:val="7AFD3B1B"/>
    <w:rsid w:val="7B09415C"/>
    <w:rsid w:val="7B0A05EE"/>
    <w:rsid w:val="7B15384A"/>
    <w:rsid w:val="7B1571DE"/>
    <w:rsid w:val="7B173BCD"/>
    <w:rsid w:val="7B22521E"/>
    <w:rsid w:val="7B25086A"/>
    <w:rsid w:val="7B276391"/>
    <w:rsid w:val="7B292109"/>
    <w:rsid w:val="7B2C1BF9"/>
    <w:rsid w:val="7B3A4316"/>
    <w:rsid w:val="7B3D06D4"/>
    <w:rsid w:val="7B3F7B7E"/>
    <w:rsid w:val="7B454A69"/>
    <w:rsid w:val="7B4E1B6F"/>
    <w:rsid w:val="7B5353D8"/>
    <w:rsid w:val="7B5712A7"/>
    <w:rsid w:val="7B590514"/>
    <w:rsid w:val="7B5F1FCE"/>
    <w:rsid w:val="7B5F5B2A"/>
    <w:rsid w:val="7B666C27"/>
    <w:rsid w:val="7B670E59"/>
    <w:rsid w:val="7B690757"/>
    <w:rsid w:val="7B6A2721"/>
    <w:rsid w:val="7B7009C4"/>
    <w:rsid w:val="7B71585E"/>
    <w:rsid w:val="7B7742B6"/>
    <w:rsid w:val="7B783090"/>
    <w:rsid w:val="7B790813"/>
    <w:rsid w:val="7B827881"/>
    <w:rsid w:val="7B907FDF"/>
    <w:rsid w:val="7B9176A4"/>
    <w:rsid w:val="7B9854E0"/>
    <w:rsid w:val="7B9F23CB"/>
    <w:rsid w:val="7BAE39E0"/>
    <w:rsid w:val="7BB45D05"/>
    <w:rsid w:val="7BB7446A"/>
    <w:rsid w:val="7BC10593"/>
    <w:rsid w:val="7BC96E99"/>
    <w:rsid w:val="7BCD5BC7"/>
    <w:rsid w:val="7BD5403F"/>
    <w:rsid w:val="7BDF310F"/>
    <w:rsid w:val="7BDF4EBD"/>
    <w:rsid w:val="7BE20509"/>
    <w:rsid w:val="7BE2675B"/>
    <w:rsid w:val="7BE71528"/>
    <w:rsid w:val="7BEE7F9A"/>
    <w:rsid w:val="7BF231F5"/>
    <w:rsid w:val="7BF24489"/>
    <w:rsid w:val="7BFF2E69"/>
    <w:rsid w:val="7C0C5586"/>
    <w:rsid w:val="7C10151B"/>
    <w:rsid w:val="7C1A5EF5"/>
    <w:rsid w:val="7C3170F3"/>
    <w:rsid w:val="7C3945CD"/>
    <w:rsid w:val="7C394D35"/>
    <w:rsid w:val="7C407D3A"/>
    <w:rsid w:val="7C41282C"/>
    <w:rsid w:val="7C443999"/>
    <w:rsid w:val="7C477EA4"/>
    <w:rsid w:val="7C4D5033"/>
    <w:rsid w:val="7C4E444D"/>
    <w:rsid w:val="7C505F25"/>
    <w:rsid w:val="7C536DC0"/>
    <w:rsid w:val="7C564767"/>
    <w:rsid w:val="7C596A1E"/>
    <w:rsid w:val="7C5A082F"/>
    <w:rsid w:val="7C5F1B5A"/>
    <w:rsid w:val="7C615707"/>
    <w:rsid w:val="7C63789C"/>
    <w:rsid w:val="7C651C34"/>
    <w:rsid w:val="7C652646"/>
    <w:rsid w:val="7C660A57"/>
    <w:rsid w:val="7C6D5616"/>
    <w:rsid w:val="7C705B15"/>
    <w:rsid w:val="7C7C44BA"/>
    <w:rsid w:val="7C896BD7"/>
    <w:rsid w:val="7C8B5068"/>
    <w:rsid w:val="7C8D489B"/>
    <w:rsid w:val="7C9021AF"/>
    <w:rsid w:val="7CA67789"/>
    <w:rsid w:val="7CA75A76"/>
    <w:rsid w:val="7CAB2205"/>
    <w:rsid w:val="7CAB4D9F"/>
    <w:rsid w:val="7CAC4E5A"/>
    <w:rsid w:val="7CC04CEF"/>
    <w:rsid w:val="7CC4169E"/>
    <w:rsid w:val="7CC540B3"/>
    <w:rsid w:val="7CC55E61"/>
    <w:rsid w:val="7CC83BA3"/>
    <w:rsid w:val="7CD12A58"/>
    <w:rsid w:val="7CD71D0F"/>
    <w:rsid w:val="7CDB7433"/>
    <w:rsid w:val="7CDE1C69"/>
    <w:rsid w:val="7CE84977"/>
    <w:rsid w:val="7CE87DA1"/>
    <w:rsid w:val="7CEA58C8"/>
    <w:rsid w:val="7CEC7892"/>
    <w:rsid w:val="7CEF121E"/>
    <w:rsid w:val="7CEF6ED5"/>
    <w:rsid w:val="7CF259EC"/>
    <w:rsid w:val="7CF6426C"/>
    <w:rsid w:val="7CF85B69"/>
    <w:rsid w:val="7D012C11"/>
    <w:rsid w:val="7D031673"/>
    <w:rsid w:val="7D1C7A4B"/>
    <w:rsid w:val="7D23702C"/>
    <w:rsid w:val="7D305FDE"/>
    <w:rsid w:val="7D3272C1"/>
    <w:rsid w:val="7D355DDF"/>
    <w:rsid w:val="7D3F20B7"/>
    <w:rsid w:val="7D46356F"/>
    <w:rsid w:val="7D4A1E4C"/>
    <w:rsid w:val="7D4C0330"/>
    <w:rsid w:val="7D621902"/>
    <w:rsid w:val="7D641E37"/>
    <w:rsid w:val="7D7E5AF1"/>
    <w:rsid w:val="7D8442D2"/>
    <w:rsid w:val="7D871368"/>
    <w:rsid w:val="7D95465E"/>
    <w:rsid w:val="7D9A6D7A"/>
    <w:rsid w:val="7D9D293A"/>
    <w:rsid w:val="7DA5350B"/>
    <w:rsid w:val="7DBF4FA6"/>
    <w:rsid w:val="7DD32800"/>
    <w:rsid w:val="7DD345AE"/>
    <w:rsid w:val="7DD81BC4"/>
    <w:rsid w:val="7DD87AB4"/>
    <w:rsid w:val="7DDC7906"/>
    <w:rsid w:val="7DE40569"/>
    <w:rsid w:val="7DF82266"/>
    <w:rsid w:val="7E090FD2"/>
    <w:rsid w:val="7E0D5D12"/>
    <w:rsid w:val="7E0E3838"/>
    <w:rsid w:val="7E110BB2"/>
    <w:rsid w:val="7E192C83"/>
    <w:rsid w:val="7E1D1CCD"/>
    <w:rsid w:val="7E1D2997"/>
    <w:rsid w:val="7E285CCD"/>
    <w:rsid w:val="7E2A13A3"/>
    <w:rsid w:val="7E3A63DB"/>
    <w:rsid w:val="7E406690"/>
    <w:rsid w:val="7E4234E1"/>
    <w:rsid w:val="7E437985"/>
    <w:rsid w:val="7E484343"/>
    <w:rsid w:val="7E494870"/>
    <w:rsid w:val="7E4D25B2"/>
    <w:rsid w:val="7E5E47BF"/>
    <w:rsid w:val="7E5E656D"/>
    <w:rsid w:val="7E60583E"/>
    <w:rsid w:val="7E747B3F"/>
    <w:rsid w:val="7E755665"/>
    <w:rsid w:val="7E773953"/>
    <w:rsid w:val="7E865AC4"/>
    <w:rsid w:val="7E896AD1"/>
    <w:rsid w:val="7E8D5BC4"/>
    <w:rsid w:val="7EA877E8"/>
    <w:rsid w:val="7EA87821"/>
    <w:rsid w:val="7EB260E3"/>
    <w:rsid w:val="7EB4068F"/>
    <w:rsid w:val="7EC143E4"/>
    <w:rsid w:val="7EC34622"/>
    <w:rsid w:val="7ED405DD"/>
    <w:rsid w:val="7ED700CE"/>
    <w:rsid w:val="7EDC56E4"/>
    <w:rsid w:val="7EEA7964"/>
    <w:rsid w:val="7EEF71C5"/>
    <w:rsid w:val="7EF25CF4"/>
    <w:rsid w:val="7F0A3FFF"/>
    <w:rsid w:val="7F11490F"/>
    <w:rsid w:val="7F19125E"/>
    <w:rsid w:val="7F206EB7"/>
    <w:rsid w:val="7F2350C1"/>
    <w:rsid w:val="7F2476BA"/>
    <w:rsid w:val="7F283670"/>
    <w:rsid w:val="7F2A28F3"/>
    <w:rsid w:val="7F2B5928"/>
    <w:rsid w:val="7F4263D6"/>
    <w:rsid w:val="7F5160D2"/>
    <w:rsid w:val="7F58120E"/>
    <w:rsid w:val="7F592821"/>
    <w:rsid w:val="7F5D2459"/>
    <w:rsid w:val="7F6531DB"/>
    <w:rsid w:val="7F753532"/>
    <w:rsid w:val="7F7F0611"/>
    <w:rsid w:val="7F81059C"/>
    <w:rsid w:val="7F8813C8"/>
    <w:rsid w:val="7F963AE5"/>
    <w:rsid w:val="7FA06711"/>
    <w:rsid w:val="7FA100BA"/>
    <w:rsid w:val="7FB5023B"/>
    <w:rsid w:val="7FB623D9"/>
    <w:rsid w:val="7FBA3EA2"/>
    <w:rsid w:val="7FCB4751"/>
    <w:rsid w:val="7FCB7C32"/>
    <w:rsid w:val="7FCC5758"/>
    <w:rsid w:val="7FCD59AE"/>
    <w:rsid w:val="7FD04F0D"/>
    <w:rsid w:val="7FD4460D"/>
    <w:rsid w:val="7FD94E6C"/>
    <w:rsid w:val="7FDC1686"/>
    <w:rsid w:val="7FEA3E31"/>
    <w:rsid w:val="7FF31F08"/>
    <w:rsid w:val="7FF32CE5"/>
    <w:rsid w:val="7FF627D5"/>
    <w:rsid w:val="7FF92801"/>
    <w:rsid w:val="7FFB7DEC"/>
    <w:rsid w:val="7FFC01F5"/>
    <w:rsid w:val="DBD7494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99"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firstLine="200" w:firstLineChars="200"/>
      <w:jc w:val="both"/>
    </w:pPr>
    <w:rPr>
      <w:rFonts w:ascii="宋体" w:hAnsi="宋体" w:eastAsia="宋体" w:cs="Times New Roman"/>
      <w:kern w:val="2"/>
      <w:sz w:val="24"/>
      <w:szCs w:val="24"/>
      <w:lang w:val="en-US" w:eastAsia="zh-CN" w:bidi="ar-SA"/>
    </w:rPr>
  </w:style>
  <w:style w:type="paragraph" w:styleId="2">
    <w:name w:val="heading 1"/>
    <w:basedOn w:val="1"/>
    <w:next w:val="1"/>
    <w:link w:val="59"/>
    <w:autoRedefine/>
    <w:qFormat/>
    <w:uiPriority w:val="0"/>
    <w:pPr>
      <w:keepNext/>
      <w:keepLines/>
      <w:ind w:firstLine="0" w:firstLineChars="0"/>
      <w:jc w:val="center"/>
      <w:outlineLvl w:val="0"/>
    </w:pPr>
    <w:rPr>
      <w:rFonts w:ascii="宋体" w:hAnsi="宋体" w:eastAsia="宋体" w:cs="Times New Roman"/>
      <w:b/>
      <w:bCs/>
      <w:kern w:val="44"/>
      <w:sz w:val="32"/>
      <w:szCs w:val="52"/>
    </w:rPr>
  </w:style>
  <w:style w:type="paragraph" w:styleId="3">
    <w:name w:val="heading 2"/>
    <w:basedOn w:val="1"/>
    <w:next w:val="1"/>
    <w:link w:val="60"/>
    <w:autoRedefine/>
    <w:qFormat/>
    <w:uiPriority w:val="0"/>
    <w:pPr>
      <w:keepNext/>
      <w:keepLines/>
      <w:ind w:firstLine="0" w:firstLineChars="0"/>
      <w:jc w:val="left"/>
      <w:outlineLvl w:val="1"/>
    </w:pPr>
    <w:rPr>
      <w:rFonts w:ascii="Cambria" w:hAnsi="Cambria" w:eastAsia="宋体" w:cs="Times New Roman"/>
      <w:b/>
      <w:bCs/>
      <w:sz w:val="28"/>
      <w:szCs w:val="32"/>
    </w:rPr>
  </w:style>
  <w:style w:type="paragraph" w:styleId="4">
    <w:name w:val="heading 3"/>
    <w:basedOn w:val="1"/>
    <w:next w:val="1"/>
    <w:link w:val="61"/>
    <w:autoRedefine/>
    <w:qFormat/>
    <w:uiPriority w:val="0"/>
    <w:pPr>
      <w:keepNext/>
      <w:keepLines/>
      <w:ind w:firstLine="0" w:firstLineChars="0"/>
      <w:outlineLvl w:val="2"/>
    </w:pPr>
    <w:rPr>
      <w:rFonts w:ascii="宋体" w:hAnsi="宋体" w:eastAsia="宋体" w:cs="Times New Roman"/>
      <w:b/>
      <w:bCs/>
      <w:szCs w:val="32"/>
    </w:rPr>
  </w:style>
  <w:style w:type="paragraph" w:styleId="5">
    <w:name w:val="heading 4"/>
    <w:basedOn w:val="1"/>
    <w:next w:val="6"/>
    <w:link w:val="62"/>
    <w:autoRedefine/>
    <w:qFormat/>
    <w:uiPriority w:val="0"/>
    <w:pPr>
      <w:keepNext/>
      <w:keepLines/>
      <w:outlineLvl w:val="3"/>
    </w:pPr>
    <w:rPr>
      <w:rFonts w:ascii="宋体" w:hAnsi="宋体" w:eastAsia="宋体" w:cs="Times New Roman"/>
      <w:b/>
      <w:bCs/>
      <w:sz w:val="24"/>
      <w:szCs w:val="28"/>
    </w:rPr>
  </w:style>
  <w:style w:type="character" w:default="1" w:styleId="46">
    <w:name w:val="Default Paragraph Font"/>
    <w:autoRedefine/>
    <w:qFormat/>
    <w:uiPriority w:val="0"/>
    <w:rPr>
      <w:rFonts w:ascii="Times New Roman" w:hAnsi="Times New Roman" w:eastAsia="宋体" w:cs="Times New Roman"/>
    </w:rPr>
  </w:style>
  <w:style w:type="table" w:default="1" w:styleId="44">
    <w:name w:val="Normal Table"/>
    <w:autoRedefine/>
    <w:qFormat/>
    <w:uiPriority w:val="0"/>
    <w:rPr>
      <w:rFonts w:ascii="Times New Roman" w:hAnsi="Times New Roman" w:eastAsia="宋体" w:cs="Times New Roman"/>
    </w:rPr>
    <w:tblPr>
      <w:tblCellMar>
        <w:top w:w="0" w:type="dxa"/>
        <w:left w:w="108" w:type="dxa"/>
        <w:bottom w:w="0" w:type="dxa"/>
        <w:right w:w="108" w:type="dxa"/>
      </w:tblCellMar>
    </w:tblPr>
  </w:style>
  <w:style w:type="paragraph" w:customStyle="1" w:styleId="6">
    <w:name w:val="正文首缩两字"/>
    <w:basedOn w:val="1"/>
    <w:qFormat/>
    <w:uiPriority w:val="0"/>
    <w:pPr>
      <w:spacing w:afterLines="30"/>
      <w:ind w:left="210" w:right="210" w:firstLine="480" w:firstLineChars="200"/>
      <w:jc w:val="left"/>
    </w:pPr>
    <w:rPr>
      <w:rFonts w:eastAsia="仿宋_GB2312"/>
      <w:kern w:val="0"/>
      <w:szCs w:val="24"/>
    </w:rPr>
  </w:style>
  <w:style w:type="paragraph" w:styleId="7">
    <w:name w:val="toc 7"/>
    <w:basedOn w:val="1"/>
    <w:next w:val="1"/>
    <w:autoRedefine/>
    <w:qFormat/>
    <w:uiPriority w:val="0"/>
    <w:pPr>
      <w:spacing w:line="240" w:lineRule="auto"/>
      <w:ind w:left="1260" w:firstLine="0" w:firstLineChars="0"/>
      <w:jc w:val="left"/>
    </w:pPr>
    <w:rPr>
      <w:rFonts w:ascii="Times New Roman" w:hAnsi="Times New Roman" w:eastAsia="宋体" w:cs="Times New Roman"/>
      <w:szCs w:val="21"/>
    </w:rPr>
  </w:style>
  <w:style w:type="paragraph" w:styleId="8">
    <w:name w:val="Normal Indent"/>
    <w:basedOn w:val="1"/>
    <w:next w:val="9"/>
    <w:link w:val="63"/>
    <w:autoRedefine/>
    <w:qFormat/>
    <w:uiPriority w:val="0"/>
    <w:pPr>
      <w:spacing w:line="240" w:lineRule="auto"/>
      <w:ind w:firstLine="420" w:firstLineChars="0"/>
    </w:pPr>
    <w:rPr>
      <w:rFonts w:ascii="Times New Roman" w:hAnsi="Times New Roman" w:eastAsia="宋体" w:cs="Times New Roman"/>
      <w:sz w:val="21"/>
    </w:rPr>
  </w:style>
  <w:style w:type="paragraph" w:styleId="9">
    <w:name w:val="header"/>
    <w:basedOn w:val="1"/>
    <w:link w:val="73"/>
    <w:autoRedefine/>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paragraph" w:styleId="10">
    <w:name w:val="Document Map"/>
    <w:basedOn w:val="1"/>
    <w:link w:val="64"/>
    <w:autoRedefine/>
    <w:qFormat/>
    <w:uiPriority w:val="0"/>
    <w:rPr>
      <w:rFonts w:ascii="宋体" w:hAnsi="Times New Roman" w:eastAsia="宋体" w:cs="Times New Roman"/>
      <w:kern w:val="0"/>
      <w:sz w:val="18"/>
      <w:szCs w:val="18"/>
    </w:rPr>
  </w:style>
  <w:style w:type="paragraph" w:styleId="11">
    <w:name w:val="toa heading"/>
    <w:basedOn w:val="1"/>
    <w:next w:val="1"/>
    <w:autoRedefine/>
    <w:qFormat/>
    <w:uiPriority w:val="0"/>
    <w:pPr>
      <w:widowControl/>
      <w:spacing w:before="120"/>
      <w:jc w:val="left"/>
    </w:pPr>
    <w:rPr>
      <w:rFonts w:ascii="Arial" w:hAnsi="Arial"/>
      <w:sz w:val="24"/>
      <w:szCs w:val="20"/>
    </w:rPr>
  </w:style>
  <w:style w:type="paragraph" w:styleId="12">
    <w:name w:val="annotation text"/>
    <w:basedOn w:val="1"/>
    <w:link w:val="65"/>
    <w:autoRedefine/>
    <w:qFormat/>
    <w:uiPriority w:val="0"/>
    <w:pPr>
      <w:spacing w:line="240" w:lineRule="auto"/>
      <w:ind w:firstLine="0" w:firstLineChars="0"/>
      <w:jc w:val="left"/>
    </w:pPr>
    <w:rPr>
      <w:rFonts w:ascii="Times New Roman" w:hAnsi="Times New Roman" w:eastAsia="宋体" w:cs="Times New Roman"/>
      <w:sz w:val="21"/>
    </w:rPr>
  </w:style>
  <w:style w:type="paragraph" w:styleId="13">
    <w:name w:val="Body Text 3"/>
    <w:basedOn w:val="1"/>
    <w:link w:val="66"/>
    <w:autoRedefine/>
    <w:qFormat/>
    <w:uiPriority w:val="0"/>
    <w:pPr>
      <w:spacing w:line="440" w:lineRule="atLeast"/>
      <w:ind w:firstLine="0" w:firstLineChars="0"/>
      <w:jc w:val="center"/>
    </w:pPr>
    <w:rPr>
      <w:rFonts w:ascii="楷体_GB2312" w:hAnsi="Times New Roman" w:eastAsia="楷体_GB2312" w:cs="Times New Roman"/>
      <w:b/>
      <w:color w:val="000000"/>
      <w:sz w:val="30"/>
    </w:rPr>
  </w:style>
  <w:style w:type="paragraph" w:styleId="14">
    <w:name w:val="List Bullet 3"/>
    <w:basedOn w:val="1"/>
    <w:autoRedefine/>
    <w:qFormat/>
    <w:uiPriority w:val="0"/>
    <w:pPr>
      <w:numPr>
        <w:ilvl w:val="0"/>
        <w:numId w:val="1"/>
      </w:numPr>
      <w:tabs>
        <w:tab w:val="left" w:pos="720"/>
      </w:tabs>
      <w:spacing w:line="240" w:lineRule="auto"/>
      <w:ind w:firstLine="0" w:firstLineChars="0"/>
    </w:pPr>
    <w:rPr>
      <w:rFonts w:ascii="Times New Roman" w:hAnsi="Times New Roman" w:eastAsia="宋体" w:cs="Times New Roman"/>
    </w:rPr>
  </w:style>
  <w:style w:type="paragraph" w:styleId="15">
    <w:name w:val="Body Text"/>
    <w:basedOn w:val="1"/>
    <w:link w:val="58"/>
    <w:autoRedefine/>
    <w:qFormat/>
    <w:uiPriority w:val="0"/>
    <w:pPr>
      <w:adjustRightInd w:val="0"/>
      <w:spacing w:line="315" w:lineRule="atLeast"/>
      <w:ind w:firstLine="0" w:firstLineChars="0"/>
      <w:jc w:val="left"/>
    </w:pPr>
    <w:rPr>
      <w:rFonts w:ascii="仿宋_GB2312" w:hAnsi="Times New Roman" w:eastAsia="仿宋_GB2312" w:cs="Times New Roman"/>
      <w:kern w:val="0"/>
      <w:sz w:val="28"/>
      <w:szCs w:val="20"/>
    </w:rPr>
  </w:style>
  <w:style w:type="paragraph" w:styleId="16">
    <w:name w:val="Body Text Indent"/>
    <w:basedOn w:val="1"/>
    <w:next w:val="17"/>
    <w:link w:val="67"/>
    <w:autoRedefine/>
    <w:qFormat/>
    <w:uiPriority w:val="0"/>
    <w:pPr>
      <w:widowControl/>
      <w:autoSpaceDE w:val="0"/>
      <w:autoSpaceDN w:val="0"/>
      <w:snapToGrid w:val="0"/>
      <w:spacing w:before="120" w:line="400" w:lineRule="atLeast"/>
      <w:ind w:firstLine="570" w:firstLineChars="0"/>
    </w:pPr>
    <w:rPr>
      <w:rFonts w:ascii="宋体" w:hAnsi="Times New Roman" w:eastAsia="宋体" w:cs="Times New Roman"/>
      <w:kern w:val="0"/>
      <w:szCs w:val="20"/>
    </w:rPr>
  </w:style>
  <w:style w:type="paragraph" w:styleId="17">
    <w:name w:val="envelope return"/>
    <w:basedOn w:val="1"/>
    <w:autoRedefine/>
    <w:qFormat/>
    <w:uiPriority w:val="99"/>
    <w:pPr>
      <w:snapToGrid w:val="0"/>
    </w:pPr>
    <w:rPr>
      <w:rFonts w:ascii="Arial" w:hAnsi="Arial"/>
    </w:rPr>
  </w:style>
  <w:style w:type="paragraph" w:styleId="18">
    <w:name w:val="List 2"/>
    <w:basedOn w:val="1"/>
    <w:autoRedefine/>
    <w:qFormat/>
    <w:uiPriority w:val="0"/>
    <w:pPr>
      <w:spacing w:line="240" w:lineRule="auto"/>
      <w:ind w:left="100" w:leftChars="200" w:hanging="200" w:hangingChars="200"/>
    </w:pPr>
    <w:rPr>
      <w:rFonts w:ascii="Times New Roman" w:hAnsi="Times New Roman" w:eastAsia="宋体" w:cs="Times New Roman"/>
    </w:rPr>
  </w:style>
  <w:style w:type="paragraph" w:styleId="19">
    <w:name w:val="List Bullet 2"/>
    <w:basedOn w:val="1"/>
    <w:next w:val="14"/>
    <w:autoRedefine/>
    <w:qFormat/>
    <w:uiPriority w:val="0"/>
    <w:pPr>
      <w:numPr>
        <w:ilvl w:val="0"/>
        <w:numId w:val="2"/>
      </w:numPr>
      <w:tabs>
        <w:tab w:val="left" w:pos="780"/>
      </w:tabs>
      <w:spacing w:after="100" w:afterAutospacing="1" w:line="240" w:lineRule="auto"/>
      <w:ind w:firstLine="0" w:firstLineChars="0"/>
    </w:pPr>
    <w:rPr>
      <w:rFonts w:ascii="Times New Roman" w:hAnsi="Times New Roman" w:eastAsia="仿宋_GB2312" w:cs="Times New Roman"/>
    </w:rPr>
  </w:style>
  <w:style w:type="paragraph" w:styleId="20">
    <w:name w:val="toc 5"/>
    <w:basedOn w:val="1"/>
    <w:next w:val="1"/>
    <w:autoRedefine/>
    <w:qFormat/>
    <w:uiPriority w:val="0"/>
    <w:pPr>
      <w:spacing w:line="240" w:lineRule="auto"/>
      <w:ind w:left="840" w:firstLine="0" w:firstLineChars="0"/>
      <w:jc w:val="left"/>
    </w:pPr>
    <w:rPr>
      <w:rFonts w:ascii="Times New Roman" w:hAnsi="Times New Roman" w:eastAsia="宋体" w:cs="Times New Roman"/>
      <w:szCs w:val="21"/>
    </w:rPr>
  </w:style>
  <w:style w:type="paragraph" w:styleId="21">
    <w:name w:val="toc 3"/>
    <w:basedOn w:val="1"/>
    <w:next w:val="1"/>
    <w:autoRedefine/>
    <w:qFormat/>
    <w:uiPriority w:val="0"/>
    <w:pPr>
      <w:spacing w:line="240" w:lineRule="auto"/>
      <w:ind w:left="420" w:firstLine="0" w:firstLineChars="0"/>
      <w:jc w:val="left"/>
    </w:pPr>
    <w:rPr>
      <w:rFonts w:ascii="Times New Roman" w:hAnsi="Times New Roman" w:eastAsia="宋体" w:cs="Times New Roman"/>
      <w:i/>
      <w:iCs/>
    </w:rPr>
  </w:style>
  <w:style w:type="paragraph" w:styleId="22">
    <w:name w:val="Plain Text"/>
    <w:basedOn w:val="1"/>
    <w:link w:val="68"/>
    <w:autoRedefine/>
    <w:qFormat/>
    <w:uiPriority w:val="0"/>
    <w:pPr>
      <w:spacing w:line="240" w:lineRule="auto"/>
      <w:ind w:firstLine="0" w:firstLineChars="0"/>
    </w:pPr>
    <w:rPr>
      <w:rFonts w:ascii="宋体" w:hAnsi="Courier New" w:eastAsia="宋体" w:cs="Times New Roman"/>
      <w:sz w:val="21"/>
      <w:szCs w:val="20"/>
    </w:rPr>
  </w:style>
  <w:style w:type="paragraph" w:styleId="23">
    <w:name w:val="toc 8"/>
    <w:basedOn w:val="1"/>
    <w:next w:val="1"/>
    <w:autoRedefine/>
    <w:qFormat/>
    <w:uiPriority w:val="0"/>
    <w:pPr>
      <w:spacing w:line="240" w:lineRule="auto"/>
      <w:ind w:left="1470" w:firstLine="0" w:firstLineChars="0"/>
      <w:jc w:val="left"/>
    </w:pPr>
    <w:rPr>
      <w:rFonts w:ascii="Times New Roman" w:hAnsi="Times New Roman" w:eastAsia="宋体" w:cs="Times New Roman"/>
      <w:szCs w:val="21"/>
    </w:rPr>
  </w:style>
  <w:style w:type="paragraph" w:styleId="24">
    <w:name w:val="Date"/>
    <w:basedOn w:val="1"/>
    <w:next w:val="1"/>
    <w:link w:val="69"/>
    <w:autoRedefine/>
    <w:qFormat/>
    <w:uiPriority w:val="0"/>
    <w:pPr>
      <w:spacing w:line="240" w:lineRule="auto"/>
      <w:ind w:left="100" w:leftChars="2500" w:firstLine="0" w:firstLineChars="0"/>
    </w:pPr>
    <w:rPr>
      <w:rFonts w:ascii="Times New Roman" w:hAnsi="Times New Roman" w:eastAsia="宋体" w:cs="Times New Roman"/>
      <w:color w:val="000000"/>
    </w:rPr>
  </w:style>
  <w:style w:type="paragraph" w:styleId="25">
    <w:name w:val="Body Text Indent 2"/>
    <w:basedOn w:val="1"/>
    <w:next w:val="26"/>
    <w:link w:val="70"/>
    <w:autoRedefine/>
    <w:qFormat/>
    <w:uiPriority w:val="0"/>
    <w:pPr>
      <w:widowControl/>
      <w:spacing w:line="480" w:lineRule="atLeast"/>
      <w:ind w:firstLine="480" w:firstLineChars="0"/>
    </w:pPr>
    <w:rPr>
      <w:rFonts w:ascii="宋体" w:hAnsi="Times New Roman" w:eastAsia="宋体" w:cs="Times New Roman"/>
      <w:kern w:val="0"/>
      <w:szCs w:val="20"/>
    </w:rPr>
  </w:style>
  <w:style w:type="paragraph" w:customStyle="1" w:styleId="26">
    <w:name w:val="z正文"/>
    <w:basedOn w:val="22"/>
    <w:autoRedefine/>
    <w:qFormat/>
    <w:uiPriority w:val="99"/>
    <w:pPr>
      <w:tabs>
        <w:tab w:val="left" w:pos="525"/>
      </w:tabs>
      <w:snapToGrid w:val="0"/>
      <w:spacing w:line="360" w:lineRule="auto"/>
    </w:pPr>
    <w:rPr>
      <w:rFonts w:hAnsi="宋体" w:eastAsia="宋体"/>
      <w:sz w:val="24"/>
      <w:szCs w:val="20"/>
    </w:rPr>
  </w:style>
  <w:style w:type="paragraph" w:styleId="27">
    <w:name w:val="Balloon Text"/>
    <w:basedOn w:val="1"/>
    <w:link w:val="71"/>
    <w:autoRedefine/>
    <w:qFormat/>
    <w:uiPriority w:val="0"/>
    <w:rPr>
      <w:rFonts w:ascii="Times New Roman" w:hAnsi="Times New Roman" w:eastAsia="宋体" w:cs="Times New Roman"/>
      <w:kern w:val="0"/>
      <w:sz w:val="18"/>
      <w:szCs w:val="18"/>
    </w:rPr>
  </w:style>
  <w:style w:type="paragraph" w:styleId="28">
    <w:name w:val="footer"/>
    <w:basedOn w:val="1"/>
    <w:link w:val="72"/>
    <w:autoRedefine/>
    <w:qFormat/>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29">
    <w:name w:val="toc 1"/>
    <w:basedOn w:val="1"/>
    <w:next w:val="1"/>
    <w:autoRedefine/>
    <w:qFormat/>
    <w:uiPriority w:val="0"/>
    <w:pPr>
      <w:tabs>
        <w:tab w:val="right" w:leader="dot" w:pos="8296"/>
      </w:tabs>
      <w:ind w:firstLine="0" w:firstLineChars="0"/>
    </w:pPr>
    <w:rPr>
      <w:rFonts w:ascii="Times New Roman" w:hAnsi="Times New Roman" w:eastAsia="宋体" w:cs="Times New Roman"/>
    </w:rPr>
  </w:style>
  <w:style w:type="paragraph" w:styleId="30">
    <w:name w:val="toc 4"/>
    <w:basedOn w:val="1"/>
    <w:next w:val="1"/>
    <w:autoRedefine/>
    <w:qFormat/>
    <w:uiPriority w:val="0"/>
    <w:pPr>
      <w:spacing w:line="240" w:lineRule="auto"/>
      <w:ind w:left="630" w:firstLine="0" w:firstLineChars="0"/>
      <w:jc w:val="left"/>
    </w:pPr>
    <w:rPr>
      <w:rFonts w:ascii="Times New Roman" w:hAnsi="Times New Roman" w:eastAsia="宋体" w:cs="Times New Roman"/>
      <w:szCs w:val="21"/>
    </w:rPr>
  </w:style>
  <w:style w:type="paragraph" w:styleId="31">
    <w:name w:val="List"/>
    <w:basedOn w:val="1"/>
    <w:autoRedefine/>
    <w:qFormat/>
    <w:uiPriority w:val="0"/>
    <w:pPr>
      <w:spacing w:line="240" w:lineRule="auto"/>
      <w:ind w:left="420" w:hanging="420" w:firstLineChars="0"/>
    </w:pPr>
    <w:rPr>
      <w:rFonts w:ascii="Times New Roman" w:hAnsi="Times New Roman" w:eastAsia="宋体" w:cs="Times New Roman"/>
      <w:szCs w:val="20"/>
    </w:rPr>
  </w:style>
  <w:style w:type="paragraph" w:styleId="32">
    <w:name w:val="toc 6"/>
    <w:basedOn w:val="1"/>
    <w:next w:val="1"/>
    <w:autoRedefine/>
    <w:qFormat/>
    <w:uiPriority w:val="0"/>
    <w:pPr>
      <w:spacing w:line="240" w:lineRule="auto"/>
      <w:ind w:left="1050" w:firstLine="0" w:firstLineChars="0"/>
      <w:jc w:val="left"/>
    </w:pPr>
    <w:rPr>
      <w:rFonts w:ascii="Times New Roman" w:hAnsi="Times New Roman" w:eastAsia="宋体" w:cs="Times New Roman"/>
      <w:szCs w:val="21"/>
    </w:rPr>
  </w:style>
  <w:style w:type="paragraph" w:styleId="33">
    <w:name w:val="Body Text Indent 3"/>
    <w:basedOn w:val="1"/>
    <w:link w:val="74"/>
    <w:autoRedefine/>
    <w:qFormat/>
    <w:uiPriority w:val="0"/>
    <w:pPr>
      <w:autoSpaceDE w:val="0"/>
      <w:autoSpaceDN w:val="0"/>
      <w:spacing w:line="400" w:lineRule="atLeast"/>
      <w:ind w:firstLine="443"/>
    </w:pPr>
    <w:rPr>
      <w:rFonts w:ascii="Times New Roman" w:hAnsi="Times New Roman" w:eastAsia="黑体" w:cs="Times New Roman"/>
      <w:color w:val="000000"/>
    </w:rPr>
  </w:style>
  <w:style w:type="paragraph" w:styleId="34">
    <w:name w:val="index 7"/>
    <w:basedOn w:val="1"/>
    <w:next w:val="1"/>
    <w:autoRedefine/>
    <w:semiHidden/>
    <w:qFormat/>
    <w:uiPriority w:val="99"/>
    <w:pPr>
      <w:ind w:left="1200" w:leftChars="1200"/>
    </w:pPr>
  </w:style>
  <w:style w:type="paragraph" w:styleId="35">
    <w:name w:val="toc 2"/>
    <w:basedOn w:val="1"/>
    <w:next w:val="1"/>
    <w:autoRedefine/>
    <w:qFormat/>
    <w:uiPriority w:val="0"/>
    <w:pPr>
      <w:tabs>
        <w:tab w:val="right" w:leader="dot" w:pos="8296"/>
      </w:tabs>
      <w:ind w:left="420" w:leftChars="200" w:firstLine="0" w:firstLineChars="0"/>
    </w:pPr>
    <w:rPr>
      <w:rFonts w:ascii="Times New Roman" w:hAnsi="Times New Roman" w:eastAsia="宋体" w:cs="Times New Roman"/>
    </w:rPr>
  </w:style>
  <w:style w:type="paragraph" w:styleId="36">
    <w:name w:val="toc 9"/>
    <w:basedOn w:val="1"/>
    <w:next w:val="1"/>
    <w:autoRedefine/>
    <w:qFormat/>
    <w:uiPriority w:val="0"/>
    <w:pPr>
      <w:spacing w:line="240" w:lineRule="auto"/>
      <w:ind w:left="1680" w:firstLine="0" w:firstLineChars="0"/>
      <w:jc w:val="left"/>
    </w:pPr>
    <w:rPr>
      <w:rFonts w:ascii="Times New Roman" w:hAnsi="Times New Roman" w:eastAsia="宋体" w:cs="Times New Roman"/>
      <w:szCs w:val="21"/>
    </w:rPr>
  </w:style>
  <w:style w:type="paragraph" w:styleId="37">
    <w:name w:val="Body Text 2"/>
    <w:basedOn w:val="1"/>
    <w:link w:val="75"/>
    <w:autoRedefine/>
    <w:qFormat/>
    <w:uiPriority w:val="0"/>
    <w:pPr>
      <w:spacing w:line="240" w:lineRule="auto"/>
      <w:ind w:firstLine="0" w:firstLineChars="0"/>
    </w:pPr>
    <w:rPr>
      <w:rFonts w:ascii="Times New Roman" w:hAnsi="Times New Roman" w:eastAsia="宋体" w:cs="Times New Roman"/>
      <w:b/>
      <w:bCs/>
      <w:color w:val="000000"/>
      <w:sz w:val="28"/>
    </w:rPr>
  </w:style>
  <w:style w:type="paragraph" w:styleId="38">
    <w:name w:val="HTML Preformatted"/>
    <w:basedOn w:val="1"/>
    <w:link w:val="76"/>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Unicode MS" w:hAnsi="Arial Unicode MS" w:eastAsia="Arial Unicode MS" w:cs="Times New Roman"/>
      <w:kern w:val="0"/>
      <w:sz w:val="20"/>
      <w:szCs w:val="20"/>
    </w:rPr>
  </w:style>
  <w:style w:type="paragraph" w:styleId="39">
    <w:name w:val="Normal (Web)"/>
    <w:basedOn w:val="1"/>
    <w:autoRedefine/>
    <w:qFormat/>
    <w:uiPriority w:val="0"/>
    <w:pPr>
      <w:widowControl/>
      <w:spacing w:before="100" w:beforeAutospacing="1" w:after="100" w:afterAutospacing="1" w:line="240" w:lineRule="auto"/>
      <w:ind w:firstLine="0" w:firstLineChars="0"/>
      <w:jc w:val="left"/>
    </w:pPr>
    <w:rPr>
      <w:rFonts w:ascii="宋体" w:hAnsi="宋体" w:eastAsia="宋体" w:cs="Times New Roman"/>
      <w:kern w:val="0"/>
    </w:rPr>
  </w:style>
  <w:style w:type="paragraph" w:styleId="40">
    <w:name w:val="Title"/>
    <w:basedOn w:val="1"/>
    <w:link w:val="77"/>
    <w:autoRedefine/>
    <w:qFormat/>
    <w:uiPriority w:val="0"/>
    <w:pPr>
      <w:spacing w:line="240" w:lineRule="auto"/>
      <w:ind w:firstLine="0" w:firstLineChars="0"/>
      <w:jc w:val="center"/>
    </w:pPr>
    <w:rPr>
      <w:rFonts w:ascii="Times New Roman" w:hAnsi="Times New Roman" w:eastAsia="宋体" w:cs="Times New Roman"/>
      <w:sz w:val="30"/>
    </w:rPr>
  </w:style>
  <w:style w:type="paragraph" w:styleId="41">
    <w:name w:val="annotation subject"/>
    <w:basedOn w:val="12"/>
    <w:next w:val="12"/>
    <w:link w:val="78"/>
    <w:autoRedefine/>
    <w:qFormat/>
    <w:uiPriority w:val="0"/>
    <w:rPr>
      <w:rFonts w:ascii="Times New Roman" w:hAnsi="Times New Roman" w:eastAsia="宋体" w:cs="Times New Roman"/>
      <w:b/>
      <w:bCs/>
    </w:rPr>
  </w:style>
  <w:style w:type="paragraph" w:styleId="42">
    <w:name w:val="Body Text First Indent"/>
    <w:basedOn w:val="15"/>
    <w:next w:val="32"/>
    <w:autoRedefine/>
    <w:qFormat/>
    <w:uiPriority w:val="0"/>
    <w:pPr>
      <w:adjustRightInd/>
      <w:spacing w:after="120" w:line="240" w:lineRule="auto"/>
      <w:ind w:firstLine="420" w:firstLineChars="100"/>
      <w:jc w:val="both"/>
    </w:pPr>
    <w:rPr>
      <w:rFonts w:ascii="Times New Roman" w:hAnsi="金山简黑体" w:eastAsia="金山简黑体" w:cs="宋体"/>
      <w:spacing w:val="-8"/>
      <w:kern w:val="2"/>
      <w:sz w:val="21"/>
      <w:szCs w:val="24"/>
    </w:rPr>
  </w:style>
  <w:style w:type="paragraph" w:styleId="43">
    <w:name w:val="Body Text First Indent 2"/>
    <w:basedOn w:val="16"/>
    <w:next w:val="1"/>
    <w:autoRedefine/>
    <w:qFormat/>
    <w:uiPriority w:val="0"/>
    <w:pPr>
      <w:ind w:firstLine="420" w:firstLineChars="200"/>
    </w:pPr>
    <w:rPr>
      <w:rFonts w:ascii="Times New Roman" w:hAnsi="Times New Roman" w:eastAsia="宋体" w:cs="Times New Roman"/>
    </w:rPr>
  </w:style>
  <w:style w:type="table" w:styleId="45">
    <w:name w:val="Table Grid"/>
    <w:basedOn w:val="44"/>
    <w:autoRedefine/>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autoRedefine/>
    <w:qFormat/>
    <w:uiPriority w:val="0"/>
    <w:rPr>
      <w:rFonts w:ascii="Times New Roman" w:hAnsi="Times New Roman" w:eastAsia="宋体" w:cs="Times New Roman"/>
      <w:b/>
    </w:rPr>
  </w:style>
  <w:style w:type="character" w:styleId="48">
    <w:name w:val="page number"/>
    <w:autoRedefine/>
    <w:qFormat/>
    <w:uiPriority w:val="0"/>
    <w:rPr>
      <w:rFonts w:ascii="Times New Roman" w:hAnsi="Times New Roman" w:eastAsia="宋体" w:cs="Times New Roman"/>
    </w:rPr>
  </w:style>
  <w:style w:type="character" w:styleId="49">
    <w:name w:val="FollowedHyperlink"/>
    <w:autoRedefine/>
    <w:qFormat/>
    <w:uiPriority w:val="0"/>
    <w:rPr>
      <w:rFonts w:ascii="Times New Roman" w:hAnsi="Times New Roman" w:eastAsia="宋体" w:cs="Times New Roman"/>
      <w:color w:val="800080"/>
      <w:u w:val="single"/>
    </w:rPr>
  </w:style>
  <w:style w:type="character" w:styleId="50">
    <w:name w:val="Emphasis"/>
    <w:autoRedefine/>
    <w:qFormat/>
    <w:uiPriority w:val="0"/>
  </w:style>
  <w:style w:type="character" w:styleId="51">
    <w:name w:val="HTML Variable"/>
    <w:autoRedefine/>
    <w:qFormat/>
    <w:uiPriority w:val="0"/>
  </w:style>
  <w:style w:type="character" w:styleId="52">
    <w:name w:val="Hyperlink"/>
    <w:autoRedefine/>
    <w:qFormat/>
    <w:uiPriority w:val="0"/>
    <w:rPr>
      <w:rFonts w:ascii="Times New Roman" w:hAnsi="Times New Roman" w:eastAsia="宋体" w:cs="Times New Roman"/>
      <w:color w:val="0000FF"/>
      <w:u w:val="single"/>
    </w:rPr>
  </w:style>
  <w:style w:type="character" w:styleId="53">
    <w:name w:val="annotation reference"/>
    <w:autoRedefine/>
    <w:qFormat/>
    <w:uiPriority w:val="0"/>
    <w:rPr>
      <w:rFonts w:ascii="Times New Roman" w:hAnsi="Times New Roman" w:eastAsia="宋体" w:cs="Times New Roman"/>
      <w:sz w:val="21"/>
      <w:szCs w:val="21"/>
    </w:rPr>
  </w:style>
  <w:style w:type="paragraph" w:customStyle="1" w:styleId="54">
    <w:name w:val="xl53"/>
    <w:basedOn w:val="1"/>
    <w:next w:val="1"/>
    <w:qFormat/>
    <w:uiPriority w:val="99"/>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Times New Roman" w:hAnsi="Times New Roman" w:eastAsia="Arial Unicode MS" w:cs="宋体"/>
      <w:color w:val="FF0000"/>
      <w:kern w:val="0"/>
      <w:sz w:val="24"/>
      <w:szCs w:val="24"/>
    </w:rPr>
  </w:style>
  <w:style w:type="paragraph" w:customStyle="1" w:styleId="5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6">
    <w:name w:val="Heading3"/>
    <w:basedOn w:val="1"/>
    <w:next w:val="1"/>
    <w:qFormat/>
    <w:uiPriority w:val="0"/>
    <w:pPr>
      <w:spacing w:before="120" w:after="120" w:line="300" w:lineRule="auto"/>
    </w:pPr>
    <w:rPr>
      <w:sz w:val="24"/>
      <w:szCs w:val="20"/>
    </w:rPr>
  </w:style>
  <w:style w:type="paragraph" w:customStyle="1" w:styleId="57">
    <w:name w:val="正文首行缩进两字"/>
    <w:autoRedefine/>
    <w:qFormat/>
    <w:uiPriority w:val="99"/>
    <w:pPr>
      <w:spacing w:line="360" w:lineRule="auto"/>
    </w:pPr>
    <w:rPr>
      <w:rFonts w:ascii="Times New Roman" w:hAnsi="Times New Roman" w:eastAsia="宋体" w:cs="Times New Roman"/>
      <w:color w:val="000000"/>
      <w:sz w:val="24"/>
      <w:szCs w:val="24"/>
      <w:lang w:val="en-US" w:eastAsia="zh-CN" w:bidi="ar-SA"/>
    </w:rPr>
  </w:style>
  <w:style w:type="character" w:customStyle="1" w:styleId="58">
    <w:name w:val="正文文本 Char"/>
    <w:link w:val="15"/>
    <w:autoRedefine/>
    <w:qFormat/>
    <w:uiPriority w:val="0"/>
    <w:rPr>
      <w:rFonts w:ascii="仿宋_GB2312" w:hAnsi="Times New Roman" w:eastAsia="仿宋_GB2312" w:cs="Times New Roman"/>
      <w:sz w:val="28"/>
    </w:rPr>
  </w:style>
  <w:style w:type="character" w:customStyle="1" w:styleId="59">
    <w:name w:val="标题 1 Char"/>
    <w:link w:val="2"/>
    <w:autoRedefine/>
    <w:qFormat/>
    <w:uiPriority w:val="0"/>
    <w:rPr>
      <w:rFonts w:ascii="宋体" w:hAnsi="宋体" w:eastAsia="宋体" w:cs="宋体"/>
      <w:b/>
      <w:bCs/>
      <w:kern w:val="44"/>
      <w:sz w:val="32"/>
      <w:szCs w:val="52"/>
    </w:rPr>
  </w:style>
  <w:style w:type="character" w:customStyle="1" w:styleId="60">
    <w:name w:val="标题 2 Char"/>
    <w:link w:val="3"/>
    <w:autoRedefine/>
    <w:qFormat/>
    <w:uiPriority w:val="0"/>
    <w:rPr>
      <w:rFonts w:ascii="Cambria" w:hAnsi="Cambria" w:eastAsia="宋体" w:cs="Times New Roman"/>
      <w:b/>
      <w:bCs/>
      <w:kern w:val="2"/>
      <w:sz w:val="28"/>
      <w:szCs w:val="32"/>
    </w:rPr>
  </w:style>
  <w:style w:type="character" w:customStyle="1" w:styleId="61">
    <w:name w:val="标题 3 Char"/>
    <w:link w:val="4"/>
    <w:autoRedefine/>
    <w:qFormat/>
    <w:uiPriority w:val="0"/>
    <w:rPr>
      <w:rFonts w:ascii="宋体" w:hAnsi="宋体" w:eastAsia="宋体" w:cs="Times New Roman"/>
      <w:b/>
      <w:bCs/>
      <w:kern w:val="2"/>
      <w:sz w:val="21"/>
      <w:szCs w:val="32"/>
    </w:rPr>
  </w:style>
  <w:style w:type="character" w:customStyle="1" w:styleId="62">
    <w:name w:val="标题 4 Char"/>
    <w:link w:val="5"/>
    <w:autoRedefine/>
    <w:qFormat/>
    <w:uiPriority w:val="0"/>
    <w:rPr>
      <w:rFonts w:ascii="宋体" w:hAnsi="宋体" w:eastAsia="宋体" w:cs="Times New Roman"/>
      <w:b/>
      <w:bCs/>
      <w:kern w:val="2"/>
      <w:sz w:val="24"/>
      <w:szCs w:val="28"/>
    </w:rPr>
  </w:style>
  <w:style w:type="character" w:customStyle="1" w:styleId="63">
    <w:name w:val="正文缩进 Char"/>
    <w:link w:val="8"/>
    <w:autoRedefine/>
    <w:qFormat/>
    <w:uiPriority w:val="0"/>
    <w:rPr>
      <w:rFonts w:ascii="Times New Roman" w:hAnsi="Times New Roman" w:eastAsia="宋体" w:cs="Times New Roman"/>
      <w:kern w:val="2"/>
      <w:sz w:val="21"/>
      <w:szCs w:val="24"/>
    </w:rPr>
  </w:style>
  <w:style w:type="character" w:customStyle="1" w:styleId="64">
    <w:name w:val="文档结构图 Char"/>
    <w:link w:val="10"/>
    <w:autoRedefine/>
    <w:qFormat/>
    <w:uiPriority w:val="0"/>
    <w:rPr>
      <w:rFonts w:ascii="宋体" w:hAnsi="Times New Roman" w:eastAsia="宋体" w:cs="Times New Roman"/>
      <w:sz w:val="18"/>
      <w:szCs w:val="18"/>
    </w:rPr>
  </w:style>
  <w:style w:type="character" w:customStyle="1" w:styleId="65">
    <w:name w:val="批注文字 Char"/>
    <w:link w:val="12"/>
    <w:autoRedefine/>
    <w:qFormat/>
    <w:uiPriority w:val="0"/>
    <w:rPr>
      <w:rFonts w:ascii="Times New Roman" w:hAnsi="Times New Roman" w:eastAsia="宋体" w:cs="Times New Roman"/>
      <w:kern w:val="2"/>
      <w:sz w:val="21"/>
      <w:szCs w:val="24"/>
    </w:rPr>
  </w:style>
  <w:style w:type="character" w:customStyle="1" w:styleId="66">
    <w:name w:val="正文文本 3 Char"/>
    <w:link w:val="13"/>
    <w:autoRedefine/>
    <w:qFormat/>
    <w:uiPriority w:val="0"/>
    <w:rPr>
      <w:rFonts w:ascii="楷体_GB2312" w:hAnsi="Times New Roman" w:eastAsia="楷体_GB2312" w:cs="Times New Roman"/>
      <w:b/>
      <w:color w:val="000000"/>
      <w:kern w:val="2"/>
      <w:sz w:val="30"/>
      <w:szCs w:val="24"/>
    </w:rPr>
  </w:style>
  <w:style w:type="character" w:customStyle="1" w:styleId="67">
    <w:name w:val="正文文本缩进 Char"/>
    <w:link w:val="16"/>
    <w:autoRedefine/>
    <w:qFormat/>
    <w:uiPriority w:val="0"/>
    <w:rPr>
      <w:rFonts w:ascii="宋体" w:hAnsi="Times New Roman" w:eastAsia="宋体" w:cs="Times New Roman"/>
      <w:sz w:val="24"/>
    </w:rPr>
  </w:style>
  <w:style w:type="character" w:customStyle="1" w:styleId="68">
    <w:name w:val="纯文本 Char1"/>
    <w:link w:val="22"/>
    <w:autoRedefine/>
    <w:qFormat/>
    <w:uiPriority w:val="0"/>
    <w:rPr>
      <w:rFonts w:ascii="宋体" w:hAnsi="Courier New" w:eastAsia="宋体" w:cs="Times New Roman"/>
      <w:kern w:val="2"/>
      <w:sz w:val="21"/>
    </w:rPr>
  </w:style>
  <w:style w:type="character" w:customStyle="1" w:styleId="69">
    <w:name w:val="日期 Char"/>
    <w:link w:val="24"/>
    <w:autoRedefine/>
    <w:qFormat/>
    <w:uiPriority w:val="0"/>
    <w:rPr>
      <w:rFonts w:ascii="Times New Roman" w:hAnsi="Times New Roman" w:eastAsia="宋体" w:cs="Times New Roman"/>
      <w:color w:val="000000"/>
      <w:kern w:val="2"/>
      <w:sz w:val="24"/>
      <w:szCs w:val="24"/>
    </w:rPr>
  </w:style>
  <w:style w:type="character" w:customStyle="1" w:styleId="70">
    <w:name w:val="正文文本缩进 2 Char"/>
    <w:link w:val="25"/>
    <w:autoRedefine/>
    <w:qFormat/>
    <w:uiPriority w:val="0"/>
    <w:rPr>
      <w:rFonts w:ascii="宋体" w:hAnsi="Times New Roman" w:eastAsia="宋体" w:cs="Times New Roman"/>
      <w:sz w:val="24"/>
    </w:rPr>
  </w:style>
  <w:style w:type="character" w:customStyle="1" w:styleId="71">
    <w:name w:val="批注框文本 Char"/>
    <w:link w:val="27"/>
    <w:autoRedefine/>
    <w:qFormat/>
    <w:uiPriority w:val="0"/>
    <w:rPr>
      <w:rFonts w:ascii="Times New Roman" w:hAnsi="Times New Roman" w:eastAsia="宋体" w:cs="Times New Roman"/>
      <w:sz w:val="18"/>
      <w:szCs w:val="18"/>
    </w:rPr>
  </w:style>
  <w:style w:type="character" w:customStyle="1" w:styleId="72">
    <w:name w:val="页脚 Char"/>
    <w:link w:val="28"/>
    <w:autoRedefine/>
    <w:qFormat/>
    <w:uiPriority w:val="99"/>
    <w:rPr>
      <w:rFonts w:ascii="Times New Roman" w:hAnsi="Times New Roman" w:eastAsia="宋体" w:cs="Times New Roman"/>
      <w:sz w:val="18"/>
      <w:szCs w:val="18"/>
    </w:rPr>
  </w:style>
  <w:style w:type="character" w:customStyle="1" w:styleId="73">
    <w:name w:val="页眉 Char"/>
    <w:link w:val="9"/>
    <w:autoRedefine/>
    <w:qFormat/>
    <w:uiPriority w:val="0"/>
    <w:rPr>
      <w:rFonts w:ascii="Times New Roman" w:hAnsi="Times New Roman" w:eastAsia="宋体" w:cs="Times New Roman"/>
      <w:sz w:val="18"/>
      <w:szCs w:val="18"/>
    </w:rPr>
  </w:style>
  <w:style w:type="character" w:customStyle="1" w:styleId="74">
    <w:name w:val="正文文本缩进 3 Char"/>
    <w:link w:val="33"/>
    <w:autoRedefine/>
    <w:qFormat/>
    <w:uiPriority w:val="0"/>
    <w:rPr>
      <w:rFonts w:ascii="Times New Roman" w:hAnsi="Times New Roman" w:eastAsia="黑体" w:cs="Times New Roman"/>
      <w:color w:val="000000"/>
      <w:kern w:val="2"/>
      <w:sz w:val="24"/>
      <w:szCs w:val="24"/>
    </w:rPr>
  </w:style>
  <w:style w:type="character" w:customStyle="1" w:styleId="75">
    <w:name w:val="正文文本 2 Char"/>
    <w:link w:val="37"/>
    <w:autoRedefine/>
    <w:qFormat/>
    <w:uiPriority w:val="0"/>
    <w:rPr>
      <w:rFonts w:ascii="Times New Roman" w:hAnsi="Times New Roman" w:eastAsia="宋体" w:cs="Times New Roman"/>
      <w:b/>
      <w:bCs/>
      <w:color w:val="000000"/>
      <w:kern w:val="2"/>
      <w:sz w:val="28"/>
      <w:szCs w:val="24"/>
    </w:rPr>
  </w:style>
  <w:style w:type="character" w:customStyle="1" w:styleId="76">
    <w:name w:val="HTML 预设格式 Char"/>
    <w:link w:val="38"/>
    <w:autoRedefine/>
    <w:qFormat/>
    <w:uiPriority w:val="0"/>
    <w:rPr>
      <w:rFonts w:ascii="Arial Unicode MS" w:hAnsi="Arial Unicode MS" w:eastAsia="Arial Unicode MS" w:cs="Arial Unicode MS"/>
    </w:rPr>
  </w:style>
  <w:style w:type="character" w:customStyle="1" w:styleId="77">
    <w:name w:val="标题 Char1"/>
    <w:link w:val="40"/>
    <w:autoRedefine/>
    <w:qFormat/>
    <w:uiPriority w:val="0"/>
    <w:rPr>
      <w:rFonts w:ascii="Times New Roman" w:hAnsi="Times New Roman" w:eastAsia="宋体" w:cs="Times New Roman"/>
      <w:kern w:val="2"/>
      <w:sz w:val="30"/>
      <w:szCs w:val="24"/>
    </w:rPr>
  </w:style>
  <w:style w:type="character" w:customStyle="1" w:styleId="78">
    <w:name w:val="批注主题 Char"/>
    <w:link w:val="41"/>
    <w:autoRedefine/>
    <w:qFormat/>
    <w:uiPriority w:val="0"/>
    <w:rPr>
      <w:rFonts w:ascii="Times New Roman" w:hAnsi="Times New Roman" w:eastAsia="宋体" w:cs="Times New Roman"/>
      <w:b/>
      <w:bCs/>
      <w:kern w:val="2"/>
      <w:sz w:val="21"/>
      <w:szCs w:val="24"/>
    </w:rPr>
  </w:style>
  <w:style w:type="paragraph" w:customStyle="1" w:styleId="79">
    <w:name w:val="Default"/>
    <w:next w:val="80"/>
    <w:autoRedefine/>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80">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1">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2">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83">
    <w:name w:val="huei12b1"/>
    <w:autoRedefine/>
    <w:qFormat/>
    <w:uiPriority w:val="0"/>
    <w:rPr>
      <w:rFonts w:ascii="Times New Roman" w:hAnsi="Times New Roman" w:eastAsia="宋体" w:cs="Times New Roman"/>
      <w:b/>
      <w:bCs/>
      <w:color w:val="333333"/>
      <w:sz w:val="20"/>
      <w:szCs w:val="20"/>
    </w:rPr>
  </w:style>
  <w:style w:type="character" w:customStyle="1" w:styleId="84">
    <w:name w:val="font101"/>
    <w:autoRedefine/>
    <w:qFormat/>
    <w:uiPriority w:val="0"/>
    <w:rPr>
      <w:rFonts w:hint="eastAsia" w:ascii="宋体" w:hAnsi="宋体" w:eastAsia="宋体" w:cs="宋体"/>
      <w:color w:val="000000"/>
      <w:sz w:val="18"/>
      <w:szCs w:val="18"/>
      <w:u w:val="none"/>
    </w:rPr>
  </w:style>
  <w:style w:type="character" w:customStyle="1" w:styleId="85">
    <w:name w:val="content"/>
    <w:autoRedefine/>
    <w:qFormat/>
    <w:uiPriority w:val="0"/>
    <w:rPr>
      <w:rFonts w:ascii="Times New Roman" w:hAnsi="Times New Roman" w:eastAsia="宋体" w:cs="Times New Roman"/>
    </w:rPr>
  </w:style>
  <w:style w:type="character" w:customStyle="1" w:styleId="86">
    <w:name w:val="标题 3 字符"/>
    <w:autoRedefine/>
    <w:qFormat/>
    <w:uiPriority w:val="0"/>
    <w:rPr>
      <w:rFonts w:ascii="Times New Roman" w:hAnsi="Times New Roman" w:eastAsia="宋体" w:cs="Times New Roman"/>
      <w:b/>
      <w:bCs/>
      <w:kern w:val="2"/>
      <w:sz w:val="24"/>
      <w:szCs w:val="32"/>
    </w:rPr>
  </w:style>
  <w:style w:type="character" w:customStyle="1" w:styleId="87">
    <w:name w:val="search_content1"/>
    <w:autoRedefine/>
    <w:qFormat/>
    <w:uiPriority w:val="0"/>
    <w:rPr>
      <w:rFonts w:ascii="Times New Roman" w:hAnsi="Times New Roman" w:eastAsia="宋体" w:cs="Times New Roman"/>
      <w:sz w:val="20"/>
      <w:szCs w:val="20"/>
    </w:rPr>
  </w:style>
  <w:style w:type="character" w:customStyle="1" w:styleId="88">
    <w:name w:val="apple-converted-space"/>
    <w:autoRedefine/>
    <w:qFormat/>
    <w:uiPriority w:val="0"/>
    <w:rPr>
      <w:rFonts w:ascii="Times New Roman" w:hAnsi="Times New Roman" w:eastAsia="宋体" w:cs="Times New Roman"/>
    </w:rPr>
  </w:style>
  <w:style w:type="character" w:customStyle="1" w:styleId="89">
    <w:name w:val="s"/>
    <w:autoRedefine/>
    <w:qFormat/>
    <w:uiPriority w:val="0"/>
    <w:rPr>
      <w:rFonts w:ascii="Times New Roman" w:hAnsi="Times New Roman" w:eastAsia="宋体" w:cs="Times New Roman"/>
    </w:rPr>
  </w:style>
  <w:style w:type="character" w:customStyle="1" w:styleId="90">
    <w:name w:val="页眉 字符"/>
    <w:autoRedefine/>
    <w:qFormat/>
    <w:uiPriority w:val="99"/>
    <w:rPr>
      <w:rFonts w:ascii="Times New Roman" w:hAnsi="Times New Roman" w:eastAsia="宋体" w:cs="Times New Roman"/>
      <w:kern w:val="2"/>
      <w:sz w:val="18"/>
      <w:lang w:val="en-US" w:eastAsia="zh-CN" w:bidi="ar-SA"/>
    </w:rPr>
  </w:style>
  <w:style w:type="character" w:customStyle="1" w:styleId="91">
    <w:name w:val="Char Char2"/>
    <w:autoRedefine/>
    <w:qFormat/>
    <w:uiPriority w:val="0"/>
    <w:rPr>
      <w:rFonts w:hint="eastAsia" w:ascii="宋体" w:hAnsi="Courier New" w:eastAsia="宋体" w:cs="Times New Roman"/>
      <w:kern w:val="2"/>
      <w:sz w:val="21"/>
    </w:rPr>
  </w:style>
  <w:style w:type="character" w:customStyle="1" w:styleId="92">
    <w:name w:val="font61"/>
    <w:autoRedefine/>
    <w:qFormat/>
    <w:uiPriority w:val="0"/>
    <w:rPr>
      <w:rFonts w:hint="eastAsia" w:ascii="宋体" w:hAnsi="宋体" w:eastAsia="宋体" w:cs="宋体"/>
      <w:color w:val="000000"/>
      <w:sz w:val="18"/>
      <w:szCs w:val="18"/>
      <w:u w:val="none"/>
    </w:rPr>
  </w:style>
  <w:style w:type="character" w:customStyle="1" w:styleId="93">
    <w:name w:val="l17"/>
    <w:autoRedefine/>
    <w:qFormat/>
    <w:uiPriority w:val="0"/>
    <w:rPr>
      <w:rFonts w:ascii="Times New Roman" w:hAnsi="Times New Roman" w:eastAsia="宋体" w:cs="Times New Roman"/>
    </w:rPr>
  </w:style>
  <w:style w:type="character" w:customStyle="1" w:styleId="94">
    <w:name w:val="纯文本 字符"/>
    <w:autoRedefine/>
    <w:qFormat/>
    <w:uiPriority w:val="0"/>
    <w:rPr>
      <w:rFonts w:ascii="宋体" w:hAnsi="Courier New" w:eastAsia="宋体" w:cs="Courier New"/>
      <w:kern w:val="2"/>
      <w:sz w:val="21"/>
      <w:szCs w:val="21"/>
      <w:lang w:val="en-US" w:eastAsia="zh-CN" w:bidi="ar-SA"/>
    </w:rPr>
  </w:style>
  <w:style w:type="character" w:customStyle="1" w:styleId="95">
    <w:name w:val="Char Char"/>
    <w:autoRedefine/>
    <w:qFormat/>
    <w:uiPriority w:val="0"/>
    <w:rPr>
      <w:rFonts w:hint="eastAsia" w:ascii="宋体" w:hAnsi="Courier New" w:eastAsia="宋体" w:cs="Times New Roman"/>
      <w:kern w:val="2"/>
      <w:sz w:val="21"/>
      <w:lang w:val="en-US" w:eastAsia="zh-CN" w:bidi="ar-SA"/>
    </w:rPr>
  </w:style>
  <w:style w:type="character" w:customStyle="1" w:styleId="96">
    <w:name w:val="unnamed51"/>
    <w:autoRedefine/>
    <w:qFormat/>
    <w:uiPriority w:val="0"/>
    <w:rPr>
      <w:rFonts w:ascii="Times New Roman" w:hAnsi="Times New Roman" w:eastAsia="宋体" w:cs="Times New Roman"/>
      <w:sz w:val="22"/>
      <w:szCs w:val="22"/>
    </w:rPr>
  </w:style>
  <w:style w:type="character" w:customStyle="1" w:styleId="97">
    <w:name w:val="正文文本首行缩进 字符"/>
    <w:link w:val="98"/>
    <w:autoRedefine/>
    <w:qFormat/>
    <w:uiPriority w:val="0"/>
    <w:rPr>
      <w:rFonts w:ascii="Times New Roman" w:hAnsi="Times New Roman" w:eastAsia="仿宋_GB2312" w:cs="Times New Roman"/>
      <w:kern w:val="2"/>
      <w:sz w:val="21"/>
      <w:szCs w:val="24"/>
    </w:rPr>
  </w:style>
  <w:style w:type="paragraph" w:customStyle="1" w:styleId="98">
    <w:name w:val="正文文本首行缩进1"/>
    <w:basedOn w:val="15"/>
    <w:link w:val="97"/>
    <w:autoRedefine/>
    <w:qFormat/>
    <w:uiPriority w:val="0"/>
    <w:pPr>
      <w:adjustRightInd/>
      <w:spacing w:after="120" w:line="240" w:lineRule="auto"/>
      <w:ind w:firstLine="420" w:firstLineChars="100"/>
      <w:jc w:val="both"/>
    </w:pPr>
    <w:rPr>
      <w:rFonts w:ascii="Times New Roman" w:hAnsi="Times New Roman" w:eastAsia="宋体" w:cs="Times New Roman"/>
      <w:kern w:val="2"/>
      <w:sz w:val="21"/>
      <w:szCs w:val="24"/>
    </w:rPr>
  </w:style>
  <w:style w:type="character" w:customStyle="1" w:styleId="99">
    <w:name w:val="font11"/>
    <w:autoRedefine/>
    <w:qFormat/>
    <w:uiPriority w:val="0"/>
    <w:rPr>
      <w:rFonts w:hint="eastAsia" w:ascii="宋体" w:hAnsi="宋体" w:eastAsia="宋体" w:cs="宋体"/>
      <w:color w:val="000000"/>
      <w:sz w:val="40"/>
      <w:szCs w:val="40"/>
      <w:u w:val="none"/>
    </w:rPr>
  </w:style>
  <w:style w:type="character" w:customStyle="1" w:styleId="100">
    <w:name w:val="font31"/>
    <w:autoRedefine/>
    <w:qFormat/>
    <w:uiPriority w:val="0"/>
    <w:rPr>
      <w:rFonts w:hint="eastAsia" w:ascii="宋体" w:hAnsi="宋体" w:eastAsia="宋体" w:cs="宋体"/>
      <w:color w:val="000000"/>
      <w:sz w:val="20"/>
      <w:szCs w:val="20"/>
      <w:u w:val="none"/>
    </w:rPr>
  </w:style>
  <w:style w:type="character" w:customStyle="1" w:styleId="101">
    <w:name w:val="纯文本 Char"/>
    <w:autoRedefine/>
    <w:qFormat/>
    <w:uiPriority w:val="0"/>
    <w:rPr>
      <w:rFonts w:ascii="宋体" w:hAnsi="Courier New" w:eastAsia="宋体" w:cs="Courier New"/>
      <w:kern w:val="2"/>
      <w:sz w:val="21"/>
      <w:szCs w:val="21"/>
    </w:rPr>
  </w:style>
  <w:style w:type="character" w:customStyle="1" w:styleId="102">
    <w:name w:val="页脚 字符"/>
    <w:autoRedefine/>
    <w:qFormat/>
    <w:uiPriority w:val="99"/>
    <w:rPr>
      <w:rFonts w:ascii="Times New Roman" w:hAnsi="Times New Roman" w:eastAsia="宋体" w:cs="Times New Roman"/>
      <w:kern w:val="2"/>
      <w:sz w:val="18"/>
      <w:lang w:val="en-US" w:eastAsia="zh-CN" w:bidi="ar-SA"/>
    </w:rPr>
  </w:style>
  <w:style w:type="character" w:customStyle="1" w:styleId="103">
    <w:name w:val="Char Char3"/>
    <w:autoRedefine/>
    <w:qFormat/>
    <w:uiPriority w:val="0"/>
    <w:rPr>
      <w:rFonts w:hint="eastAsia" w:ascii="宋体" w:hAnsi="Courier New" w:eastAsia="宋体" w:cs="Times New Roman"/>
      <w:kern w:val="2"/>
      <w:sz w:val="21"/>
      <w:lang w:val="en-US" w:eastAsia="zh-CN" w:bidi="ar-SA"/>
    </w:rPr>
  </w:style>
  <w:style w:type="character" w:customStyle="1" w:styleId="104">
    <w:name w:val="unnamed1"/>
    <w:autoRedefine/>
    <w:qFormat/>
    <w:uiPriority w:val="0"/>
    <w:rPr>
      <w:rFonts w:ascii="Times New Roman" w:hAnsi="Times New Roman" w:eastAsia="宋体" w:cs="Times New Roman"/>
    </w:rPr>
  </w:style>
  <w:style w:type="character" w:customStyle="1" w:styleId="105">
    <w:name w:val="search_result_snap1"/>
    <w:autoRedefine/>
    <w:qFormat/>
    <w:uiPriority w:val="0"/>
    <w:rPr>
      <w:rFonts w:ascii="Times New Roman" w:hAnsi="Times New Roman" w:eastAsia="宋体" w:cs="Times New Roman"/>
      <w:sz w:val="21"/>
      <w:szCs w:val="21"/>
    </w:rPr>
  </w:style>
  <w:style w:type="character" w:customStyle="1" w:styleId="106">
    <w:name w:val="不明显强调1"/>
    <w:autoRedefine/>
    <w:qFormat/>
    <w:uiPriority w:val="0"/>
    <w:rPr>
      <w:rFonts w:ascii="Times New Roman" w:hAnsi="Times New Roman" w:eastAsia="宋体" w:cs="Times New Roman"/>
      <w:i/>
      <w:iCs/>
      <w:color w:val="808080"/>
    </w:rPr>
  </w:style>
  <w:style w:type="character" w:customStyle="1" w:styleId="107">
    <w:name w:val="正文文本缩进 字符"/>
    <w:autoRedefine/>
    <w:qFormat/>
    <w:uiPriority w:val="0"/>
    <w:rPr>
      <w:rFonts w:ascii="仿宋_GB2312" w:hAnsi="Times New Roman" w:eastAsia="仿宋_GB2312" w:cs="Times New Roman"/>
      <w:kern w:val="2"/>
      <w:sz w:val="28"/>
      <w:lang w:val="en-US" w:eastAsia="zh-CN" w:bidi="ar-SA"/>
    </w:rPr>
  </w:style>
  <w:style w:type="character" w:customStyle="1" w:styleId="108">
    <w:name w:val="(aNormal) + 宋体 Char"/>
    <w:link w:val="109"/>
    <w:autoRedefine/>
    <w:qFormat/>
    <w:uiPriority w:val="0"/>
    <w:rPr>
      <w:rFonts w:ascii="宋体" w:hAnsi="宋体" w:eastAsia="宋体" w:cs="Times New Roman"/>
      <w:lang w:val="en-GB"/>
    </w:rPr>
  </w:style>
  <w:style w:type="paragraph" w:customStyle="1" w:styleId="109">
    <w:name w:val="(aNormal) + 宋体"/>
    <w:basedOn w:val="1"/>
    <w:link w:val="108"/>
    <w:autoRedefine/>
    <w:qFormat/>
    <w:uiPriority w:val="0"/>
    <w:pPr>
      <w:widowControl/>
      <w:spacing w:before="240" w:after="120" w:line="240" w:lineRule="auto"/>
      <w:ind w:firstLine="0" w:firstLineChars="0"/>
    </w:pPr>
    <w:rPr>
      <w:rFonts w:ascii="宋体" w:hAnsi="宋体" w:eastAsia="宋体" w:cs="Times New Roman"/>
      <w:kern w:val="0"/>
      <w:sz w:val="20"/>
      <w:szCs w:val="20"/>
      <w:lang w:val="en-GB"/>
    </w:rPr>
  </w:style>
  <w:style w:type="character" w:customStyle="1" w:styleId="110">
    <w:name w:val="hei16b1"/>
    <w:autoRedefine/>
    <w:qFormat/>
    <w:uiPriority w:val="0"/>
    <w:rPr>
      <w:rFonts w:hint="default" w:ascii="Arial" w:hAnsi="Arial" w:eastAsia="宋体" w:cs="Arial"/>
      <w:b/>
      <w:bCs/>
      <w:color w:val="000000"/>
      <w:sz w:val="24"/>
      <w:szCs w:val="24"/>
    </w:rPr>
  </w:style>
  <w:style w:type="character" w:customStyle="1" w:styleId="111">
    <w:name w:val="无间隔 Char"/>
    <w:link w:val="112"/>
    <w:autoRedefine/>
    <w:qFormat/>
    <w:uiPriority w:val="0"/>
    <w:rPr>
      <w:rFonts w:ascii="Times New Roman" w:hAnsi="Times New Roman" w:eastAsia="宋体" w:cs="Calibri"/>
      <w:kern w:val="2"/>
      <w:sz w:val="21"/>
      <w:szCs w:val="22"/>
      <w:lang w:val="en-US" w:eastAsia="zh-CN" w:bidi="ar-SA"/>
    </w:rPr>
  </w:style>
  <w:style w:type="paragraph" w:customStyle="1" w:styleId="112">
    <w:name w:val="No Spacing"/>
    <w:link w:val="111"/>
    <w:autoRedefine/>
    <w:qFormat/>
    <w:uiPriority w:val="0"/>
    <w:pPr>
      <w:widowControl w:val="0"/>
      <w:jc w:val="both"/>
    </w:pPr>
    <w:rPr>
      <w:rFonts w:ascii="Times New Roman" w:hAnsi="Times New Roman" w:eastAsia="宋体" w:cs="Calibri"/>
      <w:kern w:val="2"/>
      <w:sz w:val="21"/>
      <w:szCs w:val="22"/>
      <w:lang w:val="en-US" w:eastAsia="zh-CN" w:bidi="ar-SA"/>
    </w:rPr>
  </w:style>
  <w:style w:type="character" w:customStyle="1" w:styleId="113">
    <w:name w:val="wz1"/>
    <w:autoRedefine/>
    <w:qFormat/>
    <w:uiPriority w:val="0"/>
    <w:rPr>
      <w:rFonts w:ascii="Times New Roman" w:hAnsi="Times New Roman" w:eastAsia="宋体" w:cs="Times New Roman"/>
    </w:rPr>
  </w:style>
  <w:style w:type="character" w:customStyle="1" w:styleId="114">
    <w:name w:val="button1"/>
    <w:autoRedefine/>
    <w:qFormat/>
    <w:uiPriority w:val="0"/>
    <w:rPr>
      <w:rFonts w:hint="default" w:ascii="Verdana" w:hAnsi="Verdana" w:eastAsia="宋体" w:cs="Times New Roman"/>
      <w:b/>
      <w:bCs/>
      <w:sz w:val="20"/>
      <w:szCs w:val="20"/>
    </w:rPr>
  </w:style>
  <w:style w:type="character" w:customStyle="1" w:styleId="115">
    <w:name w:val="body001"/>
    <w:autoRedefine/>
    <w:qFormat/>
    <w:uiPriority w:val="0"/>
    <w:rPr>
      <w:rFonts w:hint="default" w:ascii="ˎ̥" w:hAnsi="ˎ̥" w:eastAsia="宋体" w:cs="Times New Roman"/>
      <w:color w:val="333333"/>
      <w:sz w:val="18"/>
      <w:szCs w:val="18"/>
    </w:rPr>
  </w:style>
  <w:style w:type="character" w:customStyle="1" w:styleId="116">
    <w:name w:val="font71"/>
    <w:autoRedefine/>
    <w:qFormat/>
    <w:uiPriority w:val="0"/>
    <w:rPr>
      <w:rFonts w:ascii="Arial" w:hAnsi="Arial" w:eastAsia="宋体" w:cs="Arial"/>
      <w:b/>
      <w:color w:val="333333"/>
      <w:sz w:val="20"/>
      <w:szCs w:val="20"/>
      <w:u w:val="none"/>
    </w:rPr>
  </w:style>
  <w:style w:type="character" w:customStyle="1" w:styleId="117">
    <w:name w:val="style8"/>
    <w:autoRedefine/>
    <w:qFormat/>
    <w:uiPriority w:val="0"/>
    <w:rPr>
      <w:rFonts w:ascii="Times New Roman" w:hAnsi="Times New Roman" w:eastAsia="宋体" w:cs="Times New Roman"/>
    </w:rPr>
  </w:style>
  <w:style w:type="character" w:customStyle="1" w:styleId="118">
    <w:name w:val="style1"/>
    <w:autoRedefine/>
    <w:qFormat/>
    <w:uiPriority w:val="0"/>
    <w:rPr>
      <w:rFonts w:ascii="Times New Roman" w:hAnsi="Times New Roman" w:eastAsia="宋体" w:cs="Times New Roman"/>
    </w:rPr>
  </w:style>
  <w:style w:type="character" w:customStyle="1" w:styleId="119">
    <w:name w:val="标题 Char"/>
    <w:autoRedefine/>
    <w:qFormat/>
    <w:uiPriority w:val="0"/>
    <w:rPr>
      <w:rFonts w:ascii="Cambria" w:hAnsi="Cambria" w:eastAsia="宋体" w:cs="Times New Roman"/>
      <w:b/>
      <w:bCs/>
      <w:kern w:val="2"/>
      <w:sz w:val="32"/>
      <w:szCs w:val="32"/>
    </w:rPr>
  </w:style>
  <w:style w:type="character" w:customStyle="1" w:styleId="120">
    <w:name w:val="font01"/>
    <w:basedOn w:val="46"/>
    <w:autoRedefine/>
    <w:qFormat/>
    <w:uiPriority w:val="0"/>
    <w:rPr>
      <w:rFonts w:hint="eastAsia" w:ascii="宋体" w:hAnsi="宋体" w:eastAsia="宋体" w:cs="宋体"/>
      <w:b/>
      <w:color w:val="333333"/>
      <w:sz w:val="20"/>
      <w:szCs w:val="20"/>
      <w:u w:val="none"/>
    </w:rPr>
  </w:style>
  <w:style w:type="paragraph" w:customStyle="1" w:styleId="121">
    <w:name w:val="Blockquote"/>
    <w:basedOn w:val="1"/>
    <w:autoRedefine/>
    <w:qFormat/>
    <w:uiPriority w:val="0"/>
    <w:pPr>
      <w:autoSpaceDE w:val="0"/>
      <w:autoSpaceDN w:val="0"/>
      <w:adjustRightInd w:val="0"/>
      <w:spacing w:before="100" w:after="100"/>
      <w:ind w:left="360" w:right="360"/>
      <w:jc w:val="left"/>
    </w:pPr>
    <w:rPr>
      <w:rFonts w:ascii="Times New Roman" w:hAnsi="Times New Roman" w:eastAsia="宋体" w:cs="Times New Roman"/>
      <w:kern w:val="0"/>
    </w:rPr>
  </w:style>
  <w:style w:type="paragraph" w:customStyle="1" w:styleId="122">
    <w:name w:val="默认段落字体 Para Char"/>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23">
    <w:name w:val="table_lines"/>
    <w:basedOn w:val="1"/>
    <w:autoRedefine/>
    <w:qFormat/>
    <w:uiPriority w:val="0"/>
    <w:pPr>
      <w:widowControl/>
      <w:spacing w:line="240" w:lineRule="auto"/>
      <w:ind w:firstLine="0" w:firstLineChars="0"/>
      <w:jc w:val="left"/>
    </w:pPr>
    <w:rPr>
      <w:rFonts w:ascii="Times New Roman" w:hAnsi="Times New Roman" w:eastAsia="宋体" w:cs="Times New Roman"/>
      <w:kern w:val="0"/>
      <w:sz w:val="20"/>
      <w:szCs w:val="20"/>
      <w:lang w:val="de-DE" w:eastAsia="de-DE"/>
    </w:rPr>
  </w:style>
  <w:style w:type="paragraph" w:customStyle="1" w:styleId="124">
    <w:name w:val="正文 A"/>
    <w:autoRedefine/>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125">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color w:val="000000"/>
      <w:kern w:val="0"/>
      <w:sz w:val="18"/>
      <w:szCs w:val="18"/>
    </w:rPr>
  </w:style>
  <w:style w:type="paragraph" w:customStyle="1" w:styleId="126">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18"/>
      <w:szCs w:val="18"/>
    </w:rPr>
  </w:style>
  <w:style w:type="paragraph" w:customStyle="1" w:styleId="127">
    <w:name w:val="1"/>
    <w:basedOn w:val="1"/>
    <w:next w:val="39"/>
    <w:autoRedefine/>
    <w:qFormat/>
    <w:uiPriority w:val="0"/>
    <w:pPr>
      <w:widowControl/>
      <w:spacing w:before="100" w:beforeAutospacing="1" w:after="100" w:afterAutospacing="1" w:line="240" w:lineRule="auto"/>
      <w:ind w:firstLine="0" w:firstLineChars="0"/>
      <w:jc w:val="left"/>
    </w:pPr>
    <w:rPr>
      <w:rFonts w:ascii="宋体" w:hAnsi="宋体" w:eastAsia="宋体" w:cs="Times New Roman"/>
      <w:kern w:val="0"/>
    </w:rPr>
  </w:style>
  <w:style w:type="paragraph" w:customStyle="1" w:styleId="128">
    <w:name w:val="head 1.1"/>
    <w:basedOn w:val="129"/>
    <w:autoRedefine/>
    <w:qFormat/>
    <w:uiPriority w:val="0"/>
    <w:pPr>
      <w:numPr>
        <w:ilvl w:val="1"/>
        <w:numId w:val="3"/>
      </w:numPr>
      <w:spacing w:before="260" w:after="260" w:line="240" w:lineRule="auto"/>
      <w:ind w:firstLine="0" w:firstLineChars="0"/>
    </w:pPr>
    <w:rPr>
      <w:rFonts w:ascii="宋体" w:hAnsi="宋体" w:eastAsia="宋体" w:cs="Times New Roman"/>
      <w:bCs/>
      <w:szCs w:val="22"/>
    </w:rPr>
  </w:style>
  <w:style w:type="paragraph" w:customStyle="1" w:styleId="129">
    <w:name w:val="列表段落1"/>
    <w:basedOn w:val="1"/>
    <w:autoRedefine/>
    <w:qFormat/>
    <w:uiPriority w:val="0"/>
    <w:pPr>
      <w:ind w:firstLine="420"/>
    </w:pPr>
    <w:rPr>
      <w:rFonts w:ascii="Times New Roman" w:hAnsi="Times New Roman" w:eastAsia="宋体" w:cs="Times New Roman"/>
    </w:rPr>
  </w:style>
  <w:style w:type="paragraph" w:customStyle="1" w:styleId="130">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31">
    <w:name w:val="_Style 40"/>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32">
    <w:name w:val="正文段"/>
    <w:basedOn w:val="1"/>
    <w:autoRedefine/>
    <w:qFormat/>
    <w:uiPriority w:val="0"/>
    <w:pPr>
      <w:widowControl/>
      <w:snapToGrid w:val="0"/>
      <w:spacing w:after="50" w:afterLines="50"/>
      <w:ind w:firstLine="200" w:firstLineChars="200"/>
    </w:pPr>
    <w:rPr>
      <w:rFonts w:ascii="Times New Roman" w:hAnsi="Times New Roman" w:eastAsia="宋体" w:cs="Times New Roman"/>
      <w:kern w:val="0"/>
      <w:sz w:val="24"/>
    </w:rPr>
  </w:style>
  <w:style w:type="paragraph" w:customStyle="1" w:styleId="133">
    <w:name w:val="Proposals body"/>
    <w:basedOn w:val="1"/>
    <w:next w:val="1"/>
    <w:autoRedefine/>
    <w:qFormat/>
    <w:uiPriority w:val="0"/>
    <w:pPr>
      <w:widowControl/>
      <w:snapToGrid w:val="0"/>
      <w:ind w:firstLine="0" w:firstLineChars="0"/>
      <w:jc w:val="left"/>
    </w:pPr>
    <w:rPr>
      <w:rFonts w:ascii="宋体" w:hAnsi="Times New Roman" w:eastAsia="宋体" w:cs="Times New Roman"/>
      <w:color w:val="000000"/>
      <w:kern w:val="0"/>
      <w:szCs w:val="20"/>
    </w:rPr>
  </w:style>
  <w:style w:type="paragraph" w:customStyle="1" w:styleId="134">
    <w:name w:val="Char1 Char Char"/>
    <w:basedOn w:val="1"/>
    <w:autoRedefine/>
    <w:qFormat/>
    <w:uiPriority w:val="0"/>
    <w:pPr>
      <w:widowControl/>
      <w:spacing w:after="160"/>
      <w:jc w:val="left"/>
    </w:pPr>
    <w:rPr>
      <w:rFonts w:ascii="Verdana" w:hAnsi="Verdana" w:eastAsia="黑体" w:cs="Times New Roman"/>
      <w:kern w:val="0"/>
      <w:szCs w:val="20"/>
      <w:lang w:eastAsia="en-US"/>
    </w:rPr>
  </w:style>
  <w:style w:type="paragraph" w:customStyle="1" w:styleId="135">
    <w:name w:val="列出段落1"/>
    <w:basedOn w:val="1"/>
    <w:autoRedefine/>
    <w:qFormat/>
    <w:uiPriority w:val="0"/>
    <w:pPr>
      <w:spacing w:line="240" w:lineRule="auto"/>
      <w:ind w:firstLine="420"/>
    </w:pPr>
    <w:rPr>
      <w:rFonts w:ascii="Times New Roman" w:hAnsi="Times New Roman" w:eastAsia="宋体" w:cs="Times New Roman"/>
    </w:rPr>
  </w:style>
  <w:style w:type="paragraph" w:customStyle="1" w:styleId="136">
    <w:name w:val="小标题2"/>
    <w:basedOn w:val="1"/>
    <w:next w:val="1"/>
    <w:autoRedefine/>
    <w:qFormat/>
    <w:uiPriority w:val="0"/>
    <w:pPr>
      <w:spacing w:beforeLines="20" w:afterLines="20" w:line="400" w:lineRule="exact"/>
    </w:pPr>
    <w:rPr>
      <w:rFonts w:ascii="Times New Roman" w:hAnsi="Times New Roman" w:eastAsia="楷体_GB2312" w:cs="Times New Roman"/>
    </w:rPr>
  </w:style>
  <w:style w:type="paragraph" w:customStyle="1" w:styleId="137">
    <w:name w:val="Char Char Char Char Char Char Char"/>
    <w:basedOn w:val="1"/>
    <w:autoRedefine/>
    <w:qFormat/>
    <w:uiPriority w:val="0"/>
    <w:pPr>
      <w:tabs>
        <w:tab w:val="left" w:pos="432"/>
      </w:tabs>
      <w:spacing w:line="240" w:lineRule="auto"/>
      <w:ind w:left="432" w:hanging="432" w:firstLineChars="0"/>
    </w:pPr>
    <w:rPr>
      <w:rFonts w:ascii="Tahoma" w:hAnsi="Tahoma" w:eastAsia="宋体" w:cs="Times New Roman"/>
      <w:szCs w:val="20"/>
    </w:rPr>
  </w:style>
  <w:style w:type="paragraph" w:customStyle="1" w:styleId="138">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39">
    <w:name w:val="样式1"/>
    <w:basedOn w:val="1"/>
    <w:autoRedefine/>
    <w:qFormat/>
    <w:uiPriority w:val="0"/>
    <w:pPr>
      <w:spacing w:line="360" w:lineRule="exact"/>
    </w:pPr>
    <w:rPr>
      <w:rFonts w:ascii="Arial" w:hAnsi="Arial" w:eastAsia="宋体" w:cs="Times New Roman"/>
      <w:sz w:val="21"/>
    </w:rPr>
  </w:style>
  <w:style w:type="paragraph" w:customStyle="1" w:styleId="140">
    <w:name w:val="正文格式"/>
    <w:basedOn w:val="1"/>
    <w:autoRedefine/>
    <w:qFormat/>
    <w:uiPriority w:val="0"/>
    <w:pPr>
      <w:widowControl/>
      <w:adjustRightInd w:val="0"/>
      <w:snapToGrid w:val="0"/>
      <w:ind w:firstLine="482" w:firstLineChars="0"/>
    </w:pPr>
    <w:rPr>
      <w:rFonts w:ascii="Times New Roman" w:hAnsi="Times New Roman" w:eastAsia="宋体" w:cs="Times New Roman"/>
      <w:kern w:val="0"/>
      <w:szCs w:val="20"/>
    </w:rPr>
  </w:style>
  <w:style w:type="paragraph" w:customStyle="1" w:styleId="141">
    <w:name w:val="TOC 标题1"/>
    <w:basedOn w:val="3"/>
    <w:next w:val="1"/>
    <w:autoRedefine/>
    <w:qFormat/>
    <w:uiPriority w:val="0"/>
    <w:pPr>
      <w:widowControl/>
      <w:spacing w:line="240" w:lineRule="auto"/>
      <w:outlineLvl w:val="9"/>
    </w:pPr>
    <w:rPr>
      <w:rFonts w:ascii="Times New Roman" w:hAnsi="Times New Roman" w:eastAsia="宋体" w:cs="Times New Roman"/>
      <w:kern w:val="0"/>
      <w:sz w:val="21"/>
      <w:szCs w:val="28"/>
    </w:rPr>
  </w:style>
  <w:style w:type="paragraph" w:customStyle="1" w:styleId="142">
    <w:name w:val="表格"/>
    <w:basedOn w:val="15"/>
    <w:next w:val="1"/>
    <w:autoRedefine/>
    <w:qFormat/>
    <w:uiPriority w:val="0"/>
    <w:pPr>
      <w:spacing w:line="240" w:lineRule="auto"/>
      <w:ind w:firstLine="0" w:firstLineChars="0"/>
      <w:jc w:val="center"/>
    </w:pPr>
    <w:rPr>
      <w:rFonts w:ascii="Times New Roman" w:hAnsi="Times New Roman" w:eastAsia="宋体" w:cs="Times New Roman"/>
    </w:rPr>
  </w:style>
  <w:style w:type="paragraph" w:customStyle="1" w:styleId="143">
    <w:name w:val="Char1"/>
    <w:basedOn w:val="1"/>
    <w:autoRedefine/>
    <w:qFormat/>
    <w:uiPriority w:val="0"/>
    <w:rPr>
      <w:rFonts w:ascii="Tahoma" w:hAnsi="Tahoma" w:eastAsia="宋体" w:cs="Times New Roman"/>
      <w:szCs w:val="20"/>
    </w:rPr>
  </w:style>
  <w:style w:type="paragraph" w:customStyle="1" w:styleId="144">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45">
    <w:name w:val="正文－恩普"/>
    <w:basedOn w:val="8"/>
    <w:autoRedefine/>
    <w:qFormat/>
    <w:uiPriority w:val="0"/>
    <w:pPr>
      <w:widowControl/>
      <w:spacing w:afterLines="50" w:line="360" w:lineRule="auto"/>
      <w:ind w:firstLine="480" w:firstLineChars="200"/>
      <w:jc w:val="left"/>
    </w:pPr>
    <w:rPr>
      <w:rFonts w:ascii="Times New Roman" w:hAnsi="Times New Roman" w:eastAsia="宋体" w:cs="Times New Roman"/>
    </w:rPr>
  </w:style>
  <w:style w:type="paragraph" w:customStyle="1" w:styleId="146">
    <w:name w:val="正文2"/>
    <w:basedOn w:val="1"/>
    <w:autoRedefine/>
    <w:qFormat/>
    <w:uiPriority w:val="0"/>
    <w:pPr>
      <w:spacing w:before="156"/>
      <w:ind w:firstLine="510"/>
    </w:pPr>
    <w:rPr>
      <w:rFonts w:ascii="MT Extra" w:hAnsi="MT Extra" w:eastAsia="宋体" w:cs="MT Extra"/>
    </w:rPr>
  </w:style>
  <w:style w:type="paragraph" w:customStyle="1" w:styleId="147">
    <w:name w:val="Char Char Char"/>
    <w:basedOn w:val="1"/>
    <w:autoRedefine/>
    <w:qFormat/>
    <w:uiPriority w:val="0"/>
    <w:pPr>
      <w:spacing w:line="240" w:lineRule="auto"/>
      <w:ind w:firstLine="0" w:firstLineChars="0"/>
    </w:pPr>
    <w:rPr>
      <w:rFonts w:ascii="Tahoma" w:hAnsi="Tahoma" w:eastAsia="宋体" w:cs="Times New Roman"/>
      <w:szCs w:val="20"/>
    </w:rPr>
  </w:style>
  <w:style w:type="paragraph" w:customStyle="1" w:styleId="148">
    <w:name w:val="Char Char Char Char Char Char"/>
    <w:basedOn w:val="1"/>
    <w:autoRedefine/>
    <w:qFormat/>
    <w:uiPriority w:val="0"/>
    <w:pPr>
      <w:spacing w:line="240" w:lineRule="auto"/>
    </w:pPr>
    <w:rPr>
      <w:rFonts w:ascii="Tahoma" w:hAnsi="Tahoma" w:eastAsia="宋体" w:cs="Times New Roman"/>
      <w:szCs w:val="20"/>
    </w:rPr>
  </w:style>
  <w:style w:type="paragraph" w:customStyle="1" w:styleId="149">
    <w:name w:val="Char2"/>
    <w:basedOn w:val="1"/>
    <w:autoRedefine/>
    <w:qFormat/>
    <w:uiPriority w:val="0"/>
    <w:pPr>
      <w:spacing w:line="240" w:lineRule="auto"/>
      <w:ind w:firstLine="0" w:firstLineChars="0"/>
    </w:pPr>
    <w:rPr>
      <w:rFonts w:ascii="仿宋_GB2312" w:hAnsi="Times New Roman" w:eastAsia="仿宋_GB2312" w:cs="Times New Roman"/>
      <w:b/>
      <w:sz w:val="32"/>
      <w:szCs w:val="32"/>
    </w:rPr>
  </w:style>
  <w:style w:type="paragraph" w:customStyle="1" w:styleId="150">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1">
    <w:name w:val="p0"/>
    <w:basedOn w:val="1"/>
    <w:autoRedefine/>
    <w:qFormat/>
    <w:uiPriority w:val="0"/>
    <w:pPr>
      <w:widowControl/>
      <w:spacing w:line="240" w:lineRule="auto"/>
      <w:ind w:firstLine="0" w:firstLineChars="0"/>
    </w:pPr>
    <w:rPr>
      <w:rFonts w:ascii="Times New Roman" w:hAnsi="Times New Roman" w:eastAsia="宋体" w:cs="Times New Roman"/>
      <w:kern w:val="0"/>
      <w:szCs w:val="21"/>
    </w:rPr>
  </w:style>
  <w:style w:type="paragraph" w:customStyle="1" w:styleId="152">
    <w:name w:val="正文1"/>
    <w:basedOn w:val="1"/>
    <w:autoRedefine/>
    <w:qFormat/>
    <w:uiPriority w:val="0"/>
    <w:pPr>
      <w:widowControl/>
      <w:spacing w:after="200" w:line="300" w:lineRule="atLeast"/>
      <w:jc w:val="left"/>
    </w:pPr>
    <w:rPr>
      <w:rFonts w:ascii="Times New Roman" w:hAnsi="Times New Roman" w:eastAsia="宋体" w:cs="宋体"/>
      <w:kern w:val="0"/>
      <w:sz w:val="22"/>
      <w:szCs w:val="22"/>
    </w:rPr>
  </w:style>
  <w:style w:type="paragraph" w:customStyle="1" w:styleId="153">
    <w:name w:val="Char Char Char Char"/>
    <w:basedOn w:val="1"/>
    <w:autoRedefine/>
    <w:qFormat/>
    <w:uiPriority w:val="0"/>
    <w:pPr>
      <w:widowControl/>
      <w:spacing w:after="160" w:line="240" w:lineRule="exact"/>
      <w:ind w:firstLine="0" w:firstLineChars="0"/>
      <w:jc w:val="left"/>
    </w:pPr>
    <w:rPr>
      <w:rFonts w:ascii="Arial" w:hAnsi="Arial" w:eastAsia="Times New Roman" w:cs="Verdana"/>
      <w:b/>
      <w:kern w:val="0"/>
      <w:szCs w:val="20"/>
      <w:lang w:eastAsia="en-US"/>
    </w:rPr>
  </w:style>
  <w:style w:type="paragraph" w:customStyle="1" w:styleId="154">
    <w:name w:val="0"/>
    <w:basedOn w:val="1"/>
    <w:autoRedefine/>
    <w:qFormat/>
    <w:uiPriority w:val="0"/>
    <w:pPr>
      <w:widowControl/>
    </w:pPr>
    <w:rPr>
      <w:rFonts w:ascii="Times New Roman" w:hAnsi="Times New Roman" w:eastAsia="宋体" w:cs="Times New Roman"/>
      <w:kern w:val="0"/>
      <w:szCs w:val="21"/>
    </w:rPr>
  </w:style>
  <w:style w:type="paragraph" w:customStyle="1" w:styleId="155">
    <w:name w:val="Char Char Char Char Char Char Char Char"/>
    <w:basedOn w:val="1"/>
    <w:autoRedefine/>
    <w:qFormat/>
    <w:uiPriority w:val="0"/>
    <w:pPr>
      <w:tabs>
        <w:tab w:val="left" w:pos="360"/>
      </w:tabs>
      <w:spacing w:line="240" w:lineRule="auto"/>
      <w:ind w:firstLine="0" w:firstLineChars="0"/>
    </w:pPr>
    <w:rPr>
      <w:rFonts w:ascii="Times New Roman" w:hAnsi="Times New Roman" w:eastAsia="宋体" w:cs="Times New Roman"/>
      <w:szCs w:val="20"/>
    </w:rPr>
  </w:style>
  <w:style w:type="paragraph" w:customStyle="1" w:styleId="156">
    <w:name w:val="表内文字"/>
    <w:basedOn w:val="1"/>
    <w:autoRedefine/>
    <w:qFormat/>
    <w:uiPriority w:val="0"/>
    <w:pPr>
      <w:tabs>
        <w:tab w:val="left" w:pos="1418"/>
      </w:tabs>
      <w:ind w:firstLine="0" w:firstLineChars="0"/>
      <w:jc w:val="center"/>
    </w:pPr>
    <w:rPr>
      <w:rFonts w:ascii="仿宋_GB2312" w:hAnsi="Times New Roman" w:eastAsia="仿宋_GB2312" w:cs="Times New Roman"/>
      <w:spacing w:val="-20"/>
      <w:kern w:val="0"/>
    </w:rPr>
  </w:style>
  <w:style w:type="paragraph" w:customStyle="1" w:styleId="157">
    <w:name w:val="font6"/>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8">
    <w:name w:val="xl82"/>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59">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60">
    <w:name w:val="Char Char Char Char Char Char Char Char Char Char Char Char Char"/>
    <w:basedOn w:val="1"/>
    <w:autoRedefine/>
    <w:qFormat/>
    <w:uiPriority w:val="0"/>
    <w:pPr>
      <w:spacing w:line="240" w:lineRule="auto"/>
      <w:ind w:firstLine="0" w:firstLineChars="0"/>
    </w:pPr>
    <w:rPr>
      <w:rFonts w:ascii="Tahoma" w:hAnsi="Tahoma" w:eastAsia="宋体" w:cs="Times New Roman"/>
      <w:szCs w:val="20"/>
    </w:rPr>
  </w:style>
  <w:style w:type="paragraph" w:customStyle="1" w:styleId="161">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b/>
      <w:bCs/>
      <w:color w:val="000000"/>
      <w:kern w:val="0"/>
      <w:sz w:val="18"/>
      <w:szCs w:val="18"/>
    </w:rPr>
  </w:style>
  <w:style w:type="paragraph" w:customStyle="1" w:styleId="162">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Arial Unicode MS" w:hAnsi="Arial Unicode MS" w:eastAsia="Arial Unicode MS" w:cs="Arial Unicode MS"/>
      <w:color w:val="000000"/>
      <w:kern w:val="0"/>
      <w:sz w:val="16"/>
      <w:szCs w:val="16"/>
    </w:rPr>
  </w:style>
  <w:style w:type="paragraph" w:customStyle="1" w:styleId="163">
    <w:name w:val="trs_editor"/>
    <w:basedOn w:val="1"/>
    <w:autoRedefine/>
    <w:qFormat/>
    <w:uiPriority w:val="0"/>
    <w:pPr>
      <w:widowControl/>
      <w:spacing w:before="100" w:beforeAutospacing="1" w:after="100" w:afterAutospacing="1"/>
      <w:jc w:val="left"/>
    </w:pPr>
    <w:rPr>
      <w:rFonts w:ascii="宋体" w:hAnsi="宋体" w:eastAsia="宋体" w:cs="宋体"/>
      <w:kern w:val="0"/>
    </w:rPr>
  </w:style>
  <w:style w:type="paragraph" w:customStyle="1" w:styleId="164">
    <w:name w:val="font8"/>
    <w:basedOn w:val="1"/>
    <w:autoRedefine/>
    <w:qFormat/>
    <w:uiPriority w:val="0"/>
    <w:pPr>
      <w:widowControl/>
      <w:spacing w:before="100" w:beforeAutospacing="1" w:after="100" w:afterAutospacing="1" w:line="240" w:lineRule="auto"/>
      <w:ind w:firstLine="0" w:firstLineChars="0"/>
      <w:jc w:val="left"/>
    </w:pPr>
    <w:rPr>
      <w:rFonts w:ascii="Times New Roman" w:hAnsi="Times New Roman" w:eastAsia="宋体" w:cs="宋体"/>
      <w:color w:val="000000"/>
      <w:kern w:val="0"/>
      <w:sz w:val="18"/>
      <w:szCs w:val="18"/>
    </w:rPr>
  </w:style>
  <w:style w:type="paragraph" w:customStyle="1" w:styleId="165">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b/>
      <w:bCs/>
      <w:color w:val="000000"/>
      <w:kern w:val="0"/>
      <w:sz w:val="18"/>
      <w:szCs w:val="18"/>
    </w:rPr>
  </w:style>
  <w:style w:type="paragraph" w:customStyle="1" w:styleId="166">
    <w:name w:val="List Paragraph"/>
    <w:basedOn w:val="1"/>
    <w:autoRedefine/>
    <w:qFormat/>
    <w:uiPriority w:val="99"/>
    <w:pPr>
      <w:ind w:firstLine="420"/>
    </w:pPr>
    <w:rPr>
      <w:rFonts w:ascii="Times New Roman" w:hAnsi="Times New Roman" w:eastAsia="宋体" w:cs="Times New Roman"/>
      <w:szCs w:val="22"/>
    </w:rPr>
  </w:style>
  <w:style w:type="paragraph" w:customStyle="1" w:styleId="167">
    <w:name w:val="p16"/>
    <w:basedOn w:val="1"/>
    <w:autoRedefine/>
    <w:qFormat/>
    <w:uiPriority w:val="0"/>
    <w:pPr>
      <w:widowControl/>
      <w:spacing w:line="240" w:lineRule="auto"/>
      <w:ind w:left="420" w:hanging="420" w:firstLineChars="0"/>
    </w:pPr>
    <w:rPr>
      <w:rFonts w:ascii="Times New Roman" w:hAnsi="Times New Roman" w:eastAsia="宋体" w:cs="Times New Roman"/>
      <w:kern w:val="0"/>
      <w:szCs w:val="21"/>
    </w:rPr>
  </w:style>
  <w:style w:type="paragraph" w:customStyle="1" w:styleId="168">
    <w:name w:val="font9"/>
    <w:basedOn w:val="1"/>
    <w:autoRedefine/>
    <w:qFormat/>
    <w:uiPriority w:val="0"/>
    <w:pPr>
      <w:widowControl/>
      <w:spacing w:before="100" w:beforeAutospacing="1" w:after="100" w:afterAutospacing="1" w:line="240" w:lineRule="auto"/>
      <w:ind w:firstLine="0" w:firstLineChars="0"/>
      <w:jc w:val="left"/>
    </w:pPr>
    <w:rPr>
      <w:rFonts w:ascii="Symbol" w:hAnsi="Symbol" w:eastAsia="宋体" w:cs="宋体"/>
      <w:color w:val="000000"/>
      <w:kern w:val="0"/>
      <w:sz w:val="18"/>
      <w:szCs w:val="18"/>
    </w:rPr>
  </w:style>
  <w:style w:type="paragraph" w:customStyle="1" w:styleId="169">
    <w:name w:val="样式3"/>
    <w:basedOn w:val="170"/>
    <w:autoRedefine/>
    <w:qFormat/>
    <w:uiPriority w:val="0"/>
    <w:pPr>
      <w:spacing w:line="240" w:lineRule="auto"/>
    </w:pPr>
    <w:rPr>
      <w:rFonts w:ascii="Times New Roman" w:hAnsi="Times New Roman" w:eastAsia="宋体" w:cs="Times New Roman"/>
      <w:sz w:val="21"/>
    </w:rPr>
  </w:style>
  <w:style w:type="paragraph" w:customStyle="1" w:styleId="170">
    <w:name w:val="样式2"/>
    <w:basedOn w:val="139"/>
    <w:autoRedefine/>
    <w:qFormat/>
    <w:uiPriority w:val="0"/>
    <w:pPr>
      <w:ind w:firstLine="0" w:firstLineChars="0"/>
    </w:pPr>
    <w:rPr>
      <w:rFonts w:ascii="Times New Roman" w:hAnsi="Times New Roman" w:eastAsia="宋体" w:cs="Times New Roman"/>
    </w:rPr>
  </w:style>
  <w:style w:type="paragraph" w:customStyle="1" w:styleId="171">
    <w:name w:val="xl25"/>
    <w:basedOn w:val="1"/>
    <w:autoRedefine/>
    <w:qFormat/>
    <w:uiPriority w:val="0"/>
    <w:pPr>
      <w:widowControl/>
      <w:spacing w:before="100" w:beforeAutospacing="1" w:after="100" w:afterAutospacing="1" w:line="240" w:lineRule="auto"/>
      <w:ind w:firstLine="0" w:firstLineChars="0"/>
      <w:jc w:val="center"/>
      <w:textAlignment w:val="center"/>
    </w:pPr>
    <w:rPr>
      <w:rFonts w:hint="eastAsia" w:ascii="楷体_GB2312" w:hAnsi="宋体" w:eastAsia="楷体_GB2312" w:cs="Times New Roman"/>
      <w:kern w:val="0"/>
    </w:rPr>
  </w:style>
  <w:style w:type="paragraph" w:customStyle="1" w:styleId="172">
    <w:name w:val="Horizontal Bar"/>
    <w:basedOn w:val="1"/>
    <w:autoRedefine/>
    <w:qFormat/>
    <w:uiPriority w:val="0"/>
    <w:pPr>
      <w:kinsoku w:val="0"/>
      <w:overflowPunct w:val="0"/>
      <w:topLinePunct/>
      <w:spacing w:line="0" w:lineRule="atLeast"/>
      <w:ind w:firstLine="0" w:firstLineChars="0"/>
      <w:jc w:val="left"/>
    </w:pPr>
    <w:rPr>
      <w:rFonts w:ascii="ScalaSansLF-Regular" w:hAnsi="ScalaSansLF-Regular" w:eastAsia="ScalaSansLF-Regular" w:cs="ScalaSansLF-Regular"/>
      <w:bCs/>
      <w:sz w:val="16"/>
      <w:szCs w:val="16"/>
      <w:lang w:eastAsia="ja-JP"/>
    </w:rPr>
  </w:style>
  <w:style w:type="paragraph" w:customStyle="1" w:styleId="173">
    <w:name w:val="head 1.1.1"/>
    <w:basedOn w:val="129"/>
    <w:autoRedefine/>
    <w:qFormat/>
    <w:uiPriority w:val="0"/>
    <w:pPr>
      <w:numPr>
        <w:ilvl w:val="2"/>
        <w:numId w:val="3"/>
      </w:numPr>
      <w:spacing w:line="240" w:lineRule="auto"/>
      <w:ind w:firstLine="0" w:firstLineChars="0"/>
    </w:pPr>
    <w:rPr>
      <w:rFonts w:ascii="Times New Roman" w:hAnsi="Times New Roman" w:eastAsia="宋体" w:cs="Times New Roman"/>
      <w:bCs/>
      <w:szCs w:val="22"/>
    </w:rPr>
  </w:style>
  <w:style w:type="paragraph" w:customStyle="1" w:styleId="174">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b/>
      <w:bCs/>
      <w:color w:val="000000"/>
      <w:kern w:val="0"/>
      <w:sz w:val="18"/>
      <w:szCs w:val="18"/>
    </w:rPr>
  </w:style>
  <w:style w:type="paragraph" w:customStyle="1" w:styleId="175">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76">
    <w:name w:val="Char Char Char Char Char Char Char Char Char Char"/>
    <w:basedOn w:val="10"/>
    <w:autoRedefine/>
    <w:qFormat/>
    <w:uiPriority w:val="0"/>
    <w:pPr>
      <w:shd w:val="clear" w:color="auto" w:fill="000080"/>
      <w:spacing w:line="240" w:lineRule="auto"/>
      <w:ind w:firstLine="0" w:firstLineChars="0"/>
    </w:pPr>
    <w:rPr>
      <w:rFonts w:ascii="Tahoma" w:hAnsi="Tahoma" w:eastAsia="宋体" w:cs="Times New Roman"/>
      <w:sz w:val="24"/>
      <w:szCs w:val="24"/>
    </w:rPr>
  </w:style>
  <w:style w:type="paragraph" w:customStyle="1" w:styleId="177">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78">
    <w:name w:val="标题3"/>
    <w:basedOn w:val="4"/>
    <w:link w:val="179"/>
    <w:autoRedefine/>
    <w:qFormat/>
    <w:uiPriority w:val="0"/>
    <w:pPr>
      <w:spacing w:before="260" w:after="260" w:line="415" w:lineRule="auto"/>
    </w:pPr>
    <w:rPr>
      <w:rFonts w:ascii="宋体" w:hAnsi="宋体" w:eastAsia="宋体" w:cs="Times New Roman"/>
      <w:sz w:val="28"/>
      <w:szCs w:val="28"/>
    </w:rPr>
  </w:style>
  <w:style w:type="character" w:customStyle="1" w:styleId="179">
    <w:name w:val="标题3 Char"/>
    <w:link w:val="178"/>
    <w:autoRedefine/>
    <w:qFormat/>
    <w:uiPriority w:val="0"/>
    <w:rPr>
      <w:rFonts w:ascii="宋体" w:hAnsi="宋体" w:eastAsia="宋体" w:cs="Times New Roman"/>
      <w:sz w:val="28"/>
      <w:szCs w:val="28"/>
    </w:rPr>
  </w:style>
  <w:style w:type="paragraph" w:customStyle="1" w:styleId="180">
    <w:name w:val="部分1"/>
    <w:basedOn w:val="1"/>
    <w:autoRedefine/>
    <w:qFormat/>
    <w:uiPriority w:val="0"/>
    <w:pPr>
      <w:keepNext/>
      <w:pageBreakBefore/>
      <w:tabs>
        <w:tab w:val="left" w:pos="720"/>
      </w:tabs>
      <w:jc w:val="center"/>
      <w:outlineLvl w:val="0"/>
    </w:pPr>
    <w:rPr>
      <w:rFonts w:ascii="Times New Roman" w:hAnsi="Times New Roman" w:eastAsia="黑体" w:cs="Times New Roman"/>
      <w:b/>
      <w:kern w:val="44"/>
      <w:sz w:val="36"/>
    </w:rPr>
  </w:style>
  <w:style w:type="paragraph" w:customStyle="1" w:styleId="181">
    <w:name w:val="font7"/>
    <w:basedOn w:val="1"/>
    <w:autoRedefine/>
    <w:qFormat/>
    <w:uiPriority w:val="0"/>
    <w:pPr>
      <w:widowControl/>
      <w:spacing w:before="100" w:beforeAutospacing="1" w:after="100" w:afterAutospacing="1" w:line="240" w:lineRule="auto"/>
      <w:ind w:firstLine="0" w:firstLineChars="0"/>
      <w:jc w:val="left"/>
    </w:pPr>
    <w:rPr>
      <w:rFonts w:ascii="Times New Roman" w:hAnsi="Times New Roman" w:eastAsia="宋体" w:cs="Times New Roman"/>
      <w:color w:val="000000"/>
      <w:kern w:val="0"/>
      <w:sz w:val="18"/>
      <w:szCs w:val="18"/>
    </w:rPr>
  </w:style>
  <w:style w:type="paragraph" w:customStyle="1" w:styleId="182">
    <w:name w:val="xl8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Times New Roman" w:hAnsi="Times New Roman" w:eastAsia="宋体" w:cs="Times New Roman"/>
      <w:color w:val="000000"/>
      <w:kern w:val="0"/>
      <w:sz w:val="18"/>
      <w:szCs w:val="18"/>
    </w:rPr>
  </w:style>
  <w:style w:type="paragraph" w:customStyle="1" w:styleId="183">
    <w:name w:val="四级目录 Char Char Char Char Char"/>
    <w:next w:val="1"/>
    <w:autoRedefine/>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84">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left"/>
    </w:pPr>
    <w:rPr>
      <w:rFonts w:ascii="宋体" w:hAnsi="宋体" w:eastAsia="宋体" w:cs="宋体"/>
      <w:color w:val="000000"/>
      <w:kern w:val="0"/>
      <w:sz w:val="18"/>
      <w:szCs w:val="18"/>
    </w:rPr>
  </w:style>
  <w:style w:type="paragraph" w:customStyle="1" w:styleId="185">
    <w:name w:val="样式4"/>
    <w:basedOn w:val="1"/>
    <w:autoRedefine/>
    <w:qFormat/>
    <w:uiPriority w:val="0"/>
    <w:pPr>
      <w:ind w:firstLine="0" w:firstLineChars="0"/>
      <w:jc w:val="center"/>
    </w:pPr>
    <w:rPr>
      <w:rFonts w:ascii="Times New Roman" w:hAnsi="Times New Roman" w:eastAsia="宋体" w:cs="Times New Roman"/>
      <w:sz w:val="20"/>
    </w:rPr>
  </w:style>
  <w:style w:type="paragraph" w:customStyle="1" w:styleId="186">
    <w:name w:val="默认段落字体 Para Char Char Char Char Char Char Char Char Char1 Char Char Char Char"/>
    <w:basedOn w:val="1"/>
    <w:autoRedefine/>
    <w:qFormat/>
    <w:uiPriority w:val="0"/>
    <w:rPr>
      <w:rFonts w:ascii="Tahoma" w:hAnsi="Tahoma" w:eastAsia="宋体" w:cs="Times New Roman"/>
      <w:szCs w:val="20"/>
    </w:rPr>
  </w:style>
  <w:style w:type="paragraph" w:customStyle="1" w:styleId="187">
    <w:name w:val="Char"/>
    <w:basedOn w:val="1"/>
    <w:autoRedefine/>
    <w:qFormat/>
    <w:uiPriority w:val="0"/>
    <w:pPr>
      <w:spacing w:line="240" w:lineRule="auto"/>
      <w:ind w:firstLine="0" w:firstLineChars="0"/>
    </w:pPr>
    <w:rPr>
      <w:rFonts w:ascii="仿宋_GB2312" w:hAnsi="Times New Roman" w:eastAsia="仿宋_GB2312" w:cs="Times New Roman"/>
      <w:b/>
      <w:sz w:val="32"/>
      <w:szCs w:val="32"/>
    </w:rPr>
  </w:style>
  <w:style w:type="paragraph" w:customStyle="1" w:styleId="188">
    <w:name w:val="_Style 3"/>
    <w:basedOn w:val="1"/>
    <w:next w:val="166"/>
    <w:autoRedefine/>
    <w:qFormat/>
    <w:uiPriority w:val="0"/>
    <w:pPr>
      <w:ind w:firstLine="420"/>
    </w:pPr>
    <w:rPr>
      <w:rFonts w:ascii="Times New Roman" w:hAnsi="Times New Roman" w:eastAsia="宋体" w:cs="Times New Roman"/>
      <w:szCs w:val="22"/>
    </w:rPr>
  </w:style>
  <w:style w:type="paragraph" w:customStyle="1" w:styleId="189">
    <w:name w:val="正文缩进1"/>
    <w:basedOn w:val="1"/>
    <w:next w:val="16"/>
    <w:autoRedefine/>
    <w:qFormat/>
    <w:uiPriority w:val="0"/>
    <w:pPr>
      <w:autoSpaceDE w:val="0"/>
      <w:autoSpaceDN w:val="0"/>
      <w:adjustRightInd w:val="0"/>
      <w:snapToGrid w:val="0"/>
      <w:spacing w:after="120"/>
      <w:ind w:left="420" w:firstLine="480" w:firstLineChars="0"/>
    </w:pPr>
    <w:rPr>
      <w:rFonts w:ascii="Times New Roman" w:hAnsi="Times New Roman" w:eastAsia="宋体" w:cs="Times New Roman"/>
      <w:szCs w:val="20"/>
    </w:rPr>
  </w:style>
  <w:style w:type="paragraph" w:customStyle="1" w:styleId="190">
    <w:name w:val="_Style 54"/>
    <w:basedOn w:val="1"/>
    <w:autoRedefine/>
    <w:qFormat/>
    <w:uiPriority w:val="0"/>
    <w:pPr>
      <w:spacing w:line="240" w:lineRule="auto"/>
      <w:ind w:firstLine="0" w:firstLineChars="0"/>
    </w:pPr>
    <w:rPr>
      <w:rFonts w:ascii="Times New Roman" w:hAnsi="Times New Roman" w:eastAsia="宋体" w:cs="Times New Roman"/>
    </w:rPr>
  </w:style>
  <w:style w:type="paragraph" w:customStyle="1" w:styleId="191">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eastAsia="宋体" w:cs="宋体"/>
      <w:b/>
      <w:bCs/>
      <w:color w:val="000000"/>
      <w:kern w:val="0"/>
      <w:sz w:val="18"/>
      <w:szCs w:val="18"/>
    </w:rPr>
  </w:style>
  <w:style w:type="paragraph" w:customStyle="1" w:styleId="192">
    <w:name w:val="_Style 185"/>
    <w:autoRedefine/>
    <w:qFormat/>
    <w:uiPriority w:val="0"/>
    <w:rPr>
      <w:rFonts w:ascii="Times New Roman" w:hAnsi="Times New Roman" w:eastAsia="宋体" w:cs="Times New Roman"/>
      <w:kern w:val="2"/>
      <w:sz w:val="24"/>
      <w:szCs w:val="24"/>
      <w:lang w:val="en-US" w:eastAsia="zh-CN" w:bidi="ar-SA"/>
    </w:rPr>
  </w:style>
  <w:style w:type="paragraph" w:customStyle="1" w:styleId="193">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color w:val="000000"/>
      <w:kern w:val="0"/>
      <w:sz w:val="18"/>
      <w:szCs w:val="18"/>
    </w:rPr>
  </w:style>
  <w:style w:type="paragraph" w:customStyle="1" w:styleId="194">
    <w:name w:val="font5"/>
    <w:basedOn w:val="1"/>
    <w:autoRedefine/>
    <w:qFormat/>
    <w:uiPriority w:val="0"/>
    <w:pPr>
      <w:widowControl/>
      <w:spacing w:before="100" w:beforeAutospacing="1" w:after="100" w:afterAutospacing="1" w:line="240" w:lineRule="auto"/>
      <w:ind w:firstLine="0" w:firstLineChars="0"/>
      <w:jc w:val="left"/>
    </w:pPr>
    <w:rPr>
      <w:rFonts w:ascii="宋体" w:hAnsi="宋体" w:eastAsia="宋体" w:cs="宋体"/>
      <w:kern w:val="0"/>
      <w:sz w:val="18"/>
      <w:szCs w:val="18"/>
    </w:rPr>
  </w:style>
  <w:style w:type="paragraph" w:customStyle="1" w:styleId="195">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eastAsia="宋体" w:cs="Times New Roman"/>
      <w:color w:val="000000"/>
      <w:kern w:val="0"/>
      <w:sz w:val="18"/>
      <w:szCs w:val="18"/>
    </w:rPr>
  </w:style>
  <w:style w:type="paragraph" w:customStyle="1" w:styleId="196">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宋体" w:hAnsi="宋体" w:eastAsia="宋体" w:cs="宋体"/>
      <w:color w:val="000000"/>
      <w:kern w:val="0"/>
      <w:sz w:val="18"/>
      <w:szCs w:val="18"/>
    </w:rPr>
  </w:style>
  <w:style w:type="paragraph" w:customStyle="1" w:styleId="197">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Times New Roman" w:hAnsi="Times New Roman" w:eastAsia="宋体" w:cs="Times New Roman"/>
      <w:color w:val="000000"/>
      <w:kern w:val="0"/>
      <w:sz w:val="18"/>
      <w:szCs w:val="18"/>
    </w:rPr>
  </w:style>
  <w:style w:type="paragraph" w:customStyle="1" w:styleId="198">
    <w:name w:val="文字"/>
    <w:basedOn w:val="1"/>
    <w:autoRedefine/>
    <w:qFormat/>
    <w:uiPriority w:val="0"/>
    <w:pPr>
      <w:tabs>
        <w:tab w:val="left" w:pos="8520"/>
      </w:tabs>
      <w:spacing w:line="312" w:lineRule="auto"/>
      <w:ind w:right="-210" w:firstLine="556" w:firstLineChars="0"/>
    </w:pPr>
    <w:rPr>
      <w:rFonts w:ascii="楷体_GB2312" w:hAnsi="Times New Roman" w:eastAsia="楷体_GB2312" w:cs="Times New Roman"/>
      <w:sz w:val="28"/>
      <w:szCs w:val="20"/>
    </w:rPr>
  </w:style>
  <w:style w:type="character" w:customStyle="1" w:styleId="199">
    <w:name w:val="on1"/>
    <w:autoRedefine/>
    <w:qFormat/>
    <w:uiPriority w:val="0"/>
  </w:style>
  <w:style w:type="character" w:customStyle="1" w:styleId="200">
    <w:name w:val="bulletintext1"/>
    <w:autoRedefine/>
    <w:qFormat/>
    <w:uiPriority w:val="0"/>
    <w:rPr>
      <w:color w:val="000000"/>
      <w:sz w:val="18"/>
      <w:szCs w:val="18"/>
    </w:rPr>
  </w:style>
  <w:style w:type="character" w:customStyle="1" w:styleId="201">
    <w:name w:val="font21"/>
    <w:basedOn w:val="46"/>
    <w:autoRedefine/>
    <w:qFormat/>
    <w:uiPriority w:val="0"/>
    <w:rPr>
      <w:rFonts w:hint="eastAsia" w:ascii="仿宋" w:hAnsi="仿宋" w:eastAsia="仿宋" w:cs="仿宋"/>
      <w:color w:val="000000"/>
      <w:sz w:val="24"/>
      <w:szCs w:val="24"/>
      <w:u w:val="none"/>
    </w:rPr>
  </w:style>
  <w:style w:type="paragraph" w:customStyle="1" w:styleId="202">
    <w:name w:val="_Style 1"/>
    <w:basedOn w:val="1"/>
    <w:autoRedefine/>
    <w:qFormat/>
    <w:uiPriority w:val="34"/>
    <w:pPr>
      <w:ind w:firstLine="420" w:firstLineChars="200"/>
    </w:pPr>
    <w:rPr>
      <w:szCs w:val="21"/>
    </w:rPr>
  </w:style>
  <w:style w:type="paragraph" w:customStyle="1" w:styleId="203">
    <w:name w:val="样式 首行缩进:  2 字符"/>
    <w:basedOn w:val="1"/>
    <w:autoRedefine/>
    <w:qFormat/>
    <w:uiPriority w:val="0"/>
    <w:pPr>
      <w:ind w:firstLine="420"/>
    </w:pPr>
    <w:rPr>
      <w:rFonts w:eastAsia="楷体" w:cs="宋体"/>
      <w:szCs w:val="20"/>
    </w:rPr>
  </w:style>
  <w:style w:type="paragraph" w:customStyle="1" w:styleId="204">
    <w:name w:val="此正文"/>
    <w:basedOn w:val="1"/>
    <w:autoRedefine/>
    <w:qFormat/>
    <w:uiPriority w:val="0"/>
    <w:pPr>
      <w:spacing w:line="360" w:lineRule="auto"/>
      <w:ind w:firstLine="480" w:firstLineChars="200"/>
    </w:pPr>
    <w:rPr>
      <w:sz w:val="24"/>
    </w:rPr>
  </w:style>
  <w:style w:type="paragraph" w:customStyle="1" w:styleId="205">
    <w:name w:val="默认段落字体 Para Char Char Char Char Char Char Char Char"/>
    <w:basedOn w:val="1"/>
    <w:autoRedefine/>
    <w:qFormat/>
    <w:uiPriority w:val="0"/>
  </w:style>
  <w:style w:type="paragraph" w:customStyle="1" w:styleId="206">
    <w:name w:val="Normal Indent1"/>
    <w:basedOn w:val="1"/>
    <w:qFormat/>
    <w:uiPriority w:val="99"/>
    <w:pPr>
      <w:ind w:firstLine="420" w:firstLineChars="200"/>
    </w:pPr>
  </w:style>
  <w:style w:type="paragraph" w:customStyle="1" w:styleId="207">
    <w:name w:val="纯文本1"/>
    <w:basedOn w:val="1"/>
    <w:qFormat/>
    <w:uiPriority w:val="99"/>
    <w:rPr>
      <w:rFonts w:ascii="宋体" w:hAnsi="Courier New" w:eastAsia="宋体"/>
      <w:kern w:val="0"/>
      <w:sz w:val="20"/>
    </w:rPr>
  </w:style>
  <w:style w:type="paragraph" w:customStyle="1" w:styleId="208">
    <w:name w:val="段"/>
    <w:next w:val="1"/>
    <w:qFormat/>
    <w:uiPriority w:val="0"/>
    <w:pPr>
      <w:autoSpaceDE w:val="0"/>
      <w:autoSpaceDN w:val="0"/>
      <w:ind w:firstLine="200"/>
      <w:jc w:val="both"/>
    </w:pPr>
    <w:rPr>
      <w:rFonts w:ascii="宋体" w:hAnsi="Times New Roman" w:eastAsia="宋体" w:cs="Times New Roman"/>
      <w:sz w:val="21"/>
      <w:lang w:val="en-US" w:eastAsia="zh-CN" w:bidi="ar-SA"/>
    </w:rPr>
  </w:style>
  <w:style w:type="character" w:customStyle="1" w:styleId="209">
    <w:name w:val="font161"/>
    <w:basedOn w:val="46"/>
    <w:qFormat/>
    <w:uiPriority w:val="0"/>
    <w:rPr>
      <w:rFonts w:hint="eastAsia" w:ascii="宋体" w:hAnsi="宋体" w:eastAsia="宋体" w:cs="宋体"/>
      <w:b/>
      <w:bCs/>
      <w:color w:val="FF0000"/>
      <w:sz w:val="18"/>
      <w:szCs w:val="18"/>
      <w:u w:val="none"/>
    </w:rPr>
  </w:style>
</w:styles>
</file>

<file path=word/_rels/document.xml.rels><?xml version="1.0" encoding="UTF-8" standalone="yes"?>
<Relationships xmlns="http://schemas.openxmlformats.org/package/2006/relationships"><Relationship Id="rId99" Type="http://schemas.openxmlformats.org/officeDocument/2006/relationships/image" Target="media/image76.png"/><Relationship Id="rId98" Type="http://schemas.openxmlformats.org/officeDocument/2006/relationships/image" Target="media/image75.png"/><Relationship Id="rId97" Type="http://schemas.openxmlformats.org/officeDocument/2006/relationships/image" Target="media/image74.png"/><Relationship Id="rId96" Type="http://schemas.openxmlformats.org/officeDocument/2006/relationships/image" Target="media/image73.png"/><Relationship Id="rId95" Type="http://schemas.openxmlformats.org/officeDocument/2006/relationships/image" Target="media/image72.png"/><Relationship Id="rId94" Type="http://schemas.openxmlformats.org/officeDocument/2006/relationships/image" Target="media/image71.png"/><Relationship Id="rId93" Type="http://schemas.openxmlformats.org/officeDocument/2006/relationships/image" Target="media/image70.png"/><Relationship Id="rId92" Type="http://schemas.openxmlformats.org/officeDocument/2006/relationships/image" Target="media/image69.png"/><Relationship Id="rId91" Type="http://schemas.openxmlformats.org/officeDocument/2006/relationships/image" Target="media/image68.png"/><Relationship Id="rId90" Type="http://schemas.openxmlformats.org/officeDocument/2006/relationships/image" Target="media/image67.png"/><Relationship Id="rId9" Type="http://schemas.openxmlformats.org/officeDocument/2006/relationships/footer" Target="footer2.xml"/><Relationship Id="rId89" Type="http://schemas.openxmlformats.org/officeDocument/2006/relationships/image" Target="media/image66.png"/><Relationship Id="rId88" Type="http://schemas.openxmlformats.org/officeDocument/2006/relationships/image" Target="media/image65.png"/><Relationship Id="rId87" Type="http://schemas.openxmlformats.org/officeDocument/2006/relationships/image" Target="media/image64.png"/><Relationship Id="rId86" Type="http://schemas.openxmlformats.org/officeDocument/2006/relationships/image" Target="media/image63.png"/><Relationship Id="rId85" Type="http://schemas.openxmlformats.org/officeDocument/2006/relationships/image" Target="media/image62.png"/><Relationship Id="rId84" Type="http://schemas.openxmlformats.org/officeDocument/2006/relationships/image" Target="media/image61.png"/><Relationship Id="rId83" Type="http://schemas.openxmlformats.org/officeDocument/2006/relationships/image" Target="media/image60.png"/><Relationship Id="rId82" Type="http://schemas.openxmlformats.org/officeDocument/2006/relationships/image" Target="media/image59.png"/><Relationship Id="rId81" Type="http://schemas.openxmlformats.org/officeDocument/2006/relationships/image" Target="media/image58.png"/><Relationship Id="rId80" Type="http://schemas.openxmlformats.org/officeDocument/2006/relationships/image" Target="media/image57.png"/><Relationship Id="rId8" Type="http://schemas.openxmlformats.org/officeDocument/2006/relationships/footer" Target="footer1.xml"/><Relationship Id="rId79" Type="http://schemas.openxmlformats.org/officeDocument/2006/relationships/image" Target="media/image56.png"/><Relationship Id="rId78" Type="http://schemas.openxmlformats.org/officeDocument/2006/relationships/image" Target="media/image55.png"/><Relationship Id="rId77" Type="http://schemas.openxmlformats.org/officeDocument/2006/relationships/image" Target="media/image54.png"/><Relationship Id="rId76" Type="http://schemas.openxmlformats.org/officeDocument/2006/relationships/image" Target="media/image53.png"/><Relationship Id="rId75" Type="http://schemas.openxmlformats.org/officeDocument/2006/relationships/image" Target="media/image52.png"/><Relationship Id="rId74" Type="http://schemas.openxmlformats.org/officeDocument/2006/relationships/image" Target="media/image51.png"/><Relationship Id="rId73" Type="http://schemas.openxmlformats.org/officeDocument/2006/relationships/image" Target="media/image50.png"/><Relationship Id="rId72" Type="http://schemas.openxmlformats.org/officeDocument/2006/relationships/image" Target="media/image49.png"/><Relationship Id="rId71" Type="http://schemas.openxmlformats.org/officeDocument/2006/relationships/image" Target="media/image48.png"/><Relationship Id="rId70" Type="http://schemas.openxmlformats.org/officeDocument/2006/relationships/image" Target="media/image47.png"/><Relationship Id="rId7" Type="http://schemas.openxmlformats.org/officeDocument/2006/relationships/header" Target="header3.xml"/><Relationship Id="rId69" Type="http://schemas.openxmlformats.org/officeDocument/2006/relationships/image" Target="media/image46.png"/><Relationship Id="rId68" Type="http://schemas.openxmlformats.org/officeDocument/2006/relationships/image" Target="media/image45.png"/><Relationship Id="rId67" Type="http://schemas.openxmlformats.org/officeDocument/2006/relationships/image" Target="media/image44.png"/><Relationship Id="rId66" Type="http://schemas.openxmlformats.org/officeDocument/2006/relationships/image" Target="media/image43.png"/><Relationship Id="rId65" Type="http://schemas.openxmlformats.org/officeDocument/2006/relationships/image" Target="media/image42.png"/><Relationship Id="rId64" Type="http://schemas.openxmlformats.org/officeDocument/2006/relationships/image" Target="media/image41.png"/><Relationship Id="rId63" Type="http://schemas.openxmlformats.org/officeDocument/2006/relationships/image" Target="media/image40.png"/><Relationship Id="rId62" Type="http://schemas.openxmlformats.org/officeDocument/2006/relationships/image" Target="media/image39.png"/><Relationship Id="rId61" Type="http://schemas.openxmlformats.org/officeDocument/2006/relationships/image" Target="media/image38.png"/><Relationship Id="rId60" Type="http://schemas.openxmlformats.org/officeDocument/2006/relationships/image" Target="media/image37.png"/><Relationship Id="rId6" Type="http://schemas.openxmlformats.org/officeDocument/2006/relationships/header" Target="header2.xml"/><Relationship Id="rId59" Type="http://schemas.openxmlformats.org/officeDocument/2006/relationships/image" Target="media/image36.png"/><Relationship Id="rId58" Type="http://schemas.openxmlformats.org/officeDocument/2006/relationships/image" Target="media/image35.png"/><Relationship Id="rId57" Type="http://schemas.openxmlformats.org/officeDocument/2006/relationships/image" Target="media/image34.png"/><Relationship Id="rId56" Type="http://schemas.openxmlformats.org/officeDocument/2006/relationships/image" Target="media/image33.png"/><Relationship Id="rId55" Type="http://schemas.openxmlformats.org/officeDocument/2006/relationships/image" Target="media/image32.png"/><Relationship Id="rId54" Type="http://schemas.openxmlformats.org/officeDocument/2006/relationships/image" Target="media/image31.png"/><Relationship Id="rId53" Type="http://schemas.openxmlformats.org/officeDocument/2006/relationships/image" Target="media/image30.png"/><Relationship Id="rId52" Type="http://schemas.openxmlformats.org/officeDocument/2006/relationships/image" Target="media/image29.png"/><Relationship Id="rId51" Type="http://schemas.openxmlformats.org/officeDocument/2006/relationships/image" Target="media/image28.png"/><Relationship Id="rId50" Type="http://schemas.openxmlformats.org/officeDocument/2006/relationships/image" Target="media/image27.png"/><Relationship Id="rId5" Type="http://schemas.openxmlformats.org/officeDocument/2006/relationships/header" Target="header1.xml"/><Relationship Id="rId49" Type="http://schemas.openxmlformats.org/officeDocument/2006/relationships/image" Target="media/image26.png"/><Relationship Id="rId48" Type="http://schemas.openxmlformats.org/officeDocument/2006/relationships/image" Target="media/image25.png"/><Relationship Id="rId47" Type="http://schemas.openxmlformats.org/officeDocument/2006/relationships/image" Target="media/image24.png"/><Relationship Id="rId46" Type="http://schemas.openxmlformats.org/officeDocument/2006/relationships/image" Target="media/image23.png"/><Relationship Id="rId45" Type="http://schemas.openxmlformats.org/officeDocument/2006/relationships/image" Target="media/image22.png"/><Relationship Id="rId44" Type="http://schemas.openxmlformats.org/officeDocument/2006/relationships/image" Target="media/image21.png"/><Relationship Id="rId43" Type="http://schemas.openxmlformats.org/officeDocument/2006/relationships/image" Target="media/image20.png"/><Relationship Id="rId42" Type="http://schemas.openxmlformats.org/officeDocument/2006/relationships/image" Target="media/image19.png"/><Relationship Id="rId41" Type="http://schemas.openxmlformats.org/officeDocument/2006/relationships/image" Target="media/image18.png"/><Relationship Id="rId40" Type="http://schemas.openxmlformats.org/officeDocument/2006/relationships/image" Target="media/image17.png"/><Relationship Id="rId4" Type="http://schemas.openxmlformats.org/officeDocument/2006/relationships/endnotes" Target="endnotes.xml"/><Relationship Id="rId39" Type="http://schemas.openxmlformats.org/officeDocument/2006/relationships/image" Target="media/image16.png"/><Relationship Id="rId38" Type="http://schemas.openxmlformats.org/officeDocument/2006/relationships/image" Target="media/image15.png"/><Relationship Id="rId37" Type="http://schemas.openxmlformats.org/officeDocument/2006/relationships/image" Target="media/image14.png"/><Relationship Id="rId36" Type="http://schemas.openxmlformats.org/officeDocument/2006/relationships/image" Target="media/image13.png"/><Relationship Id="rId35" Type="http://schemas.openxmlformats.org/officeDocument/2006/relationships/image" Target="media/image12.png"/><Relationship Id="rId34" Type="http://schemas.openxmlformats.org/officeDocument/2006/relationships/image" Target="media/image11.png"/><Relationship Id="rId33" Type="http://schemas.openxmlformats.org/officeDocument/2006/relationships/image" Target="media/image10.png"/><Relationship Id="rId32" Type="http://schemas.openxmlformats.org/officeDocument/2006/relationships/image" Target="media/image9.png"/><Relationship Id="rId31" Type="http://schemas.openxmlformats.org/officeDocument/2006/relationships/image" Target="media/image8.png"/><Relationship Id="rId30" Type="http://schemas.openxmlformats.org/officeDocument/2006/relationships/image" Target="media/image7.png"/><Relationship Id="rId3" Type="http://schemas.openxmlformats.org/officeDocument/2006/relationships/footnotes" Target="footnotes.xml"/><Relationship Id="rId29" Type="http://schemas.openxmlformats.org/officeDocument/2006/relationships/image" Target="media/image6.png"/><Relationship Id="rId28" Type="http://schemas.openxmlformats.org/officeDocument/2006/relationships/image" Target="media/image5.png"/><Relationship Id="rId27" Type="http://schemas.openxmlformats.org/officeDocument/2006/relationships/image" Target="media/image4.png"/><Relationship Id="rId26" Type="http://schemas.openxmlformats.org/officeDocument/2006/relationships/image" Target="media/image3.png"/><Relationship Id="rId25" Type="http://schemas.openxmlformats.org/officeDocument/2006/relationships/image" Target="media/image2.png"/><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6.xml"/><Relationship Id="rId17" Type="http://schemas.openxmlformats.org/officeDocument/2006/relationships/footer" Target="footer8.xml"/><Relationship Id="rId16" Type="http://schemas.openxmlformats.org/officeDocument/2006/relationships/header" Target="header5.xml"/><Relationship Id="rId15" Type="http://schemas.openxmlformats.org/officeDocument/2006/relationships/header" Target="header4.xml"/><Relationship Id="rId14" Type="http://schemas.openxmlformats.org/officeDocument/2006/relationships/footer" Target="footer7.xml"/><Relationship Id="rId132" Type="http://schemas.openxmlformats.org/officeDocument/2006/relationships/fontTable" Target="fontTable.xml"/><Relationship Id="rId131" Type="http://schemas.openxmlformats.org/officeDocument/2006/relationships/numbering" Target="numbering.xml"/><Relationship Id="rId130" Type="http://schemas.openxmlformats.org/officeDocument/2006/relationships/customXml" Target="../customXml/item1.xml"/><Relationship Id="rId13" Type="http://schemas.openxmlformats.org/officeDocument/2006/relationships/footer" Target="footer6.xml"/><Relationship Id="rId129" Type="http://schemas.openxmlformats.org/officeDocument/2006/relationships/image" Target="media/image106.png"/><Relationship Id="rId128" Type="http://schemas.openxmlformats.org/officeDocument/2006/relationships/image" Target="media/image105.png"/><Relationship Id="rId127" Type="http://schemas.openxmlformats.org/officeDocument/2006/relationships/image" Target="media/image104.png"/><Relationship Id="rId126" Type="http://schemas.openxmlformats.org/officeDocument/2006/relationships/image" Target="media/image103.png"/><Relationship Id="rId125" Type="http://schemas.openxmlformats.org/officeDocument/2006/relationships/image" Target="media/image102.png"/><Relationship Id="rId124" Type="http://schemas.openxmlformats.org/officeDocument/2006/relationships/image" Target="media/image101.png"/><Relationship Id="rId123" Type="http://schemas.openxmlformats.org/officeDocument/2006/relationships/image" Target="media/image100.png"/><Relationship Id="rId122" Type="http://schemas.openxmlformats.org/officeDocument/2006/relationships/image" Target="media/image99.png"/><Relationship Id="rId121" Type="http://schemas.openxmlformats.org/officeDocument/2006/relationships/image" Target="media/image98.png"/><Relationship Id="rId120" Type="http://schemas.openxmlformats.org/officeDocument/2006/relationships/image" Target="media/image97.png"/><Relationship Id="rId12" Type="http://schemas.openxmlformats.org/officeDocument/2006/relationships/footer" Target="footer5.xml"/><Relationship Id="rId119" Type="http://schemas.openxmlformats.org/officeDocument/2006/relationships/image" Target="media/image96.png"/><Relationship Id="rId118" Type="http://schemas.openxmlformats.org/officeDocument/2006/relationships/image" Target="media/image95.png"/><Relationship Id="rId117" Type="http://schemas.openxmlformats.org/officeDocument/2006/relationships/image" Target="media/image94.png"/><Relationship Id="rId116" Type="http://schemas.openxmlformats.org/officeDocument/2006/relationships/image" Target="media/image93.png"/><Relationship Id="rId115" Type="http://schemas.openxmlformats.org/officeDocument/2006/relationships/image" Target="media/image92.png"/><Relationship Id="rId114" Type="http://schemas.openxmlformats.org/officeDocument/2006/relationships/image" Target="media/image91.png"/><Relationship Id="rId113" Type="http://schemas.openxmlformats.org/officeDocument/2006/relationships/image" Target="media/image90.png"/><Relationship Id="rId112" Type="http://schemas.openxmlformats.org/officeDocument/2006/relationships/image" Target="media/image89.png"/><Relationship Id="rId111" Type="http://schemas.openxmlformats.org/officeDocument/2006/relationships/image" Target="media/image88.png"/><Relationship Id="rId110" Type="http://schemas.openxmlformats.org/officeDocument/2006/relationships/image" Target="media/image87.png"/><Relationship Id="rId11" Type="http://schemas.openxmlformats.org/officeDocument/2006/relationships/footer" Target="footer4.xml"/><Relationship Id="rId109" Type="http://schemas.openxmlformats.org/officeDocument/2006/relationships/image" Target="media/image86.png"/><Relationship Id="rId108" Type="http://schemas.openxmlformats.org/officeDocument/2006/relationships/image" Target="media/image85.png"/><Relationship Id="rId107" Type="http://schemas.openxmlformats.org/officeDocument/2006/relationships/image" Target="media/image84.png"/><Relationship Id="rId106" Type="http://schemas.openxmlformats.org/officeDocument/2006/relationships/image" Target="media/image83.png"/><Relationship Id="rId105" Type="http://schemas.openxmlformats.org/officeDocument/2006/relationships/image" Target="media/image82.png"/><Relationship Id="rId104" Type="http://schemas.openxmlformats.org/officeDocument/2006/relationships/image" Target="media/image81.png"/><Relationship Id="rId103" Type="http://schemas.openxmlformats.org/officeDocument/2006/relationships/image" Target="media/image80.png"/><Relationship Id="rId102" Type="http://schemas.openxmlformats.org/officeDocument/2006/relationships/image" Target="media/image79.png"/><Relationship Id="rId101" Type="http://schemas.openxmlformats.org/officeDocument/2006/relationships/image" Target="media/image78.png"/><Relationship Id="rId100" Type="http://schemas.openxmlformats.org/officeDocument/2006/relationships/image" Target="media/image77.png"/><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99</Pages>
  <Words>11312</Words>
  <Characters>14535</Characters>
  <Lines>258</Lines>
  <Paragraphs>72</Paragraphs>
  <TotalTime>50</TotalTime>
  <ScaleCrop>false</ScaleCrop>
  <LinksUpToDate>false</LinksUpToDate>
  <CharactersWithSpaces>16322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2022-10-10T01:20:00Z</dcterms:created>
  <dc:creator>Administrator</dc:creator>
  <cp:lastModifiedBy>徐敬琪</cp:lastModifiedBy>
  <cp:lastPrinted>2024-12-26T05:56:00Z</cp:lastPrinted>
  <dcterms:modified xsi:type="dcterms:W3CDTF">2025-04-22T06:55:11Z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DA2EA44B712648CD9008E4C81BFD88F0_13</vt:lpwstr>
  </property>
  <property fmtid="{D5CDD505-2E9C-101B-9397-08002B2CF9AE}" pid="4" name="commondata">
    <vt:lpwstr>eyJoZGlkIjoiNDFiMTYwZWIzMTJiMzU2MDhiNmNlNmMzMWM5MjdmYjkifQ==</vt:lpwstr>
  </property>
  <property fmtid="{D5CDD505-2E9C-101B-9397-08002B2CF9AE}" pid="5" name="KSOTemplateDocerSaveRecord">
    <vt:lpwstr>eyJoZGlkIjoiNWZkNjA2YzQ4YjM4MzJhY2FhNjQwYzcxZGFmNTE5NWUiLCJ1c2VySWQiOiIxMjQxNjAwMjgyIn0=</vt:lpwstr>
  </property>
</Properties>
</file>